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93A76" w14:textId="06FE3158" w:rsidR="004D06D8" w:rsidRDefault="004D06D8" w:rsidP="009914A5">
      <w:pPr>
        <w:pStyle w:val="Authornames"/>
        <w:rPr>
          <w:b/>
        </w:rPr>
      </w:pPr>
      <w:r w:rsidRPr="004D06D8">
        <w:rPr>
          <w:b/>
        </w:rPr>
        <w:t xml:space="preserve">Biotreatability improvement of antibiotic-contaminated waters:  High efficiency of direct ozonation in comparison to hydroxyl radical oxidation </w:t>
      </w:r>
    </w:p>
    <w:p w14:paraId="27BCB7D6" w14:textId="6893B76C" w:rsidR="00442B9C" w:rsidRDefault="004D06D8" w:rsidP="009914A5">
      <w:pPr>
        <w:pStyle w:val="Authornames"/>
      </w:pPr>
      <w:r>
        <w:t>Igor Bo</w:t>
      </w:r>
      <w:r w:rsidR="00461DC1">
        <w:t>š</w:t>
      </w:r>
      <w:r>
        <w:t>evski</w:t>
      </w:r>
      <w:r w:rsidR="004F428E">
        <w:t xml:space="preserve">* and </w:t>
      </w:r>
      <w:r>
        <w:t xml:space="preserve">Andreja </w:t>
      </w:r>
      <w:r w:rsidR="00461DC1">
        <w:t>Ž</w:t>
      </w:r>
      <w:r>
        <w:t>gajnar Gotvajn</w:t>
      </w:r>
    </w:p>
    <w:p w14:paraId="1E0BE365" w14:textId="3D4CAE98" w:rsidR="004D06D8" w:rsidRDefault="004D06D8" w:rsidP="004D06D8">
      <w:pPr>
        <w:pStyle w:val="Affiliation"/>
      </w:pPr>
      <w:r w:rsidRPr="004D06D8">
        <w:t>University of Ljubljana, Faculty of Chemistry and Chemical Technology, Večna pot 113,</w:t>
      </w:r>
      <w:r>
        <w:t xml:space="preserve"> SI-1000 Ljubljana, Slovenia. </w:t>
      </w:r>
    </w:p>
    <w:p w14:paraId="30840302" w14:textId="6498845C" w:rsidR="000A4428" w:rsidRDefault="004D06D8" w:rsidP="004D06D8">
      <w:pPr>
        <w:pStyle w:val="Affiliation"/>
      </w:pPr>
      <w:r>
        <w:t>*</w:t>
      </w:r>
      <w:r w:rsidRPr="004D06D8">
        <w:t>igor.bosevski@gmail.com</w:t>
      </w:r>
    </w:p>
    <w:p w14:paraId="28CD4A81" w14:textId="3861F04D" w:rsidR="00C246C5" w:rsidRDefault="00C246C5" w:rsidP="009B24B5">
      <w:pPr>
        <w:pStyle w:val="Articletitle"/>
      </w:pPr>
    </w:p>
    <w:p w14:paraId="137DF518" w14:textId="77777777" w:rsidR="00B10189" w:rsidRDefault="00B10189" w:rsidP="00B10189">
      <w:pPr>
        <w:pStyle w:val="Abstract"/>
        <w:ind w:left="0"/>
      </w:pPr>
      <w:r>
        <w:t>E</w:t>
      </w:r>
      <w:r w:rsidRPr="001146E7">
        <w:t>fficiencies of direct ozonation and hydroxyl radical oxidation by Fenton process</w:t>
      </w:r>
      <w:r>
        <w:t xml:space="preserve"> were compared,</w:t>
      </w:r>
      <w:r w:rsidRPr="001146E7">
        <w:t xml:space="preserve"> </w:t>
      </w:r>
      <w:r>
        <w:t>aiming to improve biotreatability of antibiotics contaminated water</w:t>
      </w:r>
      <w:r w:rsidRPr="001146E7">
        <w:t xml:space="preserve"> (tiamulin, amoxicillin and levofloxacin).  </w:t>
      </w:r>
      <w:r>
        <w:t>B</w:t>
      </w:r>
      <w:r w:rsidRPr="001146E7">
        <w:t>iodegradability</w:t>
      </w:r>
      <w:r>
        <w:t xml:space="preserve">, </w:t>
      </w:r>
      <w:r w:rsidRPr="001146E7">
        <w:t>COD (chemical oxygen demand)</w:t>
      </w:r>
      <w:r>
        <w:t xml:space="preserve"> and TOC (total organic carbon) were measured </w:t>
      </w:r>
      <w:r w:rsidRPr="001146E7">
        <w:t>before and after appl</w:t>
      </w:r>
      <w:r>
        <w:t>ying</w:t>
      </w:r>
      <w:r w:rsidRPr="001146E7">
        <w:t xml:space="preserve"> oxidative process</w:t>
      </w:r>
      <w:r>
        <w:t>.</w:t>
      </w:r>
      <w:r w:rsidRPr="001146E7">
        <w:t xml:space="preserve"> It was confirmed</w:t>
      </w:r>
      <w:r>
        <w:t xml:space="preserve"> that significantly</w:t>
      </w:r>
      <w:r w:rsidRPr="001146E7">
        <w:t xml:space="preserve"> smaller molar dose of ozone (1</w:t>
      </w:r>
      <w:r>
        <w:t>.</w:t>
      </w:r>
      <w:r w:rsidRPr="001146E7">
        <w:t>1</w:t>
      </w:r>
      <w:r>
        <w:t xml:space="preserve"> </w:t>
      </w:r>
      <w:r w:rsidRPr="001146E7">
        <w:t>mg</w:t>
      </w:r>
      <w:r>
        <w:rPr>
          <w:vertAlign w:val="subscript"/>
        </w:rPr>
        <w:t>O3</w:t>
      </w:r>
      <w:r>
        <w:t xml:space="preserve"> / mg</w:t>
      </w:r>
      <w:r>
        <w:rPr>
          <w:vertAlign w:val="subscript"/>
        </w:rPr>
        <w:t>atb</w:t>
      </w:r>
      <w:r w:rsidRPr="001146E7">
        <w:t>) against the hydrogen peroxide (1</w:t>
      </w:r>
      <w:r>
        <w:t>7</w:t>
      </w:r>
      <w:r w:rsidRPr="001146E7">
        <w:t xml:space="preserve"> mg</w:t>
      </w:r>
      <w:r w:rsidRPr="001146E7">
        <w:rPr>
          <w:vertAlign w:val="subscript"/>
        </w:rPr>
        <w:t xml:space="preserve">H2O2 </w:t>
      </w:r>
      <w:r>
        <w:t>/ m</w:t>
      </w:r>
      <w:r w:rsidRPr="001146E7">
        <w:t>g</w:t>
      </w:r>
      <w:r w:rsidRPr="001146E7">
        <w:rPr>
          <w:vertAlign w:val="subscript"/>
        </w:rPr>
        <w:t>a</w:t>
      </w:r>
      <w:r>
        <w:rPr>
          <w:vertAlign w:val="subscript"/>
        </w:rPr>
        <w:t>tb</w:t>
      </w:r>
      <w:r>
        <w:t xml:space="preserve">), deliver comparable </w:t>
      </w:r>
      <w:r w:rsidRPr="001146E7">
        <w:t>improvement</w:t>
      </w:r>
      <w:r>
        <w:t>s</w:t>
      </w:r>
      <w:r w:rsidRPr="001146E7">
        <w:t xml:space="preserve"> </w:t>
      </w:r>
      <w:r>
        <w:t>of</w:t>
      </w:r>
      <w:r w:rsidRPr="001146E7">
        <w:t xml:space="preserve"> biodegradability; Tiamulin biodegraded up to 60 %</w:t>
      </w:r>
      <w:r>
        <w:t>,</w:t>
      </w:r>
      <w:r w:rsidRPr="001146E7">
        <w:t xml:space="preserve"> levofloxacin </w:t>
      </w:r>
      <w:r>
        <w:t>close to 100 %</w:t>
      </w:r>
      <w:r w:rsidRPr="001146E7">
        <w:t>. Ozonation removed more TOC (10%, 29% and 8% for tiamuli</w:t>
      </w:r>
      <w:r>
        <w:t>n, levofloxacin and amoxicillin</w:t>
      </w:r>
      <w:r w:rsidRPr="001146E7">
        <w:t xml:space="preserve">, respectively) </w:t>
      </w:r>
      <w:r>
        <w:t>than</w:t>
      </w:r>
      <w:r w:rsidRPr="001146E7">
        <w:t xml:space="preserve"> Fenton process. This is confirming mineralization of antibiotics, not </w:t>
      </w:r>
      <w:r>
        <w:t>only</w:t>
      </w:r>
      <w:r w:rsidRPr="001146E7">
        <w:t xml:space="preserve"> biodegradable </w:t>
      </w:r>
      <w:r>
        <w:t>intermediates formation</w:t>
      </w:r>
      <w:r w:rsidRPr="001146E7">
        <w:t xml:space="preserve">. </w:t>
      </w:r>
      <w:r>
        <w:t>In terms of costs,</w:t>
      </w:r>
      <w:r w:rsidRPr="001146E7">
        <w:t xml:space="preserve"> ozonation </w:t>
      </w:r>
      <w:r>
        <w:t>is</w:t>
      </w:r>
      <w:r w:rsidRPr="001146E7">
        <w:t xml:space="preserve"> more feasible </w:t>
      </w:r>
      <w:r>
        <w:t>in</w:t>
      </w:r>
      <w:r w:rsidRPr="001146E7">
        <w:t xml:space="preserve"> </w:t>
      </w:r>
      <w:r>
        <w:t xml:space="preserve">oxidizing </w:t>
      </w:r>
      <w:r w:rsidRPr="001146E7">
        <w:t>complex antibiotic</w:t>
      </w:r>
      <w:r>
        <w:t>s</w:t>
      </w:r>
      <w:r w:rsidRPr="001146E7">
        <w:t xml:space="preserve"> in water</w:t>
      </w:r>
      <w:r>
        <w:t>, as it</w:t>
      </w:r>
      <w:r w:rsidRPr="001146E7">
        <w:t xml:space="preserve"> targets </w:t>
      </w:r>
      <w:r>
        <w:t>functional groups</w:t>
      </w:r>
      <w:r w:rsidRPr="001146E7">
        <w:t xml:space="preserve"> which carry antimicrobial properties</w:t>
      </w:r>
      <w:r>
        <w:t>.</w:t>
      </w:r>
      <w:r w:rsidRPr="001146E7">
        <w:t xml:space="preserve"> </w:t>
      </w:r>
      <w:r>
        <w:t xml:space="preserve">This brings not only improved biodegradability needed for a </w:t>
      </w:r>
      <w:r w:rsidRPr="001146E7">
        <w:t xml:space="preserve">conventional </w:t>
      </w:r>
      <w:r>
        <w:t xml:space="preserve">biological </w:t>
      </w:r>
      <w:r w:rsidRPr="001146E7">
        <w:t>treatment plant</w:t>
      </w:r>
      <w:r>
        <w:t>,</w:t>
      </w:r>
      <w:r w:rsidRPr="001146E7">
        <w:t xml:space="preserve"> </w:t>
      </w:r>
      <w:r>
        <w:t xml:space="preserve">but also </w:t>
      </w:r>
      <w:r w:rsidRPr="001146E7">
        <w:t>reduce</w:t>
      </w:r>
      <w:r>
        <w:t>s</w:t>
      </w:r>
      <w:r w:rsidRPr="001146E7">
        <w:t xml:space="preserve"> long-term impacts</w:t>
      </w:r>
      <w:r>
        <w:t xml:space="preserve"> of the antibiotics in the environment.</w:t>
      </w:r>
    </w:p>
    <w:p w14:paraId="3B627DA5" w14:textId="62305237" w:rsidR="001146E7" w:rsidRDefault="00B10189" w:rsidP="00B10189">
      <w:pPr>
        <w:pStyle w:val="Keywords"/>
        <w:ind w:left="0"/>
        <w:rPr>
          <w:bCs/>
          <w:lang w:val="en-US"/>
        </w:rPr>
      </w:pPr>
      <w:r>
        <w:t xml:space="preserve"> </w:t>
      </w:r>
      <w:r w:rsidR="00997B0F">
        <w:t xml:space="preserve">Keywords: </w:t>
      </w:r>
      <w:r w:rsidR="001146E7" w:rsidRPr="001146E7">
        <w:rPr>
          <w:bCs/>
          <w:lang w:val="en-US"/>
        </w:rPr>
        <w:t xml:space="preserve">Antibiotic, Biodegradability, Fenton process, Ozonation, </w:t>
      </w:r>
      <w:r w:rsidR="004F5459">
        <w:rPr>
          <w:bCs/>
          <w:lang w:val="en-US"/>
        </w:rPr>
        <w:t>Water</w:t>
      </w:r>
    </w:p>
    <w:p w14:paraId="7F67C1DA" w14:textId="77777777" w:rsidR="001146E7" w:rsidRPr="001146E7" w:rsidRDefault="001146E7" w:rsidP="00C77F85">
      <w:pPr>
        <w:pStyle w:val="Paragraph"/>
        <w:numPr>
          <w:ilvl w:val="0"/>
          <w:numId w:val="31"/>
        </w:numPr>
        <w:rPr>
          <w:rFonts w:cs="Arial"/>
          <w:b/>
          <w:bCs/>
          <w:kern w:val="32"/>
          <w:szCs w:val="32"/>
        </w:rPr>
      </w:pPr>
      <w:r w:rsidRPr="001146E7">
        <w:rPr>
          <w:rFonts w:cs="Arial"/>
          <w:b/>
          <w:bCs/>
          <w:kern w:val="32"/>
          <w:szCs w:val="32"/>
        </w:rPr>
        <w:t>Introduction</w:t>
      </w:r>
    </w:p>
    <w:p w14:paraId="1E4A3034" w14:textId="75801DF1" w:rsidR="001146E7" w:rsidRPr="00370B0E" w:rsidRDefault="00B641BC" w:rsidP="00C77F85">
      <w:pPr>
        <w:pStyle w:val="Abstract"/>
        <w:ind w:left="0"/>
      </w:pPr>
      <w:r>
        <w:t>Since discovered, a</w:t>
      </w:r>
      <w:r w:rsidRPr="00370B0E">
        <w:t xml:space="preserve">ntibiotics </w:t>
      </w:r>
      <w:r w:rsidR="001146E7" w:rsidRPr="00370B0E">
        <w:t>ha</w:t>
      </w:r>
      <w:r>
        <w:t>ve</w:t>
      </w:r>
      <w:r w:rsidR="001146E7" w:rsidRPr="00370B0E">
        <w:t xml:space="preserve"> brought immense benefits in terms of </w:t>
      </w:r>
      <w:r>
        <w:t>human and animal health, as well as</w:t>
      </w:r>
      <w:r w:rsidR="001146E7" w:rsidRPr="00370B0E">
        <w:t xml:space="preserve"> food production. On the other hand, antibiotics are source of environmental pollution of growing attention, especially in the </w:t>
      </w:r>
      <w:r w:rsidR="00801EE1">
        <w:t>perspective</w:t>
      </w:r>
      <w:r w:rsidR="00801EE1" w:rsidRPr="00370B0E">
        <w:t xml:space="preserve"> </w:t>
      </w:r>
      <w:r w:rsidR="001146E7" w:rsidRPr="00370B0E">
        <w:t xml:space="preserve">of </w:t>
      </w:r>
      <w:r w:rsidR="0054744E">
        <w:t xml:space="preserve">bacterial </w:t>
      </w:r>
      <w:r w:rsidR="001146E7" w:rsidRPr="003B0A74">
        <w:lastRenderedPageBreak/>
        <w:t>antibiotic</w:t>
      </w:r>
      <w:r w:rsidR="001146E7" w:rsidRPr="00370B0E">
        <w:t xml:space="preserve"> resistance phenomena. Studies indicate that surface water concentrations of some most common antibiotics are low, an order of magnitude lower than the toxic concentrations to water organisms</w:t>
      </w:r>
      <w:r w:rsidR="00D94788">
        <w:t>.</w:t>
      </w:r>
      <w:r w:rsidR="00330CAC">
        <w:t xml:space="preserve"> </w:t>
      </w:r>
      <w:r w:rsidR="00330CAC" w:rsidRPr="00330CAC">
        <w:rPr>
          <w:vertAlign w:val="superscript"/>
        </w:rPr>
        <w:t>1, 2, 3</w:t>
      </w:r>
      <w:r w:rsidR="00330CAC">
        <w:t xml:space="preserve"> A study of Johnson et al.</w:t>
      </w:r>
      <w:r w:rsidR="00D94788" w:rsidRPr="00D94788">
        <w:rPr>
          <w:vertAlign w:val="superscript"/>
        </w:rPr>
        <w:t>4</w:t>
      </w:r>
      <w:r w:rsidR="001146E7" w:rsidRPr="00370B0E">
        <w:t xml:space="preserve"> found, that the average concentration of antibiotic in most European rivers does not exceed 10 ng L</w:t>
      </w:r>
      <w:r w:rsidR="001146E7" w:rsidRPr="00370B0E">
        <w:rPr>
          <w:vertAlign w:val="superscript"/>
        </w:rPr>
        <w:t>-1</w:t>
      </w:r>
      <w:r w:rsidR="00D94788">
        <w:t>.</w:t>
      </w:r>
      <w:r w:rsidR="001146E7" w:rsidRPr="00370B0E">
        <w:t xml:space="preserve"> Although without any direct toxic effects, such concentrations do promote a development of bacterial antibiotic resistance genes. </w:t>
      </w:r>
      <w:r w:rsidR="00801EE1">
        <w:t>R</w:t>
      </w:r>
      <w:r w:rsidR="001146E7" w:rsidRPr="00370B0E">
        <w:t xml:space="preserve">esistance was found </w:t>
      </w:r>
      <w:r w:rsidR="00801EE1">
        <w:t xml:space="preserve">most frequently </w:t>
      </w:r>
      <w:r w:rsidR="001146E7" w:rsidRPr="00370B0E">
        <w:t xml:space="preserve">against tetracyclines and sulfonamides, </w:t>
      </w:r>
      <w:r w:rsidR="00801EE1">
        <w:t xml:space="preserve">as nowadays </w:t>
      </w:r>
      <w:r w:rsidR="001146E7" w:rsidRPr="00370B0E">
        <w:t>we see more and more resistance against advanced generation antibiotics such as β-lactam</w:t>
      </w:r>
      <w:r w:rsidR="0054744E">
        <w:t>s</w:t>
      </w:r>
      <w:r w:rsidR="00D94788">
        <w:t>.</w:t>
      </w:r>
      <w:r w:rsidR="00330CAC" w:rsidRPr="00330CAC">
        <w:rPr>
          <w:vertAlign w:val="superscript"/>
        </w:rPr>
        <w:t>5</w:t>
      </w:r>
      <w:r w:rsidR="001146E7" w:rsidRPr="00370B0E">
        <w:t xml:space="preserve"> In order to control the distribution of antibiotics into the environment, use of proper antibiotic removal or deactivation techniques is mandatory. These should ensure that antimicrobial properties of the substance </w:t>
      </w:r>
      <w:r w:rsidR="0054744E">
        <w:t>are</w:t>
      </w:r>
      <w:r w:rsidR="001146E7" w:rsidRPr="00370B0E">
        <w:t xml:space="preserve"> removed. This </w:t>
      </w:r>
      <w:r w:rsidR="00801EE1">
        <w:t xml:space="preserve">not only </w:t>
      </w:r>
      <w:r w:rsidR="00801EE1" w:rsidRPr="00370B0E">
        <w:t>enables conventional biological treatment</w:t>
      </w:r>
      <w:r w:rsidR="00801EE1">
        <w:t>, but also</w:t>
      </w:r>
      <w:r w:rsidR="00801EE1" w:rsidRPr="00370B0E">
        <w:t xml:space="preserve"> </w:t>
      </w:r>
      <w:r w:rsidR="001146E7" w:rsidRPr="00370B0E">
        <w:t xml:space="preserve">limits antibiotic resistance development, </w:t>
      </w:r>
      <w:r w:rsidR="007B1BBC">
        <w:t>as</w:t>
      </w:r>
      <w:r w:rsidR="00801EE1">
        <w:t xml:space="preserve"> the molecules are released into the environment.</w:t>
      </w:r>
    </w:p>
    <w:p w14:paraId="1F280945" w14:textId="0EC41D3F" w:rsidR="001146E7" w:rsidRPr="00370B0E" w:rsidRDefault="00E31B20" w:rsidP="00C77F85">
      <w:pPr>
        <w:pStyle w:val="Abstract"/>
        <w:ind w:left="0"/>
      </w:pPr>
      <w:r>
        <w:t xml:space="preserve">Ozone </w:t>
      </w:r>
      <w:r w:rsidR="001146E7" w:rsidRPr="00370B0E">
        <w:t xml:space="preserve">is reacting with organic matter by direct reaction with dissolved ozone </w:t>
      </w:r>
      <w:r>
        <w:t>or</w:t>
      </w:r>
      <w:r w:rsidRPr="00370B0E">
        <w:t xml:space="preserve"> indirec</w:t>
      </w:r>
      <w:r>
        <w:t>tly</w:t>
      </w:r>
      <w:r w:rsidR="001146E7" w:rsidRPr="00370B0E">
        <w:t xml:space="preserve"> through hydroxyl radicals. Scope of both mechanisms and degradation rate of the organic matter depends on the properties of the matter itself, ozone dose and pH of the media. Under pH 4, direct reaction is prevailing, while above pH 9, indirect path of oxidation (hydroxyl radicals) is dominant</w:t>
      </w:r>
      <w:r w:rsidR="00D94788">
        <w:t>.</w:t>
      </w:r>
      <w:r w:rsidR="00330CAC">
        <w:t xml:space="preserve"> </w:t>
      </w:r>
      <w:r w:rsidR="00330CAC" w:rsidRPr="00330CAC">
        <w:rPr>
          <w:vertAlign w:val="superscript"/>
        </w:rPr>
        <w:t>6</w:t>
      </w:r>
      <w:r w:rsidR="001146E7" w:rsidRPr="00370B0E">
        <w:t xml:space="preserve"> Ozonation in general does not lead to full mineralization; therefore, combination with subsequent biological treatment may be appropriate</w:t>
      </w:r>
      <w:r w:rsidR="00D94788">
        <w:t>.</w:t>
      </w:r>
      <w:r w:rsidR="001146E7" w:rsidRPr="00370B0E">
        <w:t xml:space="preserve"> </w:t>
      </w:r>
      <w:r w:rsidR="00330CAC" w:rsidRPr="00330CAC">
        <w:rPr>
          <w:vertAlign w:val="superscript"/>
        </w:rPr>
        <w:t>7</w:t>
      </w:r>
      <w:r w:rsidR="001146E7" w:rsidRPr="00370B0E">
        <w:t xml:space="preserve"> It case of antibiotics it has been found that, e.g., erythromycin and ethyl-paraben can be removed by low doses of ozone within two minutes and even erythromycin and ethyl-paraben resistant bacteria (</w:t>
      </w:r>
      <w:r w:rsidR="001146E7" w:rsidRPr="00370B0E">
        <w:rPr>
          <w:i/>
        </w:rPr>
        <w:t>Escherichia coli)</w:t>
      </w:r>
      <w:r w:rsidR="001146E7" w:rsidRPr="00370B0E">
        <w:t xml:space="preserve"> were eliminated after 15 min of ozonation</w:t>
      </w:r>
      <w:r w:rsidR="00D94788">
        <w:t>.</w:t>
      </w:r>
      <w:r w:rsidR="001146E7" w:rsidRPr="00370B0E">
        <w:t xml:space="preserve"> </w:t>
      </w:r>
      <w:r w:rsidR="00330CAC" w:rsidRPr="00330CAC">
        <w:rPr>
          <w:vertAlign w:val="superscript"/>
        </w:rPr>
        <w:t>8</w:t>
      </w:r>
      <w:r w:rsidR="001146E7" w:rsidRPr="00370B0E">
        <w:t xml:space="preserve"> Antibiotics are susceptible to ozonation, as they carry one or more reactive functional groups in their molecular structure, such as amine nitrogen, sulfur, carbon-carbon double bond and the activated aromatic ring. During ozonation the molecule is partially decomposed as well as </w:t>
      </w:r>
      <w:r w:rsidR="00603573">
        <w:t xml:space="preserve">the </w:t>
      </w:r>
      <w:r w:rsidR="00603573" w:rsidRPr="00370B0E">
        <w:t>structure</w:t>
      </w:r>
      <w:r w:rsidR="001146E7" w:rsidRPr="00370B0E">
        <w:t xml:space="preserve"> of the key ozone-susceptible functional groups</w:t>
      </w:r>
      <w:r w:rsidR="00603573">
        <w:t xml:space="preserve"> is changed</w:t>
      </w:r>
      <w:r w:rsidR="001146E7" w:rsidRPr="00370B0E">
        <w:t xml:space="preserve">. This transforms a molecule into </w:t>
      </w:r>
      <w:r w:rsidR="007B1BBC">
        <w:t xml:space="preserve">pharmacologically </w:t>
      </w:r>
      <w:r w:rsidR="001146E7" w:rsidRPr="00370B0E">
        <w:t>inactive, biodegradable form. Identification and quantification of degradation by products arising from ozonation, as well as their environmental properties are a continuing topic of research</w:t>
      </w:r>
      <w:r w:rsidR="00D94788">
        <w:t>.</w:t>
      </w:r>
      <w:r w:rsidR="001146E7" w:rsidRPr="00370B0E">
        <w:t xml:space="preserve"> </w:t>
      </w:r>
      <w:r w:rsidR="00330CAC" w:rsidRPr="00330CAC">
        <w:rPr>
          <w:vertAlign w:val="superscript"/>
        </w:rPr>
        <w:t>9, 10</w:t>
      </w:r>
    </w:p>
    <w:p w14:paraId="5DF84F64" w14:textId="63C3E94D" w:rsidR="001146E7" w:rsidRPr="00370B0E" w:rsidRDefault="001146E7" w:rsidP="00C77F85">
      <w:pPr>
        <w:pStyle w:val="Abstract"/>
        <w:ind w:left="0"/>
      </w:pPr>
      <w:r w:rsidRPr="00370B0E">
        <w:t xml:space="preserve">Fenton </w:t>
      </w:r>
      <w:r w:rsidR="00603573">
        <w:t>oxidation</w:t>
      </w:r>
      <w:r w:rsidR="00603573" w:rsidRPr="00370B0E">
        <w:t xml:space="preserve"> </w:t>
      </w:r>
      <w:r w:rsidRPr="00370B0E">
        <w:t>is</w:t>
      </w:r>
      <w:r w:rsidR="00603573">
        <w:t xml:space="preserve"> a</w:t>
      </w:r>
      <w:r w:rsidRPr="00370B0E">
        <w:t xml:space="preserve"> </w:t>
      </w:r>
      <w:r w:rsidR="00603573" w:rsidRPr="00370B0E">
        <w:t>technique using free hydroxyl radicals</w:t>
      </w:r>
      <w:r w:rsidR="007B1BBC">
        <w:t xml:space="preserve"> as oxidant reagent</w:t>
      </w:r>
      <w:r w:rsidRPr="00370B0E">
        <w:t>. It is a mixture of hydrogen peroxide (oxidizing reagent) and Fe salt (catalyst), which oxidizes organic matter by means of hydroxyl radicals,</w:t>
      </w:r>
      <w:r w:rsidR="00110D8A">
        <w:t xml:space="preserve"> which are</w:t>
      </w:r>
      <w:r w:rsidRPr="00370B0E">
        <w:t xml:space="preserve"> powerful, non-selective oxidants. Reaction rate is determined by the rate of radical generation, which is controlled by a concentration of iron catalyst. Common molar ration Fe</w:t>
      </w:r>
      <w:r w:rsidRPr="00370B0E">
        <w:rPr>
          <w:vertAlign w:val="superscript"/>
        </w:rPr>
        <w:t>2+</w:t>
      </w:r>
      <w:r w:rsidRPr="00370B0E">
        <w:t xml:space="preserve"> : H</w:t>
      </w:r>
      <w:r w:rsidRPr="00370B0E">
        <w:rPr>
          <w:vertAlign w:val="subscript"/>
        </w:rPr>
        <w:t>2</w:t>
      </w:r>
      <w:r w:rsidRPr="00370B0E">
        <w:t>O</w:t>
      </w:r>
      <w:r w:rsidRPr="00370B0E">
        <w:rPr>
          <w:vertAlign w:val="subscript"/>
        </w:rPr>
        <w:t>2</w:t>
      </w:r>
      <w:r w:rsidRPr="00370B0E">
        <w:t xml:space="preserve"> is 1 : (5 – 10), although concentrations of Fe</w:t>
      </w:r>
      <w:r w:rsidRPr="00370B0E">
        <w:rPr>
          <w:vertAlign w:val="superscript"/>
        </w:rPr>
        <w:t>2+</w:t>
      </w:r>
      <w:r w:rsidRPr="00370B0E">
        <w:t xml:space="preserve"> below 25 – 50 mg L</w:t>
      </w:r>
      <w:r w:rsidRPr="00370B0E">
        <w:rPr>
          <w:vertAlign w:val="superscript"/>
        </w:rPr>
        <w:t>−1</w:t>
      </w:r>
      <w:r w:rsidRPr="00370B0E">
        <w:t xml:space="preserve"> may lead to disproportionally long reaction time (from 10 to 48 hours). The drawback of oxidation with Fenton process is that it generates waste ferric sludge, which requires further disposal, as well as treated pollutants or by-products of the process at higher concentr</w:t>
      </w:r>
      <w:r w:rsidR="00330CAC">
        <w:t>ations may adsorb to the sludge</w:t>
      </w:r>
      <w:r w:rsidR="00330CAC" w:rsidRPr="00330CAC">
        <w:rPr>
          <w:bCs/>
          <w:vertAlign w:val="superscript"/>
          <w:lang w:val="sl-SI"/>
        </w:rPr>
        <w:t>6</w:t>
      </w:r>
      <w:r w:rsidRPr="00370B0E">
        <w:t>. A few studies have demonstrated high effectiveness of Fenton process in treating wastewaters from antibiotics formulation (cefuroxime axetil, ceftriaxone, sulfisoxazole</w:t>
      </w:r>
      <w:r w:rsidR="00110D8A">
        <w:t>)</w:t>
      </w:r>
      <w:r w:rsidRPr="00370B0E">
        <w:t>, with COD as high as 1,000 mg L</w:t>
      </w:r>
      <w:r w:rsidRPr="00370B0E">
        <w:rPr>
          <w:vertAlign w:val="superscript"/>
        </w:rPr>
        <w:t>-1</w:t>
      </w:r>
      <w:r w:rsidRPr="00370B0E">
        <w:t xml:space="preserve"> as well as treatment of wastewater with single antibiotic (norfloxacin), reaching mineralization rate of 55% in 60 min</w:t>
      </w:r>
      <w:r w:rsidR="00D94788">
        <w:t>.</w:t>
      </w:r>
      <w:r w:rsidRPr="00370B0E">
        <w:t xml:space="preserve"> </w:t>
      </w:r>
      <w:r w:rsidR="00330CAC" w:rsidRPr="00330CAC">
        <w:rPr>
          <w:vertAlign w:val="superscript"/>
        </w:rPr>
        <w:t>11</w:t>
      </w:r>
    </w:p>
    <w:p w14:paraId="24592C4E" w14:textId="2731F486" w:rsidR="00D94788" w:rsidRPr="00D94788" w:rsidRDefault="001146E7" w:rsidP="00D94788">
      <w:pPr>
        <w:pStyle w:val="Abstract"/>
        <w:ind w:left="0"/>
      </w:pPr>
      <w:r w:rsidRPr="00370B0E">
        <w:t xml:space="preserve">The aim of our study was to evaluate and compare effectiveness of direct ozonation and Fenton process generating non-selective hydroxyl radicals for oxidation of selected antibiotics </w:t>
      </w:r>
      <w:r w:rsidR="00110D8A">
        <w:t xml:space="preserve">dissolved in water, </w:t>
      </w:r>
      <w:r w:rsidRPr="00370B0E">
        <w:t xml:space="preserve">leading to increased biodegradability. Selected antibiotics in the study were from three different groups; i) tiamulin (TML), diterpene, veterinary antibiotic, </w:t>
      </w:r>
      <w:r w:rsidR="00FB4EB5" w:rsidRPr="00370B0E">
        <w:t>poorly biodegradable</w:t>
      </w:r>
      <w:r w:rsidRPr="00370B0E">
        <w:t>; ii) amoxicillin (AMX), β-lactam, biodegradable; and iii) levofloxacin (LFX), fluoroquinolone, non-biodegradable.</w:t>
      </w:r>
      <w:r w:rsidR="00360AB0" w:rsidRPr="00370B0E" w:rsidDel="00360AB0">
        <w:t xml:space="preserve"> </w:t>
      </w:r>
      <w:r w:rsidR="00DC0C5F">
        <w:t>This study has</w:t>
      </w:r>
      <w:r w:rsidR="009A7A56" w:rsidRPr="009A7A56">
        <w:t xml:space="preserve"> generat</w:t>
      </w:r>
      <w:r w:rsidR="00DC0C5F">
        <w:t>ed</w:t>
      </w:r>
      <w:r w:rsidR="009A7A56" w:rsidRPr="009A7A56">
        <w:t xml:space="preserve"> new data regarding behaviour of the antibiotics during different AOPs</w:t>
      </w:r>
      <w:r w:rsidR="00DC0C5F">
        <w:t>, evaluated through</w:t>
      </w:r>
      <w:r w:rsidR="009A7A56" w:rsidRPr="009A7A56">
        <w:t xml:space="preserve"> </w:t>
      </w:r>
      <w:r w:rsidR="008F4C36">
        <w:t>biodegradability and process kinetics</w:t>
      </w:r>
      <w:r w:rsidR="009A7A56" w:rsidRPr="009A7A56">
        <w:t xml:space="preserve">. </w:t>
      </w:r>
      <w:r w:rsidR="008F4C36">
        <w:t xml:space="preserve">This </w:t>
      </w:r>
      <w:r w:rsidR="009A7A56" w:rsidRPr="009A7A56">
        <w:t xml:space="preserve">should </w:t>
      </w:r>
      <w:r w:rsidR="008F4C36">
        <w:t>support</w:t>
      </w:r>
      <w:r w:rsidR="009A7A56" w:rsidRPr="009A7A56">
        <w:t xml:space="preserve"> </w:t>
      </w:r>
      <w:r w:rsidR="00FB4EB5">
        <w:t>both</w:t>
      </w:r>
      <w:r w:rsidR="008F4C36">
        <w:t xml:space="preserve"> development of a treatment process that delivers an optimum effectiveness in terms of cost and </w:t>
      </w:r>
      <w:r w:rsidR="00FB4EB5">
        <w:t>long-term</w:t>
      </w:r>
      <w:r w:rsidR="008F4C36">
        <w:t xml:space="preserve"> environment impact mitigation</w:t>
      </w:r>
      <w:r w:rsidR="009A7A56" w:rsidRPr="009A7A56">
        <w:t>.</w:t>
      </w:r>
    </w:p>
    <w:p w14:paraId="5E393556" w14:textId="26FCBEAC" w:rsidR="001146E7" w:rsidRPr="001146E7" w:rsidRDefault="00BE320B" w:rsidP="00C77F85">
      <w:pPr>
        <w:pStyle w:val="Paragraph"/>
        <w:numPr>
          <w:ilvl w:val="0"/>
          <w:numId w:val="31"/>
        </w:numPr>
        <w:rPr>
          <w:rFonts w:cs="Arial"/>
          <w:b/>
          <w:bCs/>
          <w:kern w:val="32"/>
          <w:szCs w:val="32"/>
        </w:rPr>
      </w:pPr>
      <w:r>
        <w:rPr>
          <w:rFonts w:cs="Arial"/>
          <w:b/>
          <w:bCs/>
          <w:kern w:val="32"/>
          <w:szCs w:val="32"/>
        </w:rPr>
        <w:t>Materials and Methods</w:t>
      </w:r>
    </w:p>
    <w:p w14:paraId="63D25959" w14:textId="56C5BC9B" w:rsidR="00FD7A38" w:rsidRDefault="00BE320B" w:rsidP="00C77F85">
      <w:pPr>
        <w:pStyle w:val="Abstract"/>
        <w:ind w:left="0"/>
      </w:pPr>
      <w:r w:rsidRPr="00BE320B">
        <w:t xml:space="preserve">Lab scale ozonation of </w:t>
      </w:r>
      <w:r w:rsidR="00110D8A" w:rsidRPr="00BE320B">
        <w:t>water</w:t>
      </w:r>
      <w:r w:rsidR="00110D8A">
        <w:t>,</w:t>
      </w:r>
      <w:r w:rsidR="00110D8A" w:rsidRPr="00BE320B">
        <w:t xml:space="preserve"> contaminated </w:t>
      </w:r>
      <w:r w:rsidR="00110D8A">
        <w:t>with</w:t>
      </w:r>
      <w:r w:rsidR="00110D8A" w:rsidRPr="00BE320B">
        <w:t xml:space="preserve"> </w:t>
      </w:r>
      <w:r w:rsidRPr="00BE320B">
        <w:t>antibiotic</w:t>
      </w:r>
      <w:r w:rsidR="000C37A4">
        <w:t xml:space="preserve"> </w:t>
      </w:r>
      <w:r w:rsidRPr="00BE320B">
        <w:t xml:space="preserve">was </w:t>
      </w:r>
      <w:r w:rsidR="001571E1">
        <w:t>conducted</w:t>
      </w:r>
      <w:r w:rsidR="000C37A4" w:rsidRPr="00BE320B">
        <w:t xml:space="preserve"> </w:t>
      </w:r>
      <w:r w:rsidR="001571E1">
        <w:t>in a</w:t>
      </w:r>
      <w:r w:rsidRPr="00BE320B">
        <w:t xml:space="preserve"> continuous </w:t>
      </w:r>
      <w:r w:rsidR="001571E1">
        <w:t xml:space="preserve">mode </w:t>
      </w:r>
      <w:r w:rsidRPr="00BE320B">
        <w:t xml:space="preserve">with water circulation, while Fenton oxidation experiments were </w:t>
      </w:r>
      <w:r w:rsidR="001571E1">
        <w:t>conducted</w:t>
      </w:r>
      <w:r w:rsidR="001571E1" w:rsidRPr="00BE320B">
        <w:t xml:space="preserve"> </w:t>
      </w:r>
      <w:r w:rsidRPr="00BE320B">
        <w:t xml:space="preserve">in a conventional homogenous batch mode, with hydrogen peroxide and Fe(II)sulfate as a catalyst. The effectiveness of the methods applied was evaluated by measuring a change of Chemical Oxygen Demand (COD), Total Organic Carbon (TOC) and aerobic biodegradability. Antibiotics belonging to three different groups were used in the experiments, all containing several functional groups in their structure (amine nitrogen, sulfur, carbon-carbon double bond, activated aromatic ring), which are susceptible to direct reactions with ozone, as presented in </w:t>
      </w:r>
      <w:r w:rsidR="00EF249A">
        <w:t>Table</w:t>
      </w:r>
      <w:r w:rsidR="00EF249A" w:rsidRPr="00BE320B">
        <w:t xml:space="preserve"> </w:t>
      </w:r>
      <w:r w:rsidRPr="00BE320B">
        <w:t xml:space="preserve">1. </w:t>
      </w:r>
    </w:p>
    <w:p w14:paraId="75A03B3D" w14:textId="2C196D29" w:rsidR="00FD7A38" w:rsidRDefault="000465AB" w:rsidP="0028390B">
      <w:pPr>
        <w:pStyle w:val="Displayedquotation"/>
        <w:jc w:val="both"/>
        <w:rPr>
          <w:lang w:val="en-US"/>
        </w:rPr>
      </w:pPr>
      <w:r>
        <w:rPr>
          <w:noProof/>
          <w:lang w:val="en-US" w:eastAsia="en-US"/>
        </w:rPr>
        <mc:AlternateContent>
          <mc:Choice Requires="wps">
            <w:drawing>
              <wp:anchor distT="0" distB="0" distL="114300" distR="114300" simplePos="0" relativeHeight="251658240" behindDoc="0" locked="0" layoutInCell="1" allowOverlap="1" wp14:anchorId="5A9F3464" wp14:editId="46D9CB32">
                <wp:simplePos x="0" y="0"/>
                <wp:positionH relativeFrom="column">
                  <wp:posOffset>230505</wp:posOffset>
                </wp:positionH>
                <wp:positionV relativeFrom="paragraph">
                  <wp:posOffset>2413635</wp:posOffset>
                </wp:positionV>
                <wp:extent cx="4556760" cy="635"/>
                <wp:effectExtent l="0" t="0" r="0" b="8890"/>
                <wp:wrapTopAndBottom/>
                <wp:docPr id="1" name="Text Box 1"/>
                <wp:cNvGraphicFramePr/>
                <a:graphic xmlns:a="http://schemas.openxmlformats.org/drawingml/2006/main">
                  <a:graphicData uri="http://schemas.microsoft.com/office/word/2010/wordprocessingShape">
                    <wps:wsp>
                      <wps:cNvSpPr txBox="1"/>
                      <wps:spPr>
                        <a:xfrm>
                          <a:off x="0" y="0"/>
                          <a:ext cx="4556760" cy="635"/>
                        </a:xfrm>
                        <a:prstGeom prst="rect">
                          <a:avLst/>
                        </a:prstGeom>
                        <a:solidFill>
                          <a:prstClr val="white"/>
                        </a:solidFill>
                        <a:ln>
                          <a:noFill/>
                        </a:ln>
                      </wps:spPr>
                      <wps:txbx>
                        <w:txbxContent>
                          <w:p w14:paraId="4A9DD959" w14:textId="225A7B30" w:rsidR="00AB6476" w:rsidRPr="003B0A74" w:rsidRDefault="00AB6476" w:rsidP="0028390B">
                            <w:pPr>
                              <w:pStyle w:val="Caption"/>
                              <w:rPr>
                                <w:color w:val="000000" w:themeColor="text1"/>
                                <w:sz w:val="22"/>
                                <w:szCs w:val="24"/>
                              </w:rPr>
                            </w:pPr>
                            <w:r w:rsidRPr="003B0A74">
                              <w:rPr>
                                <w:color w:val="000000" w:themeColor="text1"/>
                                <w:sz w:val="22"/>
                              </w:rPr>
                              <w:t xml:space="preserve">Table </w:t>
                            </w:r>
                            <w:r w:rsidRPr="003B0A74">
                              <w:rPr>
                                <w:color w:val="000000" w:themeColor="text1"/>
                                <w:sz w:val="22"/>
                              </w:rPr>
                              <w:fldChar w:fldCharType="begin"/>
                            </w:r>
                            <w:r w:rsidRPr="003B0A74">
                              <w:rPr>
                                <w:color w:val="000000" w:themeColor="text1"/>
                                <w:sz w:val="22"/>
                              </w:rPr>
                              <w:instrText xml:space="preserve"> SEQ Figure \* ARABIC </w:instrText>
                            </w:r>
                            <w:r w:rsidRPr="003B0A74">
                              <w:rPr>
                                <w:color w:val="000000" w:themeColor="text1"/>
                                <w:sz w:val="22"/>
                              </w:rPr>
                              <w:fldChar w:fldCharType="separate"/>
                            </w:r>
                            <w:r w:rsidR="00030D41">
                              <w:rPr>
                                <w:noProof/>
                                <w:color w:val="000000" w:themeColor="text1"/>
                                <w:sz w:val="22"/>
                              </w:rPr>
                              <w:t>1</w:t>
                            </w:r>
                            <w:r w:rsidRPr="003B0A74">
                              <w:rPr>
                                <w:color w:val="000000" w:themeColor="text1"/>
                                <w:sz w:val="22"/>
                              </w:rPr>
                              <w:fldChar w:fldCharType="end"/>
                            </w:r>
                            <w:r w:rsidRPr="003B0A74">
                              <w:rPr>
                                <w:color w:val="000000" w:themeColor="text1"/>
                                <w:sz w:val="22"/>
                              </w:rPr>
                              <w:t>: Molecular structure of antibiotics and proposed attack points of ozone in direct ozonation reaction</w:t>
                            </w:r>
                            <w:r>
                              <w:rPr>
                                <w:color w:val="000000" w:themeColor="text1"/>
                                <w:sz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9F3464" id="_x0000_t202" coordsize="21600,21600" o:spt="202" path="m,l,21600r21600,l21600,xe">
                <v:stroke joinstyle="miter"/>
                <v:path gradientshapeok="t" o:connecttype="rect"/>
              </v:shapetype>
              <v:shape id="Text Box 1" o:spid="_x0000_s1026" type="#_x0000_t202" style="position:absolute;left:0;text-align:left;margin-left:18.15pt;margin-top:190.05pt;width:358.8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" stroked="f">
                <v:textbox style="mso-fit-shape-to-text:t" inset="0,0,0,0">
                  <w:txbxContent>
                    <w:p w14:paraId="4A9DD959" w14:textId="225A7B30" w:rsidR="00AB6476" w:rsidRPr="003B0A74" w:rsidRDefault="00AB6476" w:rsidP="0028390B">
                      <w:pPr>
                        <w:pStyle w:val="Caption"/>
                        <w:rPr>
                          <w:color w:val="000000" w:themeColor="text1"/>
                          <w:sz w:val="22"/>
                          <w:szCs w:val="24"/>
                        </w:rPr>
                      </w:pPr>
                      <w:r w:rsidRPr="003B0A74">
                        <w:rPr>
                          <w:color w:val="000000" w:themeColor="text1"/>
                          <w:sz w:val="22"/>
                        </w:rPr>
                        <w:t xml:space="preserve">Table </w:t>
                      </w:r>
                      <w:r w:rsidRPr="003B0A74">
                        <w:rPr>
                          <w:color w:val="000000" w:themeColor="text1"/>
                          <w:sz w:val="22"/>
                        </w:rPr>
                        <w:fldChar w:fldCharType="begin"/>
                      </w:r>
                      <w:r w:rsidRPr="003B0A74">
                        <w:rPr>
                          <w:color w:val="000000" w:themeColor="text1"/>
                          <w:sz w:val="22"/>
                        </w:rPr>
                        <w:instrText xml:space="preserve"> SEQ Figure \* ARABIC </w:instrText>
                      </w:r>
                      <w:r w:rsidRPr="003B0A74">
                        <w:rPr>
                          <w:color w:val="000000" w:themeColor="text1"/>
                          <w:sz w:val="22"/>
                        </w:rPr>
                        <w:fldChar w:fldCharType="separate"/>
                      </w:r>
                      <w:r w:rsidR="00030D41">
                        <w:rPr>
                          <w:noProof/>
                          <w:color w:val="000000" w:themeColor="text1"/>
                          <w:sz w:val="22"/>
                        </w:rPr>
                        <w:t>1</w:t>
                      </w:r>
                      <w:r w:rsidRPr="003B0A74">
                        <w:rPr>
                          <w:color w:val="000000" w:themeColor="text1"/>
                          <w:sz w:val="22"/>
                        </w:rPr>
                        <w:fldChar w:fldCharType="end"/>
                      </w:r>
                      <w:r w:rsidRPr="003B0A74">
                        <w:rPr>
                          <w:color w:val="000000" w:themeColor="text1"/>
                          <w:sz w:val="22"/>
                        </w:rPr>
                        <w:t>: Molecular structure of antibiotics and proposed attack points of ozone in direct ozonation reaction</w:t>
                      </w:r>
                      <w:r>
                        <w:rPr>
                          <w:color w:val="000000" w:themeColor="text1"/>
                          <w:sz w:val="22"/>
                        </w:rPr>
                        <w:t>.</w:t>
                      </w:r>
                    </w:p>
                  </w:txbxContent>
                </v:textbox>
                <w10:wrap type="topAndBottom"/>
              </v:shape>
            </w:pict>
          </mc:Fallback>
        </mc:AlternateContent>
      </w:r>
      <w:r w:rsidRPr="00BE320B">
        <w:rPr>
          <w:noProof/>
          <w:lang w:val="en-US" w:eastAsia="en-US"/>
        </w:rPr>
        <w:drawing>
          <wp:inline distT="0" distB="0" distL="0" distR="0" wp14:anchorId="566EAF84" wp14:editId="6F5050D0">
            <wp:extent cx="4171950" cy="2221002"/>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5456" cy="2238839"/>
                    </a:xfrm>
                    <a:prstGeom prst="rect">
                      <a:avLst/>
                    </a:prstGeom>
                    <a:noFill/>
                  </pic:spPr>
                </pic:pic>
              </a:graphicData>
            </a:graphic>
          </wp:inline>
        </w:drawing>
      </w:r>
    </w:p>
    <w:p w14:paraId="299A97A1" w14:textId="77777777" w:rsidR="000465AB" w:rsidRDefault="000465AB" w:rsidP="00C77F85">
      <w:pPr>
        <w:pStyle w:val="Abstract"/>
        <w:ind w:left="0"/>
      </w:pPr>
    </w:p>
    <w:p w14:paraId="56369B4D" w14:textId="3E8ABA74" w:rsidR="001146E7" w:rsidRDefault="00BE320B" w:rsidP="00C77F85">
      <w:pPr>
        <w:pStyle w:val="Abstract"/>
        <w:ind w:left="0"/>
      </w:pPr>
      <w:r w:rsidRPr="00BE320B">
        <w:t>These groups</w:t>
      </w:r>
      <w:r w:rsidR="0044754A">
        <w:t>, marked in Table 1,</w:t>
      </w:r>
      <w:r w:rsidRPr="00BE320B">
        <w:t xml:space="preserve"> are susceptible to a reaction with hydroxyl radicals as well</w:t>
      </w:r>
      <w:r w:rsidR="00D94788">
        <w:t>.</w:t>
      </w:r>
      <w:r w:rsidR="00330CAC" w:rsidRPr="00330CAC">
        <w:rPr>
          <w:vertAlign w:val="superscript"/>
        </w:rPr>
        <w:t>12</w:t>
      </w:r>
      <w:r w:rsidR="007522DC">
        <w:t xml:space="preserve"> </w:t>
      </w:r>
      <w:r w:rsidRPr="00BE320B">
        <w:t>Experiments were performed using 400 and 100 mg L</w:t>
      </w:r>
      <w:r w:rsidRPr="00BE320B">
        <w:rPr>
          <w:vertAlign w:val="superscript"/>
        </w:rPr>
        <w:t>-1</w:t>
      </w:r>
      <w:r w:rsidRPr="00BE320B">
        <w:t xml:space="preserve"> solutions of antibiotics in demineralized water. pH of the solutions w</w:t>
      </w:r>
      <w:r w:rsidR="0044754A">
        <w:t>as</w:t>
      </w:r>
      <w:r w:rsidRPr="00BE320B">
        <w:t xml:space="preserve"> in the case of TML 6.0 ± 0.1</w:t>
      </w:r>
      <w:r w:rsidR="0044754A">
        <w:t xml:space="preserve">, and for </w:t>
      </w:r>
      <w:r w:rsidRPr="00BE320B">
        <w:t xml:space="preserve"> AMX and LFX 7.0 ± 0.1</w:t>
      </w:r>
      <w:r w:rsidR="0044754A">
        <w:t>,</w:t>
      </w:r>
      <w:r w:rsidRPr="00BE320B">
        <w:t xml:space="preserve"> at the ambient temperature of 22 ± 2 ⁰C. In this case, the prevailing reaction route was assumed </w:t>
      </w:r>
      <w:r w:rsidR="007522DC" w:rsidRPr="00BE320B">
        <w:t>a</w:t>
      </w:r>
      <w:r w:rsidRPr="00BE320B">
        <w:t xml:space="preserve"> direct reaction with ozone. Before or during the ozonation, no pH adjustment was done</w:t>
      </w:r>
      <w:r w:rsidR="00F05A28">
        <w:t>.</w:t>
      </w:r>
    </w:p>
    <w:p w14:paraId="4889BD27" w14:textId="77777777" w:rsidR="00C77F85" w:rsidRPr="00C77F85" w:rsidRDefault="00C77F85" w:rsidP="00C77F85">
      <w:pPr>
        <w:pStyle w:val="ListParagraph"/>
        <w:keepNext/>
        <w:numPr>
          <w:ilvl w:val="0"/>
          <w:numId w:val="32"/>
        </w:numPr>
        <w:spacing w:before="360" w:after="60" w:line="360" w:lineRule="auto"/>
        <w:ind w:right="567"/>
        <w:outlineLvl w:val="1"/>
        <w:rPr>
          <w:rFonts w:cs="Arial"/>
          <w:b/>
          <w:bCs/>
          <w:i/>
          <w:iCs/>
          <w:vanish/>
          <w:szCs w:val="28"/>
        </w:rPr>
      </w:pPr>
    </w:p>
    <w:p w14:paraId="5D4020ED" w14:textId="77777777" w:rsidR="00C77F85" w:rsidRPr="00C77F85" w:rsidRDefault="00C77F85" w:rsidP="00C77F85">
      <w:pPr>
        <w:pStyle w:val="ListParagraph"/>
        <w:keepNext/>
        <w:numPr>
          <w:ilvl w:val="0"/>
          <w:numId w:val="32"/>
        </w:numPr>
        <w:spacing w:before="360" w:after="60" w:line="360" w:lineRule="auto"/>
        <w:ind w:right="567"/>
        <w:outlineLvl w:val="1"/>
        <w:rPr>
          <w:rFonts w:cs="Arial"/>
          <w:b/>
          <w:bCs/>
          <w:i/>
          <w:iCs/>
          <w:vanish/>
          <w:szCs w:val="28"/>
        </w:rPr>
      </w:pPr>
    </w:p>
    <w:p w14:paraId="25384CFC" w14:textId="672A4FB1" w:rsidR="00FF6CE8" w:rsidRDefault="0028390B" w:rsidP="00C77F85">
      <w:pPr>
        <w:pStyle w:val="Heading2"/>
        <w:numPr>
          <w:ilvl w:val="1"/>
          <w:numId w:val="32"/>
        </w:numPr>
      </w:pPr>
      <w:r>
        <w:t>Ozonation</w:t>
      </w:r>
    </w:p>
    <w:p w14:paraId="31FB7489" w14:textId="0828F3C6" w:rsidR="0028390B" w:rsidRDefault="000465AB" w:rsidP="003B0A74">
      <w:pPr>
        <w:pStyle w:val="Paragraph"/>
        <w:spacing w:line="360" w:lineRule="auto"/>
        <w:ind w:left="720"/>
        <w:rPr>
          <w:sz w:val="22"/>
          <w:lang w:val="en-US"/>
        </w:rPr>
      </w:pPr>
      <w:r>
        <w:rPr>
          <w:noProof/>
          <w:lang w:val="en-US" w:eastAsia="en-US"/>
        </w:rPr>
        <mc:AlternateContent>
          <mc:Choice Requires="wps">
            <w:drawing>
              <wp:anchor distT="0" distB="0" distL="114300" distR="114300" simplePos="0" relativeHeight="251658242" behindDoc="0" locked="0" layoutInCell="1" allowOverlap="1" wp14:anchorId="1F428869" wp14:editId="6826F2FC">
                <wp:simplePos x="0" y="0"/>
                <wp:positionH relativeFrom="margin">
                  <wp:posOffset>1301115</wp:posOffset>
                </wp:positionH>
                <wp:positionV relativeFrom="paragraph">
                  <wp:posOffset>3124835</wp:posOffset>
                </wp:positionV>
                <wp:extent cx="242316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2423160" cy="635"/>
                        </a:xfrm>
                        <a:prstGeom prst="rect">
                          <a:avLst/>
                        </a:prstGeom>
                        <a:solidFill>
                          <a:prstClr val="white"/>
                        </a:solidFill>
                        <a:ln>
                          <a:noFill/>
                        </a:ln>
                      </wps:spPr>
                      <wps:txbx>
                        <w:txbxContent>
                          <w:p w14:paraId="0F44D503" w14:textId="1F7257FB" w:rsidR="00AB6476" w:rsidRPr="003B0A74" w:rsidRDefault="00AB6476" w:rsidP="0028390B">
                            <w:pPr>
                              <w:pStyle w:val="Caption"/>
                              <w:rPr>
                                <w:b/>
                                <w:noProof/>
                                <w:sz w:val="32"/>
                                <w:szCs w:val="24"/>
                              </w:rPr>
                            </w:pPr>
                            <w:r w:rsidRPr="003B0A74">
                              <w:rPr>
                                <w:sz w:val="22"/>
                              </w:rPr>
                              <w:t>F</w:t>
                            </w:r>
                            <w:r w:rsidRPr="003B0A74">
                              <w:rPr>
                                <w:color w:val="000000" w:themeColor="text1"/>
                                <w:sz w:val="22"/>
                              </w:rPr>
                              <w:t>igure 1: Bench-scale ozonation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428869" id="Text Box 2" o:spid="_x0000_s1027" type="#_x0000_t202" style="position:absolute;left:0;text-align:left;margin-left:102.45pt;margin-top:246.05pt;width:190.8pt;height:.0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" stroked="f">
                <v:textbox style="mso-fit-shape-to-text:t" inset="0,0,0,0">
                  <w:txbxContent>
                    <w:p w14:paraId="0F44D503" w14:textId="1F7257FB" w:rsidR="00AB6476" w:rsidRPr="003B0A74" w:rsidRDefault="00AB6476" w:rsidP="0028390B">
                      <w:pPr>
                        <w:pStyle w:val="Caption"/>
                        <w:rPr>
                          <w:b/>
                          <w:noProof/>
                          <w:sz w:val="32"/>
                          <w:szCs w:val="24"/>
                        </w:rPr>
                      </w:pPr>
                      <w:r w:rsidRPr="003B0A74">
                        <w:rPr>
                          <w:sz w:val="22"/>
                        </w:rPr>
                        <w:t>F</w:t>
                      </w:r>
                      <w:r w:rsidRPr="003B0A74">
                        <w:rPr>
                          <w:color w:val="000000" w:themeColor="text1"/>
                          <w:sz w:val="22"/>
                        </w:rPr>
                        <w:t>igure 1: Bench-scale ozonation system</w:t>
                      </w:r>
                    </w:p>
                  </w:txbxContent>
                </v:textbox>
                <w10:wrap type="topAndBottom" anchorx="margin"/>
              </v:shape>
            </w:pict>
          </mc:Fallback>
        </mc:AlternateContent>
      </w:r>
      <w:r>
        <w:rPr>
          <w:b/>
          <w:noProof/>
          <w:lang w:val="en-US" w:eastAsia="en-US"/>
        </w:rPr>
        <w:drawing>
          <wp:anchor distT="0" distB="0" distL="114300" distR="114300" simplePos="0" relativeHeight="251658241" behindDoc="0" locked="0" layoutInCell="1" allowOverlap="1" wp14:anchorId="325F4C38" wp14:editId="63347A86">
            <wp:simplePos x="0" y="0"/>
            <wp:positionH relativeFrom="margin">
              <wp:posOffset>1624965</wp:posOffset>
            </wp:positionH>
            <wp:positionV relativeFrom="paragraph">
              <wp:posOffset>694055</wp:posOffset>
            </wp:positionV>
            <wp:extent cx="1708150" cy="225171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8150" cy="2251710"/>
                    </a:xfrm>
                    <a:prstGeom prst="rect">
                      <a:avLst/>
                    </a:prstGeom>
                    <a:noFill/>
                  </pic:spPr>
                </pic:pic>
              </a:graphicData>
            </a:graphic>
            <wp14:sizeRelH relativeFrom="page">
              <wp14:pctWidth>0</wp14:pctWidth>
            </wp14:sizeRelH>
            <wp14:sizeRelV relativeFrom="page">
              <wp14:pctHeight>0</wp14:pctHeight>
            </wp14:sizeRelV>
          </wp:anchor>
        </w:drawing>
      </w:r>
      <w:r w:rsidR="0028390B" w:rsidRPr="0028390B">
        <w:rPr>
          <w:sz w:val="22"/>
          <w:lang w:val="en-US"/>
        </w:rPr>
        <w:t>In the experimental set-up, ozone was purged through a glass column (3,500 mL</w:t>
      </w:r>
      <w:r w:rsidR="001A42AF">
        <w:rPr>
          <w:sz w:val="22"/>
          <w:lang w:val="en-US"/>
        </w:rPr>
        <w:t>, diameter 12 cm, height 50 cm)</w:t>
      </w:r>
      <w:r w:rsidR="0044754A">
        <w:rPr>
          <w:sz w:val="22"/>
          <w:lang w:val="en-US"/>
        </w:rPr>
        <w:t>, as shown in</w:t>
      </w:r>
      <w:r w:rsidR="0028390B" w:rsidRPr="0028390B">
        <w:rPr>
          <w:sz w:val="22"/>
          <w:lang w:val="en-US"/>
        </w:rPr>
        <w:t xml:space="preserve"> Figure </w:t>
      </w:r>
      <w:r w:rsidR="00EF249A">
        <w:rPr>
          <w:sz w:val="22"/>
          <w:lang w:val="en-US"/>
        </w:rPr>
        <w:t>1</w:t>
      </w:r>
      <w:r w:rsidR="0028390B" w:rsidRPr="0028390B">
        <w:rPr>
          <w:sz w:val="22"/>
          <w:lang w:val="en-US"/>
        </w:rPr>
        <w:t xml:space="preserve">. </w:t>
      </w:r>
    </w:p>
    <w:p w14:paraId="4AF83AC6" w14:textId="4178B224" w:rsidR="0028390B" w:rsidRPr="0028390B" w:rsidRDefault="0028390B" w:rsidP="0028390B">
      <w:pPr>
        <w:pStyle w:val="Newparagraph"/>
        <w:rPr>
          <w:lang w:val="en-US"/>
        </w:rPr>
      </w:pPr>
    </w:p>
    <w:p w14:paraId="29062BDA" w14:textId="58EFD4C5" w:rsidR="0028390B" w:rsidRDefault="0028390B" w:rsidP="00C77F85">
      <w:pPr>
        <w:pStyle w:val="Abstract"/>
        <w:ind w:left="0"/>
        <w:rPr>
          <w:szCs w:val="22"/>
        </w:rPr>
      </w:pPr>
      <w:r w:rsidRPr="0028390B">
        <w:t>Water solution of antibiotic was circulated in a counter-current mode with respect to ozone bubble path, in a closed loop including a reservoir with a flow of 1 mL s</w:t>
      </w:r>
      <w:r w:rsidRPr="003B0A74">
        <w:rPr>
          <w:vertAlign w:val="superscript"/>
        </w:rPr>
        <w:t>-1</w:t>
      </w:r>
      <w:r w:rsidRPr="0028390B">
        <w:t xml:space="preserve"> at </w:t>
      </w:r>
      <w:r w:rsidR="00F05A28">
        <w:t>ambient</w:t>
      </w:r>
      <w:r w:rsidR="00F05A28" w:rsidRPr="0028390B">
        <w:t xml:space="preserve"> </w:t>
      </w:r>
      <w:r w:rsidRPr="0028390B">
        <w:t>temperature (22 ± 2⁰ C). The operating pressure of the ozone generator</w:t>
      </w:r>
      <w:r w:rsidR="007743F3">
        <w:t xml:space="preserve"> (Xylem Water Solutions, Herford GmbH, Germany, 2012)</w:t>
      </w:r>
      <w:r w:rsidRPr="0028390B">
        <w:t xml:space="preserve"> was 0.5 bar, the gas flow of 0.05 m</w:t>
      </w:r>
      <w:r w:rsidRPr="003B0A74">
        <w:rPr>
          <w:vertAlign w:val="superscript"/>
        </w:rPr>
        <w:t>3</w:t>
      </w:r>
      <w:r w:rsidRPr="0028390B">
        <w:t xml:space="preserve"> h</w:t>
      </w:r>
      <w:r w:rsidRPr="003B0A74">
        <w:rPr>
          <w:vertAlign w:val="superscript"/>
        </w:rPr>
        <w:t>-1</w:t>
      </w:r>
      <w:r w:rsidRPr="0028390B">
        <w:t xml:space="preserve">, </w:t>
      </w:r>
      <w:r w:rsidRPr="007B73A8">
        <w:rPr>
          <w:szCs w:val="22"/>
        </w:rPr>
        <w:t>and the capacity of the system was 7 g h</w:t>
      </w:r>
      <w:r w:rsidRPr="003B0A74">
        <w:rPr>
          <w:szCs w:val="22"/>
          <w:vertAlign w:val="superscript"/>
        </w:rPr>
        <w:t>-1</w:t>
      </w:r>
      <w:r w:rsidRPr="007B73A8">
        <w:rPr>
          <w:szCs w:val="22"/>
        </w:rPr>
        <w:t xml:space="preserve">. The nominal concentration of ozone in the gas phase was 140 g </w:t>
      </w:r>
      <w:r w:rsidRPr="00FD3169">
        <w:rPr>
          <w:szCs w:val="22"/>
        </w:rPr>
        <w:t>m</w:t>
      </w:r>
      <w:r w:rsidRPr="003B0A74">
        <w:rPr>
          <w:szCs w:val="22"/>
          <w:vertAlign w:val="superscript"/>
        </w:rPr>
        <w:t>-3</w:t>
      </w:r>
      <w:r w:rsidR="00FF4565" w:rsidRPr="00FD3169">
        <w:rPr>
          <w:szCs w:val="22"/>
        </w:rPr>
        <w:t xml:space="preserve"> (NTP).</w:t>
      </w:r>
      <w:r w:rsidRPr="00FD3169">
        <w:rPr>
          <w:szCs w:val="22"/>
        </w:rPr>
        <w:t xml:space="preserve"> The ozone amount delivered into the liquid phase was determined by </w:t>
      </w:r>
      <w:r w:rsidR="00F805F7" w:rsidRPr="003B0A74">
        <w:rPr>
          <w:color w:val="000000" w:themeColor="text1"/>
          <w:szCs w:val="22"/>
        </w:rPr>
        <w:t xml:space="preserve">the calibration </w:t>
      </w:r>
      <w:r w:rsidR="004F2118">
        <w:rPr>
          <w:color w:val="000000" w:themeColor="text1"/>
          <w:szCs w:val="22"/>
        </w:rPr>
        <w:t>line</w:t>
      </w:r>
      <w:r w:rsidR="00D94788">
        <w:rPr>
          <w:color w:val="000000" w:themeColor="text1"/>
          <w:szCs w:val="22"/>
        </w:rPr>
        <w:t>.</w:t>
      </w:r>
      <w:r w:rsidR="00330CAC" w:rsidRPr="00330CAC">
        <w:rPr>
          <w:color w:val="000000" w:themeColor="text1"/>
          <w:szCs w:val="22"/>
          <w:vertAlign w:val="superscript"/>
        </w:rPr>
        <w:t>13</w:t>
      </w:r>
      <w:r w:rsidR="00D1053C" w:rsidRPr="003B0A74">
        <w:rPr>
          <w:szCs w:val="22"/>
        </w:rPr>
        <w:t xml:space="preserve"> </w:t>
      </w:r>
      <w:r w:rsidR="00D1053C" w:rsidRPr="00D1053C">
        <w:rPr>
          <w:szCs w:val="22"/>
        </w:rPr>
        <w:t>Calibration</w:t>
      </w:r>
      <w:r w:rsidR="00D1053C" w:rsidRPr="003B0A74">
        <w:rPr>
          <w:szCs w:val="22"/>
        </w:rPr>
        <w:t xml:space="preserve"> </w:t>
      </w:r>
      <w:r w:rsidR="004F2118">
        <w:rPr>
          <w:szCs w:val="22"/>
        </w:rPr>
        <w:t>line</w:t>
      </w:r>
      <w:r w:rsidR="00D1053C" w:rsidRPr="003B0A74">
        <w:rPr>
          <w:szCs w:val="22"/>
        </w:rPr>
        <w:t xml:space="preserve"> was </w:t>
      </w:r>
      <w:r w:rsidR="00CF54EF">
        <w:rPr>
          <w:szCs w:val="22"/>
        </w:rPr>
        <w:t>derived</w:t>
      </w:r>
      <w:r w:rsidR="00D1053C">
        <w:rPr>
          <w:szCs w:val="22"/>
        </w:rPr>
        <w:t xml:space="preserve"> by ozonating water in the same set-up</w:t>
      </w:r>
      <w:r w:rsidR="004F2118">
        <w:rPr>
          <w:szCs w:val="22"/>
        </w:rPr>
        <w:t xml:space="preserve"> </w:t>
      </w:r>
      <w:r w:rsidR="00927A7E">
        <w:rPr>
          <w:szCs w:val="22"/>
        </w:rPr>
        <w:t xml:space="preserve">and conditions </w:t>
      </w:r>
      <w:r w:rsidR="004F2118">
        <w:rPr>
          <w:szCs w:val="22"/>
        </w:rPr>
        <w:t>as the experiments</w:t>
      </w:r>
      <w:r w:rsidR="00CF54EF">
        <w:rPr>
          <w:szCs w:val="22"/>
        </w:rPr>
        <w:t xml:space="preserve">, while measuring </w:t>
      </w:r>
      <w:r w:rsidR="00D1053C">
        <w:rPr>
          <w:szCs w:val="22"/>
        </w:rPr>
        <w:t xml:space="preserve">ozone </w:t>
      </w:r>
      <w:r w:rsidR="00CF54EF">
        <w:rPr>
          <w:szCs w:val="22"/>
        </w:rPr>
        <w:t xml:space="preserve">concentration </w:t>
      </w:r>
      <w:r w:rsidR="00CF54EF" w:rsidRPr="00C376B5">
        <w:rPr>
          <w:szCs w:val="22"/>
        </w:rPr>
        <w:t>c</w:t>
      </w:r>
      <w:r w:rsidR="00CF54EF">
        <w:rPr>
          <w:szCs w:val="22"/>
        </w:rPr>
        <w:t>olorimetric</w:t>
      </w:r>
      <w:r w:rsidR="00CF54EF" w:rsidRPr="00C376B5">
        <w:rPr>
          <w:szCs w:val="22"/>
        </w:rPr>
        <w:t>ally (118755, Merck Ozone Test)</w:t>
      </w:r>
      <w:r w:rsidR="00CF54EF">
        <w:rPr>
          <w:szCs w:val="22"/>
        </w:rPr>
        <w:t xml:space="preserve"> every</w:t>
      </w:r>
      <w:r w:rsidR="00D1053C">
        <w:rPr>
          <w:szCs w:val="22"/>
        </w:rPr>
        <w:t xml:space="preserve"> </w:t>
      </w:r>
      <w:r w:rsidR="00927A7E">
        <w:rPr>
          <w:szCs w:val="22"/>
        </w:rPr>
        <w:t>five</w:t>
      </w:r>
      <w:r w:rsidR="00D1053C">
        <w:rPr>
          <w:szCs w:val="22"/>
        </w:rPr>
        <w:t xml:space="preserve"> minutes </w:t>
      </w:r>
      <w:r w:rsidR="00927A7E">
        <w:rPr>
          <w:szCs w:val="22"/>
        </w:rPr>
        <w:t>until saturation</w:t>
      </w:r>
      <w:r w:rsidR="00D1053C">
        <w:rPr>
          <w:szCs w:val="22"/>
        </w:rPr>
        <w:t xml:space="preserve">. </w:t>
      </w:r>
      <w:r w:rsidR="004F2118">
        <w:rPr>
          <w:szCs w:val="22"/>
        </w:rPr>
        <w:t>Ozone conce</w:t>
      </w:r>
      <w:r w:rsidR="00CF54EF">
        <w:rPr>
          <w:szCs w:val="22"/>
        </w:rPr>
        <w:t>ntration</w:t>
      </w:r>
      <w:r w:rsidR="004F2118">
        <w:rPr>
          <w:szCs w:val="22"/>
        </w:rPr>
        <w:t xml:space="preserve"> (y, </w:t>
      </w:r>
      <w:r w:rsidR="006833BC" w:rsidRPr="006833BC">
        <w:rPr>
          <w:szCs w:val="22"/>
        </w:rPr>
        <w:t>mg</w:t>
      </w:r>
      <w:r w:rsidR="006833BC">
        <w:rPr>
          <w:szCs w:val="22"/>
          <w:vertAlign w:val="subscript"/>
        </w:rPr>
        <w:t xml:space="preserve">ozone </w:t>
      </w:r>
      <w:r w:rsidR="004F2118" w:rsidRPr="00C376B5">
        <w:rPr>
          <w:szCs w:val="22"/>
        </w:rPr>
        <w:t> L</w:t>
      </w:r>
      <w:r w:rsidR="004F2118" w:rsidRPr="00C376B5">
        <w:rPr>
          <w:szCs w:val="22"/>
          <w:vertAlign w:val="superscript"/>
        </w:rPr>
        <w:t>-1</w:t>
      </w:r>
      <w:r w:rsidR="004F2118">
        <w:rPr>
          <w:szCs w:val="22"/>
        </w:rPr>
        <w:t>) was plotted against time (x, min)</w:t>
      </w:r>
      <w:r w:rsidR="00CF54EF">
        <w:rPr>
          <w:szCs w:val="22"/>
        </w:rPr>
        <w:t xml:space="preserve"> and the ozone delivery rate was determined by the constant in the line equation, which was </w:t>
      </w:r>
      <w:r w:rsidRPr="00FD3169">
        <w:rPr>
          <w:szCs w:val="22"/>
        </w:rPr>
        <w:t>3 mg</w:t>
      </w:r>
      <w:r w:rsidR="006833BC">
        <w:rPr>
          <w:szCs w:val="22"/>
          <w:vertAlign w:val="subscript"/>
        </w:rPr>
        <w:t>ozone</w:t>
      </w:r>
      <w:r w:rsidRPr="007B73A8">
        <w:rPr>
          <w:szCs w:val="22"/>
        </w:rPr>
        <w:t> L</w:t>
      </w:r>
      <w:r w:rsidRPr="003B0A74">
        <w:rPr>
          <w:szCs w:val="22"/>
          <w:vertAlign w:val="superscript"/>
        </w:rPr>
        <w:t>-1</w:t>
      </w:r>
      <w:r w:rsidRPr="007B73A8">
        <w:rPr>
          <w:szCs w:val="22"/>
        </w:rPr>
        <w:t xml:space="preserve"> min</w:t>
      </w:r>
      <w:r w:rsidRPr="003B0A74">
        <w:rPr>
          <w:szCs w:val="22"/>
          <w:vertAlign w:val="superscript"/>
        </w:rPr>
        <w:t>-1</w:t>
      </w:r>
      <w:r w:rsidR="00CF54EF">
        <w:rPr>
          <w:szCs w:val="22"/>
        </w:rPr>
        <w:t>.</w:t>
      </w:r>
      <w:r w:rsidR="00927A7E">
        <w:rPr>
          <w:szCs w:val="22"/>
        </w:rPr>
        <w:t xml:space="preserve"> </w:t>
      </w:r>
      <w:r w:rsidRPr="006833BC">
        <w:rPr>
          <w:szCs w:val="22"/>
        </w:rPr>
        <w:t xml:space="preserve">Oxidant dose was </w:t>
      </w:r>
      <w:r w:rsidR="00927A7E">
        <w:rPr>
          <w:szCs w:val="22"/>
        </w:rPr>
        <w:t xml:space="preserve">then </w:t>
      </w:r>
      <w:r w:rsidRPr="007B73A8">
        <w:rPr>
          <w:szCs w:val="22"/>
        </w:rPr>
        <w:t xml:space="preserve">determined by the time of ozonation, which was ranging from 45 to 180 minutes as a maximal ozonation time for selected antibiotic. Doses and other experimental details are outlined in Table </w:t>
      </w:r>
      <w:r w:rsidR="00EF249A">
        <w:rPr>
          <w:szCs w:val="22"/>
        </w:rPr>
        <w:t>2</w:t>
      </w:r>
      <w:r w:rsidRPr="007B73A8">
        <w:rPr>
          <w:szCs w:val="22"/>
        </w:rPr>
        <w:t xml:space="preserve">. </w:t>
      </w:r>
    </w:p>
    <w:p w14:paraId="29B092B5" w14:textId="77777777" w:rsidR="00655B17" w:rsidRPr="0028390B" w:rsidRDefault="00655B17" w:rsidP="00370B0E">
      <w:pPr>
        <w:pStyle w:val="Newparagraph"/>
        <w:spacing w:line="360" w:lineRule="auto"/>
        <w:ind w:left="720" w:firstLine="0"/>
        <w:jc w:val="both"/>
        <w:rPr>
          <w:sz w:val="22"/>
          <w:lang w:val="en-US"/>
        </w:rPr>
      </w:pPr>
    </w:p>
    <w:p w14:paraId="5DBE4A31" w14:textId="376044EF" w:rsidR="00655B17" w:rsidRPr="00655B17" w:rsidRDefault="00655B17" w:rsidP="00655B17">
      <w:pPr>
        <w:pStyle w:val="RSCB08CHeadingIn-line"/>
        <w:rPr>
          <w:rFonts w:ascii="Times New Roman" w:hAnsi="Times New Roman" w:cs="Times New Roman"/>
          <w:b w:val="0"/>
          <w:sz w:val="22"/>
          <w:lang w:val="en-US"/>
        </w:rPr>
      </w:pPr>
      <w:r w:rsidRPr="00655B17">
        <w:rPr>
          <w:rFonts w:ascii="Times New Roman" w:hAnsi="Times New Roman" w:cs="Times New Roman"/>
          <w:b w:val="0"/>
          <w:sz w:val="22"/>
          <w:lang w:val="en-US"/>
        </w:rPr>
        <w:t xml:space="preserve">Table </w:t>
      </w:r>
      <w:r w:rsidR="00EF249A">
        <w:rPr>
          <w:rFonts w:ascii="Times New Roman" w:hAnsi="Times New Roman" w:cs="Times New Roman"/>
          <w:b w:val="0"/>
          <w:sz w:val="22"/>
          <w:lang w:val="en-US"/>
        </w:rPr>
        <w:t>2</w:t>
      </w:r>
      <w:r w:rsidRPr="00655B17">
        <w:rPr>
          <w:rFonts w:ascii="Times New Roman" w:hAnsi="Times New Roman" w:cs="Times New Roman"/>
          <w:b w:val="0"/>
          <w:sz w:val="22"/>
          <w:lang w:val="en-US"/>
        </w:rPr>
        <w:t>: Ozone doses used at experiments.</w:t>
      </w:r>
    </w:p>
    <w:tbl>
      <w:tblPr>
        <w:tblStyle w:val="TableGridLight"/>
        <w:tblW w:w="0" w:type="auto"/>
        <w:tblInd w:w="704" w:type="dxa"/>
        <w:tblLook w:val="04A0" w:firstRow="1" w:lastRow="0" w:firstColumn="1" w:lastColumn="0" w:noHBand="0" w:noVBand="1"/>
      </w:tblPr>
      <w:tblGrid>
        <w:gridCol w:w="1133"/>
        <w:gridCol w:w="1560"/>
        <w:gridCol w:w="1701"/>
        <w:gridCol w:w="1560"/>
        <w:gridCol w:w="1831"/>
      </w:tblGrid>
      <w:tr w:rsidR="00655B17" w:rsidRPr="00655B17" w14:paraId="59C7534F" w14:textId="77777777" w:rsidTr="00655B17">
        <w:trPr>
          <w:trHeight w:val="397"/>
        </w:trPr>
        <w:tc>
          <w:tcPr>
            <w:tcW w:w="1133" w:type="dxa"/>
            <w:vMerge w:val="restart"/>
            <w:tcBorders>
              <w:top w:val="single" w:sz="4" w:space="0" w:color="auto"/>
              <w:right w:val="single" w:sz="4" w:space="0" w:color="auto"/>
            </w:tcBorders>
            <w:vAlign w:val="center"/>
          </w:tcPr>
          <w:p w14:paraId="68312279" w14:textId="77777777" w:rsidR="00655B17" w:rsidRPr="00655B17" w:rsidRDefault="00655B17" w:rsidP="00145D0B">
            <w:pPr>
              <w:pStyle w:val="RSCB08CHeadingIn-line"/>
              <w:rPr>
                <w:rFonts w:ascii="Times New Roman" w:hAnsi="Times New Roman" w:cs="Times New Roman"/>
                <w:b w:val="0"/>
                <w:sz w:val="22"/>
                <w:lang w:val="sl-SI"/>
              </w:rPr>
            </w:pPr>
            <w:r w:rsidRPr="00655B17">
              <w:rPr>
                <w:rFonts w:ascii="Times New Roman" w:hAnsi="Times New Roman" w:cs="Times New Roman"/>
                <w:b w:val="0"/>
                <w:sz w:val="22"/>
                <w:lang w:val="sl-SI"/>
              </w:rPr>
              <w:t>Ozonation time, min</w:t>
            </w:r>
          </w:p>
        </w:tc>
        <w:tc>
          <w:tcPr>
            <w:tcW w:w="4821" w:type="dxa"/>
            <w:gridSpan w:val="3"/>
            <w:tcBorders>
              <w:top w:val="single" w:sz="4" w:space="0" w:color="auto"/>
              <w:left w:val="single" w:sz="4" w:space="0" w:color="auto"/>
              <w:bottom w:val="single" w:sz="4" w:space="0" w:color="auto"/>
            </w:tcBorders>
            <w:vAlign w:val="center"/>
          </w:tcPr>
          <w:p w14:paraId="400472A5"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Ozone dose*</w:t>
            </w:r>
          </w:p>
          <w:p w14:paraId="05AEF2FF"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mol</w:t>
            </w:r>
            <w:r w:rsidRPr="00655B17">
              <w:rPr>
                <w:rFonts w:ascii="Times New Roman" w:hAnsi="Times New Roman" w:cs="Times New Roman"/>
                <w:b w:val="0"/>
                <w:sz w:val="22"/>
                <w:vertAlign w:val="subscript"/>
                <w:lang w:val="sl-SI"/>
              </w:rPr>
              <w:t>ozone</w:t>
            </w:r>
            <w:r w:rsidRPr="00655B17">
              <w:rPr>
                <w:rFonts w:ascii="Times New Roman" w:hAnsi="Times New Roman" w:cs="Times New Roman"/>
                <w:b w:val="0"/>
                <w:sz w:val="22"/>
                <w:lang w:val="sl-SI"/>
              </w:rPr>
              <w:t xml:space="preserve"> mol</w:t>
            </w:r>
            <w:r w:rsidRPr="00655B17">
              <w:rPr>
                <w:rFonts w:ascii="Times New Roman" w:hAnsi="Times New Roman" w:cs="Times New Roman"/>
                <w:b w:val="0"/>
                <w:sz w:val="22"/>
                <w:vertAlign w:val="subscript"/>
                <w:lang w:val="sl-SI"/>
              </w:rPr>
              <w:t>COD</w:t>
            </w:r>
            <w:r w:rsidRPr="00655B17">
              <w:rPr>
                <w:rFonts w:ascii="Times New Roman" w:hAnsi="Times New Roman" w:cs="Times New Roman"/>
                <w:b w:val="0"/>
                <w:sz w:val="22"/>
                <w:vertAlign w:val="superscript"/>
                <w:lang w:val="sl-SI"/>
              </w:rPr>
              <w:t>-1</w:t>
            </w:r>
          </w:p>
        </w:tc>
        <w:tc>
          <w:tcPr>
            <w:tcW w:w="1831" w:type="dxa"/>
            <w:tcBorders>
              <w:top w:val="single" w:sz="4" w:space="0" w:color="auto"/>
              <w:left w:val="single" w:sz="4" w:space="0" w:color="auto"/>
              <w:bottom w:val="single" w:sz="4" w:space="0" w:color="auto"/>
            </w:tcBorders>
            <w:vAlign w:val="center"/>
          </w:tcPr>
          <w:p w14:paraId="23ACC5F4"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Ozone dose **</w:t>
            </w:r>
          </w:p>
          <w:p w14:paraId="3632E6A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mg</w:t>
            </w:r>
            <w:r w:rsidRPr="00655B17">
              <w:rPr>
                <w:rFonts w:ascii="Times New Roman" w:hAnsi="Times New Roman" w:cs="Times New Roman"/>
                <w:b w:val="0"/>
                <w:sz w:val="22"/>
                <w:vertAlign w:val="subscript"/>
                <w:lang w:val="sl-SI"/>
              </w:rPr>
              <w:t>ozone</w:t>
            </w:r>
            <w:r w:rsidRPr="00655B17">
              <w:rPr>
                <w:rFonts w:ascii="Times New Roman" w:hAnsi="Times New Roman" w:cs="Times New Roman"/>
                <w:b w:val="0"/>
                <w:sz w:val="22"/>
                <w:lang w:val="sl-SI"/>
              </w:rPr>
              <w:t xml:space="preserve"> g</w:t>
            </w:r>
            <w:r w:rsidRPr="00655B17">
              <w:rPr>
                <w:rFonts w:ascii="Times New Roman" w:hAnsi="Times New Roman" w:cs="Times New Roman"/>
                <w:b w:val="0"/>
                <w:sz w:val="22"/>
                <w:vertAlign w:val="subscript"/>
                <w:lang w:val="sl-SI"/>
              </w:rPr>
              <w:t>anitbiotic</w:t>
            </w:r>
            <w:r w:rsidRPr="00655B17">
              <w:rPr>
                <w:rFonts w:ascii="Times New Roman" w:hAnsi="Times New Roman" w:cs="Times New Roman"/>
                <w:b w:val="0"/>
                <w:sz w:val="22"/>
                <w:vertAlign w:val="superscript"/>
                <w:lang w:val="sl-SI"/>
              </w:rPr>
              <w:t>-1</w:t>
            </w:r>
          </w:p>
        </w:tc>
      </w:tr>
      <w:tr w:rsidR="00655B17" w:rsidRPr="00655B17" w14:paraId="7533FADF" w14:textId="77777777" w:rsidTr="00655B17">
        <w:trPr>
          <w:trHeight w:val="397"/>
        </w:trPr>
        <w:tc>
          <w:tcPr>
            <w:tcW w:w="1133" w:type="dxa"/>
            <w:vMerge/>
            <w:tcBorders>
              <w:bottom w:val="single" w:sz="4" w:space="0" w:color="auto"/>
              <w:right w:val="single" w:sz="4" w:space="0" w:color="auto"/>
            </w:tcBorders>
            <w:vAlign w:val="center"/>
          </w:tcPr>
          <w:p w14:paraId="4ED3D1D8" w14:textId="77777777" w:rsidR="00655B17" w:rsidRPr="00655B17" w:rsidRDefault="00655B17" w:rsidP="00145D0B">
            <w:pPr>
              <w:pStyle w:val="RSCB08CHeadingIn-line"/>
              <w:rPr>
                <w:rFonts w:ascii="Times New Roman" w:hAnsi="Times New Roman" w:cs="Times New Roman"/>
                <w:b w:val="0"/>
                <w:sz w:val="22"/>
                <w:lang w:val="sl-SI"/>
              </w:rPr>
            </w:pPr>
          </w:p>
        </w:tc>
        <w:tc>
          <w:tcPr>
            <w:tcW w:w="1560" w:type="dxa"/>
            <w:tcBorders>
              <w:left w:val="single" w:sz="4" w:space="0" w:color="auto"/>
              <w:bottom w:val="single" w:sz="4" w:space="0" w:color="auto"/>
            </w:tcBorders>
            <w:vAlign w:val="center"/>
          </w:tcPr>
          <w:p w14:paraId="2F2624A3"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TML</w:t>
            </w:r>
          </w:p>
        </w:tc>
        <w:tc>
          <w:tcPr>
            <w:tcW w:w="1701" w:type="dxa"/>
            <w:tcBorders>
              <w:bottom w:val="single" w:sz="4" w:space="0" w:color="auto"/>
            </w:tcBorders>
            <w:vAlign w:val="center"/>
          </w:tcPr>
          <w:p w14:paraId="65583A88"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LFX</w:t>
            </w:r>
          </w:p>
        </w:tc>
        <w:tc>
          <w:tcPr>
            <w:tcW w:w="1560" w:type="dxa"/>
            <w:tcBorders>
              <w:bottom w:val="single" w:sz="4" w:space="0" w:color="auto"/>
              <w:right w:val="single" w:sz="4" w:space="0" w:color="auto"/>
            </w:tcBorders>
            <w:vAlign w:val="center"/>
          </w:tcPr>
          <w:p w14:paraId="04CA71E4"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AMX</w:t>
            </w:r>
          </w:p>
        </w:tc>
        <w:tc>
          <w:tcPr>
            <w:tcW w:w="1831" w:type="dxa"/>
            <w:tcBorders>
              <w:left w:val="single" w:sz="4" w:space="0" w:color="auto"/>
              <w:bottom w:val="single" w:sz="4" w:space="0" w:color="auto"/>
            </w:tcBorders>
            <w:vAlign w:val="center"/>
          </w:tcPr>
          <w:p w14:paraId="657FDC51"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rPr>
              <w:t>All antibiotics</w:t>
            </w:r>
          </w:p>
        </w:tc>
      </w:tr>
      <w:tr w:rsidR="00655B17" w:rsidRPr="00655B17" w14:paraId="2E6D4B8E" w14:textId="77777777" w:rsidTr="00655B17">
        <w:trPr>
          <w:trHeight w:val="397"/>
        </w:trPr>
        <w:tc>
          <w:tcPr>
            <w:tcW w:w="1133" w:type="dxa"/>
            <w:tcBorders>
              <w:top w:val="single" w:sz="4" w:space="0" w:color="auto"/>
              <w:right w:val="single" w:sz="4" w:space="0" w:color="auto"/>
            </w:tcBorders>
            <w:vAlign w:val="center"/>
          </w:tcPr>
          <w:p w14:paraId="662C28FB"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w:t>
            </w:r>
          </w:p>
        </w:tc>
        <w:tc>
          <w:tcPr>
            <w:tcW w:w="1560" w:type="dxa"/>
            <w:tcBorders>
              <w:top w:val="single" w:sz="4" w:space="0" w:color="auto"/>
              <w:left w:val="single" w:sz="4" w:space="0" w:color="auto"/>
            </w:tcBorders>
            <w:vAlign w:val="center"/>
          </w:tcPr>
          <w:p w14:paraId="472D1BA5"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0.00</w:t>
            </w:r>
          </w:p>
        </w:tc>
        <w:tc>
          <w:tcPr>
            <w:tcW w:w="1701" w:type="dxa"/>
            <w:tcBorders>
              <w:top w:val="single" w:sz="4" w:space="0" w:color="auto"/>
            </w:tcBorders>
            <w:vAlign w:val="center"/>
          </w:tcPr>
          <w:p w14:paraId="288A6973"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0.00</w:t>
            </w:r>
          </w:p>
        </w:tc>
        <w:tc>
          <w:tcPr>
            <w:tcW w:w="1560" w:type="dxa"/>
            <w:tcBorders>
              <w:top w:val="single" w:sz="4" w:space="0" w:color="auto"/>
              <w:right w:val="single" w:sz="4" w:space="0" w:color="auto"/>
            </w:tcBorders>
            <w:vAlign w:val="center"/>
          </w:tcPr>
          <w:p w14:paraId="60FC38D1"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0.00</w:t>
            </w:r>
          </w:p>
        </w:tc>
        <w:tc>
          <w:tcPr>
            <w:tcW w:w="1831" w:type="dxa"/>
            <w:tcBorders>
              <w:top w:val="single" w:sz="4" w:space="0" w:color="auto"/>
              <w:left w:val="single" w:sz="4" w:space="0" w:color="auto"/>
            </w:tcBorders>
            <w:vAlign w:val="center"/>
          </w:tcPr>
          <w:p w14:paraId="471C942D"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w:t>
            </w:r>
          </w:p>
        </w:tc>
      </w:tr>
      <w:tr w:rsidR="00655B17" w:rsidRPr="00655B17" w14:paraId="785966A4" w14:textId="77777777" w:rsidTr="00655B17">
        <w:trPr>
          <w:trHeight w:val="397"/>
        </w:trPr>
        <w:tc>
          <w:tcPr>
            <w:tcW w:w="1133" w:type="dxa"/>
            <w:tcBorders>
              <w:right w:val="single" w:sz="4" w:space="0" w:color="auto"/>
            </w:tcBorders>
            <w:vAlign w:val="center"/>
          </w:tcPr>
          <w:p w14:paraId="31F84BD2"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15</w:t>
            </w:r>
          </w:p>
        </w:tc>
        <w:tc>
          <w:tcPr>
            <w:tcW w:w="1560" w:type="dxa"/>
            <w:tcBorders>
              <w:left w:val="single" w:sz="4" w:space="0" w:color="auto"/>
            </w:tcBorders>
            <w:vAlign w:val="center"/>
          </w:tcPr>
          <w:p w14:paraId="1D818AD6"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0.04</w:t>
            </w:r>
          </w:p>
        </w:tc>
        <w:tc>
          <w:tcPr>
            <w:tcW w:w="1701" w:type="dxa"/>
            <w:vAlign w:val="center"/>
          </w:tcPr>
          <w:p w14:paraId="0DB7FB8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0.03</w:t>
            </w:r>
          </w:p>
        </w:tc>
        <w:tc>
          <w:tcPr>
            <w:tcW w:w="1560" w:type="dxa"/>
            <w:tcBorders>
              <w:right w:val="single" w:sz="4" w:space="0" w:color="auto"/>
            </w:tcBorders>
            <w:vAlign w:val="center"/>
          </w:tcPr>
          <w:p w14:paraId="66391DF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0.04</w:t>
            </w:r>
          </w:p>
        </w:tc>
        <w:tc>
          <w:tcPr>
            <w:tcW w:w="1831" w:type="dxa"/>
            <w:tcBorders>
              <w:left w:val="single" w:sz="4" w:space="0" w:color="auto"/>
            </w:tcBorders>
            <w:vAlign w:val="center"/>
          </w:tcPr>
          <w:p w14:paraId="383F883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104</w:t>
            </w:r>
          </w:p>
        </w:tc>
      </w:tr>
      <w:tr w:rsidR="00655B17" w:rsidRPr="00655B17" w14:paraId="668D7E76" w14:textId="77777777" w:rsidTr="00655B17">
        <w:trPr>
          <w:trHeight w:val="397"/>
        </w:trPr>
        <w:tc>
          <w:tcPr>
            <w:tcW w:w="1133" w:type="dxa"/>
            <w:tcBorders>
              <w:right w:val="single" w:sz="4" w:space="0" w:color="auto"/>
            </w:tcBorders>
            <w:vAlign w:val="center"/>
          </w:tcPr>
          <w:p w14:paraId="18C3986B"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30</w:t>
            </w:r>
          </w:p>
        </w:tc>
        <w:tc>
          <w:tcPr>
            <w:tcW w:w="1560" w:type="dxa"/>
            <w:tcBorders>
              <w:left w:val="single" w:sz="4" w:space="0" w:color="auto"/>
            </w:tcBorders>
            <w:vAlign w:val="center"/>
          </w:tcPr>
          <w:p w14:paraId="22BAF7A5"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0.07</w:t>
            </w:r>
          </w:p>
        </w:tc>
        <w:tc>
          <w:tcPr>
            <w:tcW w:w="1701" w:type="dxa"/>
            <w:vAlign w:val="center"/>
          </w:tcPr>
          <w:p w14:paraId="79BB464F"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0.07</w:t>
            </w:r>
          </w:p>
        </w:tc>
        <w:tc>
          <w:tcPr>
            <w:tcW w:w="1560" w:type="dxa"/>
            <w:tcBorders>
              <w:right w:val="single" w:sz="4" w:space="0" w:color="auto"/>
            </w:tcBorders>
            <w:vAlign w:val="center"/>
          </w:tcPr>
          <w:p w14:paraId="20854EF2"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0.07</w:t>
            </w:r>
          </w:p>
        </w:tc>
        <w:tc>
          <w:tcPr>
            <w:tcW w:w="1831" w:type="dxa"/>
            <w:tcBorders>
              <w:left w:val="single" w:sz="4" w:space="0" w:color="auto"/>
            </w:tcBorders>
            <w:vAlign w:val="center"/>
          </w:tcPr>
          <w:p w14:paraId="35325256"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182</w:t>
            </w:r>
          </w:p>
        </w:tc>
      </w:tr>
      <w:tr w:rsidR="00655B17" w:rsidRPr="00655B17" w14:paraId="3B43616D" w14:textId="77777777" w:rsidTr="00655B17">
        <w:trPr>
          <w:trHeight w:val="397"/>
        </w:trPr>
        <w:tc>
          <w:tcPr>
            <w:tcW w:w="1133" w:type="dxa"/>
            <w:tcBorders>
              <w:right w:val="single" w:sz="4" w:space="0" w:color="auto"/>
            </w:tcBorders>
            <w:vAlign w:val="center"/>
          </w:tcPr>
          <w:p w14:paraId="5D39712C"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45</w:t>
            </w:r>
          </w:p>
        </w:tc>
        <w:tc>
          <w:tcPr>
            <w:tcW w:w="1560" w:type="dxa"/>
            <w:tcBorders>
              <w:left w:val="single" w:sz="4" w:space="0" w:color="auto"/>
            </w:tcBorders>
            <w:vAlign w:val="center"/>
          </w:tcPr>
          <w:p w14:paraId="7FB78BEF"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0.11</w:t>
            </w:r>
          </w:p>
        </w:tc>
        <w:tc>
          <w:tcPr>
            <w:tcW w:w="1701" w:type="dxa"/>
            <w:vAlign w:val="center"/>
          </w:tcPr>
          <w:p w14:paraId="3F803FB1"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0.10</w:t>
            </w:r>
          </w:p>
        </w:tc>
        <w:tc>
          <w:tcPr>
            <w:tcW w:w="1560" w:type="dxa"/>
            <w:tcBorders>
              <w:right w:val="single" w:sz="4" w:space="0" w:color="auto"/>
            </w:tcBorders>
            <w:vAlign w:val="center"/>
          </w:tcPr>
          <w:p w14:paraId="36184A7C"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0.15</w:t>
            </w:r>
          </w:p>
        </w:tc>
        <w:tc>
          <w:tcPr>
            <w:tcW w:w="1831" w:type="dxa"/>
            <w:tcBorders>
              <w:left w:val="single" w:sz="4" w:space="0" w:color="auto"/>
            </w:tcBorders>
            <w:vAlign w:val="center"/>
          </w:tcPr>
          <w:p w14:paraId="5CEE4113"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286</w:t>
            </w:r>
          </w:p>
        </w:tc>
      </w:tr>
      <w:tr w:rsidR="00655B17" w:rsidRPr="00655B17" w14:paraId="73075640" w14:textId="77777777" w:rsidTr="00655B17">
        <w:trPr>
          <w:trHeight w:val="397"/>
        </w:trPr>
        <w:tc>
          <w:tcPr>
            <w:tcW w:w="1133" w:type="dxa"/>
            <w:tcBorders>
              <w:right w:val="single" w:sz="4" w:space="0" w:color="auto"/>
            </w:tcBorders>
            <w:vAlign w:val="center"/>
          </w:tcPr>
          <w:p w14:paraId="22FD5F2D"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90</w:t>
            </w:r>
          </w:p>
        </w:tc>
        <w:tc>
          <w:tcPr>
            <w:tcW w:w="1560" w:type="dxa"/>
            <w:tcBorders>
              <w:left w:val="single" w:sz="4" w:space="0" w:color="auto"/>
            </w:tcBorders>
            <w:vAlign w:val="center"/>
          </w:tcPr>
          <w:p w14:paraId="6D390D3F"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0.22</w:t>
            </w:r>
          </w:p>
        </w:tc>
        <w:tc>
          <w:tcPr>
            <w:tcW w:w="1701" w:type="dxa"/>
            <w:vAlign w:val="center"/>
          </w:tcPr>
          <w:p w14:paraId="40BE2A2A"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0.21</w:t>
            </w:r>
          </w:p>
        </w:tc>
        <w:tc>
          <w:tcPr>
            <w:tcW w:w="1560" w:type="dxa"/>
            <w:tcBorders>
              <w:right w:val="single" w:sz="4" w:space="0" w:color="auto"/>
            </w:tcBorders>
            <w:vAlign w:val="center"/>
          </w:tcPr>
          <w:p w14:paraId="5A6465E6"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0.23</w:t>
            </w:r>
          </w:p>
        </w:tc>
        <w:tc>
          <w:tcPr>
            <w:tcW w:w="1831" w:type="dxa"/>
            <w:tcBorders>
              <w:left w:val="single" w:sz="4" w:space="0" w:color="auto"/>
            </w:tcBorders>
            <w:vAlign w:val="center"/>
          </w:tcPr>
          <w:p w14:paraId="58A5FDD2"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572</w:t>
            </w:r>
          </w:p>
        </w:tc>
      </w:tr>
      <w:tr w:rsidR="00655B17" w:rsidRPr="00655B17" w14:paraId="5A5BA695" w14:textId="77777777" w:rsidTr="00655B17">
        <w:trPr>
          <w:trHeight w:val="397"/>
        </w:trPr>
        <w:tc>
          <w:tcPr>
            <w:tcW w:w="1133" w:type="dxa"/>
            <w:tcBorders>
              <w:right w:val="single" w:sz="4" w:space="0" w:color="auto"/>
            </w:tcBorders>
            <w:vAlign w:val="center"/>
          </w:tcPr>
          <w:p w14:paraId="7B84C3D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120</w:t>
            </w:r>
          </w:p>
        </w:tc>
        <w:tc>
          <w:tcPr>
            <w:tcW w:w="1560" w:type="dxa"/>
            <w:tcBorders>
              <w:left w:val="single" w:sz="4" w:space="0" w:color="auto"/>
            </w:tcBorders>
            <w:vAlign w:val="center"/>
          </w:tcPr>
          <w:p w14:paraId="2F5A1335"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0.29</w:t>
            </w:r>
          </w:p>
        </w:tc>
        <w:tc>
          <w:tcPr>
            <w:tcW w:w="1701" w:type="dxa"/>
            <w:vAlign w:val="center"/>
          </w:tcPr>
          <w:p w14:paraId="2D9F94B9"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0.28</w:t>
            </w:r>
          </w:p>
        </w:tc>
        <w:tc>
          <w:tcPr>
            <w:tcW w:w="1560" w:type="dxa"/>
            <w:tcBorders>
              <w:right w:val="single" w:sz="4" w:space="0" w:color="auto"/>
            </w:tcBorders>
            <w:vAlign w:val="center"/>
          </w:tcPr>
          <w:p w14:paraId="5E194716"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0.29</w:t>
            </w:r>
          </w:p>
        </w:tc>
        <w:tc>
          <w:tcPr>
            <w:tcW w:w="1831" w:type="dxa"/>
            <w:tcBorders>
              <w:left w:val="single" w:sz="4" w:space="0" w:color="auto"/>
            </w:tcBorders>
            <w:vAlign w:val="center"/>
          </w:tcPr>
          <w:p w14:paraId="0AC8F495"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754</w:t>
            </w:r>
          </w:p>
        </w:tc>
      </w:tr>
      <w:tr w:rsidR="00655B17" w:rsidRPr="00655B17" w14:paraId="6F4D7008" w14:textId="77777777" w:rsidTr="00655B17">
        <w:trPr>
          <w:trHeight w:val="397"/>
        </w:trPr>
        <w:tc>
          <w:tcPr>
            <w:tcW w:w="1133" w:type="dxa"/>
            <w:tcBorders>
              <w:bottom w:val="single" w:sz="4" w:space="0" w:color="BFBFBF" w:themeColor="background1" w:themeShade="BF"/>
              <w:right w:val="single" w:sz="4" w:space="0" w:color="auto"/>
            </w:tcBorders>
            <w:vAlign w:val="center"/>
          </w:tcPr>
          <w:p w14:paraId="091293A6"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135</w:t>
            </w:r>
          </w:p>
        </w:tc>
        <w:tc>
          <w:tcPr>
            <w:tcW w:w="1560" w:type="dxa"/>
            <w:tcBorders>
              <w:left w:val="single" w:sz="4" w:space="0" w:color="auto"/>
              <w:bottom w:val="single" w:sz="4" w:space="0" w:color="BFBFBF" w:themeColor="background1" w:themeShade="BF"/>
            </w:tcBorders>
            <w:vAlign w:val="center"/>
          </w:tcPr>
          <w:p w14:paraId="28B701E6"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0.33</w:t>
            </w:r>
          </w:p>
        </w:tc>
        <w:tc>
          <w:tcPr>
            <w:tcW w:w="1701" w:type="dxa"/>
            <w:tcBorders>
              <w:bottom w:val="single" w:sz="4" w:space="0" w:color="BFBFBF" w:themeColor="background1" w:themeShade="BF"/>
            </w:tcBorders>
            <w:vAlign w:val="center"/>
          </w:tcPr>
          <w:p w14:paraId="0FD0B00C"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0.31</w:t>
            </w:r>
          </w:p>
        </w:tc>
        <w:tc>
          <w:tcPr>
            <w:tcW w:w="1560" w:type="dxa"/>
            <w:tcBorders>
              <w:bottom w:val="single" w:sz="4" w:space="0" w:color="BFBFBF" w:themeColor="background1" w:themeShade="BF"/>
              <w:right w:val="single" w:sz="4" w:space="0" w:color="auto"/>
            </w:tcBorders>
            <w:vAlign w:val="center"/>
          </w:tcPr>
          <w:p w14:paraId="53FE6784"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0.35</w:t>
            </w:r>
          </w:p>
        </w:tc>
        <w:tc>
          <w:tcPr>
            <w:tcW w:w="1831" w:type="dxa"/>
            <w:tcBorders>
              <w:left w:val="single" w:sz="4" w:space="0" w:color="auto"/>
              <w:bottom w:val="single" w:sz="4" w:space="0" w:color="BFBFBF" w:themeColor="background1" w:themeShade="BF"/>
            </w:tcBorders>
            <w:vAlign w:val="center"/>
          </w:tcPr>
          <w:p w14:paraId="61D624C4"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858</w:t>
            </w:r>
          </w:p>
        </w:tc>
      </w:tr>
      <w:tr w:rsidR="00655B17" w:rsidRPr="00655B17" w14:paraId="312DBDB1" w14:textId="77777777" w:rsidTr="00655B17">
        <w:trPr>
          <w:trHeight w:val="397"/>
        </w:trPr>
        <w:tc>
          <w:tcPr>
            <w:tcW w:w="1133" w:type="dxa"/>
            <w:tcBorders>
              <w:bottom w:val="single" w:sz="4" w:space="0" w:color="auto"/>
              <w:right w:val="single" w:sz="4" w:space="0" w:color="auto"/>
            </w:tcBorders>
            <w:vAlign w:val="center"/>
          </w:tcPr>
          <w:p w14:paraId="08CFD44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180</w:t>
            </w:r>
          </w:p>
        </w:tc>
        <w:tc>
          <w:tcPr>
            <w:tcW w:w="1560" w:type="dxa"/>
            <w:tcBorders>
              <w:left w:val="single" w:sz="4" w:space="0" w:color="auto"/>
              <w:bottom w:val="single" w:sz="4" w:space="0" w:color="auto"/>
            </w:tcBorders>
            <w:vAlign w:val="center"/>
          </w:tcPr>
          <w:p w14:paraId="280F5487"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0.44</w:t>
            </w:r>
          </w:p>
        </w:tc>
        <w:tc>
          <w:tcPr>
            <w:tcW w:w="1701" w:type="dxa"/>
            <w:tcBorders>
              <w:bottom w:val="single" w:sz="4" w:space="0" w:color="auto"/>
            </w:tcBorders>
            <w:vAlign w:val="center"/>
          </w:tcPr>
          <w:p w14:paraId="6F2A8360"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0.42</w:t>
            </w:r>
          </w:p>
        </w:tc>
        <w:tc>
          <w:tcPr>
            <w:tcW w:w="1560" w:type="dxa"/>
            <w:tcBorders>
              <w:bottom w:val="single" w:sz="4" w:space="0" w:color="auto"/>
              <w:right w:val="single" w:sz="4" w:space="0" w:color="auto"/>
            </w:tcBorders>
            <w:vAlign w:val="center"/>
          </w:tcPr>
          <w:p w14:paraId="4CFEECE4"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0.44</w:t>
            </w:r>
          </w:p>
        </w:tc>
        <w:tc>
          <w:tcPr>
            <w:tcW w:w="1831" w:type="dxa"/>
            <w:tcBorders>
              <w:left w:val="single" w:sz="4" w:space="0" w:color="auto"/>
              <w:bottom w:val="single" w:sz="4" w:space="0" w:color="auto"/>
            </w:tcBorders>
            <w:vAlign w:val="center"/>
          </w:tcPr>
          <w:p w14:paraId="6AD2B9C5" w14:textId="77777777" w:rsidR="00655B17" w:rsidRPr="00655B17" w:rsidRDefault="00655B17" w:rsidP="00145D0B">
            <w:pPr>
              <w:pStyle w:val="RSCB08CHeadingIn-line"/>
              <w:jc w:val="center"/>
              <w:rPr>
                <w:rFonts w:ascii="Times New Roman" w:hAnsi="Times New Roman" w:cs="Times New Roman"/>
                <w:b w:val="0"/>
                <w:sz w:val="22"/>
                <w:lang w:val="sl-SI"/>
              </w:rPr>
            </w:pPr>
            <w:r w:rsidRPr="00655B17">
              <w:rPr>
                <w:rFonts w:ascii="Times New Roman" w:hAnsi="Times New Roman" w:cs="Times New Roman"/>
                <w:b w:val="0"/>
                <w:sz w:val="22"/>
                <w:lang w:val="sl-SI"/>
              </w:rPr>
              <w:t>1,144</w:t>
            </w:r>
          </w:p>
        </w:tc>
      </w:tr>
    </w:tbl>
    <w:p w14:paraId="42D30458" w14:textId="6EC82E69" w:rsidR="00655B17" w:rsidRDefault="00655B17" w:rsidP="00655B17">
      <w:pPr>
        <w:pStyle w:val="RSCB08CHeadingIn-line"/>
        <w:rPr>
          <w:rFonts w:ascii="Times New Roman" w:hAnsi="Times New Roman" w:cs="Times New Roman"/>
          <w:b w:val="0"/>
          <w:sz w:val="20"/>
          <w:szCs w:val="20"/>
          <w:lang w:val="en-US"/>
        </w:rPr>
      </w:pPr>
      <w:r>
        <w:rPr>
          <w:rFonts w:ascii="Times New Roman" w:hAnsi="Times New Roman" w:cs="Times New Roman"/>
          <w:b w:val="0"/>
          <w:sz w:val="20"/>
          <w:szCs w:val="20"/>
          <w:lang w:val="sl-SI"/>
        </w:rPr>
        <w:t xml:space="preserve">  </w:t>
      </w:r>
      <w:r w:rsidRPr="00655B17">
        <w:rPr>
          <w:rFonts w:ascii="Times New Roman" w:hAnsi="Times New Roman" w:cs="Times New Roman"/>
          <w:b w:val="0"/>
          <w:sz w:val="20"/>
          <w:szCs w:val="20"/>
          <w:lang w:val="sl-SI"/>
        </w:rPr>
        <w:t xml:space="preserve">* </w:t>
      </w:r>
      <w:r w:rsidRPr="00655B17">
        <w:rPr>
          <w:rFonts w:ascii="Times New Roman" w:hAnsi="Times New Roman" w:cs="Times New Roman"/>
          <w:b w:val="0"/>
          <w:sz w:val="20"/>
          <w:szCs w:val="20"/>
          <w:lang w:val="en-US"/>
        </w:rPr>
        <w:t>Calculated according to the initial COD of the solution of the antibiotic.</w:t>
      </w:r>
      <w:r w:rsidRPr="00655B17">
        <w:rPr>
          <w:rFonts w:ascii="Times New Roman" w:hAnsi="Times New Roman" w:cs="Times New Roman"/>
          <w:b w:val="0"/>
          <w:sz w:val="20"/>
          <w:szCs w:val="20"/>
          <w:lang w:val="en-US"/>
        </w:rPr>
        <w:br/>
        <w:t>** Calculated according to the initial mass of the antibiotic in</w:t>
      </w:r>
      <w:r>
        <w:rPr>
          <w:rFonts w:ascii="Times New Roman" w:hAnsi="Times New Roman" w:cs="Times New Roman"/>
          <w:b w:val="0"/>
          <w:sz w:val="20"/>
          <w:szCs w:val="20"/>
          <w:lang w:val="en-US"/>
        </w:rPr>
        <w:t xml:space="preserve"> the solution, the same for all </w:t>
      </w:r>
      <w:r w:rsidRPr="00655B17">
        <w:rPr>
          <w:rFonts w:ascii="Times New Roman" w:hAnsi="Times New Roman" w:cs="Times New Roman"/>
          <w:b w:val="0"/>
          <w:sz w:val="20"/>
          <w:szCs w:val="20"/>
          <w:lang w:val="en-US"/>
        </w:rPr>
        <w:t>antibiotics.</w:t>
      </w:r>
    </w:p>
    <w:p w14:paraId="10A9774C" w14:textId="77777777" w:rsidR="00D94788" w:rsidRPr="00655B17" w:rsidRDefault="00D94788" w:rsidP="00655B17">
      <w:pPr>
        <w:pStyle w:val="RSCB08CHeadingIn-line"/>
        <w:rPr>
          <w:rFonts w:ascii="Times New Roman" w:hAnsi="Times New Roman" w:cs="Times New Roman"/>
          <w:b w:val="0"/>
          <w:sz w:val="20"/>
          <w:szCs w:val="20"/>
          <w:lang w:val="en-US"/>
        </w:rPr>
      </w:pPr>
    </w:p>
    <w:p w14:paraId="68C7FEAF" w14:textId="77777777" w:rsidR="00C77F85" w:rsidRPr="00C77F85" w:rsidRDefault="00C77F85" w:rsidP="00C77F85">
      <w:pPr>
        <w:pStyle w:val="ListParagraph"/>
        <w:keepNext/>
        <w:numPr>
          <w:ilvl w:val="0"/>
          <w:numId w:val="33"/>
        </w:numPr>
        <w:spacing w:before="360" w:after="60" w:line="360" w:lineRule="auto"/>
        <w:ind w:right="567"/>
        <w:outlineLvl w:val="1"/>
        <w:rPr>
          <w:rFonts w:cs="Arial"/>
          <w:b/>
          <w:bCs/>
          <w:i/>
          <w:iCs/>
          <w:vanish/>
          <w:szCs w:val="28"/>
        </w:rPr>
      </w:pPr>
    </w:p>
    <w:p w14:paraId="33176465" w14:textId="77777777" w:rsidR="00C77F85" w:rsidRPr="00C77F85" w:rsidRDefault="00C77F85" w:rsidP="00C77F85">
      <w:pPr>
        <w:pStyle w:val="ListParagraph"/>
        <w:keepNext/>
        <w:numPr>
          <w:ilvl w:val="0"/>
          <w:numId w:val="33"/>
        </w:numPr>
        <w:spacing w:before="360" w:after="60" w:line="360" w:lineRule="auto"/>
        <w:ind w:right="567"/>
        <w:outlineLvl w:val="1"/>
        <w:rPr>
          <w:rFonts w:cs="Arial"/>
          <w:b/>
          <w:bCs/>
          <w:i/>
          <w:iCs/>
          <w:vanish/>
          <w:szCs w:val="28"/>
        </w:rPr>
      </w:pPr>
    </w:p>
    <w:p w14:paraId="19F9622D" w14:textId="77777777" w:rsidR="00C77F85" w:rsidRPr="00C77F85" w:rsidRDefault="00C77F85" w:rsidP="00C77F85">
      <w:pPr>
        <w:pStyle w:val="ListParagraph"/>
        <w:keepNext/>
        <w:numPr>
          <w:ilvl w:val="1"/>
          <w:numId w:val="33"/>
        </w:numPr>
        <w:spacing w:before="360" w:after="60" w:line="360" w:lineRule="auto"/>
        <w:ind w:right="567"/>
        <w:outlineLvl w:val="1"/>
        <w:rPr>
          <w:rFonts w:cs="Arial"/>
          <w:b/>
          <w:bCs/>
          <w:i/>
          <w:iCs/>
          <w:vanish/>
          <w:szCs w:val="28"/>
        </w:rPr>
      </w:pPr>
    </w:p>
    <w:p w14:paraId="7D3BD078" w14:textId="2373510F" w:rsidR="00370B0E" w:rsidRDefault="00370B0E" w:rsidP="00C77F85">
      <w:pPr>
        <w:pStyle w:val="Heading2"/>
        <w:numPr>
          <w:ilvl w:val="1"/>
          <w:numId w:val="33"/>
        </w:numPr>
      </w:pPr>
      <w:r>
        <w:t>Fenton process</w:t>
      </w:r>
    </w:p>
    <w:p w14:paraId="3AB59D79" w14:textId="18349E1F" w:rsidR="00370B0E" w:rsidRDefault="00370B0E" w:rsidP="00C77F85">
      <w:pPr>
        <w:pStyle w:val="Abstract"/>
        <w:ind w:left="0"/>
      </w:pPr>
      <w:r w:rsidRPr="00370B0E">
        <w:t>For Fenton process, common laboratory glassware was used. 200 mL of antibiotic solution (400 mg L</w:t>
      </w:r>
      <w:r w:rsidRPr="00370B0E">
        <w:rPr>
          <w:vertAlign w:val="superscript"/>
        </w:rPr>
        <w:t>-1</w:t>
      </w:r>
      <w:r w:rsidRPr="00370B0E">
        <w:t>) was put in a beaker and stirred at 200 rpm; pH was adjusted to 2.5 – 3.0 with concentrated HCl (Merck, Germany). Reagents Ferrous sulphate heptahydrate (FeSO</w:t>
      </w:r>
      <w:r w:rsidRPr="00370B0E">
        <w:rPr>
          <w:vertAlign w:val="subscript"/>
        </w:rPr>
        <w:t>4</w:t>
      </w:r>
      <w:r w:rsidRPr="00370B0E">
        <w:t xml:space="preserve"> · 7H</w:t>
      </w:r>
      <w:r w:rsidRPr="00370B0E">
        <w:rPr>
          <w:vertAlign w:val="subscript"/>
        </w:rPr>
        <w:t>2</w:t>
      </w:r>
      <w:r w:rsidRPr="00370B0E">
        <w:t>O; Fluka Analytical, Germany) and hydrogen peroxide (H</w:t>
      </w:r>
      <w:r w:rsidRPr="00370B0E">
        <w:rPr>
          <w:vertAlign w:val="subscript"/>
        </w:rPr>
        <w:t>2</w:t>
      </w:r>
      <w:r w:rsidRPr="00370B0E">
        <w:t>O</w:t>
      </w:r>
      <w:r w:rsidRPr="00370B0E">
        <w:rPr>
          <w:vertAlign w:val="subscript"/>
        </w:rPr>
        <w:t>2</w:t>
      </w:r>
      <w:r w:rsidRPr="00370B0E">
        <w:t>, 30 %; Merck, Germany) were used in a molar ratio FeSO</w:t>
      </w:r>
      <w:r w:rsidRPr="00370B0E">
        <w:rPr>
          <w:vertAlign w:val="subscript"/>
        </w:rPr>
        <w:t>4</w:t>
      </w:r>
      <w:r w:rsidRPr="00370B0E">
        <w:t>/H</w:t>
      </w:r>
      <w:r w:rsidRPr="00370B0E">
        <w:rPr>
          <w:vertAlign w:val="subscript"/>
        </w:rPr>
        <w:t>2</w:t>
      </w:r>
      <w:r w:rsidRPr="00370B0E">
        <w:t>O</w:t>
      </w:r>
      <w:r w:rsidRPr="00370B0E">
        <w:rPr>
          <w:vertAlign w:val="subscript"/>
        </w:rPr>
        <w:t>2</w:t>
      </w:r>
      <w:r w:rsidRPr="00370B0E">
        <w:t xml:space="preserve"> = 1/10. This ratio is at the high end among the commonly used ratios in Fenton process, aiming to have most oxidant available for the reaction. Experiments were </w:t>
      </w:r>
      <w:r w:rsidR="002D747E">
        <w:t>conducted</w:t>
      </w:r>
      <w:r w:rsidR="002D747E" w:rsidRPr="00370B0E">
        <w:t xml:space="preserve"> </w:t>
      </w:r>
      <w:r w:rsidRPr="00370B0E">
        <w:t xml:space="preserve">at ambient temperature (22 ± 2⁰ C). After 30 minutes, solution was boiled for </w:t>
      </w:r>
      <w:r w:rsidR="0025372C">
        <w:t>3</w:t>
      </w:r>
      <w:r w:rsidR="0025372C" w:rsidRPr="00370B0E">
        <w:t xml:space="preserve"> </w:t>
      </w:r>
      <w:r w:rsidRPr="00370B0E">
        <w:t xml:space="preserve">minutes to remove any possible residual peroxide. Antibiotic molecules were proven to be stable during this period, as separate blank test was carried out, with boiling antibiotic solution for </w:t>
      </w:r>
      <w:r w:rsidR="0025372C">
        <w:t>3</w:t>
      </w:r>
      <w:r w:rsidR="0025372C" w:rsidRPr="00370B0E">
        <w:t xml:space="preserve"> </w:t>
      </w:r>
      <w:r w:rsidRPr="00370B0E">
        <w:t>minutes – there was no change observed in TOC before and after the boiling. Samples were cooled, pH raised to 9.0±0.1 to precipitate Fe</w:t>
      </w:r>
      <w:r w:rsidRPr="00370B0E">
        <w:rPr>
          <w:vertAlign w:val="superscript"/>
        </w:rPr>
        <w:t>3+</w:t>
      </w:r>
      <w:r w:rsidRPr="00370B0E">
        <w:t xml:space="preserve"> salts, then filtered by using paper filter Whatman No. 41. Filtrate was used for further analysis. Experiments were run in duplicates. Doses of oxidant are outlined in Table </w:t>
      </w:r>
      <w:r w:rsidR="00EF249A">
        <w:t>3</w:t>
      </w:r>
      <w:r w:rsidR="001F1770">
        <w:t>.</w:t>
      </w:r>
    </w:p>
    <w:p w14:paraId="35A2C209" w14:textId="77777777" w:rsidR="00C77F85" w:rsidRPr="00C77F85" w:rsidRDefault="00C77F85" w:rsidP="00C77F85">
      <w:pPr>
        <w:pStyle w:val="Keywords"/>
        <w:rPr>
          <w:lang w:val="en-US"/>
        </w:rPr>
      </w:pPr>
    </w:p>
    <w:p w14:paraId="52793802" w14:textId="77777777" w:rsidR="00655B17" w:rsidRDefault="00655B17" w:rsidP="00655B17">
      <w:pPr>
        <w:pStyle w:val="RSCB08CHeadingIn-line"/>
        <w:rPr>
          <w:b w:val="0"/>
          <w:lang w:val="sl-SI"/>
        </w:rPr>
      </w:pPr>
      <w:bookmarkStart w:id="0" w:name="_Toc69227494"/>
    </w:p>
    <w:p w14:paraId="78BD5398" w14:textId="5DFB82F3" w:rsidR="00655B17" w:rsidRPr="0085094C" w:rsidRDefault="00655B17" w:rsidP="00655B17">
      <w:pPr>
        <w:pStyle w:val="RSCB08CHeadingIn-line"/>
        <w:rPr>
          <w:rFonts w:ascii="Times New Roman" w:hAnsi="Times New Roman" w:cs="Times New Roman"/>
          <w:b w:val="0"/>
          <w:sz w:val="22"/>
          <w:lang w:val="en-US"/>
        </w:rPr>
      </w:pPr>
      <w:r w:rsidRPr="0085094C">
        <w:rPr>
          <w:rFonts w:ascii="Times New Roman" w:hAnsi="Times New Roman" w:cs="Times New Roman"/>
          <w:b w:val="0"/>
          <w:sz w:val="22"/>
          <w:lang w:val="sl-SI"/>
        </w:rPr>
        <w:t xml:space="preserve">Table </w:t>
      </w:r>
      <w:r w:rsidR="00EF249A">
        <w:rPr>
          <w:rFonts w:ascii="Times New Roman" w:hAnsi="Times New Roman" w:cs="Times New Roman"/>
          <w:b w:val="0"/>
          <w:sz w:val="22"/>
          <w:lang w:val="sl-SI"/>
        </w:rPr>
        <w:t>3</w:t>
      </w:r>
      <w:r w:rsidRPr="0085094C">
        <w:rPr>
          <w:rFonts w:ascii="Times New Roman" w:hAnsi="Times New Roman" w:cs="Times New Roman"/>
          <w:b w:val="0"/>
          <w:sz w:val="22"/>
          <w:lang w:val="en-US"/>
        </w:rPr>
        <w:t xml:space="preserve">: Hydrogen peroxide doses </w:t>
      </w:r>
      <w:bookmarkEnd w:id="0"/>
      <w:r w:rsidRPr="0085094C">
        <w:rPr>
          <w:rFonts w:ascii="Times New Roman" w:hAnsi="Times New Roman" w:cs="Times New Roman"/>
          <w:b w:val="0"/>
          <w:sz w:val="22"/>
          <w:lang w:val="en-US"/>
        </w:rPr>
        <w:t>used at Fenton process.</w:t>
      </w:r>
    </w:p>
    <w:tbl>
      <w:tblPr>
        <w:tblStyle w:val="TableGridLight"/>
        <w:tblW w:w="7933" w:type="dxa"/>
        <w:jc w:val="right"/>
        <w:tblLook w:val="04A0" w:firstRow="1" w:lastRow="0" w:firstColumn="1" w:lastColumn="0" w:noHBand="0" w:noVBand="1"/>
      </w:tblPr>
      <w:tblGrid>
        <w:gridCol w:w="1243"/>
        <w:gridCol w:w="906"/>
        <w:gridCol w:w="1164"/>
        <w:gridCol w:w="1179"/>
        <w:gridCol w:w="1457"/>
        <w:gridCol w:w="1984"/>
      </w:tblGrid>
      <w:tr w:rsidR="0085094C" w:rsidRPr="0085094C" w14:paraId="606B3230" w14:textId="77777777" w:rsidTr="00F405F1">
        <w:trPr>
          <w:trHeight w:val="397"/>
          <w:jc w:val="right"/>
        </w:trPr>
        <w:tc>
          <w:tcPr>
            <w:tcW w:w="1243" w:type="dxa"/>
            <w:vMerge w:val="restart"/>
            <w:tcBorders>
              <w:top w:val="single" w:sz="4" w:space="0" w:color="auto"/>
              <w:right w:val="single" w:sz="4" w:space="0" w:color="auto"/>
            </w:tcBorders>
            <w:vAlign w:val="center"/>
          </w:tcPr>
          <w:p w14:paraId="123CEA4E"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rPr>
              <w:t>Experiment</w:t>
            </w:r>
          </w:p>
          <w:p w14:paraId="45F55E05" w14:textId="77777777" w:rsidR="00655B17" w:rsidRPr="0085094C" w:rsidRDefault="00655B17" w:rsidP="00145D0B">
            <w:pPr>
              <w:pStyle w:val="RSCB08CHeadingIn-line"/>
              <w:jc w:val="center"/>
              <w:rPr>
                <w:rFonts w:ascii="Times New Roman" w:hAnsi="Times New Roman" w:cs="Times New Roman"/>
                <w:b w:val="0"/>
                <w:sz w:val="22"/>
                <w:lang w:val="sl-SI"/>
              </w:rPr>
            </w:pPr>
          </w:p>
        </w:tc>
        <w:tc>
          <w:tcPr>
            <w:tcW w:w="906" w:type="dxa"/>
            <w:vMerge w:val="restart"/>
            <w:tcBorders>
              <w:top w:val="single" w:sz="4" w:space="0" w:color="auto"/>
              <w:right w:val="single" w:sz="4" w:space="0" w:color="auto"/>
            </w:tcBorders>
            <w:vAlign w:val="center"/>
          </w:tcPr>
          <w:p w14:paraId="7124BBAE"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V H</w:t>
            </w:r>
            <w:r w:rsidRPr="0085094C">
              <w:rPr>
                <w:rFonts w:ascii="Times New Roman" w:hAnsi="Times New Roman" w:cs="Times New Roman"/>
                <w:b w:val="0"/>
                <w:sz w:val="22"/>
                <w:vertAlign w:val="subscript"/>
                <w:lang w:val="sl-SI"/>
              </w:rPr>
              <w:t>2</w:t>
            </w:r>
            <w:r w:rsidRPr="0085094C">
              <w:rPr>
                <w:rFonts w:ascii="Times New Roman" w:hAnsi="Times New Roman" w:cs="Times New Roman"/>
                <w:b w:val="0"/>
                <w:sz w:val="22"/>
                <w:lang w:val="sl-SI"/>
              </w:rPr>
              <w:t>O</w:t>
            </w:r>
            <w:r w:rsidRPr="0085094C">
              <w:rPr>
                <w:rFonts w:ascii="Times New Roman" w:hAnsi="Times New Roman" w:cs="Times New Roman"/>
                <w:b w:val="0"/>
                <w:sz w:val="22"/>
                <w:vertAlign w:val="subscript"/>
                <w:lang w:val="sl-SI"/>
              </w:rPr>
              <w:t>2</w:t>
            </w:r>
          </w:p>
          <w:p w14:paraId="2941088F"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ml</w:t>
            </w:r>
          </w:p>
        </w:tc>
        <w:tc>
          <w:tcPr>
            <w:tcW w:w="3800" w:type="dxa"/>
            <w:gridSpan w:val="3"/>
            <w:tcBorders>
              <w:top w:val="single" w:sz="4" w:space="0" w:color="auto"/>
              <w:left w:val="single" w:sz="4" w:space="0" w:color="auto"/>
              <w:bottom w:val="single" w:sz="4" w:space="0" w:color="auto"/>
            </w:tcBorders>
            <w:vAlign w:val="center"/>
          </w:tcPr>
          <w:p w14:paraId="3EF223A6"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Dose H</w:t>
            </w:r>
            <w:r w:rsidRPr="0085094C">
              <w:rPr>
                <w:rFonts w:ascii="Times New Roman" w:hAnsi="Times New Roman" w:cs="Times New Roman"/>
                <w:b w:val="0"/>
                <w:sz w:val="22"/>
                <w:vertAlign w:val="subscript"/>
                <w:lang w:val="sl-SI"/>
              </w:rPr>
              <w:t>2</w:t>
            </w:r>
            <w:r w:rsidRPr="0085094C">
              <w:rPr>
                <w:rFonts w:ascii="Times New Roman" w:hAnsi="Times New Roman" w:cs="Times New Roman"/>
                <w:b w:val="0"/>
                <w:sz w:val="22"/>
                <w:lang w:val="sl-SI"/>
              </w:rPr>
              <w:t>O</w:t>
            </w:r>
            <w:r w:rsidRPr="0085094C">
              <w:rPr>
                <w:rFonts w:ascii="Times New Roman" w:hAnsi="Times New Roman" w:cs="Times New Roman"/>
                <w:b w:val="0"/>
                <w:sz w:val="22"/>
                <w:vertAlign w:val="subscript"/>
                <w:lang w:val="sl-SI"/>
              </w:rPr>
              <w:t>2</w:t>
            </w:r>
            <w:r w:rsidRPr="0085094C">
              <w:rPr>
                <w:rFonts w:ascii="Times New Roman" w:hAnsi="Times New Roman" w:cs="Times New Roman"/>
                <w:b w:val="0"/>
                <w:sz w:val="22"/>
                <w:lang w:val="sl-SI"/>
              </w:rPr>
              <w:t xml:space="preserve">* </w:t>
            </w:r>
            <w:r w:rsidRPr="0085094C">
              <w:rPr>
                <w:rFonts w:ascii="Times New Roman" w:hAnsi="Times New Roman" w:cs="Times New Roman"/>
                <w:b w:val="0"/>
                <w:sz w:val="22"/>
                <w:lang w:val="sl-SI"/>
              </w:rPr>
              <w:br/>
              <w:t>mol</w:t>
            </w:r>
            <w:r w:rsidRPr="0085094C">
              <w:rPr>
                <w:rFonts w:ascii="Times New Roman" w:hAnsi="Times New Roman" w:cs="Times New Roman"/>
                <w:b w:val="0"/>
                <w:sz w:val="22"/>
                <w:vertAlign w:val="subscript"/>
                <w:lang w:val="sl-SI"/>
              </w:rPr>
              <w:t>H2O2</w:t>
            </w:r>
            <w:r w:rsidRPr="0085094C">
              <w:rPr>
                <w:rFonts w:ascii="Times New Roman" w:hAnsi="Times New Roman" w:cs="Times New Roman"/>
                <w:b w:val="0"/>
                <w:sz w:val="22"/>
                <w:lang w:val="sl-SI"/>
              </w:rPr>
              <w:t xml:space="preserve"> mol</w:t>
            </w:r>
            <w:r w:rsidRPr="0085094C">
              <w:rPr>
                <w:rFonts w:ascii="Times New Roman" w:hAnsi="Times New Roman" w:cs="Times New Roman"/>
                <w:b w:val="0"/>
                <w:sz w:val="22"/>
                <w:vertAlign w:val="subscript"/>
                <w:lang w:val="sl-SI"/>
              </w:rPr>
              <w:t>COD</w:t>
            </w:r>
            <w:r w:rsidRPr="0085094C">
              <w:rPr>
                <w:rFonts w:ascii="Times New Roman" w:hAnsi="Times New Roman" w:cs="Times New Roman"/>
                <w:b w:val="0"/>
                <w:sz w:val="22"/>
                <w:vertAlign w:val="superscript"/>
                <w:lang w:val="sl-SI"/>
              </w:rPr>
              <w:t>-1</w:t>
            </w:r>
          </w:p>
        </w:tc>
        <w:tc>
          <w:tcPr>
            <w:tcW w:w="1984" w:type="dxa"/>
            <w:tcBorders>
              <w:top w:val="single" w:sz="4" w:space="0" w:color="auto"/>
              <w:left w:val="single" w:sz="4" w:space="0" w:color="auto"/>
              <w:bottom w:val="single" w:sz="4" w:space="0" w:color="auto"/>
            </w:tcBorders>
            <w:vAlign w:val="center"/>
          </w:tcPr>
          <w:p w14:paraId="6A4E7F01"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Dose H</w:t>
            </w:r>
            <w:r w:rsidRPr="0085094C">
              <w:rPr>
                <w:rFonts w:ascii="Times New Roman" w:hAnsi="Times New Roman" w:cs="Times New Roman"/>
                <w:b w:val="0"/>
                <w:sz w:val="22"/>
                <w:vertAlign w:val="subscript"/>
                <w:lang w:val="sl-SI"/>
              </w:rPr>
              <w:t>2</w:t>
            </w:r>
            <w:r w:rsidRPr="0085094C">
              <w:rPr>
                <w:rFonts w:ascii="Times New Roman" w:hAnsi="Times New Roman" w:cs="Times New Roman"/>
                <w:b w:val="0"/>
                <w:sz w:val="22"/>
                <w:lang w:val="sl-SI"/>
              </w:rPr>
              <w:t>O</w:t>
            </w:r>
            <w:r w:rsidRPr="0085094C">
              <w:rPr>
                <w:rFonts w:ascii="Times New Roman" w:hAnsi="Times New Roman" w:cs="Times New Roman"/>
                <w:b w:val="0"/>
                <w:sz w:val="22"/>
                <w:vertAlign w:val="subscript"/>
                <w:lang w:val="sl-SI"/>
              </w:rPr>
              <w:t>2</w:t>
            </w:r>
            <w:r w:rsidRPr="0085094C">
              <w:rPr>
                <w:rFonts w:ascii="Times New Roman" w:hAnsi="Times New Roman" w:cs="Times New Roman"/>
                <w:b w:val="0"/>
                <w:sz w:val="22"/>
                <w:lang w:val="sl-SI"/>
              </w:rPr>
              <w:t>**</w:t>
            </w:r>
            <w:r w:rsidRPr="0085094C">
              <w:rPr>
                <w:rFonts w:ascii="Times New Roman" w:hAnsi="Times New Roman" w:cs="Times New Roman"/>
                <w:b w:val="0"/>
                <w:sz w:val="22"/>
                <w:lang w:val="sl-SI"/>
              </w:rPr>
              <w:br/>
              <w:t>mg</w:t>
            </w:r>
            <w:r w:rsidRPr="0085094C">
              <w:rPr>
                <w:rFonts w:ascii="Times New Roman" w:hAnsi="Times New Roman" w:cs="Times New Roman"/>
                <w:b w:val="0"/>
                <w:sz w:val="22"/>
                <w:vertAlign w:val="subscript"/>
                <w:lang w:val="sl-SI"/>
              </w:rPr>
              <w:t>H2O2</w:t>
            </w:r>
            <w:r w:rsidRPr="0085094C">
              <w:rPr>
                <w:rFonts w:ascii="Times New Roman" w:hAnsi="Times New Roman" w:cs="Times New Roman"/>
                <w:b w:val="0"/>
                <w:sz w:val="22"/>
                <w:lang w:val="sl-SI"/>
              </w:rPr>
              <w:t xml:space="preserve"> g</w:t>
            </w:r>
            <w:r w:rsidRPr="0085094C">
              <w:rPr>
                <w:rFonts w:ascii="Times New Roman" w:hAnsi="Times New Roman" w:cs="Times New Roman"/>
                <w:b w:val="0"/>
                <w:sz w:val="22"/>
                <w:vertAlign w:val="subscript"/>
                <w:lang w:val="sl-SI"/>
              </w:rPr>
              <w:t>antibiotc</w:t>
            </w:r>
            <w:r w:rsidRPr="0085094C">
              <w:rPr>
                <w:rFonts w:ascii="Times New Roman" w:hAnsi="Times New Roman" w:cs="Times New Roman"/>
                <w:b w:val="0"/>
                <w:sz w:val="22"/>
                <w:vertAlign w:val="superscript"/>
                <w:lang w:val="sl-SI"/>
              </w:rPr>
              <w:t>-1</w:t>
            </w:r>
          </w:p>
        </w:tc>
      </w:tr>
      <w:tr w:rsidR="0085094C" w:rsidRPr="0085094C" w14:paraId="531CAAB9" w14:textId="77777777" w:rsidTr="00F405F1">
        <w:trPr>
          <w:trHeight w:val="397"/>
          <w:jc w:val="right"/>
        </w:trPr>
        <w:tc>
          <w:tcPr>
            <w:tcW w:w="1243" w:type="dxa"/>
            <w:vMerge/>
            <w:tcBorders>
              <w:bottom w:val="single" w:sz="4" w:space="0" w:color="auto"/>
              <w:right w:val="single" w:sz="4" w:space="0" w:color="auto"/>
            </w:tcBorders>
            <w:vAlign w:val="center"/>
          </w:tcPr>
          <w:p w14:paraId="0B7139B3" w14:textId="77777777" w:rsidR="00655B17" w:rsidRPr="0085094C" w:rsidRDefault="00655B17" w:rsidP="00145D0B">
            <w:pPr>
              <w:pStyle w:val="RSCB08CHeadingIn-line"/>
              <w:jc w:val="center"/>
              <w:rPr>
                <w:rFonts w:ascii="Times New Roman" w:hAnsi="Times New Roman" w:cs="Times New Roman"/>
                <w:b w:val="0"/>
                <w:sz w:val="22"/>
                <w:lang w:val="sl-SI"/>
              </w:rPr>
            </w:pPr>
          </w:p>
        </w:tc>
        <w:tc>
          <w:tcPr>
            <w:tcW w:w="906" w:type="dxa"/>
            <w:vMerge/>
            <w:tcBorders>
              <w:bottom w:val="single" w:sz="4" w:space="0" w:color="auto"/>
              <w:right w:val="single" w:sz="4" w:space="0" w:color="auto"/>
            </w:tcBorders>
            <w:vAlign w:val="center"/>
          </w:tcPr>
          <w:p w14:paraId="11BF4ED6" w14:textId="77777777" w:rsidR="00655B17" w:rsidRPr="0085094C" w:rsidRDefault="00655B17" w:rsidP="00145D0B">
            <w:pPr>
              <w:pStyle w:val="RSCB08CHeadingIn-line"/>
              <w:jc w:val="center"/>
              <w:rPr>
                <w:rFonts w:ascii="Times New Roman" w:hAnsi="Times New Roman" w:cs="Times New Roman"/>
                <w:b w:val="0"/>
                <w:sz w:val="22"/>
                <w:lang w:val="sl-SI"/>
              </w:rPr>
            </w:pPr>
          </w:p>
        </w:tc>
        <w:tc>
          <w:tcPr>
            <w:tcW w:w="1164" w:type="dxa"/>
            <w:tcBorders>
              <w:top w:val="single" w:sz="4" w:space="0" w:color="auto"/>
              <w:left w:val="single" w:sz="4" w:space="0" w:color="auto"/>
              <w:bottom w:val="single" w:sz="4" w:space="0" w:color="auto"/>
            </w:tcBorders>
            <w:vAlign w:val="bottom"/>
          </w:tcPr>
          <w:p w14:paraId="7340342B"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TML</w:t>
            </w:r>
          </w:p>
        </w:tc>
        <w:tc>
          <w:tcPr>
            <w:tcW w:w="1179" w:type="dxa"/>
            <w:tcBorders>
              <w:top w:val="single" w:sz="4" w:space="0" w:color="auto"/>
              <w:bottom w:val="single" w:sz="4" w:space="0" w:color="auto"/>
            </w:tcBorders>
            <w:vAlign w:val="bottom"/>
          </w:tcPr>
          <w:p w14:paraId="011E39F4"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LFX</w:t>
            </w:r>
          </w:p>
        </w:tc>
        <w:tc>
          <w:tcPr>
            <w:tcW w:w="1457" w:type="dxa"/>
            <w:tcBorders>
              <w:top w:val="single" w:sz="4" w:space="0" w:color="auto"/>
              <w:bottom w:val="single" w:sz="4" w:space="0" w:color="auto"/>
              <w:right w:val="single" w:sz="4" w:space="0" w:color="auto"/>
            </w:tcBorders>
            <w:vAlign w:val="bottom"/>
          </w:tcPr>
          <w:p w14:paraId="7FA20181"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AMX</w:t>
            </w:r>
          </w:p>
        </w:tc>
        <w:tc>
          <w:tcPr>
            <w:tcW w:w="1984" w:type="dxa"/>
            <w:tcBorders>
              <w:top w:val="single" w:sz="4" w:space="0" w:color="auto"/>
              <w:left w:val="single" w:sz="4" w:space="0" w:color="auto"/>
              <w:bottom w:val="single" w:sz="4" w:space="0" w:color="auto"/>
            </w:tcBorders>
            <w:vAlign w:val="bottom"/>
          </w:tcPr>
          <w:p w14:paraId="0520B717" w14:textId="77777777" w:rsidR="00655B17" w:rsidRPr="0085094C" w:rsidRDefault="00655B17" w:rsidP="00145D0B">
            <w:pPr>
              <w:pStyle w:val="RSCB08CHeadingIn-line"/>
              <w:jc w:val="center"/>
              <w:rPr>
                <w:rFonts w:ascii="Times New Roman" w:hAnsi="Times New Roman" w:cs="Times New Roman"/>
                <w:b w:val="0"/>
                <w:sz w:val="22"/>
              </w:rPr>
            </w:pPr>
            <w:r w:rsidRPr="0085094C">
              <w:rPr>
                <w:rFonts w:ascii="Times New Roman" w:hAnsi="Times New Roman" w:cs="Times New Roman"/>
                <w:b w:val="0"/>
                <w:sz w:val="22"/>
              </w:rPr>
              <w:t>All antibiotics</w:t>
            </w:r>
          </w:p>
        </w:tc>
      </w:tr>
      <w:tr w:rsidR="0085094C" w:rsidRPr="0085094C" w14:paraId="3C8043BB" w14:textId="77777777" w:rsidTr="00F405F1">
        <w:trPr>
          <w:trHeight w:val="397"/>
          <w:jc w:val="right"/>
        </w:trPr>
        <w:tc>
          <w:tcPr>
            <w:tcW w:w="1243" w:type="dxa"/>
            <w:tcBorders>
              <w:top w:val="single" w:sz="4" w:space="0" w:color="auto"/>
              <w:right w:val="single" w:sz="4" w:space="0" w:color="auto"/>
            </w:tcBorders>
            <w:vAlign w:val="center"/>
          </w:tcPr>
          <w:p w14:paraId="0DCE4BFC"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I.</w:t>
            </w:r>
          </w:p>
        </w:tc>
        <w:tc>
          <w:tcPr>
            <w:tcW w:w="906" w:type="dxa"/>
            <w:tcBorders>
              <w:top w:val="single" w:sz="4" w:space="0" w:color="auto"/>
              <w:right w:val="single" w:sz="4" w:space="0" w:color="auto"/>
            </w:tcBorders>
            <w:vAlign w:val="center"/>
          </w:tcPr>
          <w:p w14:paraId="3E45AEAE"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0.5</w:t>
            </w:r>
          </w:p>
        </w:tc>
        <w:tc>
          <w:tcPr>
            <w:tcW w:w="1164" w:type="dxa"/>
            <w:tcBorders>
              <w:top w:val="single" w:sz="4" w:space="0" w:color="auto"/>
              <w:left w:val="single" w:sz="4" w:space="0" w:color="auto"/>
            </w:tcBorders>
            <w:vAlign w:val="center"/>
          </w:tcPr>
          <w:p w14:paraId="124B2287"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0.9</w:t>
            </w:r>
          </w:p>
        </w:tc>
        <w:tc>
          <w:tcPr>
            <w:tcW w:w="1179" w:type="dxa"/>
            <w:tcBorders>
              <w:top w:val="single" w:sz="4" w:space="0" w:color="auto"/>
            </w:tcBorders>
            <w:vAlign w:val="center"/>
          </w:tcPr>
          <w:p w14:paraId="67785C4C"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1.1</w:t>
            </w:r>
          </w:p>
        </w:tc>
        <w:tc>
          <w:tcPr>
            <w:tcW w:w="1457" w:type="dxa"/>
            <w:tcBorders>
              <w:top w:val="single" w:sz="4" w:space="0" w:color="auto"/>
              <w:right w:val="single" w:sz="4" w:space="0" w:color="auto"/>
            </w:tcBorders>
            <w:vAlign w:val="center"/>
          </w:tcPr>
          <w:p w14:paraId="0F79C5D9"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1.1</w:t>
            </w:r>
          </w:p>
        </w:tc>
        <w:tc>
          <w:tcPr>
            <w:tcW w:w="1984" w:type="dxa"/>
            <w:tcBorders>
              <w:top w:val="single" w:sz="4" w:space="0" w:color="auto"/>
              <w:left w:val="single" w:sz="4" w:space="0" w:color="auto"/>
            </w:tcBorders>
            <w:vAlign w:val="center"/>
          </w:tcPr>
          <w:p w14:paraId="4DA7E16F"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2,081</w:t>
            </w:r>
          </w:p>
        </w:tc>
      </w:tr>
      <w:tr w:rsidR="0085094C" w:rsidRPr="0085094C" w14:paraId="08BDF1F5" w14:textId="77777777" w:rsidTr="00F405F1">
        <w:trPr>
          <w:trHeight w:val="397"/>
          <w:jc w:val="right"/>
        </w:trPr>
        <w:tc>
          <w:tcPr>
            <w:tcW w:w="1243" w:type="dxa"/>
            <w:tcBorders>
              <w:right w:val="single" w:sz="4" w:space="0" w:color="auto"/>
            </w:tcBorders>
            <w:vAlign w:val="center"/>
          </w:tcPr>
          <w:p w14:paraId="1FB31FB2"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II.</w:t>
            </w:r>
          </w:p>
        </w:tc>
        <w:tc>
          <w:tcPr>
            <w:tcW w:w="906" w:type="dxa"/>
            <w:tcBorders>
              <w:right w:val="single" w:sz="4" w:space="0" w:color="auto"/>
            </w:tcBorders>
            <w:vAlign w:val="center"/>
          </w:tcPr>
          <w:p w14:paraId="35D3C36F"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1.0</w:t>
            </w:r>
          </w:p>
        </w:tc>
        <w:tc>
          <w:tcPr>
            <w:tcW w:w="1164" w:type="dxa"/>
            <w:tcBorders>
              <w:left w:val="single" w:sz="4" w:space="0" w:color="auto"/>
            </w:tcBorders>
            <w:vAlign w:val="center"/>
          </w:tcPr>
          <w:p w14:paraId="17FD5603"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1.8</w:t>
            </w:r>
          </w:p>
        </w:tc>
        <w:tc>
          <w:tcPr>
            <w:tcW w:w="1179" w:type="dxa"/>
            <w:vAlign w:val="center"/>
          </w:tcPr>
          <w:p w14:paraId="6CD97F03"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2.1</w:t>
            </w:r>
          </w:p>
        </w:tc>
        <w:tc>
          <w:tcPr>
            <w:tcW w:w="1457" w:type="dxa"/>
            <w:tcBorders>
              <w:right w:val="single" w:sz="4" w:space="0" w:color="auto"/>
            </w:tcBorders>
            <w:vAlign w:val="center"/>
          </w:tcPr>
          <w:p w14:paraId="6EEA92B1"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2.2</w:t>
            </w:r>
          </w:p>
        </w:tc>
        <w:tc>
          <w:tcPr>
            <w:tcW w:w="1984" w:type="dxa"/>
            <w:tcBorders>
              <w:left w:val="single" w:sz="4" w:space="0" w:color="auto"/>
            </w:tcBorders>
            <w:vAlign w:val="center"/>
          </w:tcPr>
          <w:p w14:paraId="380A9334"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4,163</w:t>
            </w:r>
          </w:p>
        </w:tc>
      </w:tr>
      <w:tr w:rsidR="0085094C" w:rsidRPr="0085094C" w14:paraId="31365291" w14:textId="77777777" w:rsidTr="00F405F1">
        <w:trPr>
          <w:trHeight w:val="397"/>
          <w:jc w:val="right"/>
        </w:trPr>
        <w:tc>
          <w:tcPr>
            <w:tcW w:w="1243" w:type="dxa"/>
            <w:tcBorders>
              <w:bottom w:val="single" w:sz="4" w:space="0" w:color="BFBFBF" w:themeColor="background1" w:themeShade="BF"/>
              <w:right w:val="single" w:sz="4" w:space="0" w:color="auto"/>
            </w:tcBorders>
            <w:vAlign w:val="center"/>
          </w:tcPr>
          <w:p w14:paraId="79F80317"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III.</w:t>
            </w:r>
          </w:p>
        </w:tc>
        <w:tc>
          <w:tcPr>
            <w:tcW w:w="906" w:type="dxa"/>
            <w:tcBorders>
              <w:bottom w:val="single" w:sz="4" w:space="0" w:color="BFBFBF" w:themeColor="background1" w:themeShade="BF"/>
              <w:right w:val="single" w:sz="4" w:space="0" w:color="auto"/>
            </w:tcBorders>
            <w:vAlign w:val="center"/>
          </w:tcPr>
          <w:p w14:paraId="3A9B8750"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2.0</w:t>
            </w:r>
          </w:p>
        </w:tc>
        <w:tc>
          <w:tcPr>
            <w:tcW w:w="1164" w:type="dxa"/>
            <w:tcBorders>
              <w:left w:val="single" w:sz="4" w:space="0" w:color="auto"/>
              <w:bottom w:val="single" w:sz="4" w:space="0" w:color="BFBFBF" w:themeColor="background1" w:themeShade="BF"/>
            </w:tcBorders>
            <w:vAlign w:val="center"/>
          </w:tcPr>
          <w:p w14:paraId="7BA2C893"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3.6</w:t>
            </w:r>
          </w:p>
        </w:tc>
        <w:tc>
          <w:tcPr>
            <w:tcW w:w="1179" w:type="dxa"/>
            <w:tcBorders>
              <w:bottom w:val="single" w:sz="4" w:space="0" w:color="BFBFBF" w:themeColor="background1" w:themeShade="BF"/>
            </w:tcBorders>
            <w:vAlign w:val="center"/>
          </w:tcPr>
          <w:p w14:paraId="2EF5984E"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4.1</w:t>
            </w:r>
          </w:p>
        </w:tc>
        <w:tc>
          <w:tcPr>
            <w:tcW w:w="1457" w:type="dxa"/>
            <w:tcBorders>
              <w:bottom w:val="single" w:sz="4" w:space="0" w:color="BFBFBF" w:themeColor="background1" w:themeShade="BF"/>
              <w:right w:val="single" w:sz="4" w:space="0" w:color="auto"/>
            </w:tcBorders>
            <w:vAlign w:val="center"/>
          </w:tcPr>
          <w:p w14:paraId="1EE0A734"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4.4</w:t>
            </w:r>
          </w:p>
        </w:tc>
        <w:tc>
          <w:tcPr>
            <w:tcW w:w="1984" w:type="dxa"/>
            <w:tcBorders>
              <w:left w:val="single" w:sz="4" w:space="0" w:color="auto"/>
              <w:bottom w:val="single" w:sz="4" w:space="0" w:color="BFBFBF" w:themeColor="background1" w:themeShade="BF"/>
            </w:tcBorders>
            <w:vAlign w:val="center"/>
          </w:tcPr>
          <w:p w14:paraId="2B7B3894"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8,325</w:t>
            </w:r>
          </w:p>
        </w:tc>
      </w:tr>
      <w:tr w:rsidR="0085094C" w:rsidRPr="0085094C" w14:paraId="46BF5193" w14:textId="77777777" w:rsidTr="00F405F1">
        <w:trPr>
          <w:trHeight w:val="397"/>
          <w:jc w:val="right"/>
        </w:trPr>
        <w:tc>
          <w:tcPr>
            <w:tcW w:w="1243" w:type="dxa"/>
            <w:tcBorders>
              <w:bottom w:val="single" w:sz="4" w:space="0" w:color="auto"/>
              <w:right w:val="single" w:sz="4" w:space="0" w:color="auto"/>
            </w:tcBorders>
            <w:vAlign w:val="center"/>
          </w:tcPr>
          <w:p w14:paraId="0C0A657D"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IV.</w:t>
            </w:r>
          </w:p>
        </w:tc>
        <w:tc>
          <w:tcPr>
            <w:tcW w:w="906" w:type="dxa"/>
            <w:tcBorders>
              <w:bottom w:val="single" w:sz="4" w:space="0" w:color="auto"/>
              <w:right w:val="single" w:sz="4" w:space="0" w:color="auto"/>
            </w:tcBorders>
            <w:vAlign w:val="center"/>
          </w:tcPr>
          <w:p w14:paraId="05E4139A"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4.0</w:t>
            </w:r>
          </w:p>
        </w:tc>
        <w:tc>
          <w:tcPr>
            <w:tcW w:w="1164" w:type="dxa"/>
            <w:tcBorders>
              <w:left w:val="single" w:sz="4" w:space="0" w:color="auto"/>
              <w:bottom w:val="single" w:sz="4" w:space="0" w:color="auto"/>
            </w:tcBorders>
            <w:vAlign w:val="center"/>
          </w:tcPr>
          <w:p w14:paraId="19D0AE59"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7.1</w:t>
            </w:r>
          </w:p>
        </w:tc>
        <w:tc>
          <w:tcPr>
            <w:tcW w:w="1179" w:type="dxa"/>
            <w:tcBorders>
              <w:bottom w:val="single" w:sz="4" w:space="0" w:color="auto"/>
            </w:tcBorders>
            <w:vAlign w:val="center"/>
          </w:tcPr>
          <w:p w14:paraId="75BD5708"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8.5</w:t>
            </w:r>
          </w:p>
        </w:tc>
        <w:tc>
          <w:tcPr>
            <w:tcW w:w="1457" w:type="dxa"/>
            <w:tcBorders>
              <w:bottom w:val="single" w:sz="4" w:space="0" w:color="auto"/>
              <w:right w:val="single" w:sz="4" w:space="0" w:color="auto"/>
            </w:tcBorders>
            <w:vAlign w:val="center"/>
          </w:tcPr>
          <w:p w14:paraId="7BC0D1C7"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8.8</w:t>
            </w:r>
          </w:p>
        </w:tc>
        <w:tc>
          <w:tcPr>
            <w:tcW w:w="1984" w:type="dxa"/>
            <w:tcBorders>
              <w:left w:val="single" w:sz="4" w:space="0" w:color="auto"/>
              <w:bottom w:val="single" w:sz="4" w:space="0" w:color="auto"/>
            </w:tcBorders>
            <w:vAlign w:val="center"/>
          </w:tcPr>
          <w:p w14:paraId="2F3CB382" w14:textId="77777777" w:rsidR="00655B17" w:rsidRPr="0085094C" w:rsidRDefault="00655B17" w:rsidP="00145D0B">
            <w:pPr>
              <w:pStyle w:val="RSCB08CHeadingIn-line"/>
              <w:jc w:val="center"/>
              <w:rPr>
                <w:rFonts w:ascii="Times New Roman" w:hAnsi="Times New Roman" w:cs="Times New Roman"/>
                <w:b w:val="0"/>
                <w:sz w:val="22"/>
                <w:lang w:val="sl-SI"/>
              </w:rPr>
            </w:pPr>
            <w:r w:rsidRPr="0085094C">
              <w:rPr>
                <w:rFonts w:ascii="Times New Roman" w:hAnsi="Times New Roman" w:cs="Times New Roman"/>
                <w:b w:val="0"/>
                <w:sz w:val="22"/>
                <w:lang w:val="sl-SI"/>
              </w:rPr>
              <w:t>16,650</w:t>
            </w:r>
          </w:p>
        </w:tc>
      </w:tr>
    </w:tbl>
    <w:p w14:paraId="34A95BF4" w14:textId="6026A98A" w:rsidR="00655B17" w:rsidRPr="0085094C" w:rsidRDefault="00655B17" w:rsidP="00655B17">
      <w:pPr>
        <w:pStyle w:val="RSCB08CHeadingIn-line"/>
        <w:ind w:left="564"/>
        <w:rPr>
          <w:rFonts w:ascii="Times New Roman" w:hAnsi="Times New Roman" w:cs="Times New Roman"/>
          <w:b w:val="0"/>
          <w:sz w:val="20"/>
          <w:szCs w:val="20"/>
          <w:lang w:val="en-US"/>
        </w:rPr>
      </w:pPr>
      <w:r w:rsidRPr="0085094C">
        <w:rPr>
          <w:rFonts w:ascii="Times New Roman" w:hAnsi="Times New Roman" w:cs="Times New Roman"/>
          <w:b w:val="0"/>
          <w:sz w:val="20"/>
          <w:szCs w:val="20"/>
          <w:lang w:val="en-US"/>
        </w:rPr>
        <w:t xml:space="preserve">   *Calculated according to the initial COD of the antibiotic solution. </w:t>
      </w:r>
      <w:r w:rsidRPr="0085094C">
        <w:rPr>
          <w:rFonts w:ascii="Times New Roman" w:hAnsi="Times New Roman" w:cs="Times New Roman"/>
          <w:b w:val="0"/>
          <w:sz w:val="20"/>
          <w:szCs w:val="20"/>
          <w:lang w:val="en-US"/>
        </w:rPr>
        <w:br/>
        <w:t xml:space="preserve">** Calculated according to the initial mass of the antibiotic in the solution, the same </w:t>
      </w:r>
      <w:r w:rsidR="0025372C">
        <w:rPr>
          <w:rFonts w:ascii="Times New Roman" w:hAnsi="Times New Roman" w:cs="Times New Roman"/>
          <w:b w:val="0"/>
          <w:sz w:val="20"/>
          <w:szCs w:val="20"/>
          <w:lang w:val="en-US"/>
        </w:rPr>
        <w:t>f</w:t>
      </w:r>
      <w:r w:rsidRPr="0085094C">
        <w:rPr>
          <w:rFonts w:ascii="Times New Roman" w:hAnsi="Times New Roman" w:cs="Times New Roman"/>
          <w:b w:val="0"/>
          <w:sz w:val="20"/>
          <w:szCs w:val="20"/>
          <w:lang w:val="en-US"/>
        </w:rPr>
        <w:t>or all antibiotics.</w:t>
      </w:r>
    </w:p>
    <w:p w14:paraId="514FF741" w14:textId="10CA9C6B" w:rsidR="00370B0E" w:rsidRDefault="00370B0E" w:rsidP="0028390B">
      <w:pPr>
        <w:pStyle w:val="Newparagraph"/>
        <w:rPr>
          <w:lang w:val="en-US"/>
        </w:rPr>
      </w:pPr>
    </w:p>
    <w:p w14:paraId="39D33698" w14:textId="77777777" w:rsidR="00C77F85" w:rsidRPr="00C77F85" w:rsidRDefault="00C77F85" w:rsidP="00C77F85">
      <w:pPr>
        <w:pStyle w:val="ListParagraph"/>
        <w:numPr>
          <w:ilvl w:val="0"/>
          <w:numId w:val="34"/>
        </w:numPr>
        <w:contextualSpacing w:val="0"/>
        <w:rPr>
          <w:b/>
          <w:vanish/>
        </w:rPr>
      </w:pPr>
    </w:p>
    <w:p w14:paraId="5FB11E98" w14:textId="77777777" w:rsidR="00C77F85" w:rsidRPr="00C77F85" w:rsidRDefault="00C77F85" w:rsidP="00C77F85">
      <w:pPr>
        <w:pStyle w:val="ListParagraph"/>
        <w:numPr>
          <w:ilvl w:val="0"/>
          <w:numId w:val="34"/>
        </w:numPr>
        <w:contextualSpacing w:val="0"/>
        <w:rPr>
          <w:b/>
          <w:vanish/>
        </w:rPr>
      </w:pPr>
    </w:p>
    <w:p w14:paraId="0C16AE58" w14:textId="77777777" w:rsidR="00C77F85" w:rsidRPr="00C77F85" w:rsidRDefault="00C77F85" w:rsidP="00C77F85">
      <w:pPr>
        <w:pStyle w:val="ListParagraph"/>
        <w:numPr>
          <w:ilvl w:val="1"/>
          <w:numId w:val="34"/>
        </w:numPr>
        <w:contextualSpacing w:val="0"/>
        <w:rPr>
          <w:b/>
          <w:vanish/>
        </w:rPr>
      </w:pPr>
    </w:p>
    <w:p w14:paraId="59427EAC" w14:textId="77777777" w:rsidR="00C77F85" w:rsidRPr="00C77F85" w:rsidRDefault="00C77F85" w:rsidP="00C77F85">
      <w:pPr>
        <w:pStyle w:val="ListParagraph"/>
        <w:numPr>
          <w:ilvl w:val="1"/>
          <w:numId w:val="34"/>
        </w:numPr>
        <w:contextualSpacing w:val="0"/>
        <w:rPr>
          <w:b/>
          <w:vanish/>
        </w:rPr>
      </w:pPr>
    </w:p>
    <w:p w14:paraId="6FABFB51" w14:textId="5D2B17F2" w:rsidR="0085094C" w:rsidRPr="00B3046B" w:rsidRDefault="0085094C" w:rsidP="00C77F85">
      <w:pPr>
        <w:pStyle w:val="Newparagraph"/>
        <w:numPr>
          <w:ilvl w:val="1"/>
          <w:numId w:val="34"/>
        </w:numPr>
        <w:rPr>
          <w:b/>
        </w:rPr>
      </w:pPr>
      <w:r w:rsidRPr="00B3046B">
        <w:rPr>
          <w:b/>
        </w:rPr>
        <w:t>Analytical methods</w:t>
      </w:r>
    </w:p>
    <w:p w14:paraId="33D53602" w14:textId="08C26162" w:rsidR="0085094C" w:rsidRPr="0085094C" w:rsidRDefault="0085094C" w:rsidP="00C77F85">
      <w:pPr>
        <w:pStyle w:val="Abstract"/>
        <w:ind w:left="0"/>
      </w:pPr>
      <w:r w:rsidRPr="0085094C">
        <w:t>The degradation rate of all selected antibiotics</w:t>
      </w:r>
      <w:r w:rsidR="00E75C4A">
        <w:t xml:space="preserve"> before and after the oxidation</w:t>
      </w:r>
      <w:r w:rsidRPr="0085094C">
        <w:t xml:space="preserve"> was </w:t>
      </w:r>
      <w:r w:rsidR="000C37A4">
        <w:t>evaluated</w:t>
      </w:r>
      <w:r w:rsidR="000C37A4" w:rsidRPr="0085094C">
        <w:t xml:space="preserve"> </w:t>
      </w:r>
      <w:r w:rsidRPr="0085094C">
        <w:t>by measuring COD and TOC, according to</w:t>
      </w:r>
      <w:r w:rsidR="00330CAC">
        <w:t xml:space="preserve"> standard ISO methods 6060:1989 </w:t>
      </w:r>
      <w:r w:rsidRPr="0085094C">
        <w:t>and 8245:1999</w:t>
      </w:r>
      <w:r w:rsidR="00D94788">
        <w:t>.</w:t>
      </w:r>
      <w:r w:rsidR="00D94788" w:rsidRPr="00D94788">
        <w:rPr>
          <w:vertAlign w:val="superscript"/>
        </w:rPr>
        <w:t>1</w:t>
      </w:r>
      <w:r w:rsidR="00D94788">
        <w:rPr>
          <w:vertAlign w:val="superscript"/>
        </w:rPr>
        <w:t xml:space="preserve">4, </w:t>
      </w:r>
      <w:r w:rsidR="00D94788" w:rsidRPr="00D94788">
        <w:rPr>
          <w:vertAlign w:val="superscript"/>
        </w:rPr>
        <w:t>15</w:t>
      </w:r>
      <w:r w:rsidRPr="0085094C">
        <w:t xml:space="preserve"> Actual concentrations of the antibiotics were not </w:t>
      </w:r>
      <w:r w:rsidR="000C37A4">
        <w:t>measured</w:t>
      </w:r>
      <w:r w:rsidRPr="0085094C">
        <w:t>. Biodegradability was assessed according to ISO 9408:1999</w:t>
      </w:r>
      <w:r w:rsidR="00D94788">
        <w:t xml:space="preserve"> </w:t>
      </w:r>
      <w:r w:rsidRPr="0085094C">
        <w:t>method.</w:t>
      </w:r>
      <w:r w:rsidR="00D94788" w:rsidRPr="00D94788">
        <w:rPr>
          <w:vertAlign w:val="superscript"/>
        </w:rPr>
        <w:t>16</w:t>
      </w:r>
      <w:r w:rsidRPr="0085094C">
        <w:t xml:space="preserve"> This method evaluates the ultimate aerobic biodegradability of organic compounds, by determining oxygen demand in a closed respirometer, using aerobic microorganisms. Solution</w:t>
      </w:r>
      <w:r w:rsidR="00EE3B83">
        <w:t xml:space="preserve"> (150 mL)</w:t>
      </w:r>
      <w:r w:rsidRPr="0085094C">
        <w:t xml:space="preserve"> of investigated antibiotic (400 mg L</w:t>
      </w:r>
      <w:r w:rsidRPr="0085094C">
        <w:rPr>
          <w:vertAlign w:val="superscript"/>
        </w:rPr>
        <w:t>-1</w:t>
      </w:r>
      <w:r w:rsidRPr="0085094C">
        <w:t>) was added to non-adapted activated sludge microorganisms (30 mg</w:t>
      </w:r>
      <w:r w:rsidR="00235BB3">
        <w:t xml:space="preserve"> </w:t>
      </w:r>
      <w:r w:rsidRPr="0085094C">
        <w:rPr>
          <w:vertAlign w:val="subscript"/>
        </w:rPr>
        <w:t>VSS</w:t>
      </w:r>
      <w:r w:rsidRPr="0085094C">
        <w:t xml:space="preserve"> L</w:t>
      </w:r>
      <w:r w:rsidRPr="0085094C">
        <w:rPr>
          <w:vertAlign w:val="superscript"/>
        </w:rPr>
        <w:t>-1</w:t>
      </w:r>
      <w:r w:rsidRPr="0085094C">
        <w:t>)</w:t>
      </w:r>
      <w:r w:rsidR="00E75C4A">
        <w:t>, including</w:t>
      </w:r>
      <w:r w:rsidRPr="0085094C">
        <w:t xml:space="preserve"> nutrient mineral solution</w:t>
      </w:r>
      <w:r w:rsidR="00EE3B83">
        <w:t xml:space="preserve"> (6.5 mL)</w:t>
      </w:r>
      <w:r w:rsidRPr="0085094C">
        <w:t xml:space="preserve"> and stirred in a closed flask</w:t>
      </w:r>
      <w:r w:rsidR="00EE3B83">
        <w:t xml:space="preserve"> (total volume 500 mL)</w:t>
      </w:r>
      <w:r w:rsidRPr="0085094C">
        <w:t xml:space="preserve">. The degradation was followed over a period of 22 days by measuring oxygen consumption as a consequence of biodegradation. </w:t>
      </w:r>
      <w:r w:rsidR="00E75C4A">
        <w:t xml:space="preserve">Activated sludge microorganisms were </w:t>
      </w:r>
      <w:r w:rsidR="00246069">
        <w:t>taken from a municipal wastewater treatment plant of Ljubljana</w:t>
      </w:r>
      <w:r w:rsidR="006833BC">
        <w:t xml:space="preserve"> city</w:t>
      </w:r>
      <w:r w:rsidR="00246069">
        <w:t>, Slovenia.</w:t>
      </w:r>
      <w:r w:rsidR="003F2B3E">
        <w:t xml:space="preserve"> Overall m</w:t>
      </w:r>
      <w:r w:rsidR="003F2B3E" w:rsidRPr="003F2B3E">
        <w:t xml:space="preserve">easuring accuracy was ±2% for the TOC, ±4% for the COD and ±6% for the biodegradabilty. </w:t>
      </w:r>
    </w:p>
    <w:p w14:paraId="39230C47" w14:textId="4D41F49E" w:rsidR="00C0226C" w:rsidRDefault="00C0226C" w:rsidP="0085094C">
      <w:pPr>
        <w:pStyle w:val="Newparagraph"/>
        <w:ind w:firstLine="0"/>
        <w:rPr>
          <w:lang w:val="en-US"/>
        </w:rPr>
      </w:pPr>
    </w:p>
    <w:p w14:paraId="71BC8CD7" w14:textId="0E702682" w:rsidR="00B3046B" w:rsidRDefault="00B3046B" w:rsidP="00C77F85">
      <w:pPr>
        <w:pStyle w:val="Paragraph"/>
        <w:numPr>
          <w:ilvl w:val="0"/>
          <w:numId w:val="31"/>
        </w:numPr>
        <w:rPr>
          <w:rFonts w:cs="Arial"/>
          <w:b/>
          <w:bCs/>
          <w:kern w:val="32"/>
          <w:szCs w:val="32"/>
        </w:rPr>
      </w:pPr>
      <w:r w:rsidRPr="00B3046B">
        <w:rPr>
          <w:rFonts w:cs="Arial"/>
          <w:b/>
          <w:bCs/>
          <w:kern w:val="32"/>
          <w:szCs w:val="32"/>
        </w:rPr>
        <w:t>Results and discussion</w:t>
      </w:r>
    </w:p>
    <w:p w14:paraId="26F1D2D4" w14:textId="77777777" w:rsidR="00C77F85" w:rsidRPr="00C77F85" w:rsidRDefault="00C77F85" w:rsidP="00C77F85">
      <w:pPr>
        <w:pStyle w:val="ListParagraph"/>
        <w:numPr>
          <w:ilvl w:val="0"/>
          <w:numId w:val="35"/>
        </w:numPr>
        <w:spacing w:line="240" w:lineRule="auto"/>
        <w:rPr>
          <w:b/>
          <w:i/>
          <w:vanish/>
        </w:rPr>
      </w:pPr>
    </w:p>
    <w:p w14:paraId="6043D352" w14:textId="77777777" w:rsidR="00C77F85" w:rsidRPr="00C77F85" w:rsidRDefault="00C77F85" w:rsidP="00C77F85">
      <w:pPr>
        <w:pStyle w:val="ListParagraph"/>
        <w:numPr>
          <w:ilvl w:val="0"/>
          <w:numId w:val="35"/>
        </w:numPr>
        <w:spacing w:line="240" w:lineRule="auto"/>
        <w:rPr>
          <w:b/>
          <w:i/>
          <w:vanish/>
        </w:rPr>
      </w:pPr>
    </w:p>
    <w:p w14:paraId="4529C105" w14:textId="77777777" w:rsidR="00C77F85" w:rsidRPr="00C77F85" w:rsidRDefault="00C77F85" w:rsidP="00C77F85">
      <w:pPr>
        <w:pStyle w:val="ListParagraph"/>
        <w:numPr>
          <w:ilvl w:val="0"/>
          <w:numId w:val="35"/>
        </w:numPr>
        <w:spacing w:line="240" w:lineRule="auto"/>
        <w:rPr>
          <w:b/>
          <w:i/>
          <w:vanish/>
        </w:rPr>
      </w:pPr>
    </w:p>
    <w:p w14:paraId="0178A299" w14:textId="250ED5B8" w:rsidR="00B3046B" w:rsidRPr="00C77F85" w:rsidRDefault="00B3046B" w:rsidP="00C77F85">
      <w:pPr>
        <w:pStyle w:val="ListParagraph"/>
        <w:numPr>
          <w:ilvl w:val="1"/>
          <w:numId w:val="35"/>
        </w:numPr>
        <w:spacing w:line="240" w:lineRule="auto"/>
        <w:rPr>
          <w:b/>
          <w:i/>
        </w:rPr>
      </w:pPr>
      <w:r w:rsidRPr="00C77F85">
        <w:rPr>
          <w:b/>
          <w:i/>
        </w:rPr>
        <w:t>Ozonation</w:t>
      </w:r>
    </w:p>
    <w:p w14:paraId="401681D3" w14:textId="0300ED61" w:rsidR="00F405F1" w:rsidRDefault="00C83312" w:rsidP="00C77F85">
      <w:pPr>
        <w:pStyle w:val="Abstract"/>
        <w:ind w:left="0"/>
        <w:rPr>
          <w:b/>
          <w:noProof/>
          <w:lang w:eastAsia="en-US"/>
        </w:rPr>
      </w:pPr>
      <w:r>
        <w:rPr>
          <w:noProof/>
          <w:lang w:eastAsia="en-US"/>
        </w:rPr>
        <mc:AlternateContent>
          <mc:Choice Requires="wps">
            <w:drawing>
              <wp:anchor distT="0" distB="0" distL="114300" distR="114300" simplePos="0" relativeHeight="251658243" behindDoc="0" locked="0" layoutInCell="1" allowOverlap="1" wp14:anchorId="6C603E0F" wp14:editId="3858FB81">
                <wp:simplePos x="0" y="0"/>
                <wp:positionH relativeFrom="margin">
                  <wp:posOffset>-90170</wp:posOffset>
                </wp:positionH>
                <wp:positionV relativeFrom="paragraph">
                  <wp:posOffset>3036570</wp:posOffset>
                </wp:positionV>
                <wp:extent cx="5779770" cy="635"/>
                <wp:effectExtent l="0" t="0" r="0" b="8890"/>
                <wp:wrapTopAndBottom/>
                <wp:docPr id="11" name="Text Box 11"/>
                <wp:cNvGraphicFramePr/>
                <a:graphic xmlns:a="http://schemas.openxmlformats.org/drawingml/2006/main">
                  <a:graphicData uri="http://schemas.microsoft.com/office/word/2010/wordprocessingShape">
                    <wps:wsp>
                      <wps:cNvSpPr txBox="1"/>
                      <wps:spPr>
                        <a:xfrm>
                          <a:off x="0" y="0"/>
                          <a:ext cx="5779770" cy="635"/>
                        </a:xfrm>
                        <a:prstGeom prst="rect">
                          <a:avLst/>
                        </a:prstGeom>
                        <a:solidFill>
                          <a:prstClr val="white"/>
                        </a:solidFill>
                        <a:ln>
                          <a:noFill/>
                        </a:ln>
                      </wps:spPr>
                      <wps:txbx>
                        <w:txbxContent>
                          <w:p w14:paraId="0F43BF2C" w14:textId="2695FE65" w:rsidR="00AB6476" w:rsidRPr="0055369B" w:rsidRDefault="00AB6476" w:rsidP="00F974F5">
                            <w:pPr>
                              <w:pStyle w:val="Caption"/>
                              <w:pBdr>
                                <w:top w:val="single" w:sz="4" w:space="1" w:color="auto"/>
                              </w:pBdr>
                              <w:jc w:val="center"/>
                              <w:rPr>
                                <w:b/>
                                <w:color w:val="auto"/>
                                <w:sz w:val="22"/>
                                <w:szCs w:val="22"/>
                              </w:rPr>
                            </w:pPr>
                            <w:r w:rsidRPr="0055369B">
                              <w:rPr>
                                <w:color w:val="auto"/>
                                <w:sz w:val="22"/>
                                <w:szCs w:val="22"/>
                              </w:rPr>
                              <w:t xml:space="preserve">Figure </w:t>
                            </w:r>
                            <w:r>
                              <w:rPr>
                                <w:noProof/>
                                <w:color w:val="auto"/>
                                <w:sz w:val="22"/>
                                <w:szCs w:val="22"/>
                              </w:rPr>
                              <w:t>2</w:t>
                            </w:r>
                            <w:r w:rsidRPr="0055369B">
                              <w:rPr>
                                <w:color w:val="auto"/>
                                <w:sz w:val="22"/>
                                <w:szCs w:val="22"/>
                              </w:rPr>
                              <w:t>: Comparison of COD and TOC removal yields in ozonation experiments with antibiotics</w:t>
                            </w:r>
                            <w:r w:rsidR="00C83312">
                              <w:rPr>
                                <w:color w:val="auto"/>
                                <w:sz w:val="22"/>
                                <w:szCs w:val="22"/>
                              </w:rPr>
                              <w:t xml:space="preserve"> </w:t>
                            </w:r>
                            <w:r w:rsidR="00C83312">
                              <w:rPr>
                                <w:color w:val="auto"/>
                                <w:sz w:val="22"/>
                                <w:szCs w:val="22"/>
                              </w:rPr>
                              <w:br/>
                            </w:r>
                            <w:r w:rsidRPr="00215B5A">
                              <w:rPr>
                                <w:color w:val="auto"/>
                                <w:sz w:val="22"/>
                                <w:szCs w:val="22"/>
                              </w:rPr>
                              <w:t>(100 mg L</w:t>
                            </w:r>
                            <w:r w:rsidRPr="00215B5A">
                              <w:rPr>
                                <w:color w:val="auto"/>
                                <w:sz w:val="22"/>
                                <w:szCs w:val="22"/>
                                <w:vertAlign w:val="superscript"/>
                              </w:rPr>
                              <w:t>-1</w:t>
                            </w:r>
                            <w:r w:rsidRPr="00215B5A">
                              <w:rPr>
                                <w:color w:val="auto"/>
                                <w:sz w:val="22"/>
                                <w:szCs w:val="22"/>
                              </w:rPr>
                              <w:t xml:space="preserve"> of antibiotics)</w:t>
                            </w:r>
                            <w:r w:rsidRPr="0055369B">
                              <w:rPr>
                                <w:color w:val="auto"/>
                                <w:sz w:val="22"/>
                                <w:szCs w:val="22"/>
                              </w:rPr>
                              <w:t>; A - tiamulin; B – levofloxacin; C – amoxicillin.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603E0F" id="Text Box 11" o:spid="_x0000_s1028" type="#_x0000_t202" style="position:absolute;left:0;text-align:left;margin-left:-7.1pt;margin-top:239.1pt;width:455.1pt;height:.0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" stroked="f">
                <v:textbox style="mso-fit-shape-to-text:t" inset="0,0,0,0">
                  <w:txbxContent>
                    <w:p w14:paraId="0F43BF2C" w14:textId="2695FE65" w:rsidR="00AB6476" w:rsidRPr="0055369B" w:rsidRDefault="00AB6476" w:rsidP="00F974F5">
                      <w:pPr>
                        <w:pStyle w:val="Caption"/>
                        <w:pBdr>
                          <w:top w:val="single" w:sz="4" w:space="1" w:color="auto"/>
                        </w:pBdr>
                        <w:jc w:val="center"/>
                        <w:rPr>
                          <w:b/>
                          <w:color w:val="auto"/>
                          <w:sz w:val="22"/>
                          <w:szCs w:val="22"/>
                        </w:rPr>
                      </w:pPr>
                      <w:r w:rsidRPr="0055369B">
                        <w:rPr>
                          <w:color w:val="auto"/>
                          <w:sz w:val="22"/>
                          <w:szCs w:val="22"/>
                        </w:rPr>
                        <w:t xml:space="preserve">Figure </w:t>
                      </w:r>
                      <w:r>
                        <w:rPr>
                          <w:noProof/>
                          <w:color w:val="auto"/>
                          <w:sz w:val="22"/>
                          <w:szCs w:val="22"/>
                        </w:rPr>
                        <w:t>2</w:t>
                      </w:r>
                      <w:r w:rsidRPr="0055369B">
                        <w:rPr>
                          <w:color w:val="auto"/>
                          <w:sz w:val="22"/>
                          <w:szCs w:val="22"/>
                        </w:rPr>
                        <w:t>: Comparison of COD and TOC removal yields in ozonation experiments with antibiotics</w:t>
                      </w:r>
                      <w:r w:rsidR="00C83312">
                        <w:rPr>
                          <w:color w:val="auto"/>
                          <w:sz w:val="22"/>
                          <w:szCs w:val="22"/>
                        </w:rPr>
                        <w:t xml:space="preserve"> </w:t>
                      </w:r>
                      <w:r w:rsidR="00C83312">
                        <w:rPr>
                          <w:color w:val="auto"/>
                          <w:sz w:val="22"/>
                          <w:szCs w:val="22"/>
                        </w:rPr>
                        <w:br/>
                      </w:r>
                      <w:r w:rsidRPr="00215B5A">
                        <w:rPr>
                          <w:color w:val="auto"/>
                          <w:sz w:val="22"/>
                          <w:szCs w:val="22"/>
                        </w:rPr>
                        <w:t>(100 mg L</w:t>
                      </w:r>
                      <w:r w:rsidRPr="00215B5A">
                        <w:rPr>
                          <w:color w:val="auto"/>
                          <w:sz w:val="22"/>
                          <w:szCs w:val="22"/>
                          <w:vertAlign w:val="superscript"/>
                        </w:rPr>
                        <w:t>-1</w:t>
                      </w:r>
                      <w:r w:rsidRPr="00215B5A">
                        <w:rPr>
                          <w:color w:val="auto"/>
                          <w:sz w:val="22"/>
                          <w:szCs w:val="22"/>
                        </w:rPr>
                        <w:t xml:space="preserve"> of antibiotics)</w:t>
                      </w:r>
                      <w:r w:rsidRPr="0055369B">
                        <w:rPr>
                          <w:color w:val="auto"/>
                          <w:sz w:val="22"/>
                          <w:szCs w:val="22"/>
                        </w:rPr>
                        <w:t>; A - tiamulin; B – levofloxacin; C – amoxicillin.</w:t>
                      </w:r>
                    </w:p>
                  </w:txbxContent>
                </v:textbox>
                <w10:wrap type="topAndBottom" anchorx="margin"/>
              </v:shape>
            </w:pict>
          </mc:Fallback>
        </mc:AlternateContent>
      </w:r>
      <w:r w:rsidRPr="00B3046B">
        <w:rPr>
          <w:b/>
          <w:noProof/>
          <w:lang w:eastAsia="en-US"/>
        </w:rPr>
        <w:drawing>
          <wp:anchor distT="0" distB="0" distL="114300" distR="114300" simplePos="0" relativeHeight="251658250" behindDoc="0" locked="0" layoutInCell="1" allowOverlap="1" wp14:anchorId="7E7E8AD7" wp14:editId="66F2A07A">
            <wp:simplePos x="0" y="0"/>
            <wp:positionH relativeFrom="column">
              <wp:posOffset>-426085</wp:posOffset>
            </wp:positionH>
            <wp:positionV relativeFrom="paragraph">
              <wp:posOffset>974090</wp:posOffset>
            </wp:positionV>
            <wp:extent cx="6119495" cy="200723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200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46B" w:rsidRPr="00B3046B">
        <w:t xml:space="preserve">COD and TOC removal yields in ozonation experiments for all three investigated antibiotics are shown in Figure </w:t>
      </w:r>
      <w:r w:rsidR="00372809">
        <w:t>2</w:t>
      </w:r>
      <w:r w:rsidR="00B3046B" w:rsidRPr="00B3046B">
        <w:t>. pH remained constant during the process.</w:t>
      </w:r>
      <w:r w:rsidR="00F405F1" w:rsidRPr="00F405F1">
        <w:rPr>
          <w:b/>
          <w:noProof/>
          <w:lang w:eastAsia="en-US"/>
        </w:rPr>
        <w:t xml:space="preserve"> </w:t>
      </w:r>
    </w:p>
    <w:p w14:paraId="3692A58F" w14:textId="12E036C0" w:rsidR="00C83312" w:rsidRPr="00C83312" w:rsidRDefault="00C83312" w:rsidP="00C83312">
      <w:pPr>
        <w:pStyle w:val="Keywords"/>
        <w:ind w:left="0"/>
        <w:rPr>
          <w:lang w:val="en-US" w:eastAsia="en-US"/>
        </w:rPr>
      </w:pPr>
    </w:p>
    <w:p w14:paraId="0A0EE036" w14:textId="5A373C32" w:rsidR="00B3046B" w:rsidRDefault="00B3046B" w:rsidP="00C77F85">
      <w:pPr>
        <w:pStyle w:val="Abstract"/>
        <w:ind w:left="0"/>
      </w:pPr>
      <w:r w:rsidRPr="00B3046B">
        <w:t xml:space="preserve">Figure </w:t>
      </w:r>
      <w:r w:rsidR="00EF249A">
        <w:t>2</w:t>
      </w:r>
      <w:r w:rsidR="00EF249A" w:rsidRPr="00B3046B">
        <w:t xml:space="preserve"> </w:t>
      </w:r>
      <w:r w:rsidRPr="00B3046B">
        <w:t>(A-C) shows that the maximum incremental effect is achieved with the smallest dose of 0.1 mol</w:t>
      </w:r>
      <w:r w:rsidRPr="00B3046B">
        <w:rPr>
          <w:vertAlign w:val="subscript"/>
        </w:rPr>
        <w:t>ozone</w:t>
      </w:r>
      <w:r w:rsidRPr="00B3046B">
        <w:t>mol</w:t>
      </w:r>
      <w:r w:rsidRPr="00B3046B">
        <w:rPr>
          <w:vertAlign w:val="subscript"/>
        </w:rPr>
        <w:t>COD</w:t>
      </w:r>
      <w:r w:rsidRPr="00B3046B">
        <w:rPr>
          <w:vertAlign w:val="superscript"/>
        </w:rPr>
        <w:t>-1</w:t>
      </w:r>
      <w:r w:rsidRPr="00B3046B">
        <w:t xml:space="preserve">. At this dose, a COD reduction of 15% is achieved with TML (Fig </w:t>
      </w:r>
      <w:r w:rsidR="00EF249A">
        <w:t>2</w:t>
      </w:r>
      <w:r w:rsidR="00EF249A" w:rsidRPr="00B3046B">
        <w:t xml:space="preserve"> </w:t>
      </w:r>
      <w:r w:rsidRPr="00B3046B">
        <w:t xml:space="preserve">A), 49% with LFX (Fig </w:t>
      </w:r>
      <w:r w:rsidR="00EF249A">
        <w:t>2</w:t>
      </w:r>
      <w:r w:rsidR="00EF249A" w:rsidRPr="00B3046B">
        <w:t xml:space="preserve"> </w:t>
      </w:r>
      <w:r w:rsidRPr="00B3046B">
        <w:t xml:space="preserve">B) and 42% with AMX (Fig </w:t>
      </w:r>
      <w:r w:rsidR="00EF249A">
        <w:t>2</w:t>
      </w:r>
      <w:r w:rsidR="00EF249A" w:rsidRPr="00B3046B">
        <w:t xml:space="preserve"> </w:t>
      </w:r>
      <w:r w:rsidRPr="00B3046B">
        <w:t xml:space="preserve">C). TOC reduction is 10%, 29% and 8% for TML, LFX and AMX, respectively. A double or even quadruple dose of ozone did not lead to proportionally larger effect; a fourfold dose </w:t>
      </w:r>
      <w:r w:rsidR="00235BB3">
        <w:t xml:space="preserve">size </w:t>
      </w:r>
      <w:r w:rsidRPr="00B3046B">
        <w:t xml:space="preserve">resulted in doubled effect </w:t>
      </w:r>
      <w:r w:rsidR="00235BB3">
        <w:t>of</w:t>
      </w:r>
      <w:r w:rsidR="00235BB3" w:rsidRPr="00B3046B">
        <w:t xml:space="preserve"> </w:t>
      </w:r>
      <w:r w:rsidRPr="00B3046B">
        <w:t xml:space="preserve">COD removal for TML, and 1.7 times larger </w:t>
      </w:r>
      <w:r w:rsidR="00235BB3">
        <w:t>removal</w:t>
      </w:r>
      <w:r w:rsidR="00235BB3" w:rsidRPr="00B3046B">
        <w:t xml:space="preserve"> </w:t>
      </w:r>
      <w:r w:rsidRPr="00B3046B">
        <w:t xml:space="preserve">with LFX and AMX. The increase in TOC reduction effect was 1.6-fold for TML and LFX and 1.9-fold for AMX. </w:t>
      </w:r>
    </w:p>
    <w:p w14:paraId="3B32D88E" w14:textId="06B9741B" w:rsidR="00E23BD8" w:rsidRDefault="00C83312" w:rsidP="00C83312">
      <w:pPr>
        <w:pStyle w:val="Abstract"/>
        <w:ind w:left="0"/>
      </w:pPr>
      <w:r>
        <w:rPr>
          <w:noProof/>
          <w:lang w:eastAsia="en-US"/>
        </w:rPr>
        <mc:AlternateContent>
          <mc:Choice Requires="wps">
            <w:drawing>
              <wp:anchor distT="0" distB="0" distL="114300" distR="114300" simplePos="0" relativeHeight="251660300" behindDoc="0" locked="0" layoutInCell="1" allowOverlap="1" wp14:anchorId="1A518554" wp14:editId="766CA59D">
                <wp:simplePos x="0" y="0"/>
                <wp:positionH relativeFrom="margin">
                  <wp:posOffset>-165735</wp:posOffset>
                </wp:positionH>
                <wp:positionV relativeFrom="paragraph">
                  <wp:posOffset>3193415</wp:posOffset>
                </wp:positionV>
                <wp:extent cx="5828030" cy="635"/>
                <wp:effectExtent l="0" t="0" r="1270" b="8890"/>
                <wp:wrapTopAndBottom/>
                <wp:docPr id="5" name="Text Box 5"/>
                <wp:cNvGraphicFramePr/>
                <a:graphic xmlns:a="http://schemas.openxmlformats.org/drawingml/2006/main">
                  <a:graphicData uri="http://schemas.microsoft.com/office/word/2010/wordprocessingShape">
                    <wps:wsp>
                      <wps:cNvSpPr txBox="1"/>
                      <wps:spPr>
                        <a:xfrm>
                          <a:off x="0" y="0"/>
                          <a:ext cx="5828030" cy="635"/>
                        </a:xfrm>
                        <a:prstGeom prst="rect">
                          <a:avLst/>
                        </a:prstGeom>
                        <a:solidFill>
                          <a:prstClr val="white"/>
                        </a:solidFill>
                        <a:ln>
                          <a:noFill/>
                        </a:ln>
                      </wps:spPr>
                      <wps:txbx>
                        <w:txbxContent>
                          <w:p w14:paraId="6331CB6D" w14:textId="7B886310" w:rsidR="00C83312" w:rsidRPr="0055369B" w:rsidRDefault="00C83312" w:rsidP="00C83312">
                            <w:pPr>
                              <w:pStyle w:val="Caption"/>
                              <w:pBdr>
                                <w:top w:val="single" w:sz="4" w:space="1" w:color="auto"/>
                              </w:pBdr>
                              <w:jc w:val="center"/>
                              <w:rPr>
                                <w:b/>
                                <w:color w:val="auto"/>
                                <w:sz w:val="22"/>
                                <w:szCs w:val="22"/>
                              </w:rPr>
                            </w:pPr>
                            <w:r w:rsidRPr="0055369B">
                              <w:rPr>
                                <w:color w:val="auto"/>
                                <w:sz w:val="22"/>
                                <w:szCs w:val="22"/>
                              </w:rPr>
                              <w:t xml:space="preserve">Figure </w:t>
                            </w:r>
                            <w:r>
                              <w:rPr>
                                <w:noProof/>
                                <w:color w:val="auto"/>
                                <w:sz w:val="22"/>
                                <w:szCs w:val="22"/>
                              </w:rPr>
                              <w:t>3</w:t>
                            </w:r>
                            <w:r w:rsidRPr="0055369B">
                              <w:rPr>
                                <w:color w:val="auto"/>
                                <w:sz w:val="22"/>
                                <w:szCs w:val="22"/>
                              </w:rPr>
                              <w:t xml:space="preserve">: </w:t>
                            </w:r>
                            <w:r w:rsidRPr="00C83312">
                              <w:rPr>
                                <w:color w:val="auto"/>
                                <w:sz w:val="22"/>
                                <w:szCs w:val="22"/>
                              </w:rPr>
                              <w:t xml:space="preserve">Biodegradability before and after ozonation (100 mg L-1 of antibiotics): A - tiamulin; </w:t>
                            </w:r>
                            <w:r>
                              <w:rPr>
                                <w:color w:val="auto"/>
                                <w:sz w:val="22"/>
                                <w:szCs w:val="22"/>
                              </w:rPr>
                              <w:br/>
                            </w:r>
                            <w:r w:rsidRPr="00C83312">
                              <w:rPr>
                                <w:color w:val="auto"/>
                                <w:sz w:val="22"/>
                                <w:szCs w:val="22"/>
                              </w:rPr>
                              <w:t>B – levofloxacin; C – amoxicillin</w:t>
                            </w:r>
                            <w:r w:rsidRPr="0055369B">
                              <w:rPr>
                                <w:color w:val="auto"/>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518554" id="Text Box 5" o:spid="_x0000_s1029" type="#_x0000_t202" style="position:absolute;left:0;text-align:left;margin-left:-13.05pt;margin-top:251.45pt;width:458.9pt;height:.05pt;z-index:2516603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" stroked="f">
                <v:textbox style="mso-fit-shape-to-text:t" inset="0,0,0,0">
                  <w:txbxContent>
                    <w:p w14:paraId="6331CB6D" w14:textId="7B886310" w:rsidR="00C83312" w:rsidRPr="0055369B" w:rsidRDefault="00C83312" w:rsidP="00C83312">
                      <w:pPr>
                        <w:pStyle w:val="Caption"/>
                        <w:pBdr>
                          <w:top w:val="single" w:sz="4" w:space="1" w:color="auto"/>
                        </w:pBdr>
                        <w:jc w:val="center"/>
                        <w:rPr>
                          <w:b/>
                          <w:color w:val="auto"/>
                          <w:sz w:val="22"/>
                          <w:szCs w:val="22"/>
                        </w:rPr>
                      </w:pPr>
                      <w:r w:rsidRPr="0055369B">
                        <w:rPr>
                          <w:color w:val="auto"/>
                          <w:sz w:val="22"/>
                          <w:szCs w:val="22"/>
                        </w:rPr>
                        <w:t xml:space="preserve">Figure </w:t>
                      </w:r>
                      <w:r>
                        <w:rPr>
                          <w:noProof/>
                          <w:color w:val="auto"/>
                          <w:sz w:val="22"/>
                          <w:szCs w:val="22"/>
                        </w:rPr>
                        <w:t>3</w:t>
                      </w:r>
                      <w:r w:rsidRPr="0055369B">
                        <w:rPr>
                          <w:color w:val="auto"/>
                          <w:sz w:val="22"/>
                          <w:szCs w:val="22"/>
                        </w:rPr>
                        <w:t xml:space="preserve">: </w:t>
                      </w:r>
                      <w:r w:rsidRPr="00C83312">
                        <w:rPr>
                          <w:color w:val="auto"/>
                          <w:sz w:val="22"/>
                          <w:szCs w:val="22"/>
                        </w:rPr>
                        <w:t xml:space="preserve">Biodegradability before and after ozonation (100 mg L-1 of antibiotics): A - tiamulin; </w:t>
                      </w:r>
                      <w:r>
                        <w:rPr>
                          <w:color w:val="auto"/>
                          <w:sz w:val="22"/>
                          <w:szCs w:val="22"/>
                        </w:rPr>
                        <w:br/>
                      </w:r>
                      <w:r w:rsidRPr="00C83312">
                        <w:rPr>
                          <w:color w:val="auto"/>
                          <w:sz w:val="22"/>
                          <w:szCs w:val="22"/>
                        </w:rPr>
                        <w:t>B – levofloxacin; C – amoxicillin</w:t>
                      </w:r>
                      <w:r w:rsidRPr="0055369B">
                        <w:rPr>
                          <w:color w:val="auto"/>
                          <w:sz w:val="22"/>
                          <w:szCs w:val="22"/>
                        </w:rPr>
                        <w:t>.</w:t>
                      </w:r>
                    </w:p>
                  </w:txbxContent>
                </v:textbox>
                <w10:wrap type="topAndBottom" anchorx="margin"/>
              </v:shape>
            </w:pict>
          </mc:Fallback>
        </mc:AlternateContent>
      </w:r>
      <w:r>
        <w:rPr>
          <w:rFonts w:cs="Arial"/>
          <w:noProof/>
          <w:szCs w:val="20"/>
          <w:lang w:eastAsia="en-US"/>
        </w:rPr>
        <w:drawing>
          <wp:anchor distT="0" distB="0" distL="114300" distR="114300" simplePos="0" relativeHeight="251658244" behindDoc="0" locked="0" layoutInCell="1" allowOverlap="1" wp14:anchorId="47E7CFB7" wp14:editId="5BD8A8E4">
            <wp:simplePos x="0" y="0"/>
            <wp:positionH relativeFrom="column">
              <wp:posOffset>-460028</wp:posOffset>
            </wp:positionH>
            <wp:positionV relativeFrom="paragraph">
              <wp:posOffset>1004570</wp:posOffset>
            </wp:positionV>
            <wp:extent cx="6120000" cy="2029958"/>
            <wp:effectExtent l="0" t="0" r="0"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0" cy="2029958"/>
                    </a:xfrm>
                    <a:prstGeom prst="rect">
                      <a:avLst/>
                    </a:prstGeom>
                    <a:noFill/>
                    <a:ln>
                      <a:noFill/>
                    </a:ln>
                  </pic:spPr>
                </pic:pic>
              </a:graphicData>
            </a:graphic>
            <wp14:sizeRelH relativeFrom="page">
              <wp14:pctWidth>0</wp14:pctWidth>
            </wp14:sizeRelH>
            <wp14:sizeRelV relativeFrom="page">
              <wp14:pctHeight>0</wp14:pctHeight>
            </wp14:sizeRelV>
          </wp:anchor>
        </w:drawing>
      </w:r>
      <w:r w:rsidR="00B3046B" w:rsidRPr="00B3046B">
        <w:t xml:space="preserve">Since ozonation is considered primarily as a pretreatment method prior to biological treatment, its effect on biodegradation is particularly important, </w:t>
      </w:r>
      <w:r w:rsidR="00186E4E">
        <w:t>which is shown in Figure</w:t>
      </w:r>
      <w:r w:rsidR="00B3046B" w:rsidRPr="00B3046B">
        <w:t xml:space="preserve"> </w:t>
      </w:r>
      <w:r w:rsidR="00EF249A">
        <w:t>3</w:t>
      </w:r>
      <w:r w:rsidR="00B3046B" w:rsidRPr="00B3046B">
        <w:t xml:space="preserve">. </w:t>
      </w:r>
    </w:p>
    <w:p w14:paraId="5FD2A61B" w14:textId="12766A89" w:rsidR="0055369B" w:rsidRPr="0055369B" w:rsidRDefault="0055369B" w:rsidP="00C77F85">
      <w:pPr>
        <w:pStyle w:val="Abstract"/>
        <w:ind w:left="0"/>
      </w:pPr>
      <w:r w:rsidRPr="0055369B">
        <w:t xml:space="preserve">As Figure </w:t>
      </w:r>
      <w:r w:rsidR="00EF249A">
        <w:t>3</w:t>
      </w:r>
      <w:r w:rsidR="00EF249A" w:rsidRPr="0055369B">
        <w:t xml:space="preserve"> </w:t>
      </w:r>
      <w:r w:rsidRPr="0055369B">
        <w:t>(A-C) shows, analogous to the removal of COD or TOC, a double dose (0.2 vs. 0.4 mol ozone per mol</w:t>
      </w:r>
      <w:r w:rsidRPr="0055369B">
        <w:rPr>
          <w:vertAlign w:val="subscript"/>
        </w:rPr>
        <w:t>COD</w:t>
      </w:r>
      <w:r w:rsidRPr="0055369B">
        <w:rPr>
          <w:vertAlign w:val="superscript"/>
        </w:rPr>
        <w:t>-1</w:t>
      </w:r>
      <w:r w:rsidRPr="0055369B">
        <w:t xml:space="preserve">) did not significantly affect the change in biodegradability. At both doses, TML biodegradability improves from less than 20 to 60% and for LFX from non-biodegradable to </w:t>
      </w:r>
      <w:r w:rsidR="00042FDA" w:rsidRPr="0055369B">
        <w:t>completely biodegradable</w:t>
      </w:r>
      <w:r w:rsidRPr="0055369B">
        <w:t xml:space="preserve">. According to the studies of El Naijar et al. (2013) and Andreozzi et al. (2005) </w:t>
      </w:r>
      <w:r w:rsidR="001B07E2">
        <w:t>where</w:t>
      </w:r>
      <w:r w:rsidR="001B07E2" w:rsidRPr="0055369B">
        <w:t xml:space="preserve"> </w:t>
      </w:r>
      <w:r w:rsidRPr="0055369B">
        <w:t>oxidative degradation of LFX and AMX</w:t>
      </w:r>
      <w:r w:rsidR="001B07E2" w:rsidRPr="001B07E2">
        <w:t xml:space="preserve"> </w:t>
      </w:r>
      <w:r w:rsidR="001B07E2">
        <w:t xml:space="preserve">was </w:t>
      </w:r>
      <w:r w:rsidR="001B07E2" w:rsidRPr="0055369B">
        <w:t>studied</w:t>
      </w:r>
      <w:r w:rsidRPr="0055369B">
        <w:t>, complex organic molecules react with ozone in a direct or indirect way to the point where products</w:t>
      </w:r>
      <w:r w:rsidR="001B07E2">
        <w:t xml:space="preserve"> are formed,</w:t>
      </w:r>
      <w:r w:rsidRPr="0055369B">
        <w:t xml:space="preserve"> that do not react with ozone </w:t>
      </w:r>
      <w:r w:rsidR="00042FDA">
        <w:t>anymore</w:t>
      </w:r>
      <w:r w:rsidRPr="0055369B">
        <w:t>. For this reason, further increase in ozone dose delivers no significant improvement in COD</w:t>
      </w:r>
      <w:r w:rsidR="00042FDA">
        <w:t xml:space="preserve"> or </w:t>
      </w:r>
      <w:r w:rsidRPr="0055369B">
        <w:t>TOC removal</w:t>
      </w:r>
      <w:r w:rsidR="00615593">
        <w:t xml:space="preserve">, as </w:t>
      </w:r>
      <w:r w:rsidRPr="0055369B">
        <w:t xml:space="preserve">noticed in our </w:t>
      </w:r>
      <w:r w:rsidR="00042FDA">
        <w:t>study</w:t>
      </w:r>
      <w:r w:rsidR="00615593">
        <w:t>, too</w:t>
      </w:r>
      <w:r w:rsidRPr="0055369B">
        <w:t xml:space="preserve">. Furthermore, biodegradability of AMX after ozonation is lower (from 100 to 80%), which could be due to a product of ozonation (2-amino-2-(p-hidroxyphenyl)aceto acid) which exhibits lower biodegradability </w:t>
      </w:r>
      <w:r w:rsidR="00385055">
        <w:t xml:space="preserve">than the parent molecule </w:t>
      </w:r>
      <w:r w:rsidRPr="0055369B">
        <w:t xml:space="preserve">(Andreozzi et al. 2005).  </w:t>
      </w:r>
      <w:r w:rsidR="00866011" w:rsidRPr="00866011">
        <w:t xml:space="preserve">The </w:t>
      </w:r>
      <w:r w:rsidR="00866011">
        <w:t>bio</w:t>
      </w:r>
      <w:r w:rsidR="00866011" w:rsidRPr="00866011">
        <w:t xml:space="preserve">degradation was followed over a period of 22 days although in most cases, maximal level of biodegradation was reached within 14 days. </w:t>
      </w:r>
      <w:r w:rsidR="001776D1">
        <w:t>A</w:t>
      </w:r>
      <w:r w:rsidR="001776D1" w:rsidRPr="001776D1">
        <w:t xml:space="preserve">biotic degradation of all three antibiotics was </w:t>
      </w:r>
      <w:r w:rsidR="001776D1">
        <w:t>checked and found to be &lt;</w:t>
      </w:r>
      <w:r w:rsidR="001776D1" w:rsidRPr="001776D1">
        <w:t xml:space="preserve"> 2%</w:t>
      </w:r>
      <w:r w:rsidR="001776D1">
        <w:t xml:space="preserve"> which confirms that</w:t>
      </w:r>
      <w:r w:rsidR="001776D1" w:rsidRPr="001776D1">
        <w:t xml:space="preserve"> measured degradation </w:t>
      </w:r>
      <w:r w:rsidR="001776D1">
        <w:t>is not related to any non-biological,</w:t>
      </w:r>
      <w:r w:rsidR="001776D1" w:rsidRPr="001776D1">
        <w:t xml:space="preserve"> physicochemical processes.</w:t>
      </w:r>
    </w:p>
    <w:p w14:paraId="0E5E6BCA" w14:textId="4F1272A3" w:rsidR="0055369B" w:rsidRPr="0055369B" w:rsidRDefault="0055369B" w:rsidP="00C77F85">
      <w:pPr>
        <w:pStyle w:val="Abstract"/>
        <w:ind w:left="0"/>
        <w:rPr>
          <w:bCs/>
        </w:rPr>
      </w:pPr>
      <w:r w:rsidRPr="0055369B">
        <w:t xml:space="preserve">Combining the data from Figures </w:t>
      </w:r>
      <w:r w:rsidR="00EF249A">
        <w:t>2</w:t>
      </w:r>
      <w:r w:rsidR="00EF249A" w:rsidRPr="0055369B">
        <w:t xml:space="preserve"> </w:t>
      </w:r>
      <w:r w:rsidRPr="0055369B">
        <w:t xml:space="preserve">and </w:t>
      </w:r>
      <w:r w:rsidR="00EF249A">
        <w:t>3</w:t>
      </w:r>
      <w:r w:rsidRPr="0055369B">
        <w:t>, it can be assumed that for the pretreatment of the antibiotics TML and LFX, a dose of ozone 0.22 mol</w:t>
      </w:r>
      <w:r w:rsidRPr="0055369B">
        <w:rPr>
          <w:vertAlign w:val="subscript"/>
        </w:rPr>
        <w:t>ozone</w:t>
      </w:r>
      <w:r w:rsidRPr="0055369B">
        <w:t>mol</w:t>
      </w:r>
      <w:r w:rsidRPr="0055369B">
        <w:rPr>
          <w:vertAlign w:val="subscript"/>
        </w:rPr>
        <w:t>COD</w:t>
      </w:r>
      <w:r w:rsidRPr="0055369B">
        <w:rPr>
          <w:vertAlign w:val="superscript"/>
        </w:rPr>
        <w:t>-1</w:t>
      </w:r>
      <w:r w:rsidRPr="0055369B">
        <w:t xml:space="preserve"> is sufficient </w:t>
      </w:r>
      <w:r w:rsidR="00042FDA">
        <w:t>to</w:t>
      </w:r>
      <w:r w:rsidR="00042FDA" w:rsidRPr="0055369B">
        <w:t xml:space="preserve"> achiev</w:t>
      </w:r>
      <w:r w:rsidR="00042FDA">
        <w:t>e</w:t>
      </w:r>
      <w:r w:rsidR="00042FDA" w:rsidRPr="0055369B">
        <w:t xml:space="preserve"> </w:t>
      </w:r>
      <w:r w:rsidRPr="0055369B">
        <w:t xml:space="preserve">a significant biodegradability improvement (TML to 60% and LFX </w:t>
      </w:r>
      <w:r w:rsidR="00385055">
        <w:t xml:space="preserve">to </w:t>
      </w:r>
      <w:r w:rsidRPr="0055369B">
        <w:t xml:space="preserve">100%). Furthermore, COD was reduced by 23% in the case of TML (Fig </w:t>
      </w:r>
      <w:r w:rsidR="00EF249A">
        <w:t>2</w:t>
      </w:r>
      <w:r w:rsidR="00EF249A" w:rsidRPr="0055369B">
        <w:t xml:space="preserve"> </w:t>
      </w:r>
      <w:r w:rsidRPr="0055369B">
        <w:t xml:space="preserve">A) and by 64% in the case of LFX (Fig </w:t>
      </w:r>
      <w:r w:rsidR="00EF249A">
        <w:t>2</w:t>
      </w:r>
      <w:r w:rsidR="00EF249A" w:rsidRPr="0055369B">
        <w:t xml:space="preserve"> </w:t>
      </w:r>
      <w:r w:rsidRPr="0055369B">
        <w:t xml:space="preserve">B); TOC was reduced by 13% in the case of TML (Fig </w:t>
      </w:r>
      <w:r w:rsidR="00EF249A">
        <w:t>2</w:t>
      </w:r>
      <w:r w:rsidR="00EF249A" w:rsidRPr="0055369B">
        <w:t xml:space="preserve"> </w:t>
      </w:r>
      <w:r w:rsidRPr="0055369B">
        <w:t xml:space="preserve">A) and by 39% in the case of LFX (Fig </w:t>
      </w:r>
      <w:r w:rsidR="00EF249A">
        <w:t>2</w:t>
      </w:r>
      <w:r w:rsidR="00EF249A" w:rsidRPr="0055369B">
        <w:t xml:space="preserve"> </w:t>
      </w:r>
      <w:r w:rsidRPr="0055369B">
        <w:t xml:space="preserve">B). Considering the </w:t>
      </w:r>
      <w:r w:rsidR="00042FDA">
        <w:t>reduction o</w:t>
      </w:r>
      <w:r w:rsidRPr="0055369B">
        <w:t>f biodegradation</w:t>
      </w:r>
      <w:r w:rsidR="00042FDA">
        <w:t xml:space="preserve"> of AMX</w:t>
      </w:r>
      <w:r w:rsidRPr="0055369B">
        <w:t xml:space="preserve"> </w:t>
      </w:r>
      <w:r w:rsidR="00042FDA">
        <w:t xml:space="preserve">after ozonation </w:t>
      </w:r>
      <w:r w:rsidRPr="0055369B">
        <w:t>(</w:t>
      </w:r>
      <w:r w:rsidR="00042FDA">
        <w:t xml:space="preserve">from </w:t>
      </w:r>
      <w:r w:rsidRPr="0055369B">
        <w:t>100</w:t>
      </w:r>
      <w:r w:rsidR="00042FDA">
        <w:t xml:space="preserve"> to </w:t>
      </w:r>
      <w:r w:rsidRPr="0055369B">
        <w:t>82 % at 0.22  mol</w:t>
      </w:r>
      <w:r w:rsidRPr="0055369B">
        <w:rPr>
          <w:vertAlign w:val="subscript"/>
        </w:rPr>
        <w:t>ozone</w:t>
      </w:r>
      <w:r w:rsidRPr="0055369B">
        <w:t>mol</w:t>
      </w:r>
      <w:r w:rsidRPr="0055369B">
        <w:rPr>
          <w:vertAlign w:val="subscript"/>
        </w:rPr>
        <w:t>COD</w:t>
      </w:r>
      <w:r w:rsidRPr="0055369B">
        <w:rPr>
          <w:vertAlign w:val="superscript"/>
        </w:rPr>
        <w:t>-1</w:t>
      </w:r>
      <w:r w:rsidRPr="0055369B">
        <w:t xml:space="preserve"> and </w:t>
      </w:r>
      <w:r w:rsidR="00042FDA">
        <w:t xml:space="preserve">from </w:t>
      </w:r>
      <w:r w:rsidRPr="0055369B">
        <w:t>100</w:t>
      </w:r>
      <w:r w:rsidR="00042FDA">
        <w:t xml:space="preserve"> to </w:t>
      </w:r>
      <w:r w:rsidRPr="0055369B">
        <w:t>91 % at 0.44 mol</w:t>
      </w:r>
      <w:r w:rsidRPr="0055369B">
        <w:rPr>
          <w:vertAlign w:val="subscript"/>
        </w:rPr>
        <w:t>ozone</w:t>
      </w:r>
      <w:r w:rsidRPr="0055369B">
        <w:t>mol</w:t>
      </w:r>
      <w:r w:rsidRPr="0055369B">
        <w:rPr>
          <w:vertAlign w:val="subscript"/>
        </w:rPr>
        <w:t>COD</w:t>
      </w:r>
      <w:r w:rsidRPr="0055369B">
        <w:rPr>
          <w:vertAlign w:val="superscript"/>
        </w:rPr>
        <w:t>-1</w:t>
      </w:r>
      <w:r w:rsidRPr="0055369B">
        <w:t xml:space="preserve">; Fig </w:t>
      </w:r>
      <w:r w:rsidR="00EF249A">
        <w:t>3</w:t>
      </w:r>
      <w:r w:rsidR="00EF249A" w:rsidRPr="0055369B">
        <w:t xml:space="preserve"> </w:t>
      </w:r>
      <w:r w:rsidRPr="0055369B">
        <w:t>C),</w:t>
      </w:r>
      <w:r w:rsidR="00042FDA">
        <w:t xml:space="preserve"> ozonation is of no value here,</w:t>
      </w:r>
      <w:r w:rsidRPr="0055369B">
        <w:t xml:space="preserve"> although the biodegradation process begins earlier (</w:t>
      </w:r>
      <w:r w:rsidR="00385055">
        <w:t xml:space="preserve">in two days) comparing to the </w:t>
      </w:r>
      <w:r w:rsidR="0082714C">
        <w:t xml:space="preserve">start of biodegradation of </w:t>
      </w:r>
      <w:r w:rsidR="00385055">
        <w:t>parent molecule (six days).</w:t>
      </w:r>
      <w:r w:rsidRPr="0055369B">
        <w:rPr>
          <w:bCs/>
        </w:rPr>
        <w:t xml:space="preserve"> </w:t>
      </w:r>
    </w:p>
    <w:p w14:paraId="3EAA7D8A" w14:textId="77777777" w:rsidR="00C77F85" w:rsidRPr="00C77F85" w:rsidRDefault="00C77F85" w:rsidP="00C77F85">
      <w:pPr>
        <w:pStyle w:val="ListParagraph"/>
        <w:numPr>
          <w:ilvl w:val="0"/>
          <w:numId w:val="36"/>
        </w:numPr>
        <w:contextualSpacing w:val="0"/>
        <w:rPr>
          <w:b/>
          <w:i/>
          <w:vanish/>
        </w:rPr>
      </w:pPr>
    </w:p>
    <w:p w14:paraId="47A8D9F2" w14:textId="77777777" w:rsidR="00C77F85" w:rsidRPr="00C77F85" w:rsidRDefault="00C77F85" w:rsidP="00C77F85">
      <w:pPr>
        <w:pStyle w:val="ListParagraph"/>
        <w:numPr>
          <w:ilvl w:val="0"/>
          <w:numId w:val="36"/>
        </w:numPr>
        <w:contextualSpacing w:val="0"/>
        <w:rPr>
          <w:b/>
          <w:i/>
          <w:vanish/>
        </w:rPr>
      </w:pPr>
    </w:p>
    <w:p w14:paraId="18840E62" w14:textId="77777777" w:rsidR="00C77F85" w:rsidRPr="00C77F85" w:rsidRDefault="00C77F85" w:rsidP="00C77F85">
      <w:pPr>
        <w:pStyle w:val="ListParagraph"/>
        <w:numPr>
          <w:ilvl w:val="0"/>
          <w:numId w:val="36"/>
        </w:numPr>
        <w:contextualSpacing w:val="0"/>
        <w:rPr>
          <w:b/>
          <w:i/>
          <w:vanish/>
        </w:rPr>
      </w:pPr>
    </w:p>
    <w:p w14:paraId="3768C708" w14:textId="77777777" w:rsidR="00C77F85" w:rsidRPr="00C77F85" w:rsidRDefault="00C77F85" w:rsidP="00C77F85">
      <w:pPr>
        <w:pStyle w:val="ListParagraph"/>
        <w:numPr>
          <w:ilvl w:val="1"/>
          <w:numId w:val="36"/>
        </w:numPr>
        <w:contextualSpacing w:val="0"/>
        <w:rPr>
          <w:b/>
          <w:i/>
          <w:vanish/>
        </w:rPr>
      </w:pPr>
    </w:p>
    <w:p w14:paraId="0704C788" w14:textId="1D288AFD" w:rsidR="00B576E9" w:rsidRPr="00B576E9" w:rsidRDefault="00B576E9" w:rsidP="00C77F85">
      <w:pPr>
        <w:pStyle w:val="Newparagraph"/>
        <w:numPr>
          <w:ilvl w:val="1"/>
          <w:numId w:val="36"/>
        </w:numPr>
        <w:rPr>
          <w:b/>
          <w:i/>
          <w:lang w:val="en-US"/>
        </w:rPr>
      </w:pPr>
      <w:r w:rsidRPr="00B576E9">
        <w:rPr>
          <w:b/>
          <w:i/>
        </w:rPr>
        <w:t>Hydroxyl radical oxidation – Fenton process</w:t>
      </w:r>
    </w:p>
    <w:p w14:paraId="3EAA77F7" w14:textId="50118E5E" w:rsidR="00385055" w:rsidRPr="00C83312" w:rsidRDefault="00C83312" w:rsidP="00C83312">
      <w:pPr>
        <w:pStyle w:val="Abstract"/>
        <w:ind w:left="0"/>
      </w:pPr>
      <w:r>
        <w:rPr>
          <w:noProof/>
          <w:lang w:eastAsia="en-US"/>
        </w:rPr>
        <w:drawing>
          <wp:anchor distT="0" distB="0" distL="114300" distR="114300" simplePos="0" relativeHeight="251658245" behindDoc="0" locked="0" layoutInCell="1" allowOverlap="1" wp14:anchorId="6196647C" wp14:editId="582F327A">
            <wp:simplePos x="0" y="0"/>
            <wp:positionH relativeFrom="margin">
              <wp:posOffset>-532996</wp:posOffset>
            </wp:positionH>
            <wp:positionV relativeFrom="paragraph">
              <wp:posOffset>2410460</wp:posOffset>
            </wp:positionV>
            <wp:extent cx="6120000" cy="198232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0" cy="1982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8246" behindDoc="0" locked="0" layoutInCell="1" allowOverlap="1" wp14:anchorId="71A15B06" wp14:editId="2AFE2B45">
                <wp:simplePos x="0" y="0"/>
                <wp:positionH relativeFrom="column">
                  <wp:posOffset>-424699</wp:posOffset>
                </wp:positionH>
                <wp:positionV relativeFrom="paragraph">
                  <wp:posOffset>4533323</wp:posOffset>
                </wp:positionV>
                <wp:extent cx="6105525" cy="635"/>
                <wp:effectExtent l="0" t="0" r="9525" b="0"/>
                <wp:wrapTopAndBottom/>
                <wp:docPr id="13" name="Text Box 13"/>
                <wp:cNvGraphicFramePr/>
                <a:graphic xmlns:a="http://schemas.openxmlformats.org/drawingml/2006/main">
                  <a:graphicData uri="http://schemas.microsoft.com/office/word/2010/wordprocessingShape">
                    <wps:wsp>
                      <wps:cNvSpPr txBox="1"/>
                      <wps:spPr>
                        <a:xfrm>
                          <a:off x="0" y="0"/>
                          <a:ext cx="6105525" cy="635"/>
                        </a:xfrm>
                        <a:prstGeom prst="rect">
                          <a:avLst/>
                        </a:prstGeom>
                        <a:solidFill>
                          <a:prstClr val="white"/>
                        </a:solidFill>
                        <a:ln>
                          <a:noFill/>
                        </a:ln>
                      </wps:spPr>
                      <wps:txbx>
                        <w:txbxContent>
                          <w:p w14:paraId="4BDD5CB1" w14:textId="3F7E21A4" w:rsidR="00AB6476" w:rsidRPr="003B0A74" w:rsidRDefault="00AB6476" w:rsidP="00F974F5">
                            <w:pPr>
                              <w:pStyle w:val="Caption"/>
                              <w:pBdr>
                                <w:top w:val="single" w:sz="4" w:space="1" w:color="auto"/>
                              </w:pBdr>
                              <w:jc w:val="center"/>
                              <w:rPr>
                                <w:b/>
                                <w:noProof/>
                                <w:color w:val="auto"/>
                                <w:sz w:val="22"/>
                                <w:szCs w:val="22"/>
                              </w:rPr>
                            </w:pPr>
                            <w:r w:rsidRPr="003B0A74">
                              <w:rPr>
                                <w:color w:val="auto"/>
                                <w:sz w:val="22"/>
                                <w:szCs w:val="22"/>
                              </w:rPr>
                              <w:t xml:space="preserve">Figure </w:t>
                            </w:r>
                            <w:r w:rsidRPr="003B0A74">
                              <w:rPr>
                                <w:noProof/>
                                <w:color w:val="auto"/>
                                <w:sz w:val="22"/>
                                <w:szCs w:val="22"/>
                              </w:rPr>
                              <w:t>4</w:t>
                            </w:r>
                            <w:r w:rsidRPr="003B0A74">
                              <w:rPr>
                                <w:color w:val="auto"/>
                                <w:sz w:val="22"/>
                                <w:szCs w:val="22"/>
                              </w:rPr>
                              <w:t>: Comparison of COD and TOC removal yields in Fenton process experiments with antibiotics</w:t>
                            </w:r>
                            <w:r>
                              <w:rPr>
                                <w:color w:val="auto"/>
                                <w:sz w:val="22"/>
                                <w:szCs w:val="22"/>
                              </w:rPr>
                              <w:t xml:space="preserve"> </w:t>
                            </w:r>
                            <w:r>
                              <w:rPr>
                                <w:color w:val="auto"/>
                                <w:sz w:val="22"/>
                                <w:szCs w:val="22"/>
                              </w:rPr>
                              <w:br/>
                            </w:r>
                            <w:r w:rsidRPr="002B7A01">
                              <w:rPr>
                                <w:color w:val="auto"/>
                                <w:sz w:val="22"/>
                                <w:szCs w:val="22"/>
                              </w:rPr>
                              <w:t>(</w:t>
                            </w:r>
                            <w:r>
                              <w:rPr>
                                <w:color w:val="auto"/>
                                <w:sz w:val="22"/>
                                <w:szCs w:val="22"/>
                              </w:rPr>
                              <w:t>4</w:t>
                            </w:r>
                            <w:r w:rsidRPr="002B7A01">
                              <w:rPr>
                                <w:color w:val="auto"/>
                                <w:sz w:val="22"/>
                                <w:szCs w:val="22"/>
                              </w:rPr>
                              <w:t>00 mg L</w:t>
                            </w:r>
                            <w:r w:rsidRPr="002B7A01">
                              <w:rPr>
                                <w:color w:val="auto"/>
                                <w:sz w:val="22"/>
                                <w:szCs w:val="22"/>
                                <w:vertAlign w:val="superscript"/>
                              </w:rPr>
                              <w:t>-1</w:t>
                            </w:r>
                            <w:r w:rsidRPr="002B7A01">
                              <w:rPr>
                                <w:color w:val="auto"/>
                                <w:sz w:val="22"/>
                                <w:szCs w:val="22"/>
                              </w:rPr>
                              <w:t xml:space="preserve"> of antibiotics)</w:t>
                            </w:r>
                            <w:r w:rsidRPr="003B0A74">
                              <w:rPr>
                                <w:color w:val="auto"/>
                                <w:sz w:val="22"/>
                                <w:szCs w:val="22"/>
                              </w:rPr>
                              <w:t>:A -tiamulin; B – levofloxacin; C – amoxicillin.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A15B06" id="Text Box 13" o:spid="_x0000_s1030" type="#_x0000_t202" style="position:absolute;left:0;text-align:left;margin-left:-33.45pt;margin-top:356.95pt;width:480.75pt;height:.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" stroked="f">
                <v:textbox style="mso-fit-shape-to-text:t" inset="0,0,0,0">
                  <w:txbxContent>
                    <w:p w14:paraId="4BDD5CB1" w14:textId="3F7E21A4" w:rsidR="00AB6476" w:rsidRPr="003B0A74" w:rsidRDefault="00AB6476" w:rsidP="00F974F5">
                      <w:pPr>
                        <w:pStyle w:val="Caption"/>
                        <w:pBdr>
                          <w:top w:val="single" w:sz="4" w:space="1" w:color="auto"/>
                        </w:pBdr>
                        <w:jc w:val="center"/>
                        <w:rPr>
                          <w:b/>
                          <w:noProof/>
                          <w:color w:val="auto"/>
                          <w:sz w:val="22"/>
                          <w:szCs w:val="22"/>
                        </w:rPr>
                      </w:pPr>
                      <w:r w:rsidRPr="003B0A74">
                        <w:rPr>
                          <w:color w:val="auto"/>
                          <w:sz w:val="22"/>
                          <w:szCs w:val="22"/>
                        </w:rPr>
                        <w:t xml:space="preserve">Figure </w:t>
                      </w:r>
                      <w:r w:rsidRPr="003B0A74">
                        <w:rPr>
                          <w:noProof/>
                          <w:color w:val="auto"/>
                          <w:sz w:val="22"/>
                          <w:szCs w:val="22"/>
                        </w:rPr>
                        <w:t>4</w:t>
                      </w:r>
                      <w:r w:rsidRPr="003B0A74">
                        <w:rPr>
                          <w:color w:val="auto"/>
                          <w:sz w:val="22"/>
                          <w:szCs w:val="22"/>
                        </w:rPr>
                        <w:t>: Comparison of COD and TOC removal yields in Fenton process experiments with antibiotics</w:t>
                      </w:r>
                      <w:r>
                        <w:rPr>
                          <w:color w:val="auto"/>
                          <w:sz w:val="22"/>
                          <w:szCs w:val="22"/>
                        </w:rPr>
                        <w:t xml:space="preserve"> </w:t>
                      </w:r>
                      <w:r>
                        <w:rPr>
                          <w:color w:val="auto"/>
                          <w:sz w:val="22"/>
                          <w:szCs w:val="22"/>
                        </w:rPr>
                        <w:br/>
                      </w:r>
                      <w:r w:rsidRPr="002B7A01">
                        <w:rPr>
                          <w:color w:val="auto"/>
                          <w:sz w:val="22"/>
                          <w:szCs w:val="22"/>
                        </w:rPr>
                        <w:t>(</w:t>
                      </w:r>
                      <w:r>
                        <w:rPr>
                          <w:color w:val="auto"/>
                          <w:sz w:val="22"/>
                          <w:szCs w:val="22"/>
                        </w:rPr>
                        <w:t>4</w:t>
                      </w:r>
                      <w:r w:rsidRPr="002B7A01">
                        <w:rPr>
                          <w:color w:val="auto"/>
                          <w:sz w:val="22"/>
                          <w:szCs w:val="22"/>
                        </w:rPr>
                        <w:t>00 mg L</w:t>
                      </w:r>
                      <w:r w:rsidRPr="002B7A01">
                        <w:rPr>
                          <w:color w:val="auto"/>
                          <w:sz w:val="22"/>
                          <w:szCs w:val="22"/>
                          <w:vertAlign w:val="superscript"/>
                        </w:rPr>
                        <w:t>-1</w:t>
                      </w:r>
                      <w:r w:rsidRPr="002B7A01">
                        <w:rPr>
                          <w:color w:val="auto"/>
                          <w:sz w:val="22"/>
                          <w:szCs w:val="22"/>
                        </w:rPr>
                        <w:t xml:space="preserve"> of antibiotics)</w:t>
                      </w:r>
                      <w:r w:rsidRPr="003B0A74">
                        <w:rPr>
                          <w:color w:val="auto"/>
                          <w:sz w:val="22"/>
                          <w:szCs w:val="22"/>
                        </w:rPr>
                        <w:t>:A -tiamulin; B – levofloxacin; C – amoxicillin.</w:t>
                      </w:r>
                    </w:p>
                  </w:txbxContent>
                </v:textbox>
                <w10:wrap type="topAndBottom"/>
              </v:shape>
            </w:pict>
          </mc:Fallback>
        </mc:AlternateContent>
      </w:r>
      <w:r w:rsidR="00B576E9" w:rsidRPr="00B576E9">
        <w:t xml:space="preserve">COD and TOC removal yields achieved by Fenton process are shown in Figure </w:t>
      </w:r>
      <w:r w:rsidR="00EF249A">
        <w:t>4</w:t>
      </w:r>
      <w:r w:rsidR="00B576E9" w:rsidRPr="00B576E9">
        <w:t xml:space="preserve">. pH remained constant during the experiments (± 0.4). Figure </w:t>
      </w:r>
      <w:r w:rsidR="00EF249A">
        <w:t>4</w:t>
      </w:r>
      <w:r w:rsidR="00EF249A" w:rsidRPr="00B576E9">
        <w:t xml:space="preserve"> </w:t>
      </w:r>
      <w:r w:rsidR="00B576E9" w:rsidRPr="00B576E9">
        <w:t>shows that the maximum incremental effect is achieved with the lowest dose, 1 mol</w:t>
      </w:r>
      <w:r w:rsidR="00B576E9" w:rsidRPr="00B576E9">
        <w:rPr>
          <w:vertAlign w:val="subscript"/>
        </w:rPr>
        <w:t>H2O2</w:t>
      </w:r>
      <w:r w:rsidR="00B576E9" w:rsidRPr="00B576E9">
        <w:t>mol</w:t>
      </w:r>
      <w:r w:rsidR="00B576E9" w:rsidRPr="00B576E9">
        <w:rPr>
          <w:vertAlign w:val="subscript"/>
        </w:rPr>
        <w:t>COD</w:t>
      </w:r>
      <w:r w:rsidR="00B576E9" w:rsidRPr="00B576E9">
        <w:rPr>
          <w:vertAlign w:val="superscript"/>
        </w:rPr>
        <w:t>-1</w:t>
      </w:r>
      <w:r w:rsidR="00B576E9" w:rsidRPr="00B576E9">
        <w:t xml:space="preserve">. At this dose, a COD reduction of 37% for TML (Fig </w:t>
      </w:r>
      <w:r w:rsidR="00EF249A">
        <w:t>4</w:t>
      </w:r>
      <w:r w:rsidR="00EF249A" w:rsidRPr="00B576E9">
        <w:t xml:space="preserve"> </w:t>
      </w:r>
      <w:r w:rsidR="00B576E9" w:rsidRPr="00B576E9">
        <w:t xml:space="preserve">A), 41% for LFX (Fig </w:t>
      </w:r>
      <w:r w:rsidR="00EF249A">
        <w:t>4</w:t>
      </w:r>
      <w:r w:rsidR="00EF249A" w:rsidRPr="00B576E9">
        <w:t xml:space="preserve"> </w:t>
      </w:r>
      <w:r w:rsidR="00B576E9" w:rsidRPr="00B576E9">
        <w:t xml:space="preserve">B) and 57% for AMX (Fig </w:t>
      </w:r>
      <w:r w:rsidR="00EF249A">
        <w:t>4</w:t>
      </w:r>
      <w:r w:rsidR="00EF249A" w:rsidRPr="00B576E9">
        <w:t xml:space="preserve"> </w:t>
      </w:r>
      <w:r w:rsidR="00B576E9" w:rsidRPr="00B576E9">
        <w:t xml:space="preserve">C) </w:t>
      </w:r>
      <w:r w:rsidR="00F8705A">
        <w:t>is</w:t>
      </w:r>
      <w:r w:rsidR="00B576E9" w:rsidRPr="00B576E9">
        <w:t xml:space="preserve"> achieved. The TOC reduction is 24%, 34% and 38% for TML, LFX and AMX respectively. Reduction is larger for COD than TOC as the antibiotics are oxidized, but </w:t>
      </w:r>
      <w:r w:rsidR="00F8705A">
        <w:t xml:space="preserve">only partially </w:t>
      </w:r>
      <w:r w:rsidR="00B576E9" w:rsidRPr="00B576E9">
        <w:t xml:space="preserve">mineralized, so COD decreases faster than TOC. </w:t>
      </w:r>
    </w:p>
    <w:p w14:paraId="036EE163" w14:textId="2B2DDBC6" w:rsidR="00AE53A9" w:rsidRPr="00AE53A9" w:rsidRDefault="00AE53A9" w:rsidP="00C77F85">
      <w:pPr>
        <w:pStyle w:val="Abstract"/>
        <w:ind w:left="0"/>
      </w:pPr>
      <w:r w:rsidRPr="00AE53A9">
        <w:t>An increased dose of hydrogen peroxide does not result in a linear increase of removal yield; a fourfold dose resulted in a 60% removal yield increase of COD at TML, a 7% increase at LFX, and 8% increase at AMX. The reduction of TOC was 90% higher for TML, 10% for LFX and 7% for AMX. The oxidation products apparently no longer react with hydroxyl radicals, so oxidation does not progress and the removal effects do not increase proportionally with the H</w:t>
      </w:r>
      <w:r w:rsidRPr="00AE53A9">
        <w:rPr>
          <w:vertAlign w:val="subscript"/>
        </w:rPr>
        <w:t>2</w:t>
      </w:r>
      <w:r w:rsidRPr="00AE53A9">
        <w:t>O</w:t>
      </w:r>
      <w:r w:rsidRPr="00AE53A9">
        <w:rPr>
          <w:vertAlign w:val="subscript"/>
        </w:rPr>
        <w:t>2</w:t>
      </w:r>
      <w:r w:rsidRPr="00AE53A9">
        <w:t xml:space="preserve"> dose increase (Figure </w:t>
      </w:r>
      <w:r w:rsidR="00EF249A">
        <w:t>4</w:t>
      </w:r>
      <w:r w:rsidRPr="00AE53A9">
        <w:t>).</w:t>
      </w:r>
    </w:p>
    <w:p w14:paraId="4FC94E3C" w14:textId="279B51F4" w:rsidR="00AE53A9" w:rsidRPr="00AE53A9" w:rsidRDefault="00AE53A9" w:rsidP="00C77F85">
      <w:pPr>
        <w:pStyle w:val="Abstract"/>
        <w:ind w:left="0"/>
      </w:pPr>
      <w:r w:rsidRPr="00AE53A9">
        <w:t xml:space="preserve">Since Fenton oxidation is considered </w:t>
      </w:r>
      <w:r w:rsidR="00F8705A">
        <w:t xml:space="preserve">here </w:t>
      </w:r>
      <w:r w:rsidRPr="00AE53A9">
        <w:t xml:space="preserve">as a pre-treatment method before biological treatment, the effect on biodegradation is important, shown in Figure </w:t>
      </w:r>
      <w:r w:rsidR="00EF249A">
        <w:t>5</w:t>
      </w:r>
      <w:r w:rsidRPr="00AE53A9">
        <w:t xml:space="preserve">. </w:t>
      </w:r>
    </w:p>
    <w:p w14:paraId="3693FA14" w14:textId="1F98DBA6" w:rsidR="00AE53A9" w:rsidRDefault="00C83312" w:rsidP="00AE53A9">
      <w:pPr>
        <w:pStyle w:val="Paragraph"/>
        <w:spacing w:line="360" w:lineRule="auto"/>
        <w:rPr>
          <w:sz w:val="22"/>
          <w:szCs w:val="22"/>
          <w:lang w:val="en-US"/>
        </w:rPr>
      </w:pPr>
      <w:r w:rsidRPr="009E3259">
        <w:rPr>
          <w:noProof/>
          <w:sz w:val="22"/>
          <w:szCs w:val="22"/>
          <w:lang w:val="en-US" w:eastAsia="en-US"/>
        </w:rPr>
        <mc:AlternateContent>
          <mc:Choice Requires="wps">
            <w:drawing>
              <wp:anchor distT="0" distB="0" distL="114300" distR="114300" simplePos="0" relativeHeight="251658248" behindDoc="0" locked="0" layoutInCell="1" allowOverlap="1" wp14:anchorId="7BCE129A" wp14:editId="587447E4">
                <wp:simplePos x="0" y="0"/>
                <wp:positionH relativeFrom="margin">
                  <wp:posOffset>-179705</wp:posOffset>
                </wp:positionH>
                <wp:positionV relativeFrom="paragraph">
                  <wp:posOffset>2256155</wp:posOffset>
                </wp:positionV>
                <wp:extent cx="5855970" cy="518160"/>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5855970" cy="518160"/>
                        </a:xfrm>
                        <a:prstGeom prst="rect">
                          <a:avLst/>
                        </a:prstGeom>
                        <a:solidFill>
                          <a:prstClr val="white"/>
                        </a:solidFill>
                        <a:ln>
                          <a:noFill/>
                        </a:ln>
                      </wps:spPr>
                      <wps:txbx>
                        <w:txbxContent>
                          <w:p w14:paraId="67E74A7B" w14:textId="64DD64B8" w:rsidR="00AB6476" w:rsidRPr="003B0A74" w:rsidRDefault="00AB6476" w:rsidP="00F974F5">
                            <w:pPr>
                              <w:pBdr>
                                <w:top w:val="single" w:sz="4" w:space="1" w:color="auto"/>
                              </w:pBdr>
                              <w:spacing w:line="360" w:lineRule="auto"/>
                              <w:jc w:val="center"/>
                              <w:rPr>
                                <w:i/>
                                <w:sz w:val="22"/>
                              </w:rPr>
                            </w:pPr>
                            <w:r w:rsidRPr="003B0A74">
                              <w:rPr>
                                <w:i/>
                                <w:sz w:val="22"/>
                              </w:rPr>
                              <w:t xml:space="preserve">Figure </w:t>
                            </w:r>
                            <w:r w:rsidRPr="003B0A74">
                              <w:rPr>
                                <w:i/>
                                <w:noProof/>
                                <w:sz w:val="22"/>
                              </w:rPr>
                              <w:t>5</w:t>
                            </w:r>
                            <w:r w:rsidRPr="003B0A74">
                              <w:rPr>
                                <w:i/>
                                <w:sz w:val="22"/>
                              </w:rPr>
                              <w:t>: Biodegradability before and after Fenton process (400 mg L</w:t>
                            </w:r>
                            <w:r w:rsidRPr="003B0A74">
                              <w:rPr>
                                <w:i/>
                                <w:sz w:val="22"/>
                                <w:vertAlign w:val="superscript"/>
                              </w:rPr>
                              <w:t>-1</w:t>
                            </w:r>
                            <w:r w:rsidRPr="003B0A74">
                              <w:rPr>
                                <w:i/>
                                <w:sz w:val="22"/>
                              </w:rPr>
                              <w:t xml:space="preserve"> of antibiotic): </w:t>
                            </w:r>
                          </w:p>
                          <w:p w14:paraId="604D21D7" w14:textId="4E3495E0" w:rsidR="00AB6476" w:rsidRPr="003B0A74" w:rsidRDefault="00AB6476" w:rsidP="00F974F5">
                            <w:pPr>
                              <w:pBdr>
                                <w:top w:val="single" w:sz="4" w:space="1" w:color="auto"/>
                              </w:pBdr>
                              <w:spacing w:line="360" w:lineRule="auto"/>
                              <w:jc w:val="center"/>
                              <w:rPr>
                                <w:rFonts w:cs="Arial"/>
                                <w:b/>
                                <w:i/>
                                <w:noProof/>
                                <w:sz w:val="16"/>
                                <w:szCs w:val="20"/>
                              </w:rPr>
                            </w:pPr>
                            <w:r w:rsidRPr="003B0A74">
                              <w:rPr>
                                <w:i/>
                                <w:sz w:val="22"/>
                              </w:rPr>
                              <w:t>A - tiamulin; B – levofloxacin; C – amoxicillin.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129A" id="Text Box 15" o:spid="_x0000_s1031" type="#_x0000_t202" style="position:absolute;margin-left:-14.15pt;margin-top:177.65pt;width:461.1pt;height:40.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" stroked="f">
                <v:textbox inset="0,0,0,0">
                  <w:txbxContent>
                    <w:p w14:paraId="67E74A7B" w14:textId="64DD64B8" w:rsidR="00AB6476" w:rsidRPr="003B0A74" w:rsidRDefault="00AB6476" w:rsidP="00F974F5">
                      <w:pPr>
                        <w:pBdr>
                          <w:top w:val="single" w:sz="4" w:space="1" w:color="auto"/>
                        </w:pBdr>
                        <w:spacing w:line="360" w:lineRule="auto"/>
                        <w:jc w:val="center"/>
                        <w:rPr>
                          <w:i/>
                          <w:sz w:val="22"/>
                        </w:rPr>
                      </w:pPr>
                      <w:r w:rsidRPr="003B0A74">
                        <w:rPr>
                          <w:i/>
                          <w:sz w:val="22"/>
                        </w:rPr>
                        <w:t xml:space="preserve">Figure </w:t>
                      </w:r>
                      <w:r w:rsidRPr="003B0A74">
                        <w:rPr>
                          <w:i/>
                          <w:noProof/>
                          <w:sz w:val="22"/>
                        </w:rPr>
                        <w:t>5</w:t>
                      </w:r>
                      <w:r w:rsidRPr="003B0A74">
                        <w:rPr>
                          <w:i/>
                          <w:sz w:val="22"/>
                        </w:rPr>
                        <w:t>: Biodegradability before and after Fenton process (400 mg L</w:t>
                      </w:r>
                      <w:r w:rsidRPr="003B0A74">
                        <w:rPr>
                          <w:i/>
                          <w:sz w:val="22"/>
                          <w:vertAlign w:val="superscript"/>
                        </w:rPr>
                        <w:t>-1</w:t>
                      </w:r>
                      <w:r w:rsidRPr="003B0A74">
                        <w:rPr>
                          <w:i/>
                          <w:sz w:val="22"/>
                        </w:rPr>
                        <w:t xml:space="preserve"> of antibiotic): </w:t>
                      </w:r>
                    </w:p>
                    <w:p w14:paraId="604D21D7" w14:textId="4E3495E0" w:rsidR="00AB6476" w:rsidRPr="003B0A74" w:rsidRDefault="00AB6476" w:rsidP="00F974F5">
                      <w:pPr>
                        <w:pBdr>
                          <w:top w:val="single" w:sz="4" w:space="1" w:color="auto"/>
                        </w:pBdr>
                        <w:spacing w:line="360" w:lineRule="auto"/>
                        <w:jc w:val="center"/>
                        <w:rPr>
                          <w:rFonts w:cs="Arial"/>
                          <w:b/>
                          <w:i/>
                          <w:noProof/>
                          <w:sz w:val="16"/>
                          <w:szCs w:val="20"/>
                        </w:rPr>
                      </w:pPr>
                      <w:r w:rsidRPr="003B0A74">
                        <w:rPr>
                          <w:i/>
                          <w:sz w:val="22"/>
                        </w:rPr>
                        <w:t>A - tiamulin; B – levofloxacin; C – amoxicillin.</w:t>
                      </w:r>
                    </w:p>
                  </w:txbxContent>
                </v:textbox>
                <w10:wrap type="topAndBottom" anchorx="margin"/>
              </v:shape>
            </w:pict>
          </mc:Fallback>
        </mc:AlternateContent>
      </w:r>
      <w:r w:rsidRPr="009E3259">
        <w:rPr>
          <w:noProof/>
          <w:sz w:val="22"/>
          <w:szCs w:val="22"/>
          <w:lang w:val="en-US" w:eastAsia="en-US"/>
        </w:rPr>
        <w:drawing>
          <wp:anchor distT="0" distB="0" distL="114300" distR="114300" simplePos="0" relativeHeight="251658247" behindDoc="0" locked="0" layoutInCell="1" allowOverlap="1" wp14:anchorId="10E13AEE" wp14:editId="6C6819D7">
            <wp:simplePos x="0" y="0"/>
            <wp:positionH relativeFrom="margin">
              <wp:posOffset>-445540</wp:posOffset>
            </wp:positionH>
            <wp:positionV relativeFrom="paragraph">
              <wp:posOffset>310572</wp:posOffset>
            </wp:positionV>
            <wp:extent cx="6120000" cy="1826333"/>
            <wp:effectExtent l="0" t="0" r="0" b="254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000" cy="18263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E04C9" w14:textId="4570675D" w:rsidR="00E024ED" w:rsidRDefault="00E024ED" w:rsidP="00C77F85">
      <w:pPr>
        <w:pStyle w:val="Abstract"/>
        <w:ind w:left="0"/>
      </w:pPr>
      <w:r w:rsidRPr="00E024ED">
        <w:t xml:space="preserve">As can be seen from Figure </w:t>
      </w:r>
      <w:r w:rsidR="00EF249A">
        <w:t>5</w:t>
      </w:r>
      <w:r w:rsidRPr="00E024ED">
        <w:t>, the largest change in biodegradability is achieved with relatively small doses of hydrogen peroxide, 1 mol</w:t>
      </w:r>
      <w:r w:rsidRPr="00E024ED">
        <w:rPr>
          <w:vertAlign w:val="subscript"/>
        </w:rPr>
        <w:t>H2O2</w:t>
      </w:r>
      <w:r w:rsidRPr="00E024ED">
        <w:t>mol</w:t>
      </w:r>
      <w:r w:rsidRPr="00E024ED">
        <w:rPr>
          <w:vertAlign w:val="subscript"/>
        </w:rPr>
        <w:t>COD</w:t>
      </w:r>
      <w:r w:rsidRPr="00E024ED">
        <w:rPr>
          <w:vertAlign w:val="superscript"/>
        </w:rPr>
        <w:t>-1</w:t>
      </w:r>
      <w:r w:rsidRPr="00E024ED">
        <w:t xml:space="preserve">. At this dose of oxidant, biodegradability of both TML and LFX </w:t>
      </w:r>
      <w:r w:rsidR="0082714C">
        <w:t>reached</w:t>
      </w:r>
      <w:r w:rsidRPr="00E024ED">
        <w:t xml:space="preserve"> 80%. Increasing the dose does not have a proportional effect on increasing biodegradability because the oxidation products no longer react with hydroxyl radicals. It can be assumed that for the purpose of antibiotic pretreatment</w:t>
      </w:r>
      <w:r w:rsidR="00F8705A">
        <w:t>,</w:t>
      </w:r>
      <w:r w:rsidRPr="00E024ED">
        <w:t xml:space="preserve"> </w:t>
      </w:r>
      <w:r w:rsidR="00F8705A">
        <w:t>resulting</w:t>
      </w:r>
      <w:r w:rsidR="00F8705A" w:rsidRPr="00E024ED">
        <w:t xml:space="preserve"> </w:t>
      </w:r>
      <w:r w:rsidR="00F8705A">
        <w:t>in</w:t>
      </w:r>
      <w:r w:rsidR="00F8705A" w:rsidRPr="00E024ED">
        <w:t xml:space="preserve"> </w:t>
      </w:r>
      <w:r w:rsidRPr="00E024ED">
        <w:t>increased biodegradability, a dose of 1 mol</w:t>
      </w:r>
      <w:r w:rsidRPr="00E024ED">
        <w:rPr>
          <w:vertAlign w:val="subscript"/>
        </w:rPr>
        <w:t>H2O2</w:t>
      </w:r>
      <w:r w:rsidRPr="00E024ED">
        <w:t>mol</w:t>
      </w:r>
      <w:r w:rsidRPr="00E024ED">
        <w:rPr>
          <w:vertAlign w:val="subscript"/>
        </w:rPr>
        <w:t>COD</w:t>
      </w:r>
      <w:r w:rsidRPr="00E024ED">
        <w:rPr>
          <w:vertAlign w:val="superscript"/>
        </w:rPr>
        <w:t>-1</w:t>
      </w:r>
      <w:r w:rsidRPr="00E024ED">
        <w:t xml:space="preserve"> is sufficient.</w:t>
      </w:r>
    </w:p>
    <w:p w14:paraId="67218944" w14:textId="77777777" w:rsidR="00C77F85" w:rsidRPr="00C77F85" w:rsidRDefault="00C77F85" w:rsidP="00C77F85">
      <w:pPr>
        <w:pStyle w:val="ListParagraph"/>
        <w:widowControl w:val="0"/>
        <w:numPr>
          <w:ilvl w:val="0"/>
          <w:numId w:val="37"/>
        </w:numPr>
        <w:spacing w:before="240" w:line="360" w:lineRule="auto"/>
        <w:contextualSpacing w:val="0"/>
        <w:jc w:val="both"/>
        <w:rPr>
          <w:b/>
          <w:i/>
          <w:vanish/>
        </w:rPr>
      </w:pPr>
    </w:p>
    <w:p w14:paraId="52E87CF9" w14:textId="77777777" w:rsidR="00C77F85" w:rsidRPr="00C77F85" w:rsidRDefault="00C77F85" w:rsidP="00C77F85">
      <w:pPr>
        <w:pStyle w:val="ListParagraph"/>
        <w:widowControl w:val="0"/>
        <w:numPr>
          <w:ilvl w:val="0"/>
          <w:numId w:val="37"/>
        </w:numPr>
        <w:spacing w:before="240" w:line="360" w:lineRule="auto"/>
        <w:contextualSpacing w:val="0"/>
        <w:jc w:val="both"/>
        <w:rPr>
          <w:b/>
          <w:i/>
          <w:vanish/>
        </w:rPr>
      </w:pPr>
    </w:p>
    <w:p w14:paraId="31EA2D85" w14:textId="77777777" w:rsidR="00C77F85" w:rsidRPr="00C77F85" w:rsidRDefault="00C77F85" w:rsidP="00C77F85">
      <w:pPr>
        <w:pStyle w:val="ListParagraph"/>
        <w:widowControl w:val="0"/>
        <w:numPr>
          <w:ilvl w:val="0"/>
          <w:numId w:val="37"/>
        </w:numPr>
        <w:spacing w:before="240" w:line="360" w:lineRule="auto"/>
        <w:contextualSpacing w:val="0"/>
        <w:jc w:val="both"/>
        <w:rPr>
          <w:b/>
          <w:i/>
          <w:vanish/>
        </w:rPr>
      </w:pPr>
    </w:p>
    <w:p w14:paraId="7894264A" w14:textId="77777777" w:rsidR="00C77F85" w:rsidRPr="00C77F85" w:rsidRDefault="00C77F85" w:rsidP="00C77F85">
      <w:pPr>
        <w:pStyle w:val="ListParagraph"/>
        <w:widowControl w:val="0"/>
        <w:numPr>
          <w:ilvl w:val="1"/>
          <w:numId w:val="37"/>
        </w:numPr>
        <w:spacing w:before="240" w:line="360" w:lineRule="auto"/>
        <w:contextualSpacing w:val="0"/>
        <w:jc w:val="both"/>
        <w:rPr>
          <w:b/>
          <w:i/>
          <w:vanish/>
        </w:rPr>
      </w:pPr>
    </w:p>
    <w:p w14:paraId="6B9D5A1E" w14:textId="77777777" w:rsidR="00C77F85" w:rsidRPr="00C77F85" w:rsidRDefault="00C77F85" w:rsidP="00C77F85">
      <w:pPr>
        <w:pStyle w:val="ListParagraph"/>
        <w:widowControl w:val="0"/>
        <w:numPr>
          <w:ilvl w:val="1"/>
          <w:numId w:val="37"/>
        </w:numPr>
        <w:spacing w:before="240" w:line="360" w:lineRule="auto"/>
        <w:contextualSpacing w:val="0"/>
        <w:jc w:val="both"/>
        <w:rPr>
          <w:b/>
          <w:i/>
          <w:vanish/>
        </w:rPr>
      </w:pPr>
    </w:p>
    <w:p w14:paraId="7A75808E" w14:textId="668DDE7D" w:rsidR="00E024ED" w:rsidRPr="00E024ED" w:rsidRDefault="00E024ED" w:rsidP="00C77F85">
      <w:pPr>
        <w:pStyle w:val="Paragraph"/>
        <w:numPr>
          <w:ilvl w:val="1"/>
          <w:numId w:val="37"/>
        </w:numPr>
        <w:spacing w:line="360" w:lineRule="auto"/>
        <w:rPr>
          <w:i/>
          <w:lang w:val="en-US"/>
        </w:rPr>
      </w:pPr>
      <w:r w:rsidRPr="00C77F85">
        <w:rPr>
          <w:b/>
          <w:i/>
        </w:rPr>
        <w:t>Comparison o</w:t>
      </w:r>
      <w:r w:rsidRPr="00E024ED">
        <w:rPr>
          <w:b/>
          <w:i/>
        </w:rPr>
        <w:t>f direct reaction with ozone and oxidation by hydroxyl radicals</w:t>
      </w:r>
    </w:p>
    <w:p w14:paraId="08D1B9EE" w14:textId="49990EE9" w:rsidR="00E024ED" w:rsidRPr="00E024ED" w:rsidRDefault="00E024ED" w:rsidP="00C77F85">
      <w:pPr>
        <w:pStyle w:val="Abstract"/>
        <w:ind w:left="0"/>
        <w:rPr>
          <w:iCs/>
        </w:rPr>
      </w:pPr>
      <w:r w:rsidRPr="00E024ED">
        <w:t xml:space="preserve">A comparison of the effects of direct reaction with ozone and oxidation with hydroxyl radicals from Fenton process is outlined in Figure </w:t>
      </w:r>
      <w:r w:rsidR="00EF249A">
        <w:t>6</w:t>
      </w:r>
      <w:r w:rsidRPr="00E024ED">
        <w:t xml:space="preserve">. </w:t>
      </w:r>
      <w:r w:rsidR="00F24174">
        <w:t xml:space="preserve">With </w:t>
      </w:r>
      <w:r w:rsidRPr="00E024ED">
        <w:rPr>
          <w:iCs/>
        </w:rPr>
        <w:t xml:space="preserve">Fenton process five times higher molar dose of oxidant per unit of COD </w:t>
      </w:r>
      <w:r w:rsidR="00F24174">
        <w:rPr>
          <w:iCs/>
        </w:rPr>
        <w:t xml:space="preserve">was used </w:t>
      </w:r>
      <w:r w:rsidRPr="00E024ED">
        <w:rPr>
          <w:iCs/>
        </w:rPr>
        <w:t xml:space="preserve">in comparison to ozonation. </w:t>
      </w:r>
      <w:r w:rsidR="00F24174">
        <w:rPr>
          <w:iCs/>
        </w:rPr>
        <w:t>R</w:t>
      </w:r>
      <w:r w:rsidR="00F24174" w:rsidRPr="00E024ED">
        <w:rPr>
          <w:iCs/>
        </w:rPr>
        <w:t xml:space="preserve">eaction </w:t>
      </w:r>
      <w:r w:rsidRPr="00E024ED">
        <w:rPr>
          <w:iCs/>
        </w:rPr>
        <w:t xml:space="preserve">mechanism of Fenton process is based on generation of free </w:t>
      </w:r>
      <w:r w:rsidR="0082714C" w:rsidRPr="00E024ED">
        <w:rPr>
          <w:iCs/>
        </w:rPr>
        <w:t>radicals</w:t>
      </w:r>
      <w:r w:rsidR="0082714C">
        <w:rPr>
          <w:iCs/>
        </w:rPr>
        <w:t>, which</w:t>
      </w:r>
      <w:r w:rsidR="00F24174">
        <w:rPr>
          <w:iCs/>
        </w:rPr>
        <w:t xml:space="preserve"> then react with organic matter</w:t>
      </w:r>
      <w:r w:rsidRPr="00E024ED">
        <w:rPr>
          <w:iCs/>
        </w:rPr>
        <w:t xml:space="preserve">, while ozone </w:t>
      </w:r>
      <w:r w:rsidR="00F24174">
        <w:rPr>
          <w:iCs/>
        </w:rPr>
        <w:t>reacts</w:t>
      </w:r>
      <w:r w:rsidRPr="00E024ED">
        <w:rPr>
          <w:iCs/>
        </w:rPr>
        <w:t xml:space="preserve"> direct</w:t>
      </w:r>
      <w:r w:rsidR="00F24174">
        <w:rPr>
          <w:iCs/>
        </w:rPr>
        <w:t>ly</w:t>
      </w:r>
      <w:r w:rsidRPr="00E024ED">
        <w:rPr>
          <w:iCs/>
        </w:rPr>
        <w:t xml:space="preserve"> </w:t>
      </w:r>
      <w:r w:rsidR="00F24174">
        <w:rPr>
          <w:iCs/>
        </w:rPr>
        <w:t xml:space="preserve">with </w:t>
      </w:r>
      <w:r w:rsidRPr="00E024ED">
        <w:rPr>
          <w:iCs/>
        </w:rPr>
        <w:t>organic compound</w:t>
      </w:r>
      <w:r w:rsidR="00F24174">
        <w:rPr>
          <w:iCs/>
        </w:rPr>
        <w:t>s</w:t>
      </w:r>
      <w:r w:rsidRPr="00E024ED">
        <w:rPr>
          <w:iCs/>
        </w:rPr>
        <w:t xml:space="preserve">. In spite of higher oxidant dose in the case of Fenton as well as with more aggressive reaction mechanism, the effects on COD or TOC reduction between the two techniques do not </w:t>
      </w:r>
      <w:r w:rsidR="000A7383">
        <w:rPr>
          <w:noProof/>
          <w:sz w:val="22"/>
          <w:szCs w:val="22"/>
          <w:lang w:eastAsia="en-US"/>
        </w:rPr>
        <w:drawing>
          <wp:anchor distT="0" distB="0" distL="114300" distR="114300" simplePos="0" relativeHeight="251661324" behindDoc="0" locked="0" layoutInCell="1" allowOverlap="1" wp14:anchorId="08712188" wp14:editId="4A87E2DD">
            <wp:simplePos x="0" y="0"/>
            <wp:positionH relativeFrom="column">
              <wp:posOffset>-457200</wp:posOffset>
            </wp:positionH>
            <wp:positionV relativeFrom="paragraph">
              <wp:posOffset>1330037</wp:posOffset>
            </wp:positionV>
            <wp:extent cx="6120000" cy="2008036"/>
            <wp:effectExtent l="0" t="0" r="0" b="0"/>
            <wp:wrapThrough wrapText="bothSides">
              <wp:wrapPolygon edited="0">
                <wp:start x="0" y="0"/>
                <wp:lineTo x="0" y="21313"/>
                <wp:lineTo x="21517" y="21313"/>
                <wp:lineTo x="215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000" cy="2008036"/>
                    </a:xfrm>
                    <a:prstGeom prst="rect">
                      <a:avLst/>
                    </a:prstGeom>
                    <a:noFill/>
                  </pic:spPr>
                </pic:pic>
              </a:graphicData>
            </a:graphic>
          </wp:anchor>
        </w:drawing>
      </w:r>
      <w:r w:rsidRPr="00E024ED">
        <w:rPr>
          <w:iCs/>
        </w:rPr>
        <w:t xml:space="preserve">differ proportionally to the dose of the oxidant applied. </w:t>
      </w:r>
    </w:p>
    <w:tbl>
      <w:tblPr>
        <w:tblStyle w:val="TableGrid"/>
        <w:tblpPr w:leftFromText="180" w:rightFromText="180" w:vertAnchor="text" w:horzAnchor="margin" w:tblpX="-152" w:tblpY="260"/>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882"/>
        <w:gridCol w:w="3014"/>
      </w:tblGrid>
      <w:tr w:rsidR="000A7383" w14:paraId="6D35262D" w14:textId="77777777" w:rsidTr="00AF5D8C">
        <w:tc>
          <w:tcPr>
            <w:tcW w:w="8930" w:type="dxa"/>
            <w:gridSpan w:val="3"/>
          </w:tcPr>
          <w:p w14:paraId="2A03C1F9" w14:textId="77777777" w:rsidR="000A7383" w:rsidRPr="003B0A74" w:rsidRDefault="000A7383" w:rsidP="000A7383">
            <w:pPr>
              <w:pStyle w:val="Paragraph"/>
              <w:spacing w:before="0" w:line="240" w:lineRule="auto"/>
              <w:rPr>
                <w:b/>
                <w:sz w:val="22"/>
                <w:szCs w:val="22"/>
                <w:lang w:val="en-US"/>
              </w:rPr>
            </w:pPr>
            <w:r w:rsidRPr="003B0A74">
              <w:rPr>
                <w:b/>
                <w:sz w:val="22"/>
                <w:szCs w:val="22"/>
                <w:lang w:val="en-US"/>
              </w:rPr>
              <w:t xml:space="preserve">Ozone, dose: 0.2 mol </w:t>
            </w:r>
            <w:r w:rsidRPr="003B0A74">
              <w:rPr>
                <w:b/>
                <w:sz w:val="22"/>
                <w:szCs w:val="22"/>
                <w:vertAlign w:val="subscript"/>
                <w:lang w:val="en-US"/>
              </w:rPr>
              <w:t>ozone</w:t>
            </w:r>
            <w:r w:rsidRPr="003B0A74">
              <w:rPr>
                <w:b/>
                <w:sz w:val="22"/>
                <w:szCs w:val="22"/>
                <w:lang w:val="en-US"/>
              </w:rPr>
              <w:t xml:space="preserve"> mol </w:t>
            </w:r>
            <w:r w:rsidRPr="003B0A74">
              <w:rPr>
                <w:b/>
                <w:sz w:val="22"/>
                <w:szCs w:val="22"/>
                <w:vertAlign w:val="subscript"/>
                <w:lang w:val="en-US"/>
              </w:rPr>
              <w:t>COD</w:t>
            </w:r>
            <w:r w:rsidRPr="003B0A74">
              <w:rPr>
                <w:b/>
                <w:sz w:val="22"/>
                <w:szCs w:val="22"/>
                <w:vertAlign w:val="superscript"/>
                <w:lang w:val="en-US"/>
              </w:rPr>
              <w:t>-1</w:t>
            </w:r>
          </w:p>
        </w:tc>
      </w:tr>
      <w:tr w:rsidR="000A7383" w14:paraId="764F3EA5" w14:textId="77777777" w:rsidTr="00AF5D8C">
        <w:tc>
          <w:tcPr>
            <w:tcW w:w="3034" w:type="dxa"/>
          </w:tcPr>
          <w:p w14:paraId="2B067972" w14:textId="77777777" w:rsidR="000A7383" w:rsidRPr="006A7D32" w:rsidRDefault="000A7383" w:rsidP="000A7383">
            <w:pPr>
              <w:pStyle w:val="Paragraph"/>
              <w:spacing w:before="0" w:line="240" w:lineRule="auto"/>
              <w:jc w:val="center"/>
              <w:rPr>
                <w:b/>
                <w:sz w:val="22"/>
                <w:szCs w:val="22"/>
                <w:lang w:val="en-US"/>
              </w:rPr>
            </w:pPr>
            <w:r>
              <w:rPr>
                <w:b/>
                <w:sz w:val="22"/>
                <w:szCs w:val="22"/>
                <w:lang w:val="en-US"/>
              </w:rPr>
              <w:t>A</w:t>
            </w:r>
          </w:p>
        </w:tc>
        <w:tc>
          <w:tcPr>
            <w:tcW w:w="2882" w:type="dxa"/>
          </w:tcPr>
          <w:p w14:paraId="326DCFE0" w14:textId="77777777" w:rsidR="000A7383" w:rsidRPr="006A7D32" w:rsidRDefault="000A7383" w:rsidP="000A7383">
            <w:pPr>
              <w:pStyle w:val="Paragraph"/>
              <w:spacing w:before="0" w:line="240" w:lineRule="auto"/>
              <w:jc w:val="center"/>
              <w:rPr>
                <w:b/>
                <w:sz w:val="22"/>
                <w:szCs w:val="22"/>
                <w:lang w:val="en-US"/>
              </w:rPr>
            </w:pPr>
            <w:r>
              <w:rPr>
                <w:b/>
                <w:sz w:val="22"/>
                <w:szCs w:val="22"/>
                <w:lang w:val="en-US"/>
              </w:rPr>
              <w:t>B</w:t>
            </w:r>
          </w:p>
        </w:tc>
        <w:tc>
          <w:tcPr>
            <w:tcW w:w="3014" w:type="dxa"/>
          </w:tcPr>
          <w:p w14:paraId="39CC8676" w14:textId="77777777" w:rsidR="000A7383" w:rsidRPr="006A7D32" w:rsidRDefault="000A7383" w:rsidP="000A7383">
            <w:pPr>
              <w:pStyle w:val="Paragraph"/>
              <w:spacing w:before="0" w:line="240" w:lineRule="auto"/>
              <w:jc w:val="center"/>
              <w:rPr>
                <w:b/>
                <w:sz w:val="22"/>
                <w:szCs w:val="22"/>
                <w:lang w:val="en-US"/>
              </w:rPr>
            </w:pPr>
            <w:r>
              <w:rPr>
                <w:b/>
                <w:sz w:val="22"/>
                <w:szCs w:val="22"/>
                <w:lang w:val="en-US"/>
              </w:rPr>
              <w:t>C</w:t>
            </w:r>
          </w:p>
        </w:tc>
      </w:tr>
    </w:tbl>
    <w:p w14:paraId="6F538768" w14:textId="6F51A31B" w:rsidR="000A7383" w:rsidRDefault="00056822" w:rsidP="00AE53A9">
      <w:pPr>
        <w:pStyle w:val="Paragraph"/>
        <w:spacing w:line="360" w:lineRule="auto"/>
        <w:rPr>
          <w:sz w:val="22"/>
          <w:szCs w:val="22"/>
          <w:lang w:val="en-US"/>
        </w:rPr>
      </w:pPr>
      <w:r>
        <w:rPr>
          <w:noProof/>
          <w:lang w:val="en-US" w:eastAsia="en-US"/>
        </w:rPr>
        <mc:AlternateContent>
          <mc:Choice Requires="wps">
            <w:drawing>
              <wp:anchor distT="0" distB="0" distL="114300" distR="114300" simplePos="0" relativeHeight="251664396" behindDoc="0" locked="0" layoutInCell="1" allowOverlap="1" wp14:anchorId="64769401" wp14:editId="561A9A07">
                <wp:simplePos x="0" y="0"/>
                <wp:positionH relativeFrom="margin">
                  <wp:posOffset>-355600</wp:posOffset>
                </wp:positionH>
                <wp:positionV relativeFrom="paragraph">
                  <wp:posOffset>5657003</wp:posOffset>
                </wp:positionV>
                <wp:extent cx="6149975" cy="635"/>
                <wp:effectExtent l="0" t="0" r="3175" b="0"/>
                <wp:wrapTopAndBottom/>
                <wp:docPr id="20" name="Text Box 20"/>
                <wp:cNvGraphicFramePr/>
                <a:graphic xmlns:a="http://schemas.openxmlformats.org/drawingml/2006/main">
                  <a:graphicData uri="http://schemas.microsoft.com/office/word/2010/wordprocessingShape">
                    <wps:wsp>
                      <wps:cNvSpPr txBox="1"/>
                      <wps:spPr>
                        <a:xfrm>
                          <a:off x="0" y="0"/>
                          <a:ext cx="6149975" cy="635"/>
                        </a:xfrm>
                        <a:prstGeom prst="rect">
                          <a:avLst/>
                        </a:prstGeom>
                        <a:solidFill>
                          <a:prstClr val="white"/>
                        </a:solidFill>
                        <a:ln>
                          <a:noFill/>
                        </a:ln>
                      </wps:spPr>
                      <wps:txbx>
                        <w:txbxContent>
                          <w:p w14:paraId="31330D36" w14:textId="77777777" w:rsidR="00056822" w:rsidRPr="003B0A74" w:rsidRDefault="00056822" w:rsidP="00056822">
                            <w:pPr>
                              <w:pStyle w:val="Caption"/>
                              <w:jc w:val="center"/>
                              <w:rPr>
                                <w:iCs w:val="0"/>
                                <w:color w:val="auto"/>
                                <w:sz w:val="22"/>
                                <w:szCs w:val="22"/>
                              </w:rPr>
                            </w:pPr>
                            <w:r w:rsidRPr="003B0A74">
                              <w:rPr>
                                <w:color w:val="auto"/>
                                <w:sz w:val="22"/>
                                <w:szCs w:val="22"/>
                              </w:rPr>
                              <w:t xml:space="preserve">Figure </w:t>
                            </w:r>
                            <w:r w:rsidRPr="003B0A74">
                              <w:rPr>
                                <w:noProof/>
                                <w:color w:val="auto"/>
                                <w:sz w:val="22"/>
                                <w:szCs w:val="22"/>
                              </w:rPr>
                              <w:t>6</w:t>
                            </w:r>
                            <w:r w:rsidRPr="003B0A74">
                              <w:rPr>
                                <w:color w:val="auto"/>
                                <w:sz w:val="22"/>
                                <w:szCs w:val="22"/>
                              </w:rPr>
                              <w:t xml:space="preserve">: Comparison of effects of ozonation and Fenton process to COD/TOC reduction and change of </w:t>
                            </w:r>
                            <w:r w:rsidRPr="003B0A74">
                              <w:rPr>
                                <w:color w:val="auto"/>
                                <w:sz w:val="22"/>
                                <w:szCs w:val="22"/>
                              </w:rPr>
                              <w:br/>
                              <w:t>biodegradability of antibiotics water solution, ozone dose 0.2 mol</w:t>
                            </w:r>
                            <w:r w:rsidRPr="003B0A74">
                              <w:rPr>
                                <w:rFonts w:cs="Arial"/>
                                <w:color w:val="auto"/>
                                <w:sz w:val="22"/>
                                <w:szCs w:val="22"/>
                                <w:vertAlign w:val="subscript"/>
                                <w:lang w:val="sl-SI"/>
                              </w:rPr>
                              <w:t>ozone</w:t>
                            </w:r>
                            <w:r w:rsidRPr="003B0A74">
                              <w:rPr>
                                <w:rFonts w:cs="Arial"/>
                                <w:color w:val="auto"/>
                                <w:sz w:val="22"/>
                                <w:szCs w:val="22"/>
                                <w:lang w:val="sl-SI"/>
                              </w:rPr>
                              <w:t>mol</w:t>
                            </w:r>
                            <w:r w:rsidRPr="003B0A74">
                              <w:rPr>
                                <w:rFonts w:cs="Arial"/>
                                <w:color w:val="auto"/>
                                <w:sz w:val="22"/>
                                <w:szCs w:val="22"/>
                                <w:vertAlign w:val="subscript"/>
                                <w:lang w:val="sl-SI"/>
                              </w:rPr>
                              <w:t>COD</w:t>
                            </w:r>
                            <w:r w:rsidRPr="003B0A74">
                              <w:rPr>
                                <w:rFonts w:cs="Arial"/>
                                <w:color w:val="auto"/>
                                <w:sz w:val="22"/>
                                <w:szCs w:val="22"/>
                                <w:vertAlign w:val="superscript"/>
                                <w:lang w:val="sl-SI"/>
                              </w:rPr>
                              <w:t>-</w:t>
                            </w:r>
                            <w:r w:rsidRPr="003B0A74">
                              <w:rPr>
                                <w:rFonts w:cs="Arial"/>
                                <w:color w:val="000000" w:themeColor="text1"/>
                                <w:sz w:val="22"/>
                                <w:szCs w:val="22"/>
                                <w:vertAlign w:val="superscript"/>
                                <w:lang w:val="sl-SI"/>
                              </w:rPr>
                              <w:t>1</w:t>
                            </w:r>
                            <w:r w:rsidRPr="003B0A74">
                              <w:rPr>
                                <w:color w:val="000000" w:themeColor="text1"/>
                                <w:sz w:val="22"/>
                                <w:szCs w:val="22"/>
                              </w:rPr>
                              <w:t xml:space="preserve"> </w:t>
                            </w:r>
                            <w:r w:rsidRPr="003B0A74">
                              <w:rPr>
                                <w:color w:val="000000" w:themeColor="text1"/>
                                <w:sz w:val="22"/>
                              </w:rPr>
                              <w:t>(100 mg L</w:t>
                            </w:r>
                            <w:r w:rsidRPr="003B0A74">
                              <w:rPr>
                                <w:color w:val="000000" w:themeColor="text1"/>
                                <w:sz w:val="22"/>
                                <w:vertAlign w:val="superscript"/>
                              </w:rPr>
                              <w:t>-1</w:t>
                            </w:r>
                            <w:r w:rsidRPr="003B0A74">
                              <w:rPr>
                                <w:color w:val="000000" w:themeColor="text1"/>
                                <w:sz w:val="22"/>
                              </w:rPr>
                              <w:t xml:space="preserve"> of antibiotics),</w:t>
                            </w:r>
                            <w:r w:rsidRPr="003B0A74">
                              <w:rPr>
                                <w:color w:val="auto"/>
                                <w:sz w:val="22"/>
                                <w:szCs w:val="22"/>
                              </w:rPr>
                              <w:br/>
                              <w:t xml:space="preserve">Fenton dose 1.0 </w:t>
                            </w:r>
                            <w:r w:rsidRPr="003B0A74">
                              <w:rPr>
                                <w:rFonts w:cs="Arial"/>
                                <w:color w:val="auto"/>
                                <w:sz w:val="22"/>
                                <w:szCs w:val="22"/>
                                <w:lang w:val="sl-SI"/>
                              </w:rPr>
                              <w:t>mol</w:t>
                            </w:r>
                            <w:r w:rsidRPr="003B0A74">
                              <w:rPr>
                                <w:rFonts w:cs="Arial"/>
                                <w:color w:val="auto"/>
                                <w:sz w:val="22"/>
                                <w:szCs w:val="22"/>
                                <w:vertAlign w:val="subscript"/>
                                <w:lang w:val="sl-SI"/>
                              </w:rPr>
                              <w:t>H2O2</w:t>
                            </w:r>
                            <w:r w:rsidRPr="003B0A74">
                              <w:rPr>
                                <w:rFonts w:cs="Arial"/>
                                <w:color w:val="auto"/>
                                <w:sz w:val="22"/>
                                <w:szCs w:val="22"/>
                                <w:lang w:val="sl-SI"/>
                              </w:rPr>
                              <w:t xml:space="preserve"> mol</w:t>
                            </w:r>
                            <w:r w:rsidRPr="003B0A74">
                              <w:rPr>
                                <w:rFonts w:cs="Arial"/>
                                <w:color w:val="auto"/>
                                <w:sz w:val="22"/>
                                <w:szCs w:val="22"/>
                                <w:vertAlign w:val="subscript"/>
                                <w:lang w:val="sl-SI"/>
                              </w:rPr>
                              <w:t>COD</w:t>
                            </w:r>
                            <w:r w:rsidRPr="003B0A74">
                              <w:rPr>
                                <w:rFonts w:cs="Arial"/>
                                <w:color w:val="auto"/>
                                <w:sz w:val="22"/>
                                <w:szCs w:val="22"/>
                                <w:vertAlign w:val="superscript"/>
                                <w:lang w:val="sl-SI"/>
                              </w:rPr>
                              <w:t>-1</w:t>
                            </w:r>
                            <w:r w:rsidRPr="003B0A74">
                              <w:rPr>
                                <w:color w:val="auto"/>
                                <w:sz w:val="22"/>
                                <w:szCs w:val="22"/>
                              </w:rPr>
                              <w:t>;</w:t>
                            </w:r>
                            <w:r w:rsidRPr="007B20DC">
                              <w:rPr>
                                <w:sz w:val="22"/>
                              </w:rPr>
                              <w:t xml:space="preserve"> </w:t>
                            </w:r>
                            <w:r w:rsidRPr="003B0A74">
                              <w:rPr>
                                <w:color w:val="000000" w:themeColor="text1"/>
                                <w:sz w:val="22"/>
                              </w:rPr>
                              <w:t>(400 mg L</w:t>
                            </w:r>
                            <w:r w:rsidRPr="003B0A74">
                              <w:rPr>
                                <w:color w:val="000000" w:themeColor="text1"/>
                                <w:sz w:val="22"/>
                                <w:vertAlign w:val="superscript"/>
                              </w:rPr>
                              <w:t>-1</w:t>
                            </w:r>
                            <w:r w:rsidRPr="003B0A74">
                              <w:rPr>
                                <w:color w:val="000000" w:themeColor="text1"/>
                                <w:sz w:val="22"/>
                              </w:rPr>
                              <w:t xml:space="preserve"> of antibiotics)</w:t>
                            </w:r>
                            <w:r w:rsidRPr="003B0A74">
                              <w:rPr>
                                <w:color w:val="auto"/>
                                <w:sz w:val="22"/>
                                <w:szCs w:val="22"/>
                              </w:rPr>
                              <w:t xml:space="preserve"> </w:t>
                            </w:r>
                            <w:r>
                              <w:rPr>
                                <w:color w:val="auto"/>
                                <w:sz w:val="22"/>
                                <w:szCs w:val="22"/>
                              </w:rPr>
                              <w:br/>
                            </w:r>
                            <w:r w:rsidRPr="003B0A74">
                              <w:rPr>
                                <w:color w:val="auto"/>
                                <w:sz w:val="22"/>
                                <w:szCs w:val="22"/>
                              </w:rPr>
                              <w:t>A, D - tiamulin; B, E – levofloxacin; C, F – amoxicillin.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769401" id="Text Box 20" o:spid="_x0000_s1032" type="#_x0000_t202" style="position:absolute;margin-left:-28pt;margin-top:445.45pt;width:484.25pt;height:.05pt;z-index:2516643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" stroked="f">
                <v:textbox style="mso-fit-shape-to-text:t" inset="0,0,0,0">
                  <w:txbxContent>
                    <w:p w14:paraId="31330D36" w14:textId="77777777" w:rsidR="00056822" w:rsidRPr="003B0A74" w:rsidRDefault="00056822" w:rsidP="00056822">
                      <w:pPr>
                        <w:pStyle w:val="Caption"/>
                        <w:jc w:val="center"/>
                        <w:rPr>
                          <w:iCs w:val="0"/>
                          <w:color w:val="auto"/>
                          <w:sz w:val="22"/>
                          <w:szCs w:val="22"/>
                        </w:rPr>
                      </w:pPr>
                      <w:r w:rsidRPr="003B0A74">
                        <w:rPr>
                          <w:color w:val="auto"/>
                          <w:sz w:val="22"/>
                          <w:szCs w:val="22"/>
                        </w:rPr>
                        <w:t xml:space="preserve">Figure </w:t>
                      </w:r>
                      <w:r w:rsidRPr="003B0A74">
                        <w:rPr>
                          <w:noProof/>
                          <w:color w:val="auto"/>
                          <w:sz w:val="22"/>
                          <w:szCs w:val="22"/>
                        </w:rPr>
                        <w:t>6</w:t>
                      </w:r>
                      <w:r w:rsidRPr="003B0A74">
                        <w:rPr>
                          <w:color w:val="auto"/>
                          <w:sz w:val="22"/>
                          <w:szCs w:val="22"/>
                        </w:rPr>
                        <w:t xml:space="preserve">: Comparison of effects of ozonation and Fenton process to COD/TOC reduction and change of </w:t>
                      </w:r>
                      <w:r w:rsidRPr="003B0A74">
                        <w:rPr>
                          <w:color w:val="auto"/>
                          <w:sz w:val="22"/>
                          <w:szCs w:val="22"/>
                        </w:rPr>
                        <w:br/>
                        <w:t>biodegradability of antibiotics water solution, ozone dose 0.2 mol</w:t>
                      </w:r>
                      <w:r w:rsidRPr="003B0A74">
                        <w:rPr>
                          <w:rFonts w:cs="Arial"/>
                          <w:color w:val="auto"/>
                          <w:sz w:val="22"/>
                          <w:szCs w:val="22"/>
                          <w:vertAlign w:val="subscript"/>
                          <w:lang w:val="sl-SI"/>
                        </w:rPr>
                        <w:t>ozone</w:t>
                      </w:r>
                      <w:r w:rsidRPr="003B0A74">
                        <w:rPr>
                          <w:rFonts w:cs="Arial"/>
                          <w:color w:val="auto"/>
                          <w:sz w:val="22"/>
                          <w:szCs w:val="22"/>
                          <w:lang w:val="sl-SI"/>
                        </w:rPr>
                        <w:t>mol</w:t>
                      </w:r>
                      <w:r w:rsidRPr="003B0A74">
                        <w:rPr>
                          <w:rFonts w:cs="Arial"/>
                          <w:color w:val="auto"/>
                          <w:sz w:val="22"/>
                          <w:szCs w:val="22"/>
                          <w:vertAlign w:val="subscript"/>
                          <w:lang w:val="sl-SI"/>
                        </w:rPr>
                        <w:t>COD</w:t>
                      </w:r>
                      <w:r w:rsidRPr="003B0A74">
                        <w:rPr>
                          <w:rFonts w:cs="Arial"/>
                          <w:color w:val="auto"/>
                          <w:sz w:val="22"/>
                          <w:szCs w:val="22"/>
                          <w:vertAlign w:val="superscript"/>
                          <w:lang w:val="sl-SI"/>
                        </w:rPr>
                        <w:t>-</w:t>
                      </w:r>
                      <w:r w:rsidRPr="003B0A74">
                        <w:rPr>
                          <w:rFonts w:cs="Arial"/>
                          <w:color w:val="000000" w:themeColor="text1"/>
                          <w:sz w:val="22"/>
                          <w:szCs w:val="22"/>
                          <w:vertAlign w:val="superscript"/>
                          <w:lang w:val="sl-SI"/>
                        </w:rPr>
                        <w:t>1</w:t>
                      </w:r>
                      <w:r w:rsidRPr="003B0A74">
                        <w:rPr>
                          <w:color w:val="000000" w:themeColor="text1"/>
                          <w:sz w:val="22"/>
                          <w:szCs w:val="22"/>
                        </w:rPr>
                        <w:t xml:space="preserve"> </w:t>
                      </w:r>
                      <w:r w:rsidRPr="003B0A74">
                        <w:rPr>
                          <w:color w:val="000000" w:themeColor="text1"/>
                          <w:sz w:val="22"/>
                        </w:rPr>
                        <w:t>(100 mg L</w:t>
                      </w:r>
                      <w:r w:rsidRPr="003B0A74">
                        <w:rPr>
                          <w:color w:val="000000" w:themeColor="text1"/>
                          <w:sz w:val="22"/>
                          <w:vertAlign w:val="superscript"/>
                        </w:rPr>
                        <w:t>-1</w:t>
                      </w:r>
                      <w:r w:rsidRPr="003B0A74">
                        <w:rPr>
                          <w:color w:val="000000" w:themeColor="text1"/>
                          <w:sz w:val="22"/>
                        </w:rPr>
                        <w:t xml:space="preserve"> of antibiotics),</w:t>
                      </w:r>
                      <w:r w:rsidRPr="003B0A74">
                        <w:rPr>
                          <w:color w:val="auto"/>
                          <w:sz w:val="22"/>
                          <w:szCs w:val="22"/>
                        </w:rPr>
                        <w:br/>
                        <w:t xml:space="preserve">Fenton dose 1.0 </w:t>
                      </w:r>
                      <w:r w:rsidRPr="003B0A74">
                        <w:rPr>
                          <w:rFonts w:cs="Arial"/>
                          <w:color w:val="auto"/>
                          <w:sz w:val="22"/>
                          <w:szCs w:val="22"/>
                          <w:lang w:val="sl-SI"/>
                        </w:rPr>
                        <w:t>mol</w:t>
                      </w:r>
                      <w:r w:rsidRPr="003B0A74">
                        <w:rPr>
                          <w:rFonts w:cs="Arial"/>
                          <w:color w:val="auto"/>
                          <w:sz w:val="22"/>
                          <w:szCs w:val="22"/>
                          <w:vertAlign w:val="subscript"/>
                          <w:lang w:val="sl-SI"/>
                        </w:rPr>
                        <w:t>H2O2</w:t>
                      </w:r>
                      <w:r w:rsidRPr="003B0A74">
                        <w:rPr>
                          <w:rFonts w:cs="Arial"/>
                          <w:color w:val="auto"/>
                          <w:sz w:val="22"/>
                          <w:szCs w:val="22"/>
                          <w:lang w:val="sl-SI"/>
                        </w:rPr>
                        <w:t xml:space="preserve"> mol</w:t>
                      </w:r>
                      <w:r w:rsidRPr="003B0A74">
                        <w:rPr>
                          <w:rFonts w:cs="Arial"/>
                          <w:color w:val="auto"/>
                          <w:sz w:val="22"/>
                          <w:szCs w:val="22"/>
                          <w:vertAlign w:val="subscript"/>
                          <w:lang w:val="sl-SI"/>
                        </w:rPr>
                        <w:t>COD</w:t>
                      </w:r>
                      <w:r w:rsidRPr="003B0A74">
                        <w:rPr>
                          <w:rFonts w:cs="Arial"/>
                          <w:color w:val="auto"/>
                          <w:sz w:val="22"/>
                          <w:szCs w:val="22"/>
                          <w:vertAlign w:val="superscript"/>
                          <w:lang w:val="sl-SI"/>
                        </w:rPr>
                        <w:t>-1</w:t>
                      </w:r>
                      <w:r w:rsidRPr="003B0A74">
                        <w:rPr>
                          <w:color w:val="auto"/>
                          <w:sz w:val="22"/>
                          <w:szCs w:val="22"/>
                        </w:rPr>
                        <w:t>;</w:t>
                      </w:r>
                      <w:r w:rsidRPr="007B20DC">
                        <w:rPr>
                          <w:sz w:val="22"/>
                        </w:rPr>
                        <w:t xml:space="preserve"> </w:t>
                      </w:r>
                      <w:r w:rsidRPr="003B0A74">
                        <w:rPr>
                          <w:color w:val="000000" w:themeColor="text1"/>
                          <w:sz w:val="22"/>
                        </w:rPr>
                        <w:t>(400 mg L</w:t>
                      </w:r>
                      <w:r w:rsidRPr="003B0A74">
                        <w:rPr>
                          <w:color w:val="000000" w:themeColor="text1"/>
                          <w:sz w:val="22"/>
                          <w:vertAlign w:val="superscript"/>
                        </w:rPr>
                        <w:t>-1</w:t>
                      </w:r>
                      <w:r w:rsidRPr="003B0A74">
                        <w:rPr>
                          <w:color w:val="000000" w:themeColor="text1"/>
                          <w:sz w:val="22"/>
                        </w:rPr>
                        <w:t xml:space="preserve"> of antibiotics)</w:t>
                      </w:r>
                      <w:r w:rsidRPr="003B0A74">
                        <w:rPr>
                          <w:color w:val="auto"/>
                          <w:sz w:val="22"/>
                          <w:szCs w:val="22"/>
                        </w:rPr>
                        <w:t xml:space="preserve"> </w:t>
                      </w:r>
                      <w:r>
                        <w:rPr>
                          <w:color w:val="auto"/>
                          <w:sz w:val="22"/>
                          <w:szCs w:val="22"/>
                        </w:rPr>
                        <w:br/>
                      </w:r>
                      <w:r w:rsidRPr="003B0A74">
                        <w:rPr>
                          <w:color w:val="auto"/>
                          <w:sz w:val="22"/>
                          <w:szCs w:val="22"/>
                        </w:rPr>
                        <w:t>A, D - tiamulin; B, E – levofloxacin; C, F – amoxicillin.</w:t>
                      </w:r>
                    </w:p>
                  </w:txbxContent>
                </v:textbox>
                <w10:wrap type="topAndBottom" anchorx="margin"/>
              </v:shape>
            </w:pict>
          </mc:Fallback>
        </mc:AlternateContent>
      </w:r>
      <w:r w:rsidR="000A7383">
        <w:rPr>
          <w:noProof/>
          <w:sz w:val="22"/>
          <w:szCs w:val="22"/>
          <w:lang w:val="en-US" w:eastAsia="en-US"/>
        </w:rPr>
        <w:drawing>
          <wp:anchor distT="0" distB="0" distL="114300" distR="114300" simplePos="0" relativeHeight="251662348" behindDoc="0" locked="0" layoutInCell="1" allowOverlap="1" wp14:anchorId="629042EF" wp14:editId="046730E7">
            <wp:simplePos x="0" y="0"/>
            <wp:positionH relativeFrom="column">
              <wp:posOffset>-457200</wp:posOffset>
            </wp:positionH>
            <wp:positionV relativeFrom="paragraph">
              <wp:posOffset>3640570</wp:posOffset>
            </wp:positionV>
            <wp:extent cx="6120000" cy="2008403"/>
            <wp:effectExtent l="0" t="0" r="0" b="0"/>
            <wp:wrapThrough wrapText="bothSides">
              <wp:wrapPolygon edited="0">
                <wp:start x="0" y="0"/>
                <wp:lineTo x="0" y="21313"/>
                <wp:lineTo x="21517" y="21313"/>
                <wp:lineTo x="215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000" cy="2008403"/>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147" w:tblpY="6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882"/>
        <w:gridCol w:w="3015"/>
      </w:tblGrid>
      <w:tr w:rsidR="000A7383" w14:paraId="62FE4AAE" w14:textId="77777777" w:rsidTr="00AF5D8C">
        <w:trPr>
          <w:trHeight w:val="340"/>
        </w:trPr>
        <w:tc>
          <w:tcPr>
            <w:tcW w:w="8926" w:type="dxa"/>
            <w:gridSpan w:val="3"/>
          </w:tcPr>
          <w:p w14:paraId="4A70C339" w14:textId="77777777" w:rsidR="000A7383" w:rsidRDefault="000A7383" w:rsidP="000A7383">
            <w:pPr>
              <w:pStyle w:val="Paragraph"/>
              <w:spacing w:before="0" w:line="240" w:lineRule="auto"/>
              <w:rPr>
                <w:sz w:val="22"/>
                <w:szCs w:val="22"/>
                <w:lang w:val="en-US"/>
              </w:rPr>
            </w:pPr>
            <w:r>
              <w:rPr>
                <w:b/>
                <w:sz w:val="22"/>
                <w:szCs w:val="22"/>
                <w:lang w:val="en-US"/>
              </w:rPr>
              <w:t>Fenton</w:t>
            </w:r>
            <w:r w:rsidRPr="002C3C7C">
              <w:rPr>
                <w:b/>
                <w:sz w:val="22"/>
                <w:szCs w:val="22"/>
                <w:lang w:val="en-US"/>
              </w:rPr>
              <w:t xml:space="preserve">, dose: </w:t>
            </w:r>
            <w:r>
              <w:rPr>
                <w:b/>
                <w:sz w:val="22"/>
                <w:szCs w:val="22"/>
                <w:lang w:val="en-US"/>
              </w:rPr>
              <w:t>1</w:t>
            </w:r>
            <w:r w:rsidRPr="002C3C7C">
              <w:rPr>
                <w:b/>
                <w:sz w:val="22"/>
                <w:szCs w:val="22"/>
                <w:lang w:val="en-US"/>
              </w:rPr>
              <w:t xml:space="preserve"> mol </w:t>
            </w:r>
            <w:r>
              <w:rPr>
                <w:b/>
                <w:sz w:val="22"/>
                <w:szCs w:val="22"/>
                <w:vertAlign w:val="subscript"/>
                <w:lang w:val="en-US"/>
              </w:rPr>
              <w:t>H2O2</w:t>
            </w:r>
            <w:r w:rsidRPr="002C3C7C">
              <w:rPr>
                <w:b/>
                <w:sz w:val="22"/>
                <w:szCs w:val="22"/>
                <w:lang w:val="en-US"/>
              </w:rPr>
              <w:t xml:space="preserve"> mol </w:t>
            </w:r>
            <w:r w:rsidRPr="002C3C7C">
              <w:rPr>
                <w:b/>
                <w:sz w:val="22"/>
                <w:szCs w:val="22"/>
                <w:vertAlign w:val="subscript"/>
                <w:lang w:val="en-US"/>
              </w:rPr>
              <w:t>COD</w:t>
            </w:r>
            <w:r w:rsidRPr="002C3C7C">
              <w:rPr>
                <w:b/>
                <w:sz w:val="22"/>
                <w:szCs w:val="22"/>
                <w:vertAlign w:val="superscript"/>
                <w:lang w:val="en-US"/>
              </w:rPr>
              <w:t>-1</w:t>
            </w:r>
          </w:p>
        </w:tc>
      </w:tr>
      <w:tr w:rsidR="000A7383" w14:paraId="4E4230AE" w14:textId="77777777" w:rsidTr="00AF5D8C">
        <w:trPr>
          <w:trHeight w:val="340"/>
        </w:trPr>
        <w:tc>
          <w:tcPr>
            <w:tcW w:w="3029" w:type="dxa"/>
          </w:tcPr>
          <w:p w14:paraId="5083E168" w14:textId="77777777" w:rsidR="000A7383" w:rsidRDefault="000A7383" w:rsidP="000A7383">
            <w:pPr>
              <w:pStyle w:val="Paragraph"/>
              <w:spacing w:before="0" w:line="240" w:lineRule="auto"/>
              <w:jc w:val="center"/>
              <w:rPr>
                <w:b/>
                <w:sz w:val="22"/>
                <w:szCs w:val="22"/>
                <w:lang w:val="en-US"/>
              </w:rPr>
            </w:pPr>
            <w:r>
              <w:rPr>
                <w:b/>
                <w:sz w:val="22"/>
                <w:szCs w:val="22"/>
                <w:lang w:val="en-US"/>
              </w:rPr>
              <w:t>D</w:t>
            </w:r>
          </w:p>
        </w:tc>
        <w:tc>
          <w:tcPr>
            <w:tcW w:w="2882" w:type="dxa"/>
          </w:tcPr>
          <w:p w14:paraId="6E6B37B5" w14:textId="77777777" w:rsidR="000A7383" w:rsidRDefault="000A7383" w:rsidP="000A7383">
            <w:pPr>
              <w:pStyle w:val="Paragraph"/>
              <w:spacing w:before="0" w:line="240" w:lineRule="auto"/>
              <w:jc w:val="center"/>
              <w:rPr>
                <w:b/>
                <w:sz w:val="22"/>
                <w:szCs w:val="22"/>
                <w:lang w:val="en-US"/>
              </w:rPr>
            </w:pPr>
            <w:r>
              <w:rPr>
                <w:b/>
                <w:sz w:val="22"/>
                <w:szCs w:val="22"/>
                <w:lang w:val="en-US"/>
              </w:rPr>
              <w:t>E</w:t>
            </w:r>
          </w:p>
        </w:tc>
        <w:tc>
          <w:tcPr>
            <w:tcW w:w="3015" w:type="dxa"/>
          </w:tcPr>
          <w:p w14:paraId="22450E4C" w14:textId="77777777" w:rsidR="000A7383" w:rsidRDefault="000A7383" w:rsidP="000A7383">
            <w:pPr>
              <w:pStyle w:val="Paragraph"/>
              <w:spacing w:before="0" w:line="240" w:lineRule="auto"/>
              <w:jc w:val="center"/>
              <w:rPr>
                <w:b/>
                <w:sz w:val="22"/>
                <w:szCs w:val="22"/>
                <w:lang w:val="en-US"/>
              </w:rPr>
            </w:pPr>
            <w:r>
              <w:rPr>
                <w:b/>
                <w:sz w:val="22"/>
                <w:szCs w:val="22"/>
                <w:lang w:val="en-US"/>
              </w:rPr>
              <w:t>F</w:t>
            </w:r>
          </w:p>
        </w:tc>
      </w:tr>
    </w:tbl>
    <w:p w14:paraId="1E89CB1F" w14:textId="67436ED5" w:rsidR="00E024ED" w:rsidRPr="00EC1598" w:rsidRDefault="00E024ED" w:rsidP="00C77F85">
      <w:pPr>
        <w:pStyle w:val="Abstract"/>
        <w:ind w:left="0"/>
      </w:pPr>
      <w:r w:rsidRPr="00EC1598">
        <w:t>For TML, reduction of COD with Fenton's process is 1.6-fold larger than in the case of ozonation while a reduction of</w:t>
      </w:r>
      <w:r w:rsidR="007912F4">
        <w:t xml:space="preserve"> </w:t>
      </w:r>
      <w:r w:rsidRPr="00EC1598">
        <w:t xml:space="preserve">TOC is larger by 1.8 times. The opposite is true with LFX, where reductions of COD and TOC are larger in the case of ozone </w:t>
      </w:r>
      <w:r w:rsidR="007912F4">
        <w:t>against the</w:t>
      </w:r>
      <w:r w:rsidRPr="00EC1598">
        <w:t xml:space="preserve"> Fenton's process. For AMX, reduction of COD with Fenton's process is the same as with ozone, while the reduction in TOC is 3.5-fold larger with Fenton's process. Oxidation with Fenton improves biodegradability of TML from 17 to 83%, biodegradability of LVX is increased up to 80%, and the biodegradability of AMX is 100%. </w:t>
      </w:r>
    </w:p>
    <w:p w14:paraId="53BEB3D4" w14:textId="4FCC465A" w:rsidR="00A25C6F" w:rsidRPr="00027451" w:rsidRDefault="00A25C6F" w:rsidP="00C77F85">
      <w:pPr>
        <w:pStyle w:val="Abstract"/>
        <w:ind w:left="0"/>
      </w:pPr>
      <w:r w:rsidRPr="00EC1598">
        <w:t xml:space="preserve">Figure </w:t>
      </w:r>
      <w:r w:rsidR="00EF249A">
        <w:t>6</w:t>
      </w:r>
      <w:r w:rsidR="00EF249A" w:rsidRPr="00EC1598">
        <w:t xml:space="preserve"> </w:t>
      </w:r>
      <w:r w:rsidRPr="00EC1598">
        <w:t>shows that for comparable COD and TOC removal efficienc</w:t>
      </w:r>
      <w:r w:rsidR="007912F4">
        <w:t>ies</w:t>
      </w:r>
      <w:r w:rsidRPr="00EC1598">
        <w:t xml:space="preserve">, </w:t>
      </w:r>
      <w:r w:rsidR="007912F4">
        <w:t>significantly</w:t>
      </w:r>
      <w:r w:rsidR="007912F4" w:rsidRPr="00EC1598">
        <w:t xml:space="preserve"> </w:t>
      </w:r>
      <w:r w:rsidRPr="00EC1598">
        <w:t xml:space="preserve">higher doses of oxidant </w:t>
      </w:r>
      <w:r w:rsidR="00C251A3">
        <w:t>need to be</w:t>
      </w:r>
      <w:r w:rsidR="00C251A3" w:rsidRPr="00EC1598">
        <w:t xml:space="preserve"> </w:t>
      </w:r>
      <w:r w:rsidRPr="00EC1598">
        <w:t xml:space="preserve">used </w:t>
      </w:r>
      <w:r w:rsidR="00C251A3">
        <w:t>for</w:t>
      </w:r>
      <w:r w:rsidRPr="00EC1598">
        <w:t xml:space="preserve"> Fenton process </w:t>
      </w:r>
      <w:r w:rsidR="0000541F">
        <w:t>comparing to</w:t>
      </w:r>
      <w:r w:rsidRPr="00EC1598">
        <w:t xml:space="preserve"> ozonation. The </w:t>
      </w:r>
      <w:r w:rsidR="0000541F">
        <w:t>improvement of</w:t>
      </w:r>
      <w:r w:rsidRPr="00EC1598">
        <w:t xml:space="preserve"> </w:t>
      </w:r>
      <w:r w:rsidR="0000541F">
        <w:t xml:space="preserve">LFX </w:t>
      </w:r>
      <w:r w:rsidRPr="00EC1598">
        <w:t xml:space="preserve">biodegradability actually </w:t>
      </w:r>
      <w:r w:rsidR="0000541F">
        <w:t>larger</w:t>
      </w:r>
      <w:r w:rsidRPr="00EC1598">
        <w:t xml:space="preserve"> at a lower dose of ozone compared to a higher dose of hydrogen peroxide. Higher doses of Fenton otherwise achieve better biodegradability for TML and AMX. The results show that both ozonation and Fenton process are effective techniques for the oxidation of antibiotics in aqueous solution, but the effects are not easily predictable due to formation of variety of different transformation products</w:t>
      </w:r>
      <w:r w:rsidR="00C251A3">
        <w:t>,</w:t>
      </w:r>
      <w:r w:rsidRPr="00EC1598">
        <w:t xml:space="preserve"> </w:t>
      </w:r>
      <w:r w:rsidR="00C251A3">
        <w:t>exhibiting</w:t>
      </w:r>
      <w:r w:rsidR="00C251A3" w:rsidRPr="00EC1598">
        <w:t xml:space="preserve"> </w:t>
      </w:r>
      <w:r w:rsidRPr="00EC1598">
        <w:t>lower or higher biodegradability</w:t>
      </w:r>
      <w:r w:rsidR="00C251A3">
        <w:t xml:space="preserve"> as the parent molecule</w:t>
      </w:r>
      <w:r w:rsidRPr="00EC1598">
        <w:t xml:space="preserve">. Above all, experiments indicated that </w:t>
      </w:r>
      <w:r w:rsidR="00C251A3">
        <w:t xml:space="preserve">it </w:t>
      </w:r>
      <w:r w:rsidR="00027451">
        <w:t>may not</w:t>
      </w:r>
      <w:r w:rsidR="00C251A3">
        <w:t xml:space="preserve"> be </w:t>
      </w:r>
      <w:r w:rsidRPr="00EC1598">
        <w:t>assume</w:t>
      </w:r>
      <w:r w:rsidR="00C251A3">
        <w:t>d that</w:t>
      </w:r>
      <w:r w:rsidRPr="00EC1598">
        <w:t xml:space="preserve"> higher doses of oxidant will result in proportionally larger effects in COD/TOC reductions, </w:t>
      </w:r>
      <w:r w:rsidR="00C251A3">
        <w:t>regardless of the oxidation</w:t>
      </w:r>
      <w:r w:rsidRPr="00EC1598">
        <w:t xml:space="preserve"> </w:t>
      </w:r>
      <w:r w:rsidRPr="00027451">
        <w:t xml:space="preserve">technique </w:t>
      </w:r>
      <w:r w:rsidR="00C251A3" w:rsidRPr="00027451">
        <w:t>used</w:t>
      </w:r>
      <w:r w:rsidRPr="00027451">
        <w:t>.</w:t>
      </w:r>
    </w:p>
    <w:p w14:paraId="3C9563C2" w14:textId="2CCFAD25" w:rsidR="00D50875" w:rsidRPr="003B0A74" w:rsidRDefault="00D50875" w:rsidP="00C77F85">
      <w:pPr>
        <w:pStyle w:val="Abstract"/>
        <w:ind w:left="0"/>
      </w:pPr>
      <w:r w:rsidRPr="003B0A74">
        <w:t xml:space="preserve">Considering the </w:t>
      </w:r>
      <w:r w:rsidR="000B7BD2" w:rsidRPr="003B0A74">
        <w:t xml:space="preserve">operational </w:t>
      </w:r>
      <w:r w:rsidRPr="003B0A74">
        <w:t>costs of both ozone and Fenton, referencing to the study of Cañizares et al.</w:t>
      </w:r>
      <w:r w:rsidR="00C32226">
        <w:t>,</w:t>
      </w:r>
      <w:r w:rsidRPr="003B0A74">
        <w:t xml:space="preserve"> </w:t>
      </w:r>
      <w:r w:rsidR="00330CAC" w:rsidRPr="00330CAC">
        <w:rPr>
          <w:vertAlign w:val="superscript"/>
        </w:rPr>
        <w:t>17</w:t>
      </w:r>
      <w:r w:rsidRPr="003B0A74">
        <w:t xml:space="preserve"> cost of ozone treatment according to Figure 6 is 0.5 € mol</w:t>
      </w:r>
      <w:r w:rsidR="00F269F0" w:rsidRPr="003B0A74">
        <w:rPr>
          <w:vertAlign w:val="subscript"/>
        </w:rPr>
        <w:t>COD</w:t>
      </w:r>
      <w:r w:rsidRPr="003B0A74">
        <w:rPr>
          <w:vertAlign w:val="superscript"/>
        </w:rPr>
        <w:t>-1</w:t>
      </w:r>
      <w:r w:rsidRPr="003B0A74">
        <w:t xml:space="preserve">, while Fenton </w:t>
      </w:r>
      <w:r w:rsidR="000B7BD2" w:rsidRPr="003B0A74">
        <w:t xml:space="preserve">treatment cost </w:t>
      </w:r>
      <w:r w:rsidRPr="003B0A74">
        <w:t>is in the range of 0.</w:t>
      </w:r>
      <w:r w:rsidR="00027451">
        <w:t>1</w:t>
      </w:r>
      <w:r w:rsidRPr="003B0A74">
        <w:t xml:space="preserve"> € mol</w:t>
      </w:r>
      <w:r w:rsidR="00F269F0" w:rsidRPr="003B0A74">
        <w:rPr>
          <w:vertAlign w:val="subscript"/>
        </w:rPr>
        <w:t>COD</w:t>
      </w:r>
      <w:r w:rsidRPr="003B0A74">
        <w:rPr>
          <w:vertAlign w:val="superscript"/>
        </w:rPr>
        <w:t>-1</w:t>
      </w:r>
      <w:r w:rsidRPr="003B0A74">
        <w:t xml:space="preserve">. This is considerable difference, also </w:t>
      </w:r>
      <w:r w:rsidR="00A81CD7">
        <w:t>if</w:t>
      </w:r>
      <w:r w:rsidRPr="003B0A74">
        <w:t xml:space="preserve"> sludge treatment costs </w:t>
      </w:r>
      <w:r w:rsidR="00A81CD7">
        <w:t xml:space="preserve">are added, </w:t>
      </w:r>
      <w:r w:rsidRPr="003B0A74">
        <w:t>in the range of 100 € m</w:t>
      </w:r>
      <w:r w:rsidRPr="003B0A74">
        <w:rPr>
          <w:vertAlign w:val="superscript"/>
        </w:rPr>
        <w:t>-3</w:t>
      </w:r>
      <w:r w:rsidRPr="003B0A74">
        <w:t xml:space="preserve"> dry sludge</w:t>
      </w:r>
      <w:r w:rsidR="000B7BD2" w:rsidRPr="003B0A74">
        <w:t>.</w:t>
      </w:r>
      <w:r w:rsidR="00F269F0" w:rsidRPr="003B0A74">
        <w:t xml:space="preserve"> On the other hand, ozone treatment neither generates any waste that needs further disposal nor uses any chemicals that require transport, storage and disposal. In terms of environmental </w:t>
      </w:r>
      <w:r w:rsidR="00C40174" w:rsidRPr="00027451">
        <w:t>sustainability,</w:t>
      </w:r>
      <w:r w:rsidR="00BC4006" w:rsidRPr="003B0A74">
        <w:t xml:space="preserve"> this </w:t>
      </w:r>
      <w:r w:rsidR="00C40174" w:rsidRPr="00027451">
        <w:t>advantage</w:t>
      </w:r>
      <w:r w:rsidR="00C40174">
        <w:t>, which</w:t>
      </w:r>
      <w:r w:rsidR="00BC4006" w:rsidRPr="003B0A74">
        <w:t xml:space="preserve"> economically may not yet be fully recognized.</w:t>
      </w:r>
    </w:p>
    <w:p w14:paraId="06D34439" w14:textId="77777777" w:rsidR="00C77F85" w:rsidRPr="00C77F85" w:rsidRDefault="00C77F85" w:rsidP="00C77F85">
      <w:pPr>
        <w:pStyle w:val="ListParagraph"/>
        <w:numPr>
          <w:ilvl w:val="0"/>
          <w:numId w:val="38"/>
        </w:numPr>
        <w:spacing w:line="360" w:lineRule="auto"/>
        <w:contextualSpacing w:val="0"/>
        <w:jc w:val="both"/>
        <w:rPr>
          <w:b/>
          <w:i/>
          <w:vanish/>
          <w:szCs w:val="22"/>
        </w:rPr>
      </w:pPr>
    </w:p>
    <w:p w14:paraId="2AF3FCA9" w14:textId="77777777" w:rsidR="00C77F85" w:rsidRPr="00C77F85" w:rsidRDefault="00C77F85" w:rsidP="00C77F85">
      <w:pPr>
        <w:pStyle w:val="ListParagraph"/>
        <w:numPr>
          <w:ilvl w:val="0"/>
          <w:numId w:val="38"/>
        </w:numPr>
        <w:spacing w:line="360" w:lineRule="auto"/>
        <w:contextualSpacing w:val="0"/>
        <w:jc w:val="both"/>
        <w:rPr>
          <w:b/>
          <w:i/>
          <w:vanish/>
          <w:szCs w:val="22"/>
        </w:rPr>
      </w:pPr>
    </w:p>
    <w:p w14:paraId="7F001E55" w14:textId="77777777" w:rsidR="00C77F85" w:rsidRPr="00C77F85" w:rsidRDefault="00C77F85" w:rsidP="00C77F85">
      <w:pPr>
        <w:pStyle w:val="ListParagraph"/>
        <w:numPr>
          <w:ilvl w:val="0"/>
          <w:numId w:val="38"/>
        </w:numPr>
        <w:spacing w:line="360" w:lineRule="auto"/>
        <w:contextualSpacing w:val="0"/>
        <w:jc w:val="both"/>
        <w:rPr>
          <w:b/>
          <w:i/>
          <w:vanish/>
          <w:szCs w:val="22"/>
        </w:rPr>
      </w:pPr>
    </w:p>
    <w:p w14:paraId="71B2D108" w14:textId="77777777" w:rsidR="00C77F85" w:rsidRPr="00C77F85" w:rsidRDefault="00C77F85" w:rsidP="00C77F85">
      <w:pPr>
        <w:pStyle w:val="ListParagraph"/>
        <w:numPr>
          <w:ilvl w:val="1"/>
          <w:numId w:val="38"/>
        </w:numPr>
        <w:spacing w:line="360" w:lineRule="auto"/>
        <w:contextualSpacing w:val="0"/>
        <w:jc w:val="both"/>
        <w:rPr>
          <w:b/>
          <w:i/>
          <w:vanish/>
          <w:szCs w:val="22"/>
        </w:rPr>
      </w:pPr>
    </w:p>
    <w:p w14:paraId="434246B6" w14:textId="77777777" w:rsidR="00C77F85" w:rsidRPr="00C77F85" w:rsidRDefault="00C77F85" w:rsidP="00C77F85">
      <w:pPr>
        <w:pStyle w:val="ListParagraph"/>
        <w:numPr>
          <w:ilvl w:val="1"/>
          <w:numId w:val="38"/>
        </w:numPr>
        <w:spacing w:line="360" w:lineRule="auto"/>
        <w:contextualSpacing w:val="0"/>
        <w:jc w:val="both"/>
        <w:rPr>
          <w:b/>
          <w:i/>
          <w:vanish/>
          <w:szCs w:val="22"/>
        </w:rPr>
      </w:pPr>
    </w:p>
    <w:p w14:paraId="61D6DB8A" w14:textId="77777777" w:rsidR="00C77F85" w:rsidRPr="00C77F85" w:rsidRDefault="00C77F85" w:rsidP="00C77F85">
      <w:pPr>
        <w:pStyle w:val="ListParagraph"/>
        <w:numPr>
          <w:ilvl w:val="1"/>
          <w:numId w:val="38"/>
        </w:numPr>
        <w:spacing w:line="360" w:lineRule="auto"/>
        <w:contextualSpacing w:val="0"/>
        <w:jc w:val="both"/>
        <w:rPr>
          <w:b/>
          <w:i/>
          <w:vanish/>
          <w:szCs w:val="22"/>
        </w:rPr>
      </w:pPr>
    </w:p>
    <w:p w14:paraId="016630A9" w14:textId="609F7EF8" w:rsidR="00680BE7" w:rsidRPr="00EC1598" w:rsidRDefault="00680BE7" w:rsidP="00C77F85">
      <w:pPr>
        <w:pStyle w:val="Newparagraph"/>
        <w:numPr>
          <w:ilvl w:val="1"/>
          <w:numId w:val="38"/>
        </w:numPr>
        <w:spacing w:line="360" w:lineRule="auto"/>
        <w:jc w:val="both"/>
        <w:rPr>
          <w:b/>
          <w:i/>
          <w:szCs w:val="22"/>
          <w:lang w:val="en-US"/>
        </w:rPr>
      </w:pPr>
      <w:r w:rsidRPr="00EC1598">
        <w:rPr>
          <w:b/>
          <w:i/>
          <w:szCs w:val="22"/>
        </w:rPr>
        <w:t>Reaction kinetics of ozonation</w:t>
      </w:r>
    </w:p>
    <w:p w14:paraId="6710FB85" w14:textId="396D1564" w:rsidR="00350B5E" w:rsidRDefault="00680BE7" w:rsidP="00C77F85">
      <w:pPr>
        <w:pStyle w:val="Abstract"/>
        <w:ind w:left="0"/>
      </w:pPr>
      <w:r w:rsidRPr="00EC1598">
        <w:t>To determine the kinetics of the direct reaction of ozone, measured through the removal of COD and TOC, a completely mixed two-phase system was assumed. CO</w:t>
      </w:r>
      <w:r w:rsidRPr="00EC1598">
        <w:rPr>
          <w:vertAlign w:val="subscript"/>
        </w:rPr>
        <w:t>2</w:t>
      </w:r>
      <w:r w:rsidRPr="00EC1598">
        <w:t xml:space="preserve"> and ozonation intermediates are constantly generated in the process. The reaction </w:t>
      </w:r>
      <w:r w:rsidR="00C5271C">
        <w:t>stops</w:t>
      </w:r>
      <w:r w:rsidRPr="00EC1598">
        <w:t xml:space="preserve"> at the stage where oxidation products no longer react with ozone. Due to the purging </w:t>
      </w:r>
      <w:r w:rsidR="00D45D51">
        <w:t xml:space="preserve">of </w:t>
      </w:r>
      <w:r w:rsidRPr="00EC1598">
        <w:t>the solution with ozone-containing gas, CO</w:t>
      </w:r>
      <w:r w:rsidRPr="00EC1598">
        <w:rPr>
          <w:vertAlign w:val="subscript"/>
        </w:rPr>
        <w:t>2</w:t>
      </w:r>
      <w:r w:rsidRPr="00EC1598">
        <w:t xml:space="preserve"> formed during the oxidation of antibiotics is</w:t>
      </w:r>
      <w:r w:rsidR="00D45D51">
        <w:t xml:space="preserve"> </w:t>
      </w:r>
      <w:r w:rsidRPr="00EC1598">
        <w:t>continuously removed from the system.</w:t>
      </w:r>
      <w:r w:rsidR="00350B5E">
        <w:t xml:space="preserve"> For both</w:t>
      </w:r>
      <w:r w:rsidRPr="00EC1598">
        <w:t xml:space="preserve"> TML and LFX, </w:t>
      </w:r>
      <w:r w:rsidR="00685A49">
        <w:t>reduction of</w:t>
      </w:r>
      <w:r w:rsidRPr="00EC1598">
        <w:t xml:space="preserve"> TOC and COD </w:t>
      </w:r>
      <w:r w:rsidR="00E6387C">
        <w:t>over</w:t>
      </w:r>
      <w:r w:rsidR="00685A49">
        <w:t xml:space="preserve"> time </w:t>
      </w:r>
      <w:r w:rsidRPr="00EC1598">
        <w:t>follows zero-order kinetics, however in two phases</w:t>
      </w:r>
      <w:r w:rsidR="00685A49">
        <w:t xml:space="preserve"> -</w:t>
      </w:r>
      <w:r w:rsidR="00685A49" w:rsidRPr="00EC1598">
        <w:t xml:space="preserve"> </w:t>
      </w:r>
      <w:r w:rsidRPr="00EC1598">
        <w:t>where the reaction rate is higher in the first than in the second phase. The stepwise nature of the reaction can be justified by the analysis of structural changes of the molecule during ozonation</w:t>
      </w:r>
      <w:r w:rsidR="00685A49">
        <w:t>.</w:t>
      </w:r>
      <w:r w:rsidRPr="00EC1598">
        <w:t xml:space="preserve"> </w:t>
      </w:r>
      <w:r w:rsidR="00685A49">
        <w:t>First, oxidation</w:t>
      </w:r>
      <w:r w:rsidR="00685A49" w:rsidRPr="00EC1598">
        <w:t xml:space="preserve"> </w:t>
      </w:r>
      <w:r w:rsidR="00685A49">
        <w:t>intermediates</w:t>
      </w:r>
      <w:r w:rsidR="00685A49" w:rsidRPr="00EC1598">
        <w:t xml:space="preserve"> </w:t>
      </w:r>
      <w:r w:rsidRPr="00EC1598">
        <w:t xml:space="preserve">appear in the process, which react further and are transformed </w:t>
      </w:r>
      <w:r w:rsidR="00685A49">
        <w:t>into molecular entities, which</w:t>
      </w:r>
      <w:r w:rsidRPr="00EC1598">
        <w:t xml:space="preserve"> </w:t>
      </w:r>
      <w:r w:rsidR="00685A49">
        <w:t>eventually no</w:t>
      </w:r>
      <w:r w:rsidR="00685A49" w:rsidRPr="00EC1598">
        <w:t xml:space="preserve"> </w:t>
      </w:r>
      <w:r w:rsidRPr="00EC1598">
        <w:t xml:space="preserve">longer react with ozone. </w:t>
      </w:r>
    </w:p>
    <w:p w14:paraId="0EE82098" w14:textId="15AC4BE1" w:rsidR="008A4847" w:rsidRDefault="00350B5E" w:rsidP="00C77F85">
      <w:pPr>
        <w:pStyle w:val="Abstract"/>
        <w:ind w:left="0"/>
      </w:pPr>
      <w:r>
        <w:t xml:space="preserve">Ozonation of </w:t>
      </w:r>
      <w:r w:rsidR="00680BE7" w:rsidRPr="00EC1598">
        <w:t>TML</w:t>
      </w:r>
      <w:r>
        <w:t xml:space="preserve"> </w:t>
      </w:r>
      <w:r w:rsidR="00680BE7" w:rsidRPr="00EC1598">
        <w:t xml:space="preserve">leads </w:t>
      </w:r>
      <w:r>
        <w:t xml:space="preserve">in the first 30 minutes </w:t>
      </w:r>
      <w:r w:rsidR="00680BE7" w:rsidRPr="00EC1598">
        <w:t xml:space="preserve">to the formation of a carboxylic acid and </w:t>
      </w:r>
      <w:r w:rsidR="00C40174">
        <w:t xml:space="preserve">as well as </w:t>
      </w:r>
      <w:r w:rsidR="00680BE7" w:rsidRPr="00EC1598">
        <w:t>sulfur atom</w:t>
      </w:r>
      <w:r w:rsidR="00C40174">
        <w:t xml:space="preserve"> is oxidized</w:t>
      </w:r>
      <w:r w:rsidR="00680BE7" w:rsidRPr="00EC1598">
        <w:t>, which produces the molecule (with a mass of 543 g mol</w:t>
      </w:r>
      <w:r w:rsidR="00680BE7" w:rsidRPr="00EC1598">
        <w:rPr>
          <w:vertAlign w:val="superscript"/>
        </w:rPr>
        <w:t>-1</w:t>
      </w:r>
      <w:r w:rsidR="00680BE7" w:rsidRPr="00EC1598">
        <w:t>)</w:t>
      </w:r>
      <w:r w:rsidR="00C40174">
        <w:t>,</w:t>
      </w:r>
      <w:r w:rsidR="00680BE7" w:rsidRPr="00EC1598">
        <w:t xml:space="preserve"> predominant in the first </w:t>
      </w:r>
      <w:r w:rsidR="00FA2EED">
        <w:t>phase of ozonation</w:t>
      </w:r>
      <w:r w:rsidR="00680BE7" w:rsidRPr="00EC1598">
        <w:t xml:space="preserve">. </w:t>
      </w:r>
      <w:r w:rsidR="00C40174">
        <w:t>In the second phase, t</w:t>
      </w:r>
      <w:r w:rsidR="00C40174" w:rsidRPr="00EC1598">
        <w:t xml:space="preserve">his </w:t>
      </w:r>
      <w:r w:rsidR="00680BE7" w:rsidRPr="00EC1598">
        <w:t xml:space="preserve">is </w:t>
      </w:r>
      <w:r w:rsidR="00FA2EED">
        <w:t xml:space="preserve">then followed </w:t>
      </w:r>
      <w:r w:rsidR="00680BE7" w:rsidRPr="00EC1598">
        <w:t>by</w:t>
      </w:r>
      <w:r w:rsidR="00FA2EED">
        <w:t xml:space="preserve"> the</w:t>
      </w:r>
      <w:r w:rsidR="00680BE7" w:rsidRPr="00EC1598">
        <w:t xml:space="preserve"> oxidation of the nitrogen atom and thus the degradation of TML gradually progresses</w:t>
      </w:r>
      <w:r w:rsidR="00C32226">
        <w:t>.</w:t>
      </w:r>
      <w:r w:rsidR="00680BE7" w:rsidRPr="00EC1598">
        <w:t xml:space="preserve"> </w:t>
      </w:r>
      <w:r w:rsidR="00330CAC" w:rsidRPr="00330CAC">
        <w:rPr>
          <w:vertAlign w:val="superscript"/>
        </w:rPr>
        <w:t>18</w:t>
      </w:r>
      <w:r w:rsidR="00680BE7" w:rsidRPr="00EC1598">
        <w:t xml:space="preserve"> </w:t>
      </w:r>
      <w:r w:rsidR="008A4847">
        <w:t xml:space="preserve">The two reaction phases are clearly seen in Figure </w:t>
      </w:r>
      <w:r w:rsidR="00D20898">
        <w:t>7</w:t>
      </w:r>
      <w:r w:rsidR="008A4847">
        <w:t xml:space="preserve"> for TOC and Figure </w:t>
      </w:r>
      <w:r w:rsidR="00D20898">
        <w:t>8</w:t>
      </w:r>
      <w:r w:rsidR="008A4847">
        <w:t xml:space="preserve"> for COD.</w:t>
      </w:r>
    </w:p>
    <w:p w14:paraId="59662732" w14:textId="295B3818" w:rsidR="008A4847" w:rsidRDefault="008A4847" w:rsidP="00680BE7">
      <w:pPr>
        <w:pStyle w:val="Newparagraph"/>
        <w:spacing w:line="360" w:lineRule="auto"/>
        <w:jc w:val="both"/>
        <w:rPr>
          <w:iCs/>
          <w:sz w:val="22"/>
          <w:szCs w:val="22"/>
          <w:lang w:val="en-US"/>
        </w:rPr>
      </w:pPr>
      <w:bookmarkStart w:id="1" w:name="_GoBack"/>
      <w:bookmarkEnd w:id="1"/>
    </w:p>
    <w:p w14:paraId="2B83C191" w14:textId="3F79C50F" w:rsidR="008A4847" w:rsidRDefault="00203A1C" w:rsidP="00680BE7">
      <w:pPr>
        <w:pStyle w:val="Newparagraph"/>
        <w:spacing w:line="360" w:lineRule="auto"/>
        <w:jc w:val="both"/>
        <w:rPr>
          <w:iCs/>
          <w:sz w:val="22"/>
          <w:szCs w:val="22"/>
          <w:lang w:val="en-US"/>
        </w:rPr>
      </w:pPr>
      <w:r w:rsidRPr="00203A1C">
        <w:rPr>
          <w:iCs/>
          <w:noProof/>
          <w:sz w:val="22"/>
          <w:szCs w:val="22"/>
          <w:lang w:val="en-US" w:eastAsia="en-US"/>
        </w:rPr>
        <mc:AlternateContent>
          <mc:Choice Requires="wps">
            <w:drawing>
              <wp:anchor distT="45720" distB="45720" distL="114300" distR="114300" simplePos="0" relativeHeight="251658251" behindDoc="0" locked="0" layoutInCell="1" allowOverlap="1" wp14:anchorId="168845A4" wp14:editId="51849249">
                <wp:simplePos x="0" y="0"/>
                <wp:positionH relativeFrom="column">
                  <wp:posOffset>3324225</wp:posOffset>
                </wp:positionH>
                <wp:positionV relativeFrom="paragraph">
                  <wp:posOffset>593090</wp:posOffset>
                </wp:positionV>
                <wp:extent cx="1288415" cy="6172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617220"/>
                        </a:xfrm>
                        <a:prstGeom prst="rect">
                          <a:avLst/>
                        </a:prstGeom>
                        <a:solidFill>
                          <a:srgbClr val="FFFFFF"/>
                        </a:solidFill>
                        <a:ln w="9525">
                          <a:noFill/>
                          <a:miter lim="800000"/>
                          <a:headEnd/>
                          <a:tailEnd/>
                        </a:ln>
                      </wps:spPr>
                      <wps:txbx>
                        <w:txbxContent>
                          <w:p w14:paraId="57836123" w14:textId="092D1849" w:rsidR="00AB6476" w:rsidRPr="00073219" w:rsidRDefault="00AB6476" w:rsidP="00203A1C">
                            <w:pPr>
                              <w:rPr>
                                <w:sz w:val="18"/>
                                <w:szCs w:val="18"/>
                              </w:rPr>
                            </w:pPr>
                            <w:r w:rsidRPr="007B73A8">
                              <w:rPr>
                                <w:sz w:val="18"/>
                                <w:szCs w:val="18"/>
                              </w:rPr>
                              <w:t>k</w:t>
                            </w:r>
                            <w:r w:rsidRPr="007B73A8">
                              <w:rPr>
                                <w:sz w:val="18"/>
                                <w:szCs w:val="18"/>
                                <w:vertAlign w:val="subscript"/>
                              </w:rPr>
                              <w:t>2</w:t>
                            </w:r>
                            <w:r w:rsidRPr="00FD3169">
                              <w:rPr>
                                <w:sz w:val="18"/>
                                <w:szCs w:val="18"/>
                              </w:rPr>
                              <w:t xml:space="preserve"> = 0</w:t>
                            </w:r>
                            <w:r>
                              <w:rPr>
                                <w:sz w:val="18"/>
                                <w:szCs w:val="18"/>
                              </w:rPr>
                              <w:t>.</w:t>
                            </w:r>
                            <w:r w:rsidRPr="00FD3169">
                              <w:rPr>
                                <w:sz w:val="18"/>
                                <w:szCs w:val="18"/>
                              </w:rPr>
                              <w:t>02 mg L</w:t>
                            </w:r>
                            <w:r w:rsidRPr="00FD3169">
                              <w:rPr>
                                <w:sz w:val="18"/>
                                <w:szCs w:val="18"/>
                                <w:vertAlign w:val="superscript"/>
                              </w:rPr>
                              <w:t>-1</w:t>
                            </w:r>
                            <w:r w:rsidRPr="00073219">
                              <w:rPr>
                                <w:sz w:val="18"/>
                                <w:szCs w:val="18"/>
                              </w:rPr>
                              <w:t xml:space="preserve"> min</w:t>
                            </w:r>
                            <w:r w:rsidRPr="00073219">
                              <w:rPr>
                                <w:sz w:val="18"/>
                                <w:szCs w:val="18"/>
                                <w:vertAlign w:val="superscript"/>
                              </w:rPr>
                              <w:t>-1</w:t>
                            </w:r>
                          </w:p>
                          <w:p w14:paraId="663256FA" w14:textId="22094D03" w:rsidR="00AB6476" w:rsidRPr="00FD3169" w:rsidRDefault="00AB6476" w:rsidP="00203A1C">
                            <w:pPr>
                              <w:rPr>
                                <w:sz w:val="18"/>
                                <w:szCs w:val="18"/>
                              </w:rPr>
                            </w:pPr>
                            <w:r w:rsidRPr="006377C3">
                              <w:rPr>
                                <w:sz w:val="18"/>
                                <w:szCs w:val="18"/>
                              </w:rPr>
                              <w:t>R</w:t>
                            </w:r>
                            <w:r w:rsidRPr="006377C3">
                              <w:rPr>
                                <w:sz w:val="18"/>
                                <w:szCs w:val="18"/>
                                <w:vertAlign w:val="superscript"/>
                              </w:rPr>
                              <w:t xml:space="preserve">2 </w:t>
                            </w:r>
                            <w:r w:rsidRPr="006377C3">
                              <w:rPr>
                                <w:sz w:val="18"/>
                                <w:szCs w:val="18"/>
                              </w:rPr>
                              <w:t>= 0</w:t>
                            </w:r>
                            <w:r>
                              <w:rPr>
                                <w:sz w:val="18"/>
                                <w:szCs w:val="18"/>
                              </w:rPr>
                              <w:t>.</w:t>
                            </w:r>
                            <w:r w:rsidRPr="007B73A8">
                              <w:rPr>
                                <w:sz w:val="18"/>
                                <w:szCs w:val="18"/>
                              </w:rPr>
                              <w:t>9386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8845A4" id="_x0000_s1033" type="#_x0000_t202" style="position:absolute;left:0;text-align:left;margin-left:261.75pt;margin-top:46.7pt;width:101.45pt;height:48.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" stroked="f">
                <v:textbox>
                  <w:txbxContent>
                    <w:p w14:paraId="57836123" w14:textId="092D1849" w:rsidR="00AB6476" w:rsidRPr="00073219" w:rsidRDefault="00AB6476" w:rsidP="00203A1C">
                      <w:pPr>
                        <w:rPr>
                          <w:sz w:val="18"/>
                          <w:szCs w:val="18"/>
                        </w:rPr>
                      </w:pPr>
                      <w:r w:rsidRPr="007B73A8">
                        <w:rPr>
                          <w:sz w:val="18"/>
                          <w:szCs w:val="18"/>
                        </w:rPr>
                        <w:t>k</w:t>
                      </w:r>
                      <w:r w:rsidRPr="007B73A8">
                        <w:rPr>
                          <w:sz w:val="18"/>
                          <w:szCs w:val="18"/>
                          <w:vertAlign w:val="subscript"/>
                        </w:rPr>
                        <w:t>2</w:t>
                      </w:r>
                      <w:r w:rsidRPr="00FD3169">
                        <w:rPr>
                          <w:sz w:val="18"/>
                          <w:szCs w:val="18"/>
                        </w:rPr>
                        <w:t xml:space="preserve"> = 0</w:t>
                      </w:r>
                      <w:r>
                        <w:rPr>
                          <w:sz w:val="18"/>
                          <w:szCs w:val="18"/>
                        </w:rPr>
                        <w:t>.</w:t>
                      </w:r>
                      <w:r w:rsidRPr="00FD3169">
                        <w:rPr>
                          <w:sz w:val="18"/>
                          <w:szCs w:val="18"/>
                        </w:rPr>
                        <w:t>02 mg L</w:t>
                      </w:r>
                      <w:r w:rsidRPr="00FD3169">
                        <w:rPr>
                          <w:sz w:val="18"/>
                          <w:szCs w:val="18"/>
                          <w:vertAlign w:val="superscript"/>
                        </w:rPr>
                        <w:t>-1</w:t>
                      </w:r>
                      <w:r w:rsidRPr="00073219">
                        <w:rPr>
                          <w:sz w:val="18"/>
                          <w:szCs w:val="18"/>
                        </w:rPr>
                        <w:t xml:space="preserve"> min</w:t>
                      </w:r>
                      <w:r w:rsidRPr="00073219">
                        <w:rPr>
                          <w:sz w:val="18"/>
                          <w:szCs w:val="18"/>
                          <w:vertAlign w:val="superscript"/>
                        </w:rPr>
                        <w:t>-1</w:t>
                      </w:r>
                    </w:p>
                    <w:p w14:paraId="663256FA" w14:textId="22094D03" w:rsidR="00AB6476" w:rsidRPr="00FD3169" w:rsidRDefault="00AB6476" w:rsidP="00203A1C">
                      <w:pPr>
                        <w:rPr>
                          <w:sz w:val="18"/>
                          <w:szCs w:val="18"/>
                        </w:rPr>
                      </w:pPr>
                      <w:r w:rsidRPr="006377C3">
                        <w:rPr>
                          <w:sz w:val="18"/>
                          <w:szCs w:val="18"/>
                        </w:rPr>
                        <w:t>R</w:t>
                      </w:r>
                      <w:r w:rsidRPr="006377C3">
                        <w:rPr>
                          <w:sz w:val="18"/>
                          <w:szCs w:val="18"/>
                          <w:vertAlign w:val="superscript"/>
                        </w:rPr>
                        <w:t xml:space="preserve">2 </w:t>
                      </w:r>
                      <w:r w:rsidRPr="006377C3">
                        <w:rPr>
                          <w:sz w:val="18"/>
                          <w:szCs w:val="18"/>
                        </w:rPr>
                        <w:t>= 0</w:t>
                      </w:r>
                      <w:r>
                        <w:rPr>
                          <w:sz w:val="18"/>
                          <w:szCs w:val="18"/>
                        </w:rPr>
                        <w:t>.</w:t>
                      </w:r>
                      <w:r w:rsidRPr="007B73A8">
                        <w:rPr>
                          <w:sz w:val="18"/>
                          <w:szCs w:val="18"/>
                        </w:rPr>
                        <w:t>9386</w:t>
                      </w:r>
                    </w:p>
                  </w:txbxContent>
                </v:textbox>
              </v:shape>
            </w:pict>
          </mc:Fallback>
        </mc:AlternateContent>
      </w:r>
      <w:r w:rsidRPr="00203A1C">
        <w:rPr>
          <w:iCs/>
          <w:noProof/>
          <w:sz w:val="22"/>
          <w:szCs w:val="22"/>
          <w:lang w:val="en-US" w:eastAsia="en-US"/>
        </w:rPr>
        <mc:AlternateContent>
          <mc:Choice Requires="wps">
            <w:drawing>
              <wp:anchor distT="45720" distB="45720" distL="114300" distR="114300" simplePos="0" relativeHeight="251658252" behindDoc="0" locked="0" layoutInCell="1" allowOverlap="1" wp14:anchorId="4991060C" wp14:editId="1B3AF169">
                <wp:simplePos x="0" y="0"/>
                <wp:positionH relativeFrom="column">
                  <wp:posOffset>1243965</wp:posOffset>
                </wp:positionH>
                <wp:positionV relativeFrom="paragraph">
                  <wp:posOffset>570230</wp:posOffset>
                </wp:positionV>
                <wp:extent cx="1288415" cy="640080"/>
                <wp:effectExtent l="0" t="0" r="6985" b="762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640080"/>
                        </a:xfrm>
                        <a:prstGeom prst="rect">
                          <a:avLst/>
                        </a:prstGeom>
                        <a:solidFill>
                          <a:srgbClr val="FFFFFF"/>
                        </a:solidFill>
                        <a:ln w="9525">
                          <a:noFill/>
                          <a:miter lim="800000"/>
                          <a:headEnd/>
                          <a:tailEnd/>
                        </a:ln>
                      </wps:spPr>
                      <wps:txbx>
                        <w:txbxContent>
                          <w:p w14:paraId="343F97CD" w14:textId="59DC312C" w:rsidR="00AB6476" w:rsidRPr="00073219" w:rsidRDefault="00AB6476" w:rsidP="00203A1C">
                            <w:pPr>
                              <w:rPr>
                                <w:sz w:val="18"/>
                                <w:szCs w:val="18"/>
                              </w:rPr>
                            </w:pPr>
                            <w:r w:rsidRPr="007B73A8">
                              <w:rPr>
                                <w:sz w:val="18"/>
                                <w:szCs w:val="18"/>
                              </w:rPr>
                              <w:t>k</w:t>
                            </w:r>
                            <w:r w:rsidRPr="007B73A8">
                              <w:rPr>
                                <w:sz w:val="18"/>
                                <w:szCs w:val="18"/>
                                <w:vertAlign w:val="subscript"/>
                              </w:rPr>
                              <w:t>1</w:t>
                            </w:r>
                            <w:r w:rsidRPr="00FD3169">
                              <w:rPr>
                                <w:sz w:val="18"/>
                                <w:szCs w:val="18"/>
                              </w:rPr>
                              <w:t xml:space="preserve"> = 0</w:t>
                            </w:r>
                            <w:r>
                              <w:rPr>
                                <w:sz w:val="18"/>
                                <w:szCs w:val="18"/>
                              </w:rPr>
                              <w:t>.</w:t>
                            </w:r>
                            <w:r w:rsidRPr="00FD3169">
                              <w:rPr>
                                <w:sz w:val="18"/>
                                <w:szCs w:val="18"/>
                              </w:rPr>
                              <w:t>15 mg L</w:t>
                            </w:r>
                            <w:r w:rsidRPr="00FD3169">
                              <w:rPr>
                                <w:sz w:val="18"/>
                                <w:szCs w:val="18"/>
                                <w:vertAlign w:val="superscript"/>
                              </w:rPr>
                              <w:t>-1</w:t>
                            </w:r>
                            <w:r w:rsidRPr="00073219">
                              <w:rPr>
                                <w:sz w:val="18"/>
                                <w:szCs w:val="18"/>
                              </w:rPr>
                              <w:t xml:space="preserve"> min</w:t>
                            </w:r>
                            <w:r w:rsidRPr="00073219">
                              <w:rPr>
                                <w:sz w:val="18"/>
                                <w:szCs w:val="18"/>
                                <w:vertAlign w:val="superscript"/>
                              </w:rPr>
                              <w:t>-1</w:t>
                            </w:r>
                          </w:p>
                          <w:p w14:paraId="06AF6B4B" w14:textId="6F5750F4" w:rsidR="00AB6476" w:rsidRPr="00FD3169" w:rsidRDefault="00AB6476" w:rsidP="00203A1C">
                            <w:pPr>
                              <w:rPr>
                                <w:sz w:val="18"/>
                                <w:szCs w:val="18"/>
                              </w:rPr>
                            </w:pPr>
                            <w:r w:rsidRPr="006377C3">
                              <w:rPr>
                                <w:sz w:val="18"/>
                                <w:szCs w:val="18"/>
                              </w:rPr>
                              <w:t>R</w:t>
                            </w:r>
                            <w:r w:rsidRPr="006377C3">
                              <w:rPr>
                                <w:sz w:val="18"/>
                                <w:szCs w:val="18"/>
                                <w:vertAlign w:val="superscript"/>
                              </w:rPr>
                              <w:t xml:space="preserve">2 </w:t>
                            </w:r>
                            <w:r w:rsidRPr="006377C3">
                              <w:rPr>
                                <w:sz w:val="18"/>
                                <w:szCs w:val="18"/>
                              </w:rPr>
                              <w:t>= 0</w:t>
                            </w:r>
                            <w:r>
                              <w:rPr>
                                <w:sz w:val="18"/>
                                <w:szCs w:val="18"/>
                              </w:rPr>
                              <w:t>.</w:t>
                            </w:r>
                            <w:r w:rsidRPr="007B73A8">
                              <w:rPr>
                                <w:sz w:val="18"/>
                                <w:szCs w:val="18"/>
                              </w:rPr>
                              <w:t>9357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91060C" id="_x0000_s1034" type="#_x0000_t202" style="position:absolute;left:0;text-align:left;margin-left:97.95pt;margin-top:44.9pt;width:101.45pt;height:50.4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" stroked="f">
                <v:textbox>
                  <w:txbxContent>
                    <w:p w14:paraId="343F97CD" w14:textId="59DC312C" w:rsidR="00AB6476" w:rsidRPr="00073219" w:rsidRDefault="00AB6476" w:rsidP="00203A1C">
                      <w:pPr>
                        <w:rPr>
                          <w:sz w:val="18"/>
                          <w:szCs w:val="18"/>
                        </w:rPr>
                      </w:pPr>
                      <w:r w:rsidRPr="007B73A8">
                        <w:rPr>
                          <w:sz w:val="18"/>
                          <w:szCs w:val="18"/>
                        </w:rPr>
                        <w:t>k</w:t>
                      </w:r>
                      <w:r w:rsidRPr="007B73A8">
                        <w:rPr>
                          <w:sz w:val="18"/>
                          <w:szCs w:val="18"/>
                          <w:vertAlign w:val="subscript"/>
                        </w:rPr>
                        <w:t>1</w:t>
                      </w:r>
                      <w:r w:rsidRPr="00FD3169">
                        <w:rPr>
                          <w:sz w:val="18"/>
                          <w:szCs w:val="18"/>
                        </w:rPr>
                        <w:t xml:space="preserve"> = 0</w:t>
                      </w:r>
                      <w:r>
                        <w:rPr>
                          <w:sz w:val="18"/>
                          <w:szCs w:val="18"/>
                        </w:rPr>
                        <w:t>.</w:t>
                      </w:r>
                      <w:r w:rsidRPr="00FD3169">
                        <w:rPr>
                          <w:sz w:val="18"/>
                          <w:szCs w:val="18"/>
                        </w:rPr>
                        <w:t>15 mg L</w:t>
                      </w:r>
                      <w:r w:rsidRPr="00FD3169">
                        <w:rPr>
                          <w:sz w:val="18"/>
                          <w:szCs w:val="18"/>
                          <w:vertAlign w:val="superscript"/>
                        </w:rPr>
                        <w:t>-1</w:t>
                      </w:r>
                      <w:r w:rsidRPr="00073219">
                        <w:rPr>
                          <w:sz w:val="18"/>
                          <w:szCs w:val="18"/>
                        </w:rPr>
                        <w:t xml:space="preserve"> min</w:t>
                      </w:r>
                      <w:r w:rsidRPr="00073219">
                        <w:rPr>
                          <w:sz w:val="18"/>
                          <w:szCs w:val="18"/>
                          <w:vertAlign w:val="superscript"/>
                        </w:rPr>
                        <w:t>-1</w:t>
                      </w:r>
                    </w:p>
                    <w:p w14:paraId="06AF6B4B" w14:textId="6F5750F4" w:rsidR="00AB6476" w:rsidRPr="00FD3169" w:rsidRDefault="00AB6476" w:rsidP="00203A1C">
                      <w:pPr>
                        <w:rPr>
                          <w:sz w:val="18"/>
                          <w:szCs w:val="18"/>
                        </w:rPr>
                      </w:pPr>
                      <w:r w:rsidRPr="006377C3">
                        <w:rPr>
                          <w:sz w:val="18"/>
                          <w:szCs w:val="18"/>
                        </w:rPr>
                        <w:t>R</w:t>
                      </w:r>
                      <w:r w:rsidRPr="006377C3">
                        <w:rPr>
                          <w:sz w:val="18"/>
                          <w:szCs w:val="18"/>
                          <w:vertAlign w:val="superscript"/>
                        </w:rPr>
                        <w:t xml:space="preserve">2 </w:t>
                      </w:r>
                      <w:r w:rsidRPr="006377C3">
                        <w:rPr>
                          <w:sz w:val="18"/>
                          <w:szCs w:val="18"/>
                        </w:rPr>
                        <w:t>= 0</w:t>
                      </w:r>
                      <w:r>
                        <w:rPr>
                          <w:sz w:val="18"/>
                          <w:szCs w:val="18"/>
                        </w:rPr>
                        <w:t>.</w:t>
                      </w:r>
                      <w:r w:rsidRPr="007B73A8">
                        <w:rPr>
                          <w:sz w:val="18"/>
                          <w:szCs w:val="18"/>
                        </w:rPr>
                        <w:t>9357</w:t>
                      </w:r>
                    </w:p>
                  </w:txbxContent>
                </v:textbox>
              </v:shape>
            </w:pict>
          </mc:Fallback>
        </mc:AlternateContent>
      </w:r>
      <w:r>
        <w:rPr>
          <w:noProof/>
          <w:lang w:val="en-US" w:eastAsia="en-US"/>
        </w:rPr>
        <w:drawing>
          <wp:inline distT="0" distB="0" distL="0" distR="0" wp14:anchorId="5BA7579B" wp14:editId="7B7DB6E5">
            <wp:extent cx="4680000" cy="2520000"/>
            <wp:effectExtent l="0" t="0" r="635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7A703F" w14:textId="55AE6A64" w:rsidR="00350B5E" w:rsidRDefault="00350B5E" w:rsidP="003B0A74">
      <w:pPr>
        <w:pStyle w:val="Newparagraph"/>
        <w:spacing w:line="360" w:lineRule="auto"/>
        <w:jc w:val="center"/>
        <w:rPr>
          <w:i/>
          <w:iCs/>
          <w:sz w:val="22"/>
          <w:szCs w:val="22"/>
          <w:lang w:val="en-US"/>
        </w:rPr>
      </w:pPr>
      <w:r w:rsidRPr="00350B5E">
        <w:rPr>
          <w:i/>
          <w:iCs/>
          <w:sz w:val="22"/>
          <w:szCs w:val="22"/>
          <w:lang w:val="en-US"/>
        </w:rPr>
        <w:t xml:space="preserve">Figure </w:t>
      </w:r>
      <w:r w:rsidR="00D20898">
        <w:rPr>
          <w:i/>
          <w:iCs/>
          <w:sz w:val="22"/>
          <w:szCs w:val="22"/>
          <w:lang w:val="en-US"/>
        </w:rPr>
        <w:t>7</w:t>
      </w:r>
      <w:r w:rsidRPr="00350B5E">
        <w:rPr>
          <w:i/>
          <w:iCs/>
          <w:sz w:val="22"/>
          <w:szCs w:val="22"/>
          <w:lang w:val="en-US"/>
        </w:rPr>
        <w:t xml:space="preserve">. Removal of TOC by ozonation of </w:t>
      </w:r>
      <w:r>
        <w:rPr>
          <w:i/>
          <w:iCs/>
          <w:sz w:val="22"/>
          <w:szCs w:val="22"/>
          <w:lang w:val="en-US"/>
        </w:rPr>
        <w:t>tiamulin</w:t>
      </w:r>
      <w:r w:rsidRPr="00350B5E">
        <w:rPr>
          <w:i/>
          <w:iCs/>
          <w:sz w:val="22"/>
          <w:szCs w:val="22"/>
          <w:lang w:val="en-US"/>
        </w:rPr>
        <w:t xml:space="preserve"> solution (100 mg L</w:t>
      </w:r>
      <w:r w:rsidRPr="00350B5E">
        <w:rPr>
          <w:i/>
          <w:iCs/>
          <w:sz w:val="22"/>
          <w:szCs w:val="22"/>
          <w:vertAlign w:val="superscript"/>
          <w:lang w:val="en-US"/>
        </w:rPr>
        <w:t>-1</w:t>
      </w:r>
      <w:r w:rsidRPr="00350B5E">
        <w:rPr>
          <w:i/>
          <w:iCs/>
          <w:sz w:val="22"/>
          <w:szCs w:val="22"/>
          <w:lang w:val="en-US"/>
        </w:rPr>
        <w:t>), measured values and assumed course by zero-order kinetics.</w:t>
      </w:r>
    </w:p>
    <w:p w14:paraId="61292EA6" w14:textId="588223A1" w:rsidR="00350B5E" w:rsidRDefault="00350B5E" w:rsidP="003B0A74">
      <w:pPr>
        <w:pStyle w:val="Newparagraph"/>
        <w:spacing w:line="360" w:lineRule="auto"/>
        <w:jc w:val="center"/>
        <w:rPr>
          <w:i/>
          <w:iCs/>
          <w:sz w:val="22"/>
          <w:szCs w:val="22"/>
          <w:lang w:val="en-US"/>
        </w:rPr>
      </w:pPr>
    </w:p>
    <w:p w14:paraId="139DB500" w14:textId="77777777" w:rsidR="00030D41" w:rsidRDefault="00030D41" w:rsidP="003B0A74">
      <w:pPr>
        <w:pStyle w:val="Newparagraph"/>
        <w:spacing w:line="360" w:lineRule="auto"/>
        <w:jc w:val="center"/>
        <w:rPr>
          <w:i/>
          <w:iCs/>
          <w:sz w:val="22"/>
          <w:szCs w:val="22"/>
          <w:lang w:val="en-US"/>
        </w:rPr>
      </w:pPr>
    </w:p>
    <w:p w14:paraId="26CFE25F" w14:textId="77777777" w:rsidR="00D94788" w:rsidRDefault="00D94788" w:rsidP="003B0A74">
      <w:pPr>
        <w:pStyle w:val="Newparagraph"/>
        <w:spacing w:line="360" w:lineRule="auto"/>
        <w:jc w:val="center"/>
        <w:rPr>
          <w:i/>
          <w:iCs/>
          <w:sz w:val="22"/>
          <w:szCs w:val="22"/>
          <w:lang w:val="en-US"/>
        </w:rPr>
      </w:pPr>
    </w:p>
    <w:p w14:paraId="3DB01122" w14:textId="079025DF" w:rsidR="008A4847" w:rsidRPr="003B0A74" w:rsidRDefault="00BF4C49" w:rsidP="003B0A74">
      <w:pPr>
        <w:pStyle w:val="Newparagraph"/>
        <w:spacing w:line="360" w:lineRule="auto"/>
        <w:jc w:val="center"/>
        <w:rPr>
          <w:iCs/>
          <w:sz w:val="22"/>
          <w:szCs w:val="22"/>
          <w:lang w:val="en-US"/>
        </w:rPr>
      </w:pPr>
      <w:r>
        <w:rPr>
          <w:noProof/>
          <w:lang w:val="en-US" w:eastAsia="en-US"/>
        </w:rPr>
        <w:drawing>
          <wp:inline distT="0" distB="0" distL="0" distR="0" wp14:anchorId="40099E06" wp14:editId="4D2685CB">
            <wp:extent cx="4680000" cy="2520000"/>
            <wp:effectExtent l="0" t="0" r="6350" b="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47A853" w14:textId="3598EFDD" w:rsidR="008A4847" w:rsidRPr="003B0A74" w:rsidRDefault="008A4847" w:rsidP="003B0A74">
      <w:pPr>
        <w:pStyle w:val="Newparagraph"/>
        <w:spacing w:line="360" w:lineRule="auto"/>
        <w:jc w:val="center"/>
        <w:rPr>
          <w:iCs/>
          <w:sz w:val="22"/>
          <w:szCs w:val="22"/>
          <w:lang w:val="en-US"/>
        </w:rPr>
      </w:pPr>
    </w:p>
    <w:p w14:paraId="1DF2ABAB" w14:textId="3BBC99FD" w:rsidR="00350B5E" w:rsidRDefault="00350B5E" w:rsidP="003B0A74">
      <w:pPr>
        <w:pStyle w:val="Newparagraph"/>
        <w:spacing w:line="360" w:lineRule="auto"/>
        <w:jc w:val="center"/>
        <w:rPr>
          <w:iCs/>
          <w:sz w:val="22"/>
          <w:szCs w:val="22"/>
          <w:lang w:val="en-US"/>
        </w:rPr>
      </w:pPr>
      <w:r w:rsidRPr="00D95181">
        <w:rPr>
          <w:i/>
          <w:iCs/>
          <w:sz w:val="22"/>
          <w:szCs w:val="22"/>
          <w:lang w:val="en-US"/>
        </w:rPr>
        <w:t xml:space="preserve">Figure </w:t>
      </w:r>
      <w:r w:rsidR="00D20898">
        <w:rPr>
          <w:i/>
          <w:iCs/>
          <w:sz w:val="22"/>
          <w:szCs w:val="22"/>
          <w:lang w:val="en-US"/>
        </w:rPr>
        <w:t>8</w:t>
      </w:r>
      <w:r w:rsidRPr="00D95181">
        <w:rPr>
          <w:i/>
          <w:iCs/>
          <w:sz w:val="22"/>
          <w:szCs w:val="22"/>
          <w:lang w:val="en-US"/>
        </w:rPr>
        <w:t xml:space="preserve">. Removal of COD by ozonation of </w:t>
      </w:r>
      <w:r>
        <w:rPr>
          <w:i/>
          <w:iCs/>
          <w:sz w:val="22"/>
          <w:szCs w:val="22"/>
          <w:lang w:val="en-US"/>
        </w:rPr>
        <w:t>tiamulin</w:t>
      </w:r>
      <w:r w:rsidRPr="00D95181">
        <w:rPr>
          <w:i/>
          <w:iCs/>
          <w:sz w:val="22"/>
          <w:szCs w:val="22"/>
          <w:lang w:val="en-US"/>
        </w:rPr>
        <w:t xml:space="preserve"> solution (100 mg L</w:t>
      </w:r>
      <w:r w:rsidRPr="00D95181">
        <w:rPr>
          <w:i/>
          <w:iCs/>
          <w:sz w:val="22"/>
          <w:szCs w:val="22"/>
          <w:vertAlign w:val="superscript"/>
          <w:lang w:val="en-US"/>
        </w:rPr>
        <w:t>-1</w:t>
      </w:r>
      <w:r w:rsidRPr="00D95181">
        <w:rPr>
          <w:i/>
          <w:iCs/>
          <w:sz w:val="22"/>
          <w:szCs w:val="22"/>
          <w:lang w:val="en-US"/>
        </w:rPr>
        <w:t>), measured values and assumed course by zero-order kinetics</w:t>
      </w:r>
      <w:r w:rsidR="00073219">
        <w:rPr>
          <w:i/>
          <w:iCs/>
          <w:sz w:val="22"/>
          <w:szCs w:val="22"/>
          <w:lang w:val="en-US"/>
        </w:rPr>
        <w:t>.</w:t>
      </w:r>
    </w:p>
    <w:p w14:paraId="76BCD8A3" w14:textId="350FDF72" w:rsidR="00350B5E" w:rsidRDefault="00350B5E" w:rsidP="00680BE7">
      <w:pPr>
        <w:pStyle w:val="Newparagraph"/>
        <w:spacing w:line="360" w:lineRule="auto"/>
        <w:jc w:val="both"/>
        <w:rPr>
          <w:iCs/>
          <w:sz w:val="22"/>
          <w:szCs w:val="22"/>
          <w:lang w:val="en-US"/>
        </w:rPr>
      </w:pPr>
    </w:p>
    <w:p w14:paraId="5364234B" w14:textId="4D6C64AA" w:rsidR="008A4847" w:rsidRPr="00EC1598" w:rsidRDefault="008A4847" w:rsidP="00C77F85">
      <w:pPr>
        <w:pStyle w:val="Abstract"/>
        <w:ind w:left="0"/>
      </w:pPr>
      <w:r w:rsidRPr="00EC1598">
        <w:t>The reaction rate constants are</w:t>
      </w:r>
      <w:r w:rsidR="00C40174">
        <w:t>;</w:t>
      </w:r>
      <w:r w:rsidRPr="00EC1598">
        <w:t xml:space="preserve"> TOC</w:t>
      </w:r>
      <w:r w:rsidR="00541F16">
        <w:t xml:space="preserve"> (Figure 7)</w:t>
      </w:r>
      <w:r w:rsidRPr="00EC1598">
        <w:t>: k</w:t>
      </w:r>
      <w:r w:rsidRPr="00EC1598">
        <w:rPr>
          <w:vertAlign w:val="subscript"/>
        </w:rPr>
        <w:t>1</w:t>
      </w:r>
      <w:r w:rsidRPr="00EC1598">
        <w:t xml:space="preserve"> = 0.15 min</w:t>
      </w:r>
      <w:r w:rsidRPr="00EC1598">
        <w:rPr>
          <w:vertAlign w:val="superscript"/>
        </w:rPr>
        <w:t>-1</w:t>
      </w:r>
      <w:r w:rsidRPr="00EC1598">
        <w:t>, k</w:t>
      </w:r>
      <w:r w:rsidRPr="00EC1598">
        <w:rPr>
          <w:vertAlign w:val="subscript"/>
        </w:rPr>
        <w:t>2</w:t>
      </w:r>
      <w:r w:rsidRPr="00EC1598">
        <w:t xml:space="preserve"> = 0.02 L mg</w:t>
      </w:r>
      <w:r w:rsidRPr="00EC1598">
        <w:rPr>
          <w:vertAlign w:val="superscript"/>
        </w:rPr>
        <w:t>-1</w:t>
      </w:r>
      <w:r w:rsidRPr="00EC1598">
        <w:t xml:space="preserve"> </w:t>
      </w:r>
      <w:r w:rsidR="00D20898">
        <w:t xml:space="preserve"> </w:t>
      </w:r>
      <w:r w:rsidRPr="00EC1598">
        <w:t>and COD</w:t>
      </w:r>
      <w:r w:rsidR="00541F16">
        <w:t xml:space="preserve"> (Figure 8)</w:t>
      </w:r>
      <w:r w:rsidRPr="00EC1598">
        <w:t>: k</w:t>
      </w:r>
      <w:r w:rsidRPr="00EC1598">
        <w:rPr>
          <w:vertAlign w:val="subscript"/>
        </w:rPr>
        <w:t>1</w:t>
      </w:r>
      <w:r w:rsidRPr="00EC1598">
        <w:t xml:space="preserve"> = 0.57 min</w:t>
      </w:r>
      <w:r w:rsidRPr="00EC1598">
        <w:rPr>
          <w:vertAlign w:val="superscript"/>
        </w:rPr>
        <w:t>-1</w:t>
      </w:r>
      <w:r w:rsidRPr="00EC1598">
        <w:t>, k</w:t>
      </w:r>
      <w:r w:rsidRPr="00EC1598">
        <w:rPr>
          <w:vertAlign w:val="subscript"/>
        </w:rPr>
        <w:t>2</w:t>
      </w:r>
      <w:r w:rsidRPr="00EC1598">
        <w:t xml:space="preserve"> = 0.22 L mg</w:t>
      </w:r>
      <w:r w:rsidRPr="00EC1598">
        <w:rPr>
          <w:vertAlign w:val="superscript"/>
        </w:rPr>
        <w:t>-1</w:t>
      </w:r>
      <w:r w:rsidR="00D20898" w:rsidDel="00D20898">
        <w:t xml:space="preserve"> </w:t>
      </w:r>
      <w:r w:rsidR="00D20898">
        <w:t>;</w:t>
      </w:r>
      <w:r>
        <w:t xml:space="preserve"> respectively for the first and for the second phase of reaction.</w:t>
      </w:r>
    </w:p>
    <w:p w14:paraId="7B587AED" w14:textId="4017FBE5" w:rsidR="00E6387C" w:rsidRDefault="00680BE7" w:rsidP="00C77F85">
      <w:pPr>
        <w:pStyle w:val="Abstract"/>
        <w:ind w:left="0"/>
      </w:pPr>
      <w:r w:rsidRPr="00EC1598">
        <w:t xml:space="preserve">In case of LFX, the first ozonation product is formed </w:t>
      </w:r>
      <w:r w:rsidR="00E6387C">
        <w:t>as a consequence</w:t>
      </w:r>
      <w:r w:rsidR="00E6387C" w:rsidRPr="00EC1598">
        <w:t xml:space="preserve"> </w:t>
      </w:r>
      <w:r w:rsidRPr="00EC1598">
        <w:t xml:space="preserve">of a rapid direct attack of ozone on </w:t>
      </w:r>
      <w:r w:rsidR="00E6387C">
        <w:t xml:space="preserve">to </w:t>
      </w:r>
      <w:r w:rsidRPr="00EC1598">
        <w:t xml:space="preserve">the double bond of the quinolone moiety, followed by decarboxylation. The second product is formed because of the ozone attack on </w:t>
      </w:r>
      <w:r w:rsidR="00E6387C">
        <w:t xml:space="preserve">to </w:t>
      </w:r>
      <w:r w:rsidRPr="00EC1598">
        <w:t xml:space="preserve">the tertiary amine </w:t>
      </w:r>
      <w:r w:rsidR="00E6387C">
        <w:t>of</w:t>
      </w:r>
      <w:r w:rsidR="00E6387C" w:rsidRPr="00EC1598">
        <w:t xml:space="preserve"> </w:t>
      </w:r>
      <w:r w:rsidRPr="00EC1598">
        <w:t xml:space="preserve">the piperazine moiety. The ozonation products are </w:t>
      </w:r>
      <w:r w:rsidR="00E6387C">
        <w:t xml:space="preserve">in the second phase </w:t>
      </w:r>
      <w:r w:rsidRPr="00EC1598">
        <w:t xml:space="preserve">formed </w:t>
      </w:r>
      <w:r w:rsidR="00E6387C">
        <w:t>due to the</w:t>
      </w:r>
      <w:r w:rsidRPr="00EC1598">
        <w:t xml:space="preserve"> ozone attack on </w:t>
      </w:r>
      <w:r w:rsidR="00E6387C">
        <w:t xml:space="preserve">to </w:t>
      </w:r>
      <w:r w:rsidRPr="00EC1598">
        <w:t xml:space="preserve">the tertiary amine </w:t>
      </w:r>
      <w:r w:rsidR="00E6387C">
        <w:t>of</w:t>
      </w:r>
      <w:r w:rsidR="00E6387C" w:rsidRPr="00EC1598">
        <w:t xml:space="preserve"> </w:t>
      </w:r>
      <w:r w:rsidRPr="00EC1598">
        <w:t>the piperazine moiety with the loss of the methyl group, which is again followed by the quinolone double bond attack and decarboxylation</w:t>
      </w:r>
      <w:r w:rsidR="00D94788">
        <w:t>.</w:t>
      </w:r>
      <w:r w:rsidRPr="00EC1598">
        <w:t xml:space="preserve"> </w:t>
      </w:r>
      <w:r w:rsidR="00330CAC" w:rsidRPr="00330CAC">
        <w:rPr>
          <w:vertAlign w:val="superscript"/>
        </w:rPr>
        <w:t>19</w:t>
      </w:r>
      <w:r w:rsidRPr="00EC1598">
        <w:t xml:space="preserve"> </w:t>
      </w:r>
      <w:r w:rsidR="005620E8">
        <w:t xml:space="preserve">Reaction kinetics </w:t>
      </w:r>
      <w:r w:rsidR="000631F3">
        <w:t xml:space="preserve">of COD and TOC removal </w:t>
      </w:r>
      <w:r w:rsidR="005620E8" w:rsidRPr="000631F3">
        <w:t>follows zero order</w:t>
      </w:r>
      <w:r w:rsidR="00927875">
        <w:t xml:space="preserve"> (Figure </w:t>
      </w:r>
      <w:r w:rsidR="00150AFC">
        <w:t>9</w:t>
      </w:r>
      <w:r w:rsidR="00927875">
        <w:t xml:space="preserve"> for TOC and Figure </w:t>
      </w:r>
      <w:r w:rsidR="00150AFC">
        <w:t>10</w:t>
      </w:r>
      <w:r w:rsidR="00927875">
        <w:t xml:space="preserve"> for COD)</w:t>
      </w:r>
      <w:r w:rsidR="005620E8" w:rsidRPr="000631F3">
        <w:t xml:space="preserve">, with two phases, first being significantly faster than the </w:t>
      </w:r>
      <w:r w:rsidR="00D20898" w:rsidRPr="000631F3">
        <w:t>second is</w:t>
      </w:r>
      <w:r w:rsidR="005620E8" w:rsidRPr="000631F3">
        <w:t xml:space="preserve">. </w:t>
      </w:r>
      <w:r w:rsidRPr="000631F3">
        <w:t>The reaction rate constants are</w:t>
      </w:r>
      <w:r w:rsidR="00C40174">
        <w:t>;</w:t>
      </w:r>
      <w:r w:rsidRPr="000631F3">
        <w:t xml:space="preserve"> TOC</w:t>
      </w:r>
      <w:r w:rsidR="00D20898">
        <w:t xml:space="preserve"> (Figure 9)</w:t>
      </w:r>
      <w:r w:rsidRPr="000631F3">
        <w:t>: k</w:t>
      </w:r>
      <w:r w:rsidRPr="000631F3">
        <w:rPr>
          <w:vertAlign w:val="subscript"/>
        </w:rPr>
        <w:t>1</w:t>
      </w:r>
      <w:r w:rsidRPr="000631F3">
        <w:t xml:space="preserve"> = 0.38 min</w:t>
      </w:r>
      <w:r w:rsidRPr="000631F3">
        <w:rPr>
          <w:vertAlign w:val="superscript"/>
        </w:rPr>
        <w:t>-1</w:t>
      </w:r>
      <w:r w:rsidRPr="000631F3">
        <w:t>, k</w:t>
      </w:r>
      <w:r w:rsidRPr="000631F3">
        <w:rPr>
          <w:vertAlign w:val="subscript"/>
        </w:rPr>
        <w:t>2</w:t>
      </w:r>
      <w:r w:rsidRPr="000631F3">
        <w:t xml:space="preserve"> = 0.04 L mg</w:t>
      </w:r>
      <w:r w:rsidRPr="000631F3">
        <w:rPr>
          <w:vertAlign w:val="superscript"/>
        </w:rPr>
        <w:t>-1</w:t>
      </w:r>
      <w:r w:rsidRPr="000631F3">
        <w:t xml:space="preserve"> </w:t>
      </w:r>
      <w:r w:rsidR="00D20898">
        <w:t xml:space="preserve"> </w:t>
      </w:r>
      <w:r w:rsidRPr="000631F3">
        <w:t>and COD</w:t>
      </w:r>
      <w:r w:rsidR="00541F16">
        <w:t xml:space="preserve"> (Figure 10)</w:t>
      </w:r>
      <w:r w:rsidRPr="000631F3">
        <w:t>: k</w:t>
      </w:r>
      <w:r w:rsidRPr="000631F3">
        <w:rPr>
          <w:vertAlign w:val="subscript"/>
        </w:rPr>
        <w:t>1</w:t>
      </w:r>
      <w:r w:rsidRPr="000631F3">
        <w:t xml:space="preserve"> = 2.58 min</w:t>
      </w:r>
      <w:r w:rsidRPr="000631F3">
        <w:rPr>
          <w:vertAlign w:val="superscript"/>
        </w:rPr>
        <w:t>-1</w:t>
      </w:r>
      <w:r w:rsidRPr="000631F3">
        <w:t>, k</w:t>
      </w:r>
      <w:r w:rsidRPr="000631F3">
        <w:rPr>
          <w:vertAlign w:val="subscript"/>
        </w:rPr>
        <w:t>2</w:t>
      </w:r>
      <w:r w:rsidRPr="000631F3">
        <w:t xml:space="preserve"> = 0.26 L mg</w:t>
      </w:r>
      <w:r w:rsidRPr="000631F3">
        <w:rPr>
          <w:vertAlign w:val="superscript"/>
        </w:rPr>
        <w:t>-1</w:t>
      </w:r>
      <w:r w:rsidR="00D20898">
        <w:t xml:space="preserve"> </w:t>
      </w:r>
      <w:r w:rsidR="00E6387C" w:rsidRPr="000631F3">
        <w:t xml:space="preserve"> respectively for the first and for the second phase of reaction.</w:t>
      </w:r>
      <w:r w:rsidR="000631F3" w:rsidRPr="000631F3">
        <w:t xml:space="preserve"> </w:t>
      </w:r>
      <w:r w:rsidR="004A4D8C">
        <w:t>A</w:t>
      </w:r>
      <w:r w:rsidR="00B551F7" w:rsidRPr="00B551F7">
        <w:t xml:space="preserve"> rate constant of LF</w:t>
      </w:r>
      <w:r w:rsidR="00B551F7">
        <w:t>X</w:t>
      </w:r>
      <w:r w:rsidR="00B551F7" w:rsidRPr="00B551F7">
        <w:t xml:space="preserve"> </w:t>
      </w:r>
      <w:r w:rsidR="00927875">
        <w:t xml:space="preserve">(parent molecule) </w:t>
      </w:r>
      <w:r w:rsidR="00B551F7" w:rsidRPr="00B551F7">
        <w:t xml:space="preserve">ozonation </w:t>
      </w:r>
      <w:r w:rsidR="004A4D8C">
        <w:t>was reported to be</w:t>
      </w:r>
      <w:r w:rsidR="00B551F7" w:rsidRPr="00B551F7">
        <w:t xml:space="preserve"> </w:t>
      </w:r>
      <w:r w:rsidR="004A4D8C">
        <w:t>6.0 x 10</w:t>
      </w:r>
      <w:r w:rsidR="004A4D8C" w:rsidRPr="003B0A74">
        <w:rPr>
          <w:vertAlign w:val="superscript"/>
        </w:rPr>
        <w:t>4</w:t>
      </w:r>
      <w:r w:rsidR="004A4D8C" w:rsidRPr="004A4D8C">
        <w:t xml:space="preserve"> </w:t>
      </w:r>
      <w:r w:rsidR="004A4D8C" w:rsidRPr="00B551F7">
        <w:t>M</w:t>
      </w:r>
      <w:r w:rsidR="004A4D8C" w:rsidRPr="00C376B5">
        <w:rPr>
          <w:vertAlign w:val="superscript"/>
        </w:rPr>
        <w:t>-1</w:t>
      </w:r>
      <w:r w:rsidR="004A4D8C" w:rsidRPr="00B551F7">
        <w:t xml:space="preserve"> s</w:t>
      </w:r>
      <w:r w:rsidR="004A4D8C" w:rsidRPr="00C376B5">
        <w:rPr>
          <w:vertAlign w:val="superscript"/>
        </w:rPr>
        <w:t>-1</w:t>
      </w:r>
      <w:r w:rsidR="004A4D8C">
        <w:t xml:space="preserve"> at pH 7.2</w:t>
      </w:r>
      <w:r w:rsidR="00D94788">
        <w:t>.</w:t>
      </w:r>
      <w:r w:rsidR="004A4D8C">
        <w:t xml:space="preserve"> </w:t>
      </w:r>
      <w:r w:rsidR="00330CAC" w:rsidRPr="00330CAC">
        <w:rPr>
          <w:vertAlign w:val="superscript"/>
        </w:rPr>
        <w:t>19</w:t>
      </w:r>
    </w:p>
    <w:p w14:paraId="7E93450D" w14:textId="1B6617F7" w:rsidR="00D11D6F" w:rsidRDefault="00D11D6F" w:rsidP="003B0A74">
      <w:pPr>
        <w:pStyle w:val="Newparagraph"/>
        <w:spacing w:line="360" w:lineRule="auto"/>
        <w:ind w:left="720" w:firstLine="0"/>
        <w:rPr>
          <w:iCs/>
          <w:sz w:val="22"/>
          <w:szCs w:val="22"/>
          <w:lang w:val="en-US"/>
        </w:rPr>
      </w:pPr>
    </w:p>
    <w:p w14:paraId="36B20F6F" w14:textId="3B9635D4" w:rsidR="00577C46" w:rsidRDefault="00577C46" w:rsidP="003B0A74">
      <w:pPr>
        <w:pStyle w:val="Newparagraph"/>
        <w:spacing w:line="360" w:lineRule="auto"/>
        <w:ind w:left="720" w:firstLine="0"/>
        <w:rPr>
          <w:iCs/>
          <w:sz w:val="22"/>
          <w:szCs w:val="22"/>
          <w:lang w:val="en-US"/>
        </w:rPr>
      </w:pPr>
    </w:p>
    <w:p w14:paraId="0C9BD72B" w14:textId="282ECF9B" w:rsidR="00577C46" w:rsidRDefault="00577C46" w:rsidP="003B0A74">
      <w:pPr>
        <w:pStyle w:val="Newparagraph"/>
        <w:spacing w:line="360" w:lineRule="auto"/>
        <w:ind w:left="720" w:firstLine="0"/>
        <w:rPr>
          <w:iCs/>
          <w:sz w:val="22"/>
          <w:szCs w:val="22"/>
          <w:lang w:val="en-US"/>
        </w:rPr>
      </w:pPr>
    </w:p>
    <w:p w14:paraId="2360CBC4" w14:textId="77777777" w:rsidR="00D11D6F" w:rsidRPr="00D11D6F" w:rsidRDefault="00D11D6F" w:rsidP="00FC7AE7">
      <w:pPr>
        <w:pStyle w:val="Newparagraph"/>
        <w:spacing w:line="360" w:lineRule="auto"/>
        <w:ind w:left="720"/>
        <w:jc w:val="center"/>
        <w:rPr>
          <w:iCs/>
          <w:sz w:val="22"/>
          <w:szCs w:val="22"/>
          <w:lang w:val="en-US"/>
        </w:rPr>
      </w:pPr>
      <w:r w:rsidRPr="00D11D6F">
        <w:rPr>
          <w:iCs/>
          <w:noProof/>
          <w:sz w:val="22"/>
          <w:szCs w:val="22"/>
          <w:lang w:val="en-US" w:eastAsia="en-US"/>
        </w:rPr>
        <w:drawing>
          <wp:inline distT="0" distB="0" distL="0" distR="0" wp14:anchorId="57C058AD" wp14:editId="160E718B">
            <wp:extent cx="4680000" cy="2520000"/>
            <wp:effectExtent l="0" t="0" r="6350" b="0"/>
            <wp:docPr id="111" name="Chart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75EE13" w14:textId="252504E8" w:rsidR="00D11D6F" w:rsidRPr="00BC5AD4" w:rsidRDefault="00D11D6F" w:rsidP="003B0A74">
      <w:pPr>
        <w:pStyle w:val="Newparagraph"/>
        <w:spacing w:line="360" w:lineRule="auto"/>
        <w:ind w:left="720"/>
        <w:jc w:val="center"/>
        <w:rPr>
          <w:i/>
          <w:iCs/>
          <w:sz w:val="22"/>
          <w:szCs w:val="22"/>
          <w:lang w:val="en-US"/>
        </w:rPr>
      </w:pPr>
      <w:bookmarkStart w:id="2" w:name="_Toc69227546"/>
      <w:r w:rsidRPr="003B0A74">
        <w:rPr>
          <w:i/>
          <w:iCs/>
          <w:sz w:val="22"/>
          <w:szCs w:val="22"/>
          <w:lang w:val="en-US"/>
        </w:rPr>
        <w:t xml:space="preserve">Figure </w:t>
      </w:r>
      <w:r w:rsidR="00D20898">
        <w:rPr>
          <w:i/>
          <w:iCs/>
          <w:sz w:val="22"/>
          <w:szCs w:val="22"/>
          <w:lang w:val="en-US"/>
        </w:rPr>
        <w:t>9</w:t>
      </w:r>
      <w:r w:rsidRPr="003B0A74">
        <w:rPr>
          <w:i/>
          <w:iCs/>
          <w:sz w:val="22"/>
          <w:szCs w:val="22"/>
          <w:lang w:val="en-US"/>
        </w:rPr>
        <w:t xml:space="preserve">. </w:t>
      </w:r>
      <w:bookmarkEnd w:id="2"/>
      <w:r w:rsidRPr="003B0A74">
        <w:rPr>
          <w:i/>
          <w:iCs/>
          <w:sz w:val="22"/>
          <w:szCs w:val="22"/>
          <w:lang w:val="en-US"/>
        </w:rPr>
        <w:t>Removal of TOC by ozonation of levofloxacin solution (100 mg L</w:t>
      </w:r>
      <w:r w:rsidRPr="003B0A74">
        <w:rPr>
          <w:i/>
          <w:iCs/>
          <w:sz w:val="22"/>
          <w:szCs w:val="22"/>
          <w:vertAlign w:val="superscript"/>
          <w:lang w:val="en-US"/>
        </w:rPr>
        <w:t>-1</w:t>
      </w:r>
      <w:r w:rsidRPr="003B0A74">
        <w:rPr>
          <w:i/>
          <w:iCs/>
          <w:sz w:val="22"/>
          <w:szCs w:val="22"/>
          <w:lang w:val="en-US"/>
        </w:rPr>
        <w:t>),</w:t>
      </w:r>
      <w:r w:rsidR="00BC5AD4">
        <w:rPr>
          <w:i/>
          <w:iCs/>
          <w:sz w:val="22"/>
          <w:szCs w:val="22"/>
          <w:lang w:val="en-US"/>
        </w:rPr>
        <w:t xml:space="preserve"> </w:t>
      </w:r>
      <w:r w:rsidRPr="003B0A74">
        <w:rPr>
          <w:i/>
          <w:iCs/>
          <w:sz w:val="22"/>
          <w:szCs w:val="22"/>
          <w:lang w:val="en-US"/>
        </w:rPr>
        <w:t xml:space="preserve">measured values and assumed course by zero-order kinetics. </w:t>
      </w:r>
      <w:r w:rsidRPr="003B0A74">
        <w:rPr>
          <w:i/>
          <w:iCs/>
          <w:sz w:val="22"/>
          <w:szCs w:val="22"/>
          <w:lang w:val="en-US"/>
        </w:rPr>
        <w:br/>
      </w:r>
    </w:p>
    <w:p w14:paraId="6E3B40DE" w14:textId="77777777" w:rsidR="00D11D6F" w:rsidRPr="00D11D6F" w:rsidRDefault="00D11D6F" w:rsidP="006F4D6C">
      <w:pPr>
        <w:pStyle w:val="Newparagraph"/>
        <w:spacing w:line="360" w:lineRule="auto"/>
        <w:ind w:left="720"/>
        <w:jc w:val="center"/>
        <w:rPr>
          <w:iCs/>
          <w:sz w:val="22"/>
          <w:szCs w:val="22"/>
          <w:lang w:val="en-US"/>
        </w:rPr>
      </w:pPr>
      <w:r w:rsidRPr="00D11D6F">
        <w:rPr>
          <w:iCs/>
          <w:noProof/>
          <w:sz w:val="22"/>
          <w:szCs w:val="22"/>
          <w:lang w:val="en-US" w:eastAsia="en-US"/>
        </w:rPr>
        <w:drawing>
          <wp:inline distT="0" distB="0" distL="0" distR="0" wp14:anchorId="4A16C6AB" wp14:editId="7C43D58E">
            <wp:extent cx="4680000" cy="2520000"/>
            <wp:effectExtent l="0" t="0" r="6350" b="0"/>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34690D" w14:textId="27A168A6" w:rsidR="00D11D6F" w:rsidRPr="00927875" w:rsidRDefault="00D11D6F" w:rsidP="003B0A74">
      <w:pPr>
        <w:pStyle w:val="Newparagraph"/>
        <w:spacing w:line="360" w:lineRule="auto"/>
        <w:ind w:left="720"/>
        <w:jc w:val="center"/>
        <w:rPr>
          <w:i/>
          <w:iCs/>
          <w:sz w:val="22"/>
          <w:szCs w:val="22"/>
          <w:lang w:val="en-US"/>
        </w:rPr>
      </w:pPr>
      <w:bookmarkStart w:id="3" w:name="_Toc69227547"/>
      <w:r w:rsidRPr="003B0A74">
        <w:rPr>
          <w:i/>
          <w:iCs/>
          <w:sz w:val="22"/>
          <w:szCs w:val="22"/>
          <w:lang w:val="en-US"/>
        </w:rPr>
        <w:t xml:space="preserve">Figure </w:t>
      </w:r>
      <w:r w:rsidR="00D20898">
        <w:rPr>
          <w:i/>
          <w:iCs/>
          <w:sz w:val="22"/>
          <w:szCs w:val="22"/>
          <w:lang w:val="en-US"/>
        </w:rPr>
        <w:t>10</w:t>
      </w:r>
      <w:r w:rsidRPr="003B0A74">
        <w:rPr>
          <w:i/>
          <w:iCs/>
          <w:sz w:val="22"/>
          <w:szCs w:val="22"/>
          <w:lang w:val="en-US"/>
        </w:rPr>
        <w:t xml:space="preserve">. </w:t>
      </w:r>
      <w:bookmarkEnd w:id="3"/>
      <w:r w:rsidRPr="003B0A74">
        <w:rPr>
          <w:i/>
          <w:iCs/>
          <w:sz w:val="22"/>
          <w:szCs w:val="22"/>
          <w:lang w:val="en-US"/>
        </w:rPr>
        <w:t>Removal of COD by ozonation of levofloxacin solution (100 mg L</w:t>
      </w:r>
      <w:r w:rsidRPr="003B0A74">
        <w:rPr>
          <w:i/>
          <w:iCs/>
          <w:sz w:val="22"/>
          <w:szCs w:val="22"/>
          <w:vertAlign w:val="superscript"/>
          <w:lang w:val="en-US"/>
        </w:rPr>
        <w:t>-1</w:t>
      </w:r>
      <w:r w:rsidRPr="003B0A74">
        <w:rPr>
          <w:i/>
          <w:iCs/>
          <w:sz w:val="22"/>
          <w:szCs w:val="22"/>
          <w:lang w:val="en-US"/>
        </w:rPr>
        <w:t>), measured values and assumed course by zero-order kinetics</w:t>
      </w:r>
      <w:r w:rsidRPr="003B0A74">
        <w:rPr>
          <w:i/>
          <w:iCs/>
          <w:sz w:val="22"/>
          <w:szCs w:val="22"/>
          <w:lang w:val="en-US"/>
        </w:rPr>
        <w:br/>
      </w:r>
    </w:p>
    <w:p w14:paraId="4F07602F" w14:textId="7AA7970C" w:rsidR="00D11D6F" w:rsidRDefault="00D11D6F" w:rsidP="00C77F85">
      <w:pPr>
        <w:pStyle w:val="Abstract"/>
        <w:ind w:left="0"/>
      </w:pPr>
      <w:r w:rsidRPr="00D11D6F">
        <w:t xml:space="preserve">As can be seen from Figures </w:t>
      </w:r>
      <w:r w:rsidR="00D20898">
        <w:t>9</w:t>
      </w:r>
      <w:r w:rsidRPr="00D11D6F">
        <w:t xml:space="preserve"> and </w:t>
      </w:r>
      <w:r w:rsidR="00D20898">
        <w:t>10</w:t>
      </w:r>
      <w:r w:rsidRPr="00D11D6F">
        <w:t>, the transition from the first and the second stage of the reaction is very pronounced. The TOC decreases 11 times faster in the first stage and the COD 10 times faster than in the second stage.</w:t>
      </w:r>
    </w:p>
    <w:p w14:paraId="198BEF72" w14:textId="3F6EFF23" w:rsidR="00680BE7" w:rsidRDefault="00680BE7" w:rsidP="00C77F85">
      <w:pPr>
        <w:pStyle w:val="Abstract"/>
        <w:ind w:left="0"/>
      </w:pPr>
      <w:r w:rsidRPr="00EC1598">
        <w:t xml:space="preserve">For AMX </w:t>
      </w:r>
      <w:r w:rsidR="00E6387C">
        <w:t xml:space="preserve"> </w:t>
      </w:r>
      <w:r w:rsidRPr="00EC1598">
        <w:t>data show</w:t>
      </w:r>
      <w:r w:rsidR="00E6387C">
        <w:t>s</w:t>
      </w:r>
      <w:r w:rsidRPr="00EC1598">
        <w:t xml:space="preserve"> that the decrease </w:t>
      </w:r>
      <w:r w:rsidR="00E6387C">
        <w:t>of</w:t>
      </w:r>
      <w:r w:rsidR="00E6387C" w:rsidRPr="00EC1598">
        <w:t xml:space="preserve"> </w:t>
      </w:r>
      <w:r w:rsidRPr="00EC1598">
        <w:t>TOC and COD over time follows kinetics of variable order (from zero to first)</w:t>
      </w:r>
      <w:r w:rsidR="00FD3601">
        <w:t>.</w:t>
      </w:r>
      <w:r w:rsidRPr="00EC1598">
        <w:t xml:space="preserve"> </w:t>
      </w:r>
      <w:r w:rsidR="00FD3601">
        <w:t>R</w:t>
      </w:r>
      <w:r w:rsidRPr="00EC1598">
        <w:t>eaction rate constants</w:t>
      </w:r>
      <w:r w:rsidR="00FD3601">
        <w:t xml:space="preserve"> are</w:t>
      </w:r>
      <w:r w:rsidR="00C40174">
        <w:t>;</w:t>
      </w:r>
      <w:r w:rsidRPr="00EC1598">
        <w:t xml:space="preserve"> TOC</w:t>
      </w:r>
      <w:r w:rsidR="00DD1AB6">
        <w:t xml:space="preserve"> (Figure </w:t>
      </w:r>
      <w:r w:rsidR="00D20898">
        <w:t>11</w:t>
      </w:r>
      <w:r w:rsidR="00DD1AB6">
        <w:t>)</w:t>
      </w:r>
      <w:r w:rsidRPr="00EC1598">
        <w:t>: k</w:t>
      </w:r>
      <w:r w:rsidRPr="00EC1598">
        <w:rPr>
          <w:vertAlign w:val="subscript"/>
        </w:rPr>
        <w:t>1</w:t>
      </w:r>
      <w:r w:rsidRPr="00EC1598">
        <w:t xml:space="preserve"> (s) = 0.18 min</w:t>
      </w:r>
      <w:r w:rsidRPr="00EC1598">
        <w:rPr>
          <w:vertAlign w:val="superscript"/>
        </w:rPr>
        <w:t>-1</w:t>
      </w:r>
      <w:r w:rsidRPr="00EC1598">
        <w:t>, k</w:t>
      </w:r>
      <w:r w:rsidRPr="00EC1598">
        <w:rPr>
          <w:vertAlign w:val="subscript"/>
        </w:rPr>
        <w:t>2</w:t>
      </w:r>
      <w:r w:rsidRPr="00EC1598">
        <w:t xml:space="preserve"> (s) = 1</w:t>
      </w:r>
      <w:r w:rsidR="00073219">
        <w:t>.</w:t>
      </w:r>
      <w:r w:rsidRPr="00EC1598">
        <w:t>29 L mg</w:t>
      </w:r>
      <w:r w:rsidRPr="00EC1598">
        <w:rPr>
          <w:vertAlign w:val="superscript"/>
        </w:rPr>
        <w:t>-1</w:t>
      </w:r>
      <w:r w:rsidRPr="00EC1598">
        <w:t xml:space="preserve"> and COD</w:t>
      </w:r>
      <w:r w:rsidR="00DD1AB6">
        <w:t xml:space="preserve"> (Figure 1</w:t>
      </w:r>
      <w:r w:rsidR="00D20898">
        <w:t>2</w:t>
      </w:r>
      <w:r w:rsidR="00DD1AB6">
        <w:t>)</w:t>
      </w:r>
      <w:r w:rsidRPr="00EC1598">
        <w:t>: k</w:t>
      </w:r>
      <w:r w:rsidRPr="00EC1598">
        <w:rPr>
          <w:vertAlign w:val="subscript"/>
        </w:rPr>
        <w:t>1</w:t>
      </w:r>
      <w:r w:rsidRPr="00EC1598">
        <w:t xml:space="preserve"> (s) = 0.85 min</w:t>
      </w:r>
      <w:r w:rsidRPr="00EC1598">
        <w:rPr>
          <w:vertAlign w:val="superscript"/>
        </w:rPr>
        <w:t>-1</w:t>
      </w:r>
      <w:r w:rsidRPr="00EC1598">
        <w:t>, k</w:t>
      </w:r>
      <w:r w:rsidRPr="00EC1598">
        <w:rPr>
          <w:vertAlign w:val="subscript"/>
        </w:rPr>
        <w:t>2</w:t>
      </w:r>
      <w:r w:rsidRPr="00EC1598">
        <w:t xml:space="preserve"> (s) = 0.25 L mg</w:t>
      </w:r>
      <w:r w:rsidRPr="00EC1598">
        <w:rPr>
          <w:vertAlign w:val="superscript"/>
        </w:rPr>
        <w:t>-1</w:t>
      </w:r>
      <w:r w:rsidR="00DD1AB6">
        <w:t>,</w:t>
      </w:r>
      <w:r w:rsidR="00E6387C">
        <w:rPr>
          <w:iCs/>
        </w:rPr>
        <w:t xml:space="preserve"> respectively for the first and for the second phase of reaction.</w:t>
      </w:r>
      <w:r w:rsidRPr="00EC1598">
        <w:t xml:space="preserve"> AMX is degraded by an attack of ozone on the phenolic ring and the sulfur atom, leading to the formation of two isomers, and the reaction is terminated by a single product</w:t>
      </w:r>
      <w:r w:rsidR="00D94788">
        <w:t>.</w:t>
      </w:r>
      <w:r w:rsidRPr="00EC1598">
        <w:t xml:space="preserve"> </w:t>
      </w:r>
      <w:r w:rsidR="00330CAC" w:rsidRPr="00330CAC">
        <w:rPr>
          <w:vertAlign w:val="superscript"/>
        </w:rPr>
        <w:t>20</w:t>
      </w:r>
    </w:p>
    <w:p w14:paraId="6E22A694" w14:textId="151D5E7D" w:rsidR="00DD1AB6" w:rsidRDefault="00DD1AB6" w:rsidP="00680BE7">
      <w:pPr>
        <w:pStyle w:val="Newparagraph"/>
        <w:spacing w:line="360" w:lineRule="auto"/>
        <w:ind w:left="720" w:firstLine="0"/>
        <w:jc w:val="both"/>
        <w:rPr>
          <w:sz w:val="22"/>
          <w:szCs w:val="22"/>
          <w:lang w:val="en-US"/>
        </w:rPr>
      </w:pPr>
    </w:p>
    <w:p w14:paraId="22BEAE10" w14:textId="593F659C" w:rsidR="00DD1AB6" w:rsidRDefault="00E17430" w:rsidP="00680BE7">
      <w:pPr>
        <w:pStyle w:val="Newparagraph"/>
        <w:spacing w:line="360" w:lineRule="auto"/>
        <w:ind w:left="720" w:firstLine="0"/>
        <w:jc w:val="both"/>
        <w:rPr>
          <w:sz w:val="22"/>
          <w:szCs w:val="22"/>
          <w:lang w:val="en-US"/>
        </w:rPr>
      </w:pPr>
      <w:r>
        <w:rPr>
          <w:noProof/>
          <w:lang w:val="en-US" w:eastAsia="en-US"/>
        </w:rPr>
        <w:drawing>
          <wp:inline distT="0" distB="0" distL="0" distR="0" wp14:anchorId="7029E510" wp14:editId="668A6451">
            <wp:extent cx="4610100" cy="2752997"/>
            <wp:effectExtent l="0" t="0" r="0" b="0"/>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B7BDC6" w14:textId="0DC55A36" w:rsidR="00D50099" w:rsidRDefault="00D50099" w:rsidP="00D50099">
      <w:pPr>
        <w:pStyle w:val="Newparagraph"/>
        <w:spacing w:line="360" w:lineRule="auto"/>
        <w:jc w:val="center"/>
        <w:rPr>
          <w:i/>
          <w:iCs/>
          <w:sz w:val="22"/>
          <w:szCs w:val="22"/>
          <w:lang w:val="en-US"/>
        </w:rPr>
      </w:pPr>
      <w:r w:rsidRPr="00350B5E">
        <w:rPr>
          <w:i/>
          <w:iCs/>
          <w:sz w:val="22"/>
          <w:szCs w:val="22"/>
          <w:lang w:val="en-US"/>
        </w:rPr>
        <w:t xml:space="preserve">Figure </w:t>
      </w:r>
      <w:r w:rsidR="00D20898">
        <w:rPr>
          <w:i/>
          <w:iCs/>
          <w:sz w:val="22"/>
          <w:szCs w:val="22"/>
          <w:lang w:val="en-US"/>
        </w:rPr>
        <w:t>11</w:t>
      </w:r>
      <w:r w:rsidRPr="00350B5E">
        <w:rPr>
          <w:i/>
          <w:iCs/>
          <w:sz w:val="22"/>
          <w:szCs w:val="22"/>
          <w:lang w:val="en-US"/>
        </w:rPr>
        <w:t xml:space="preserve">. Removal of TOC by ozonation of </w:t>
      </w:r>
      <w:r>
        <w:rPr>
          <w:i/>
          <w:iCs/>
          <w:sz w:val="22"/>
          <w:szCs w:val="22"/>
          <w:lang w:val="en-US"/>
        </w:rPr>
        <w:t>amoxicillin</w:t>
      </w:r>
      <w:r w:rsidRPr="00350B5E">
        <w:rPr>
          <w:i/>
          <w:iCs/>
          <w:sz w:val="22"/>
          <w:szCs w:val="22"/>
          <w:lang w:val="en-US"/>
        </w:rPr>
        <w:t xml:space="preserve"> solution (100 mg L</w:t>
      </w:r>
      <w:r w:rsidRPr="00350B5E">
        <w:rPr>
          <w:i/>
          <w:iCs/>
          <w:sz w:val="22"/>
          <w:szCs w:val="22"/>
          <w:vertAlign w:val="superscript"/>
          <w:lang w:val="en-US"/>
        </w:rPr>
        <w:t>-1</w:t>
      </w:r>
      <w:r w:rsidRPr="00350B5E">
        <w:rPr>
          <w:i/>
          <w:iCs/>
          <w:sz w:val="22"/>
          <w:szCs w:val="22"/>
          <w:lang w:val="en-US"/>
        </w:rPr>
        <w:t xml:space="preserve">), measured values and assumed course </w:t>
      </w:r>
      <w:r w:rsidR="00E17430" w:rsidRPr="00E17430">
        <w:rPr>
          <w:i/>
          <w:iCs/>
          <w:sz w:val="22"/>
          <w:szCs w:val="22"/>
          <w:lang w:val="en-US"/>
        </w:rPr>
        <w:t xml:space="preserve">of variable order </w:t>
      </w:r>
      <w:r w:rsidRPr="00350B5E">
        <w:rPr>
          <w:i/>
          <w:iCs/>
          <w:sz w:val="22"/>
          <w:szCs w:val="22"/>
          <w:lang w:val="en-US"/>
        </w:rPr>
        <w:t>kinetics.</w:t>
      </w:r>
    </w:p>
    <w:p w14:paraId="1CF83F68" w14:textId="77777777" w:rsidR="00D50099" w:rsidRDefault="00D50099" w:rsidP="00D50099">
      <w:pPr>
        <w:pStyle w:val="Newparagraph"/>
        <w:spacing w:line="360" w:lineRule="auto"/>
        <w:jc w:val="center"/>
        <w:rPr>
          <w:i/>
          <w:iCs/>
          <w:sz w:val="22"/>
          <w:szCs w:val="22"/>
          <w:lang w:val="en-US"/>
        </w:rPr>
      </w:pPr>
    </w:p>
    <w:p w14:paraId="2E438A47" w14:textId="44DFCD0C" w:rsidR="00D50099" w:rsidRDefault="00E17430" w:rsidP="00D50099">
      <w:pPr>
        <w:pStyle w:val="Newparagraph"/>
        <w:spacing w:line="360" w:lineRule="auto"/>
        <w:jc w:val="center"/>
        <w:rPr>
          <w:i/>
          <w:iCs/>
          <w:sz w:val="22"/>
          <w:szCs w:val="22"/>
          <w:lang w:val="en-US"/>
        </w:rPr>
      </w:pPr>
      <w:r>
        <w:rPr>
          <w:noProof/>
          <w:lang w:val="en-US" w:eastAsia="en-US"/>
        </w:rPr>
        <w:drawing>
          <wp:inline distT="0" distB="0" distL="0" distR="0" wp14:anchorId="58CA1BE7" wp14:editId="186EAE55">
            <wp:extent cx="4680000" cy="2520000"/>
            <wp:effectExtent l="0" t="0" r="6350" b="0"/>
            <wp:docPr id="115" name="Chart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1C9A89" w14:textId="77777777" w:rsidR="00D50099" w:rsidRDefault="00D50099" w:rsidP="00D50099">
      <w:pPr>
        <w:pStyle w:val="Newparagraph"/>
        <w:spacing w:line="360" w:lineRule="auto"/>
        <w:jc w:val="center"/>
        <w:rPr>
          <w:i/>
          <w:iCs/>
          <w:sz w:val="22"/>
          <w:szCs w:val="22"/>
          <w:lang w:val="en-US"/>
        </w:rPr>
      </w:pPr>
    </w:p>
    <w:p w14:paraId="3ECBFE1A" w14:textId="1F31E3E0" w:rsidR="00D50099" w:rsidRDefault="00D50099" w:rsidP="00D50099">
      <w:pPr>
        <w:pStyle w:val="Newparagraph"/>
        <w:spacing w:line="360" w:lineRule="auto"/>
        <w:jc w:val="center"/>
        <w:rPr>
          <w:iCs/>
          <w:sz w:val="22"/>
          <w:szCs w:val="22"/>
          <w:lang w:val="en-US"/>
        </w:rPr>
      </w:pPr>
      <w:r w:rsidRPr="00D95181">
        <w:rPr>
          <w:i/>
          <w:iCs/>
          <w:sz w:val="22"/>
          <w:szCs w:val="22"/>
          <w:lang w:val="en-US"/>
        </w:rPr>
        <w:t xml:space="preserve">Figure </w:t>
      </w:r>
      <w:r>
        <w:rPr>
          <w:i/>
          <w:iCs/>
          <w:sz w:val="22"/>
          <w:szCs w:val="22"/>
          <w:lang w:val="en-US"/>
        </w:rPr>
        <w:t>1</w:t>
      </w:r>
      <w:r w:rsidR="00D20898">
        <w:rPr>
          <w:i/>
          <w:iCs/>
          <w:sz w:val="22"/>
          <w:szCs w:val="22"/>
          <w:lang w:val="en-US"/>
        </w:rPr>
        <w:t>2</w:t>
      </w:r>
      <w:r w:rsidRPr="00D95181">
        <w:rPr>
          <w:i/>
          <w:iCs/>
          <w:sz w:val="22"/>
          <w:szCs w:val="22"/>
          <w:lang w:val="en-US"/>
        </w:rPr>
        <w:t xml:space="preserve">. Removal of COD by ozonation of </w:t>
      </w:r>
      <w:r>
        <w:rPr>
          <w:i/>
          <w:iCs/>
          <w:sz w:val="22"/>
          <w:szCs w:val="22"/>
          <w:lang w:val="en-US"/>
        </w:rPr>
        <w:t>amoxicillin</w:t>
      </w:r>
      <w:r w:rsidRPr="00D95181">
        <w:rPr>
          <w:i/>
          <w:iCs/>
          <w:sz w:val="22"/>
          <w:szCs w:val="22"/>
          <w:lang w:val="en-US"/>
        </w:rPr>
        <w:t xml:space="preserve"> solution (100 mg L</w:t>
      </w:r>
      <w:r w:rsidRPr="00D95181">
        <w:rPr>
          <w:i/>
          <w:iCs/>
          <w:sz w:val="22"/>
          <w:szCs w:val="22"/>
          <w:vertAlign w:val="superscript"/>
          <w:lang w:val="en-US"/>
        </w:rPr>
        <w:t>-1</w:t>
      </w:r>
      <w:r w:rsidRPr="00D95181">
        <w:rPr>
          <w:i/>
          <w:iCs/>
          <w:sz w:val="22"/>
          <w:szCs w:val="22"/>
          <w:lang w:val="en-US"/>
        </w:rPr>
        <w:t xml:space="preserve">), measured values and assumed course </w:t>
      </w:r>
      <w:r w:rsidR="00E17430" w:rsidRPr="00E17430">
        <w:rPr>
          <w:i/>
          <w:iCs/>
          <w:sz w:val="22"/>
          <w:szCs w:val="22"/>
          <w:lang w:val="en-US"/>
        </w:rPr>
        <w:t xml:space="preserve">of variable order </w:t>
      </w:r>
      <w:r w:rsidRPr="00D95181">
        <w:rPr>
          <w:i/>
          <w:iCs/>
          <w:sz w:val="22"/>
          <w:szCs w:val="22"/>
          <w:lang w:val="en-US"/>
        </w:rPr>
        <w:t>kinetics</w:t>
      </w:r>
    </w:p>
    <w:p w14:paraId="54A8A4EF" w14:textId="07D3368F" w:rsidR="00D50099" w:rsidRDefault="00D50099" w:rsidP="00680BE7">
      <w:pPr>
        <w:pStyle w:val="Newparagraph"/>
        <w:spacing w:line="360" w:lineRule="auto"/>
        <w:ind w:left="720" w:firstLine="0"/>
        <w:jc w:val="both"/>
        <w:rPr>
          <w:sz w:val="22"/>
          <w:szCs w:val="22"/>
          <w:lang w:val="en-US"/>
        </w:rPr>
      </w:pPr>
    </w:p>
    <w:p w14:paraId="4CE0C4E5" w14:textId="04404D17" w:rsidR="00D50099" w:rsidRDefault="00D50099" w:rsidP="00680BE7">
      <w:pPr>
        <w:pStyle w:val="Newparagraph"/>
        <w:spacing w:line="360" w:lineRule="auto"/>
        <w:ind w:left="720" w:firstLine="0"/>
        <w:jc w:val="both"/>
        <w:rPr>
          <w:sz w:val="22"/>
          <w:szCs w:val="22"/>
          <w:lang w:val="en-US"/>
        </w:rPr>
      </w:pPr>
    </w:p>
    <w:p w14:paraId="25832EB1" w14:textId="636E753E" w:rsidR="00C06BB7" w:rsidRPr="003B0A74" w:rsidRDefault="00E822CB" w:rsidP="00C77F85">
      <w:pPr>
        <w:pStyle w:val="Abstract"/>
        <w:ind w:left="0"/>
      </w:pPr>
      <w:r>
        <w:t xml:space="preserve">As it can be seen from Figure </w:t>
      </w:r>
      <w:r w:rsidR="00150AFC">
        <w:t>11</w:t>
      </w:r>
      <w:r>
        <w:t xml:space="preserve">, TOC reduces for only about 5 %, while the final product of amoxicillin ozonation is formed with 90% yield </w:t>
      </w:r>
      <w:r w:rsidR="00330CAC" w:rsidRPr="00330CAC">
        <w:rPr>
          <w:vertAlign w:val="superscript"/>
        </w:rPr>
        <w:t>20</w:t>
      </w:r>
      <w:r>
        <w:t xml:space="preserve"> – which is also consistent with </w:t>
      </w:r>
      <w:r w:rsidR="00C40174">
        <w:t xml:space="preserve">a </w:t>
      </w:r>
      <w:r>
        <w:t>significant COD reduction of 70 % (Figure 1</w:t>
      </w:r>
      <w:r w:rsidR="00D20898">
        <w:t>2</w:t>
      </w:r>
      <w:r>
        <w:t>).</w:t>
      </w:r>
    </w:p>
    <w:p w14:paraId="3DF81F6D" w14:textId="77777777" w:rsidR="00680BE7" w:rsidRPr="00C06BB7" w:rsidRDefault="00680BE7" w:rsidP="00680BE7">
      <w:pPr>
        <w:pStyle w:val="Newparagraph"/>
        <w:spacing w:line="360" w:lineRule="auto"/>
        <w:ind w:firstLine="0"/>
        <w:jc w:val="both"/>
        <w:rPr>
          <w:b/>
          <w:sz w:val="22"/>
          <w:szCs w:val="22"/>
        </w:rPr>
      </w:pPr>
    </w:p>
    <w:p w14:paraId="286DAB40" w14:textId="29D726CC" w:rsidR="00680BE7" w:rsidRPr="00EC1598" w:rsidRDefault="00680BE7" w:rsidP="00C77F85">
      <w:pPr>
        <w:pStyle w:val="Newparagraph"/>
        <w:numPr>
          <w:ilvl w:val="0"/>
          <w:numId w:val="38"/>
        </w:numPr>
        <w:spacing w:line="360" w:lineRule="auto"/>
        <w:jc w:val="both"/>
        <w:rPr>
          <w:b/>
          <w:szCs w:val="22"/>
        </w:rPr>
      </w:pPr>
      <w:r w:rsidRPr="00EC1598">
        <w:rPr>
          <w:b/>
          <w:szCs w:val="22"/>
        </w:rPr>
        <w:t>Conclusions</w:t>
      </w:r>
    </w:p>
    <w:p w14:paraId="68024A4A" w14:textId="5E738525" w:rsidR="006772CE" w:rsidRDefault="00680BE7" w:rsidP="00C77F85">
      <w:pPr>
        <w:pStyle w:val="Abstract"/>
        <w:ind w:left="0"/>
        <w:rPr>
          <w:bCs/>
        </w:rPr>
      </w:pPr>
      <w:r w:rsidRPr="00EC1598">
        <w:rPr>
          <w:bCs/>
        </w:rPr>
        <w:t xml:space="preserve">The aim of the work was to compare </w:t>
      </w:r>
      <w:r w:rsidR="004739CA">
        <w:rPr>
          <w:bCs/>
        </w:rPr>
        <w:t xml:space="preserve">oxidation </w:t>
      </w:r>
      <w:r w:rsidR="004739CA">
        <w:t>efficiency in case of</w:t>
      </w:r>
      <w:r w:rsidR="00CA2564">
        <w:t xml:space="preserve"> antibioti</w:t>
      </w:r>
      <w:r w:rsidR="006377C3">
        <w:t>cs</w:t>
      </w:r>
      <w:r w:rsidR="00CA2564" w:rsidRPr="00CA2564">
        <w:t xml:space="preserve"> </w:t>
      </w:r>
      <w:r w:rsidR="00CA2564">
        <w:t xml:space="preserve">dissolved in water, either by a </w:t>
      </w:r>
      <w:r w:rsidRPr="00EC1598">
        <w:t>direct reaction</w:t>
      </w:r>
      <w:r w:rsidR="00CA2564">
        <w:t xml:space="preserve"> </w:t>
      </w:r>
      <w:r w:rsidRPr="00EC1598">
        <w:t xml:space="preserve">with ozone </w:t>
      </w:r>
      <w:r w:rsidR="00CA2564">
        <w:t xml:space="preserve">or by means of indirect oxidation with </w:t>
      </w:r>
      <w:r w:rsidRPr="00EC1598">
        <w:t>hydroxyl radicals from Fenton reagent</w:t>
      </w:r>
      <w:r w:rsidR="00CA2564">
        <w:t>.</w:t>
      </w:r>
      <w:r w:rsidRPr="00EC1598">
        <w:t xml:space="preserve"> </w:t>
      </w:r>
      <w:r w:rsidR="00CA2564">
        <w:t xml:space="preserve">Overall goal was to </w:t>
      </w:r>
      <w:r w:rsidRPr="00EC1598">
        <w:t xml:space="preserve">increase biodegradability to </w:t>
      </w:r>
      <w:r w:rsidR="00CA2564">
        <w:t xml:space="preserve">a degree that </w:t>
      </w:r>
      <w:r w:rsidR="000F15F1">
        <w:t>enable</w:t>
      </w:r>
      <w:r w:rsidR="00CA2564">
        <w:t>s</w:t>
      </w:r>
      <w:r w:rsidR="000F15F1" w:rsidRPr="00EC1598">
        <w:t xml:space="preserve"> </w:t>
      </w:r>
      <w:r w:rsidRPr="00EC1598">
        <w:t xml:space="preserve">further biological treatment. </w:t>
      </w:r>
      <w:r w:rsidRPr="00EC1598">
        <w:rPr>
          <w:bCs/>
        </w:rPr>
        <w:t xml:space="preserve">Selected antibiotics were TML, LFX and AMX. </w:t>
      </w:r>
      <w:r w:rsidR="006772CE">
        <w:rPr>
          <w:bCs/>
        </w:rPr>
        <w:t xml:space="preserve"> </w:t>
      </w:r>
    </w:p>
    <w:p w14:paraId="417D1342" w14:textId="03AE4A44" w:rsidR="00887852" w:rsidRDefault="00CA2564" w:rsidP="00C77F85">
      <w:pPr>
        <w:pStyle w:val="Abstract"/>
        <w:ind w:left="0"/>
      </w:pPr>
      <w:r>
        <w:t xml:space="preserve">In terms of oxidant </w:t>
      </w:r>
      <w:r w:rsidR="00621889">
        <w:t xml:space="preserve">reagent </w:t>
      </w:r>
      <w:r>
        <w:t>consumption, d</w:t>
      </w:r>
      <w:r w:rsidR="00680BE7" w:rsidRPr="00EC1598">
        <w:t xml:space="preserve">irect reaction with ozone has proven </w:t>
      </w:r>
      <w:r>
        <w:t>to be more efficient, as c</w:t>
      </w:r>
      <w:r w:rsidR="00680BE7" w:rsidRPr="00EC1598">
        <w:t>omparable biodegradability improvement</w:t>
      </w:r>
      <w:r w:rsidR="00621889">
        <w:t xml:space="preserve">, including </w:t>
      </w:r>
      <w:r w:rsidR="00680BE7" w:rsidRPr="00EC1598">
        <w:t xml:space="preserve">TOC reduction was achieved with an ozone dose, tenfold </w:t>
      </w:r>
      <w:r w:rsidR="00295A9C">
        <w:t>smaller</w:t>
      </w:r>
      <w:r w:rsidR="00295A9C" w:rsidRPr="00EC1598">
        <w:t xml:space="preserve"> </w:t>
      </w:r>
      <w:r w:rsidR="00680BE7" w:rsidRPr="00EC1598">
        <w:t>than the equivalent molar dose of oxidant (H</w:t>
      </w:r>
      <w:r w:rsidR="00680BE7" w:rsidRPr="00EC1598">
        <w:rPr>
          <w:vertAlign w:val="subscript"/>
        </w:rPr>
        <w:t>2</w:t>
      </w:r>
      <w:r w:rsidR="00680BE7" w:rsidRPr="00EC1598">
        <w:t>O</w:t>
      </w:r>
      <w:r w:rsidR="00680BE7" w:rsidRPr="00EC1598">
        <w:rPr>
          <w:vertAlign w:val="subscript"/>
        </w:rPr>
        <w:t>2</w:t>
      </w:r>
      <w:r w:rsidR="00680BE7" w:rsidRPr="00EC1598">
        <w:t xml:space="preserve">) from Fenton reagent. On the other hand, comparable COD reductions </w:t>
      </w:r>
      <w:r w:rsidR="00295A9C">
        <w:t>were</w:t>
      </w:r>
      <w:r w:rsidR="00295A9C" w:rsidRPr="00EC1598">
        <w:t xml:space="preserve"> </w:t>
      </w:r>
      <w:r w:rsidR="002D747E">
        <w:t>achieved</w:t>
      </w:r>
      <w:r w:rsidR="002D747E" w:rsidRPr="00EC1598">
        <w:t xml:space="preserve"> </w:t>
      </w:r>
      <w:r w:rsidR="00680BE7" w:rsidRPr="00EC1598">
        <w:t>with oxidant doses (O</w:t>
      </w:r>
      <w:r w:rsidR="00680BE7" w:rsidRPr="00EC1598">
        <w:rPr>
          <w:vertAlign w:val="subscript"/>
        </w:rPr>
        <w:t>3</w:t>
      </w:r>
      <w:r w:rsidR="00680BE7" w:rsidRPr="00EC1598">
        <w:t xml:space="preserve"> and H</w:t>
      </w:r>
      <w:r w:rsidR="00680BE7" w:rsidRPr="00EC1598">
        <w:rPr>
          <w:vertAlign w:val="subscript"/>
        </w:rPr>
        <w:t>2</w:t>
      </w:r>
      <w:r w:rsidR="00680BE7" w:rsidRPr="00EC1598">
        <w:t>O</w:t>
      </w:r>
      <w:r w:rsidR="00680BE7" w:rsidRPr="00EC1598">
        <w:rPr>
          <w:vertAlign w:val="subscript"/>
        </w:rPr>
        <w:t>2</w:t>
      </w:r>
      <w:r w:rsidR="00680BE7" w:rsidRPr="00EC1598">
        <w:t xml:space="preserve">) in the same order of magnitude. </w:t>
      </w:r>
      <w:r w:rsidR="00295A9C">
        <w:t xml:space="preserve">This means </w:t>
      </w:r>
      <w:r w:rsidR="00887852">
        <w:t xml:space="preserve">that </w:t>
      </w:r>
      <w:r w:rsidR="00680BE7" w:rsidRPr="00EC1598">
        <w:t xml:space="preserve">antibiotics </w:t>
      </w:r>
      <w:r w:rsidR="00295A9C">
        <w:t>were</w:t>
      </w:r>
      <w:r w:rsidR="00295A9C" w:rsidRPr="00EC1598">
        <w:t xml:space="preserve"> </w:t>
      </w:r>
      <w:r w:rsidR="00680BE7" w:rsidRPr="00EC1598">
        <w:t>oxidized equally either by direct reaction with ozone or hydroxyl radicals from Fenton reagent</w:t>
      </w:r>
      <w:r w:rsidR="00295A9C">
        <w:t xml:space="preserve">. In case of direct ozone reaction however, </w:t>
      </w:r>
      <w:r w:rsidR="00295A9C" w:rsidRPr="00EC1598">
        <w:t>entities of the molecule, which carry antibiotic potential</w:t>
      </w:r>
      <w:r w:rsidR="00295A9C">
        <w:t xml:space="preserve">, were targeted. This delivers effective biodegradability improvements already at low doses of </w:t>
      </w:r>
      <w:r w:rsidR="00887852">
        <w:t>oxidant</w:t>
      </w:r>
      <w:r w:rsidR="00295A9C">
        <w:t>. Overall rate of mineralization is not critical, as this is not primary the objective of the oxidation.</w:t>
      </w:r>
      <w:r w:rsidR="006772CE">
        <w:t xml:space="preserve"> </w:t>
      </w:r>
      <w:r w:rsidR="00887852">
        <w:t>Reaction kinetics</w:t>
      </w:r>
      <w:r w:rsidR="00887852" w:rsidRPr="00887852">
        <w:t xml:space="preserve"> </w:t>
      </w:r>
      <w:r w:rsidR="00887852">
        <w:t xml:space="preserve">of ozonation shows that there are two phases of the reaction, with the first being significantly faster than the </w:t>
      </w:r>
      <w:r w:rsidR="00250280">
        <w:t>second</w:t>
      </w:r>
      <w:r w:rsidR="00887852">
        <w:t xml:space="preserve">. This is also the part, where biodegradability </w:t>
      </w:r>
      <w:r w:rsidR="00250280">
        <w:t>is</w:t>
      </w:r>
      <w:r w:rsidR="00887852">
        <w:t xml:space="preserve"> improved most, while in the second phase, molecule is being degraded further </w:t>
      </w:r>
      <w:r w:rsidR="004739CA">
        <w:t>and mineralized</w:t>
      </w:r>
      <w:r w:rsidR="00887852">
        <w:t>.</w:t>
      </w:r>
    </w:p>
    <w:p w14:paraId="2301BF71" w14:textId="4B479D3B" w:rsidR="00E2793D" w:rsidRDefault="00E2793D" w:rsidP="00C77F85">
      <w:pPr>
        <w:pStyle w:val="Abstract"/>
        <w:ind w:left="0"/>
      </w:pPr>
      <w:r>
        <w:t>In terms of operational costs, Fenton costs about five times less than ozone, providing the effectiveness discussed in this study, however ozone has advantages in terms of broader sustainability, given that generates no side waste that requires further treatment and disposal.</w:t>
      </w:r>
    </w:p>
    <w:p w14:paraId="7542485C" w14:textId="1E6B2E72" w:rsidR="00EC1598" w:rsidRDefault="00EC1598" w:rsidP="00EC1598">
      <w:pPr>
        <w:pStyle w:val="Newparagraph"/>
        <w:spacing w:line="360" w:lineRule="auto"/>
        <w:jc w:val="both"/>
        <w:rPr>
          <w:b/>
          <w:sz w:val="22"/>
          <w:szCs w:val="22"/>
        </w:rPr>
      </w:pPr>
    </w:p>
    <w:p w14:paraId="10E19E10" w14:textId="77777777" w:rsidR="00D94788" w:rsidRDefault="00D94788" w:rsidP="00EC1598">
      <w:pPr>
        <w:pStyle w:val="Newparagraph"/>
        <w:spacing w:line="360" w:lineRule="auto"/>
        <w:jc w:val="both"/>
        <w:rPr>
          <w:b/>
          <w:sz w:val="22"/>
          <w:szCs w:val="22"/>
        </w:rPr>
      </w:pPr>
    </w:p>
    <w:p w14:paraId="2779CA42" w14:textId="1983EDB0" w:rsidR="00EC1598" w:rsidRPr="00EC1598" w:rsidRDefault="00EC1598" w:rsidP="00EC1598">
      <w:pPr>
        <w:pStyle w:val="Newparagraph"/>
        <w:spacing w:line="360" w:lineRule="auto"/>
        <w:ind w:firstLine="0"/>
        <w:jc w:val="both"/>
        <w:rPr>
          <w:b/>
          <w:i/>
          <w:szCs w:val="22"/>
        </w:rPr>
      </w:pPr>
      <w:r w:rsidRPr="00EC1598">
        <w:rPr>
          <w:b/>
          <w:i/>
          <w:szCs w:val="22"/>
        </w:rPr>
        <w:t>Acknowledgements</w:t>
      </w:r>
    </w:p>
    <w:p w14:paraId="20BD3642" w14:textId="77777777" w:rsidR="002B5745" w:rsidRPr="00926C4C" w:rsidRDefault="002B5745" w:rsidP="002B5745">
      <w:pPr>
        <w:spacing w:before="240" w:after="240"/>
        <w:jc w:val="both"/>
      </w:pPr>
      <w:r w:rsidRPr="00926C4C">
        <w:t xml:space="preserve">The authors are grateful to Nastja Smolnikar, Polona Starašinič, Damjan Koder and Matjaž Škedelj for </w:t>
      </w:r>
      <w:r w:rsidRPr="007A7AAB">
        <w:t xml:space="preserve">laboratory assistance. This </w:t>
      </w:r>
      <w:r w:rsidRPr="002B5745">
        <w:t>work was financed by the</w:t>
      </w:r>
      <w:r w:rsidRPr="007A7AAB">
        <w:t xml:space="preserve"> Slovenian Research Agency, research program</w:t>
      </w:r>
      <w:r>
        <w:t xml:space="preserve"> of</w:t>
      </w:r>
      <w:r w:rsidRPr="007A7AAB">
        <w:t xml:space="preserve"> Chemical Engineering (P2-0191) and Organic Chemistry (P1</w:t>
      </w:r>
      <w:r w:rsidRPr="00926C4C">
        <w:t xml:space="preserve">-0230). </w:t>
      </w:r>
    </w:p>
    <w:p w14:paraId="45992595" w14:textId="77777777" w:rsidR="00EC1598" w:rsidRDefault="00EC1598" w:rsidP="00EC1598">
      <w:pPr>
        <w:pStyle w:val="Newparagraph"/>
        <w:spacing w:line="360" w:lineRule="auto"/>
        <w:ind w:firstLine="0"/>
        <w:jc w:val="both"/>
        <w:rPr>
          <w:b/>
          <w:szCs w:val="22"/>
        </w:rPr>
      </w:pPr>
    </w:p>
    <w:p w14:paraId="708C2E9D" w14:textId="09DEDB8B" w:rsidR="00EC1598" w:rsidRPr="00EC1598" w:rsidRDefault="00EC1598" w:rsidP="00EC1598">
      <w:pPr>
        <w:pStyle w:val="Newparagraph"/>
        <w:spacing w:line="360" w:lineRule="auto"/>
        <w:ind w:firstLine="0"/>
        <w:jc w:val="both"/>
        <w:rPr>
          <w:b/>
          <w:szCs w:val="22"/>
        </w:rPr>
      </w:pPr>
      <w:r w:rsidRPr="00EC1598">
        <w:rPr>
          <w:b/>
          <w:szCs w:val="22"/>
        </w:rPr>
        <w:t>References</w:t>
      </w:r>
    </w:p>
    <w:p w14:paraId="0B7FCED9" w14:textId="77777777" w:rsidR="00164FC6" w:rsidRDefault="00164FC6" w:rsidP="00FC7AE7">
      <w:pPr>
        <w:pStyle w:val="Newparagraph"/>
        <w:spacing w:line="360" w:lineRule="auto"/>
        <w:ind w:firstLine="0"/>
        <w:rPr>
          <w:sz w:val="22"/>
          <w:szCs w:val="22"/>
          <w:lang w:val="en-US"/>
        </w:rPr>
      </w:pPr>
    </w:p>
    <w:p w14:paraId="35E571AF" w14:textId="5ABFC06F" w:rsidR="00164FC6" w:rsidRPr="00EC1598" w:rsidRDefault="00FB46BC" w:rsidP="00294140">
      <w:pPr>
        <w:pStyle w:val="Newparagraph"/>
        <w:numPr>
          <w:ilvl w:val="0"/>
          <w:numId w:val="40"/>
        </w:numPr>
        <w:spacing w:line="360" w:lineRule="auto"/>
        <w:jc w:val="both"/>
        <w:rPr>
          <w:sz w:val="22"/>
          <w:szCs w:val="22"/>
        </w:rPr>
      </w:pPr>
      <w:r w:rsidRPr="00EC1598">
        <w:rPr>
          <w:sz w:val="22"/>
          <w:szCs w:val="22"/>
        </w:rPr>
        <w:t>A. B. A</w:t>
      </w:r>
      <w:r>
        <w:rPr>
          <w:sz w:val="22"/>
          <w:szCs w:val="22"/>
        </w:rPr>
        <w:t>.</w:t>
      </w:r>
      <w:r w:rsidRPr="00EC1598">
        <w:rPr>
          <w:sz w:val="22"/>
          <w:szCs w:val="22"/>
        </w:rPr>
        <w:t xml:space="preserve"> </w:t>
      </w:r>
      <w:r w:rsidR="00164FC6" w:rsidRPr="00EC1598">
        <w:rPr>
          <w:sz w:val="22"/>
          <w:szCs w:val="22"/>
        </w:rPr>
        <w:t>Boxall</w:t>
      </w:r>
      <w:r>
        <w:rPr>
          <w:sz w:val="22"/>
          <w:szCs w:val="22"/>
        </w:rPr>
        <w:t>, D.</w:t>
      </w:r>
      <w:r w:rsidR="00164FC6" w:rsidRPr="00EC1598">
        <w:rPr>
          <w:sz w:val="22"/>
          <w:szCs w:val="22"/>
        </w:rPr>
        <w:t xml:space="preserve"> </w:t>
      </w:r>
      <w:r>
        <w:rPr>
          <w:sz w:val="22"/>
          <w:szCs w:val="22"/>
        </w:rPr>
        <w:t xml:space="preserve">W. </w:t>
      </w:r>
      <w:r w:rsidR="00164FC6" w:rsidRPr="00EC1598">
        <w:rPr>
          <w:sz w:val="22"/>
          <w:szCs w:val="22"/>
        </w:rPr>
        <w:t xml:space="preserve">Kolpin, </w:t>
      </w:r>
      <w:r>
        <w:rPr>
          <w:sz w:val="22"/>
          <w:szCs w:val="22"/>
        </w:rPr>
        <w:t>B.</w:t>
      </w:r>
      <w:r w:rsidR="00164FC6" w:rsidRPr="00EC1598">
        <w:rPr>
          <w:sz w:val="22"/>
          <w:szCs w:val="22"/>
        </w:rPr>
        <w:t xml:space="preserve"> Halling-Sørensen, </w:t>
      </w:r>
      <w:r>
        <w:rPr>
          <w:sz w:val="22"/>
          <w:szCs w:val="22"/>
        </w:rPr>
        <w:t xml:space="preserve">J. </w:t>
      </w:r>
      <w:r w:rsidR="00164FC6" w:rsidRPr="00EC1598">
        <w:rPr>
          <w:sz w:val="22"/>
          <w:szCs w:val="22"/>
        </w:rPr>
        <w:t xml:space="preserve">Tolls, </w:t>
      </w:r>
      <w:r w:rsidRPr="00EC1598">
        <w:rPr>
          <w:i/>
          <w:iCs/>
          <w:sz w:val="22"/>
          <w:szCs w:val="22"/>
        </w:rPr>
        <w:t>Environ. Sci. Technol.</w:t>
      </w:r>
      <w:r>
        <w:rPr>
          <w:i/>
          <w:iCs/>
          <w:sz w:val="22"/>
          <w:szCs w:val="22"/>
        </w:rPr>
        <w:t xml:space="preserve"> </w:t>
      </w:r>
      <w:r w:rsidR="00164FC6" w:rsidRPr="00CC141C">
        <w:rPr>
          <w:b/>
          <w:sz w:val="22"/>
          <w:szCs w:val="22"/>
        </w:rPr>
        <w:t>2003</w:t>
      </w:r>
      <w:r>
        <w:rPr>
          <w:sz w:val="22"/>
          <w:szCs w:val="22"/>
        </w:rPr>
        <w:t>,</w:t>
      </w:r>
      <w:r w:rsidR="00164FC6" w:rsidRPr="00EC1598">
        <w:rPr>
          <w:sz w:val="22"/>
          <w:szCs w:val="22"/>
        </w:rPr>
        <w:t xml:space="preserve"> </w:t>
      </w:r>
      <w:r w:rsidR="00CC141C">
        <w:rPr>
          <w:sz w:val="22"/>
          <w:szCs w:val="22"/>
        </w:rPr>
        <w:t>37(15)</w:t>
      </w:r>
      <w:r>
        <w:rPr>
          <w:sz w:val="22"/>
          <w:szCs w:val="22"/>
        </w:rPr>
        <w:t xml:space="preserve">, </w:t>
      </w:r>
      <w:r w:rsidR="00CC141C">
        <w:rPr>
          <w:sz w:val="22"/>
          <w:szCs w:val="22"/>
        </w:rPr>
        <w:t>286A</w:t>
      </w:r>
      <w:r w:rsidR="00164FC6" w:rsidRPr="00EC1598">
        <w:rPr>
          <w:sz w:val="22"/>
          <w:szCs w:val="22"/>
        </w:rPr>
        <w:t>-294A.</w:t>
      </w:r>
    </w:p>
    <w:p w14:paraId="216EB65A" w14:textId="77777777" w:rsidR="00164FC6" w:rsidRDefault="00164FC6" w:rsidP="00294140">
      <w:pPr>
        <w:pStyle w:val="Newparagraph"/>
        <w:spacing w:line="360" w:lineRule="auto"/>
        <w:ind w:firstLine="0"/>
        <w:jc w:val="both"/>
        <w:rPr>
          <w:sz w:val="22"/>
          <w:szCs w:val="22"/>
          <w:lang w:val="en-US"/>
        </w:rPr>
      </w:pPr>
    </w:p>
    <w:p w14:paraId="191E7ED4" w14:textId="58C9E136" w:rsidR="00164FC6" w:rsidRDefault="00FB46BC" w:rsidP="00294140">
      <w:pPr>
        <w:pStyle w:val="Newparagraph"/>
        <w:numPr>
          <w:ilvl w:val="0"/>
          <w:numId w:val="40"/>
        </w:numPr>
        <w:spacing w:line="360" w:lineRule="auto"/>
        <w:jc w:val="both"/>
        <w:rPr>
          <w:sz w:val="22"/>
          <w:szCs w:val="22"/>
        </w:rPr>
      </w:pPr>
      <w:r>
        <w:rPr>
          <w:sz w:val="22"/>
          <w:szCs w:val="22"/>
        </w:rPr>
        <w:t xml:space="preserve">P. H. </w:t>
      </w:r>
      <w:r w:rsidR="00164FC6" w:rsidRPr="00EC1598">
        <w:rPr>
          <w:sz w:val="22"/>
          <w:szCs w:val="22"/>
        </w:rPr>
        <w:t>Jensen John,</w:t>
      </w:r>
      <w:r>
        <w:rPr>
          <w:sz w:val="22"/>
          <w:szCs w:val="22"/>
        </w:rPr>
        <w:t xml:space="preserve"> </w:t>
      </w:r>
      <w:r w:rsidRPr="00EC1598">
        <w:rPr>
          <w:i/>
          <w:iCs/>
          <w:sz w:val="22"/>
          <w:szCs w:val="22"/>
        </w:rPr>
        <w:t>Chemosphere</w:t>
      </w:r>
      <w:r w:rsidRPr="00CC141C">
        <w:rPr>
          <w:b/>
          <w:sz w:val="22"/>
          <w:szCs w:val="22"/>
        </w:rPr>
        <w:t xml:space="preserve"> </w:t>
      </w:r>
      <w:r w:rsidR="00164FC6" w:rsidRPr="00CC141C">
        <w:rPr>
          <w:b/>
          <w:sz w:val="22"/>
          <w:szCs w:val="22"/>
        </w:rPr>
        <w:t>2003</w:t>
      </w:r>
      <w:r>
        <w:rPr>
          <w:sz w:val="22"/>
          <w:szCs w:val="22"/>
        </w:rPr>
        <w:t>,</w:t>
      </w:r>
      <w:r w:rsidR="00164FC6" w:rsidRPr="00EC1598">
        <w:rPr>
          <w:sz w:val="22"/>
          <w:szCs w:val="22"/>
        </w:rPr>
        <w:t xml:space="preserve"> 50(3)</w:t>
      </w:r>
      <w:r>
        <w:rPr>
          <w:sz w:val="22"/>
          <w:szCs w:val="22"/>
        </w:rPr>
        <w:t xml:space="preserve">, </w:t>
      </w:r>
      <w:r w:rsidR="00164FC6" w:rsidRPr="00EC1598">
        <w:rPr>
          <w:sz w:val="22"/>
          <w:szCs w:val="22"/>
        </w:rPr>
        <w:t>437–443.</w:t>
      </w:r>
    </w:p>
    <w:p w14:paraId="6D2282BF" w14:textId="77777777" w:rsidR="00164FC6" w:rsidRPr="00EC1598" w:rsidRDefault="00164FC6" w:rsidP="00294140">
      <w:pPr>
        <w:pStyle w:val="Newparagraph"/>
        <w:spacing w:line="360" w:lineRule="auto"/>
        <w:ind w:firstLine="0"/>
        <w:jc w:val="both"/>
        <w:rPr>
          <w:sz w:val="22"/>
          <w:szCs w:val="22"/>
        </w:rPr>
      </w:pPr>
    </w:p>
    <w:p w14:paraId="50E00E0A" w14:textId="2C98B07B" w:rsidR="00164FC6" w:rsidRPr="00EC1598" w:rsidRDefault="00FB46BC" w:rsidP="00294140">
      <w:pPr>
        <w:pStyle w:val="Newparagraph"/>
        <w:numPr>
          <w:ilvl w:val="0"/>
          <w:numId w:val="40"/>
        </w:numPr>
        <w:spacing w:line="360" w:lineRule="auto"/>
        <w:jc w:val="both"/>
        <w:rPr>
          <w:sz w:val="22"/>
          <w:szCs w:val="22"/>
        </w:rPr>
      </w:pPr>
      <w:r>
        <w:rPr>
          <w:sz w:val="22"/>
          <w:szCs w:val="22"/>
        </w:rPr>
        <w:t xml:space="preserve">B. </w:t>
      </w:r>
      <w:r w:rsidR="00164FC6" w:rsidRPr="00EC1598">
        <w:rPr>
          <w:sz w:val="22"/>
          <w:szCs w:val="22"/>
        </w:rPr>
        <w:t xml:space="preserve">Halling-Sørensen, </w:t>
      </w:r>
      <w:r w:rsidRPr="00EC1598">
        <w:rPr>
          <w:i/>
          <w:iCs/>
          <w:sz w:val="22"/>
          <w:szCs w:val="22"/>
        </w:rPr>
        <w:t>Chemosphere</w:t>
      </w:r>
      <w:r w:rsidRPr="00EC1598">
        <w:rPr>
          <w:sz w:val="22"/>
          <w:szCs w:val="22"/>
        </w:rPr>
        <w:t xml:space="preserve"> </w:t>
      </w:r>
      <w:r w:rsidR="00164FC6" w:rsidRPr="00CC141C">
        <w:rPr>
          <w:b/>
          <w:sz w:val="22"/>
          <w:szCs w:val="22"/>
        </w:rPr>
        <w:t>2000</w:t>
      </w:r>
      <w:r>
        <w:rPr>
          <w:sz w:val="22"/>
          <w:szCs w:val="22"/>
        </w:rPr>
        <w:t>,</w:t>
      </w:r>
      <w:r w:rsidR="00164FC6" w:rsidRPr="00EC1598">
        <w:rPr>
          <w:sz w:val="22"/>
          <w:szCs w:val="22"/>
        </w:rPr>
        <w:t xml:space="preserve"> 40(7)</w:t>
      </w:r>
      <w:r>
        <w:rPr>
          <w:sz w:val="22"/>
          <w:szCs w:val="22"/>
        </w:rPr>
        <w:t xml:space="preserve">, </w:t>
      </w:r>
      <w:r w:rsidR="00164FC6" w:rsidRPr="00EC1598">
        <w:rPr>
          <w:sz w:val="22"/>
          <w:szCs w:val="22"/>
        </w:rPr>
        <w:t>731-739.</w:t>
      </w:r>
    </w:p>
    <w:p w14:paraId="6EAB83A6" w14:textId="77777777" w:rsidR="00164FC6" w:rsidRDefault="00164FC6" w:rsidP="00294140">
      <w:pPr>
        <w:pStyle w:val="Newparagraph"/>
        <w:spacing w:line="360" w:lineRule="auto"/>
        <w:ind w:firstLine="0"/>
        <w:jc w:val="both"/>
        <w:rPr>
          <w:sz w:val="22"/>
          <w:szCs w:val="22"/>
        </w:rPr>
      </w:pPr>
    </w:p>
    <w:p w14:paraId="655F06AC" w14:textId="468A458F" w:rsidR="00164FC6" w:rsidRDefault="00FB46BC" w:rsidP="00A44008">
      <w:pPr>
        <w:pStyle w:val="Newparagraph"/>
        <w:numPr>
          <w:ilvl w:val="0"/>
          <w:numId w:val="40"/>
        </w:numPr>
        <w:spacing w:line="360" w:lineRule="auto"/>
        <w:jc w:val="both"/>
        <w:rPr>
          <w:sz w:val="22"/>
          <w:szCs w:val="22"/>
        </w:rPr>
      </w:pPr>
      <w:r>
        <w:rPr>
          <w:sz w:val="22"/>
          <w:szCs w:val="22"/>
        </w:rPr>
        <w:t xml:space="preserve">A. C. </w:t>
      </w:r>
      <w:r w:rsidR="00164FC6" w:rsidRPr="00EC1598">
        <w:rPr>
          <w:sz w:val="22"/>
          <w:szCs w:val="22"/>
        </w:rPr>
        <w:t xml:space="preserve">Johnson, </w:t>
      </w:r>
      <w:r>
        <w:rPr>
          <w:sz w:val="22"/>
          <w:szCs w:val="22"/>
        </w:rPr>
        <w:t xml:space="preserve">V. </w:t>
      </w:r>
      <w:r w:rsidR="00164FC6" w:rsidRPr="00EC1598">
        <w:rPr>
          <w:sz w:val="22"/>
          <w:szCs w:val="22"/>
        </w:rPr>
        <w:t xml:space="preserve">Keller, </w:t>
      </w:r>
      <w:r>
        <w:rPr>
          <w:sz w:val="22"/>
          <w:szCs w:val="22"/>
        </w:rPr>
        <w:t>E.</w:t>
      </w:r>
      <w:r w:rsidR="00164FC6" w:rsidRPr="00EC1598">
        <w:rPr>
          <w:sz w:val="22"/>
          <w:szCs w:val="22"/>
        </w:rPr>
        <w:t xml:space="preserve"> Dumont, </w:t>
      </w:r>
      <w:r>
        <w:rPr>
          <w:sz w:val="22"/>
          <w:szCs w:val="22"/>
        </w:rPr>
        <w:t xml:space="preserve">J. P. </w:t>
      </w:r>
      <w:r w:rsidR="00164FC6" w:rsidRPr="00EC1598">
        <w:rPr>
          <w:sz w:val="22"/>
          <w:szCs w:val="22"/>
        </w:rPr>
        <w:t xml:space="preserve">Sumpter, </w:t>
      </w:r>
      <w:r w:rsidR="00A44008" w:rsidRPr="00A44008">
        <w:rPr>
          <w:i/>
          <w:iCs/>
          <w:sz w:val="22"/>
          <w:szCs w:val="22"/>
        </w:rPr>
        <w:t xml:space="preserve">Sci. Total Environ. </w:t>
      </w:r>
      <w:r w:rsidR="00164FC6" w:rsidRPr="00CC141C">
        <w:rPr>
          <w:b/>
          <w:sz w:val="22"/>
          <w:szCs w:val="22"/>
        </w:rPr>
        <w:t>2015</w:t>
      </w:r>
      <w:r>
        <w:rPr>
          <w:sz w:val="22"/>
          <w:szCs w:val="22"/>
        </w:rPr>
        <w:t>,</w:t>
      </w:r>
      <w:r w:rsidR="00164FC6" w:rsidRPr="00EC1598">
        <w:rPr>
          <w:sz w:val="22"/>
          <w:szCs w:val="22"/>
        </w:rPr>
        <w:t xml:space="preserve"> 511</w:t>
      </w:r>
      <w:r>
        <w:rPr>
          <w:sz w:val="22"/>
          <w:szCs w:val="22"/>
        </w:rPr>
        <w:t xml:space="preserve">, </w:t>
      </w:r>
      <w:r w:rsidR="00164FC6" w:rsidRPr="00EC1598">
        <w:rPr>
          <w:sz w:val="22"/>
          <w:szCs w:val="22"/>
        </w:rPr>
        <w:t>747-755.</w:t>
      </w:r>
    </w:p>
    <w:p w14:paraId="5416FAED" w14:textId="10A542E6" w:rsidR="00164FC6" w:rsidRDefault="00164FC6" w:rsidP="00294140">
      <w:pPr>
        <w:pStyle w:val="Newparagraph"/>
        <w:spacing w:line="360" w:lineRule="auto"/>
        <w:ind w:firstLine="0"/>
        <w:jc w:val="both"/>
        <w:rPr>
          <w:sz w:val="22"/>
          <w:szCs w:val="22"/>
        </w:rPr>
      </w:pPr>
    </w:p>
    <w:p w14:paraId="2F041B24" w14:textId="55C1486A" w:rsidR="00164FC6" w:rsidRDefault="00A96728" w:rsidP="00A44008">
      <w:pPr>
        <w:pStyle w:val="Newparagraph"/>
        <w:numPr>
          <w:ilvl w:val="0"/>
          <w:numId w:val="40"/>
        </w:numPr>
        <w:spacing w:line="360" w:lineRule="auto"/>
        <w:jc w:val="both"/>
        <w:rPr>
          <w:sz w:val="22"/>
          <w:szCs w:val="22"/>
          <w:lang w:val="en-US"/>
        </w:rPr>
      </w:pPr>
      <w:r>
        <w:rPr>
          <w:sz w:val="22"/>
          <w:szCs w:val="22"/>
          <w:lang w:val="en-US"/>
        </w:rPr>
        <w:t xml:space="preserve">R. </w:t>
      </w:r>
      <w:r w:rsidR="00164FC6" w:rsidRPr="00EC1598">
        <w:rPr>
          <w:sz w:val="22"/>
          <w:szCs w:val="22"/>
          <w:lang w:val="en-US"/>
        </w:rPr>
        <w:t xml:space="preserve">Singh, </w:t>
      </w:r>
      <w:r>
        <w:rPr>
          <w:sz w:val="22"/>
          <w:szCs w:val="22"/>
          <w:lang w:val="en-US"/>
        </w:rPr>
        <w:t xml:space="preserve">A. P. </w:t>
      </w:r>
      <w:r w:rsidR="00164FC6" w:rsidRPr="00EC1598">
        <w:rPr>
          <w:sz w:val="22"/>
          <w:szCs w:val="22"/>
          <w:lang w:val="en-US"/>
        </w:rPr>
        <w:t xml:space="preserve">Singh, </w:t>
      </w:r>
      <w:r>
        <w:rPr>
          <w:sz w:val="22"/>
          <w:szCs w:val="22"/>
          <w:lang w:val="en-US"/>
        </w:rPr>
        <w:t xml:space="preserve">S. </w:t>
      </w:r>
      <w:r w:rsidR="00164FC6" w:rsidRPr="00EC1598">
        <w:rPr>
          <w:sz w:val="22"/>
          <w:szCs w:val="22"/>
          <w:lang w:val="en-US"/>
        </w:rPr>
        <w:t xml:space="preserve">Kumar, </w:t>
      </w:r>
      <w:r>
        <w:rPr>
          <w:sz w:val="22"/>
          <w:szCs w:val="22"/>
          <w:lang w:val="en-US"/>
        </w:rPr>
        <w:t xml:space="preserve">B. S. </w:t>
      </w:r>
      <w:r w:rsidR="00164FC6" w:rsidRPr="00EC1598">
        <w:rPr>
          <w:sz w:val="22"/>
          <w:szCs w:val="22"/>
          <w:lang w:val="en-US"/>
        </w:rPr>
        <w:t xml:space="preserve">Giri, </w:t>
      </w:r>
      <w:r>
        <w:rPr>
          <w:sz w:val="22"/>
          <w:szCs w:val="22"/>
          <w:lang w:val="en-US"/>
        </w:rPr>
        <w:t xml:space="preserve">K. H. </w:t>
      </w:r>
      <w:r w:rsidR="00164FC6" w:rsidRPr="00EC1598">
        <w:rPr>
          <w:sz w:val="22"/>
          <w:szCs w:val="22"/>
          <w:lang w:val="en-US"/>
        </w:rPr>
        <w:t>Kim</w:t>
      </w:r>
      <w:r>
        <w:rPr>
          <w:sz w:val="22"/>
          <w:szCs w:val="22"/>
          <w:lang w:val="en-US"/>
        </w:rPr>
        <w:t xml:space="preserve">, </w:t>
      </w:r>
      <w:r w:rsidR="00A44008" w:rsidRPr="00A44008">
        <w:rPr>
          <w:i/>
          <w:sz w:val="22"/>
          <w:szCs w:val="22"/>
          <w:lang w:val="en-US"/>
        </w:rPr>
        <w:t xml:space="preserve">J. Clean. Prod. </w:t>
      </w:r>
      <w:r w:rsidR="00164FC6" w:rsidRPr="00CC141C">
        <w:rPr>
          <w:b/>
          <w:sz w:val="22"/>
          <w:szCs w:val="22"/>
          <w:lang w:val="en-US"/>
        </w:rPr>
        <w:t>2019</w:t>
      </w:r>
      <w:r>
        <w:rPr>
          <w:sz w:val="22"/>
          <w:szCs w:val="22"/>
          <w:lang w:val="en-US"/>
        </w:rPr>
        <w:t>,</w:t>
      </w:r>
      <w:r w:rsidR="00164FC6" w:rsidRPr="00EC1598">
        <w:rPr>
          <w:sz w:val="22"/>
          <w:szCs w:val="22"/>
          <w:lang w:val="en-US"/>
        </w:rPr>
        <w:t xml:space="preserve"> 234, 1484-1505</w:t>
      </w:r>
      <w:r w:rsidR="00CC141C">
        <w:rPr>
          <w:sz w:val="22"/>
          <w:szCs w:val="22"/>
          <w:lang w:val="en-US"/>
        </w:rPr>
        <w:t>.</w:t>
      </w:r>
    </w:p>
    <w:p w14:paraId="30D1C108" w14:textId="79E70F71" w:rsidR="00164FC6" w:rsidRDefault="00164FC6" w:rsidP="00294140">
      <w:pPr>
        <w:pStyle w:val="Newparagraph"/>
        <w:spacing w:line="360" w:lineRule="auto"/>
        <w:ind w:firstLine="0"/>
        <w:jc w:val="both"/>
        <w:rPr>
          <w:sz w:val="22"/>
          <w:szCs w:val="22"/>
          <w:lang w:val="en-US"/>
        </w:rPr>
      </w:pPr>
    </w:p>
    <w:p w14:paraId="1F8CD091" w14:textId="57F8EEDE" w:rsidR="00164FC6" w:rsidRPr="00D50875" w:rsidRDefault="00A96728" w:rsidP="00294140">
      <w:pPr>
        <w:pStyle w:val="Newparagraph"/>
        <w:numPr>
          <w:ilvl w:val="0"/>
          <w:numId w:val="40"/>
        </w:numPr>
        <w:spacing w:line="360" w:lineRule="auto"/>
        <w:jc w:val="both"/>
        <w:rPr>
          <w:sz w:val="22"/>
          <w:szCs w:val="22"/>
          <w:lang w:val="en-US"/>
        </w:rPr>
      </w:pPr>
      <w:r>
        <w:rPr>
          <w:sz w:val="22"/>
          <w:szCs w:val="22"/>
          <w:lang w:val="en-US"/>
        </w:rPr>
        <w:t xml:space="preserve">E. M. </w:t>
      </w:r>
      <w:r w:rsidR="00164FC6" w:rsidRPr="003B0A74">
        <w:rPr>
          <w:sz w:val="22"/>
          <w:szCs w:val="22"/>
          <w:lang w:val="en-US"/>
        </w:rPr>
        <w:t xml:space="preserve">Cuerda-Correa, </w:t>
      </w:r>
      <w:r>
        <w:rPr>
          <w:sz w:val="22"/>
          <w:szCs w:val="22"/>
          <w:lang w:val="en-US"/>
        </w:rPr>
        <w:t xml:space="preserve">M. F. </w:t>
      </w:r>
      <w:r w:rsidR="00164FC6" w:rsidRPr="003B0A74">
        <w:rPr>
          <w:sz w:val="22"/>
          <w:szCs w:val="22"/>
          <w:lang w:val="en-US"/>
        </w:rPr>
        <w:t xml:space="preserve">Alexandre-Franco, </w:t>
      </w:r>
      <w:r>
        <w:rPr>
          <w:sz w:val="22"/>
          <w:szCs w:val="22"/>
          <w:lang w:val="en-US"/>
        </w:rPr>
        <w:t xml:space="preserve">C. </w:t>
      </w:r>
      <w:r w:rsidR="00164FC6" w:rsidRPr="003B0A74">
        <w:rPr>
          <w:sz w:val="22"/>
          <w:szCs w:val="22"/>
          <w:lang w:val="en-US"/>
        </w:rPr>
        <w:t>Fernández-González</w:t>
      </w:r>
      <w:r>
        <w:rPr>
          <w:sz w:val="22"/>
          <w:szCs w:val="22"/>
          <w:lang w:val="en-US"/>
        </w:rPr>
        <w:t>,</w:t>
      </w:r>
      <w:r w:rsidR="00164FC6" w:rsidRPr="003B0A74">
        <w:rPr>
          <w:sz w:val="22"/>
          <w:szCs w:val="22"/>
          <w:lang w:val="en-US"/>
        </w:rPr>
        <w:t xml:space="preserve"> </w:t>
      </w:r>
      <w:r w:rsidRPr="00CC141C">
        <w:rPr>
          <w:i/>
          <w:iCs/>
          <w:sz w:val="22"/>
          <w:szCs w:val="22"/>
          <w:lang w:val="en-US"/>
        </w:rPr>
        <w:t>Water</w:t>
      </w:r>
      <w:r w:rsidRPr="00D50875">
        <w:rPr>
          <w:sz w:val="22"/>
          <w:szCs w:val="22"/>
          <w:lang w:val="en-US"/>
        </w:rPr>
        <w:t> </w:t>
      </w:r>
      <w:r w:rsidRPr="00CC141C">
        <w:rPr>
          <w:b/>
          <w:sz w:val="22"/>
          <w:szCs w:val="22"/>
          <w:lang w:val="en-US"/>
        </w:rPr>
        <w:t xml:space="preserve"> </w:t>
      </w:r>
      <w:r w:rsidR="00164FC6" w:rsidRPr="00CC141C">
        <w:rPr>
          <w:b/>
          <w:sz w:val="22"/>
          <w:szCs w:val="22"/>
          <w:lang w:val="en-US"/>
        </w:rPr>
        <w:t>2020</w:t>
      </w:r>
      <w:r>
        <w:rPr>
          <w:sz w:val="22"/>
          <w:szCs w:val="22"/>
          <w:lang w:val="en-US"/>
        </w:rPr>
        <w:t>,</w:t>
      </w:r>
      <w:r w:rsidR="00164FC6" w:rsidRPr="00D50875">
        <w:rPr>
          <w:sz w:val="22"/>
          <w:szCs w:val="22"/>
          <w:lang w:val="en-US"/>
        </w:rPr>
        <w:t> </w:t>
      </w:r>
      <w:r w:rsidR="00164FC6" w:rsidRPr="00D50875">
        <w:rPr>
          <w:iCs/>
          <w:sz w:val="22"/>
          <w:szCs w:val="22"/>
          <w:lang w:val="en-US"/>
        </w:rPr>
        <w:t>12</w:t>
      </w:r>
      <w:r w:rsidR="00164FC6" w:rsidRPr="00D50875">
        <w:rPr>
          <w:sz w:val="22"/>
          <w:szCs w:val="22"/>
          <w:lang w:val="en-US"/>
        </w:rPr>
        <w:t xml:space="preserve">(1), </w:t>
      </w:r>
      <w:r w:rsidR="00CC141C">
        <w:rPr>
          <w:sz w:val="22"/>
          <w:szCs w:val="22"/>
          <w:lang w:val="en-US"/>
        </w:rPr>
        <w:t>2-52</w:t>
      </w:r>
      <w:r w:rsidR="00164FC6" w:rsidRPr="00D50875">
        <w:rPr>
          <w:sz w:val="22"/>
          <w:szCs w:val="22"/>
          <w:lang w:val="en-US"/>
        </w:rPr>
        <w:t>.</w:t>
      </w:r>
    </w:p>
    <w:p w14:paraId="30486374" w14:textId="641C274A" w:rsidR="00164FC6" w:rsidRDefault="00164FC6" w:rsidP="00294140">
      <w:pPr>
        <w:pStyle w:val="Newparagraph"/>
        <w:spacing w:line="360" w:lineRule="auto"/>
        <w:ind w:firstLine="0"/>
        <w:jc w:val="both"/>
        <w:rPr>
          <w:sz w:val="22"/>
          <w:szCs w:val="22"/>
          <w:lang w:val="en-US"/>
        </w:rPr>
      </w:pPr>
    </w:p>
    <w:p w14:paraId="1824DB46" w14:textId="7335A48D" w:rsidR="00CC141C" w:rsidRDefault="00CF174F" w:rsidP="00CC141C">
      <w:pPr>
        <w:pStyle w:val="Newparagraph"/>
        <w:numPr>
          <w:ilvl w:val="0"/>
          <w:numId w:val="40"/>
        </w:numPr>
        <w:spacing w:line="360" w:lineRule="auto"/>
        <w:jc w:val="both"/>
        <w:rPr>
          <w:sz w:val="22"/>
          <w:szCs w:val="22"/>
        </w:rPr>
      </w:pPr>
      <w:r>
        <w:rPr>
          <w:sz w:val="22"/>
          <w:szCs w:val="22"/>
          <w:lang w:val="en-US"/>
        </w:rPr>
        <w:t xml:space="preserve">J. </w:t>
      </w:r>
      <w:r w:rsidR="00164FC6" w:rsidRPr="00EC1598">
        <w:rPr>
          <w:sz w:val="22"/>
          <w:szCs w:val="22"/>
        </w:rPr>
        <w:t xml:space="preserve">Gomes, </w:t>
      </w:r>
      <w:r>
        <w:rPr>
          <w:sz w:val="22"/>
          <w:szCs w:val="22"/>
        </w:rPr>
        <w:t xml:space="preserve">R. </w:t>
      </w:r>
      <w:r w:rsidR="00164FC6" w:rsidRPr="00EC1598">
        <w:rPr>
          <w:sz w:val="22"/>
          <w:szCs w:val="22"/>
        </w:rPr>
        <w:t xml:space="preserve">Costa, </w:t>
      </w:r>
      <w:r>
        <w:rPr>
          <w:sz w:val="22"/>
          <w:szCs w:val="22"/>
        </w:rPr>
        <w:t xml:space="preserve">R. M. </w:t>
      </w:r>
      <w:r w:rsidR="00164FC6" w:rsidRPr="00EC1598">
        <w:rPr>
          <w:sz w:val="22"/>
          <w:szCs w:val="22"/>
        </w:rPr>
        <w:t xml:space="preserve">Quinta-Ferreira, </w:t>
      </w:r>
      <w:r>
        <w:rPr>
          <w:sz w:val="22"/>
          <w:szCs w:val="22"/>
        </w:rPr>
        <w:t xml:space="preserve">R. C. </w:t>
      </w:r>
      <w:r w:rsidR="00164FC6" w:rsidRPr="00EC1598">
        <w:rPr>
          <w:sz w:val="22"/>
          <w:szCs w:val="22"/>
        </w:rPr>
        <w:t>Martins</w:t>
      </w:r>
      <w:r>
        <w:rPr>
          <w:sz w:val="22"/>
          <w:szCs w:val="22"/>
        </w:rPr>
        <w:t>,</w:t>
      </w:r>
      <w:r w:rsidR="00164FC6" w:rsidRPr="00EC1598">
        <w:rPr>
          <w:sz w:val="22"/>
          <w:szCs w:val="22"/>
        </w:rPr>
        <w:t xml:space="preserve"> </w:t>
      </w:r>
      <w:r w:rsidR="00DE1725" w:rsidRPr="00A44008">
        <w:rPr>
          <w:i/>
          <w:iCs/>
          <w:sz w:val="22"/>
          <w:szCs w:val="22"/>
        </w:rPr>
        <w:t>Sci. Total Environ.</w:t>
      </w:r>
      <w:r w:rsidR="00DE1725">
        <w:rPr>
          <w:i/>
          <w:iCs/>
          <w:sz w:val="22"/>
          <w:szCs w:val="22"/>
        </w:rPr>
        <w:t xml:space="preserve"> </w:t>
      </w:r>
      <w:r w:rsidR="00164FC6" w:rsidRPr="00CC141C">
        <w:rPr>
          <w:b/>
          <w:sz w:val="22"/>
          <w:szCs w:val="22"/>
        </w:rPr>
        <w:t>2017</w:t>
      </w:r>
      <w:r>
        <w:rPr>
          <w:sz w:val="22"/>
          <w:szCs w:val="22"/>
        </w:rPr>
        <w:t>,</w:t>
      </w:r>
      <w:r w:rsidR="00164FC6" w:rsidRPr="00EC1598">
        <w:rPr>
          <w:sz w:val="22"/>
          <w:szCs w:val="22"/>
        </w:rPr>
        <w:t xml:space="preserve"> 586</w:t>
      </w:r>
      <w:r>
        <w:rPr>
          <w:sz w:val="22"/>
          <w:szCs w:val="22"/>
        </w:rPr>
        <w:t xml:space="preserve">, </w:t>
      </w:r>
      <w:r w:rsidR="00164FC6" w:rsidRPr="00EC1598">
        <w:rPr>
          <w:sz w:val="22"/>
          <w:szCs w:val="22"/>
        </w:rPr>
        <w:t>265-283.</w:t>
      </w:r>
    </w:p>
    <w:p w14:paraId="09C2B464" w14:textId="6C2FD102" w:rsidR="00CC141C" w:rsidRPr="00CC141C" w:rsidRDefault="00CC141C" w:rsidP="00CC141C">
      <w:pPr>
        <w:pStyle w:val="Newparagraph"/>
        <w:spacing w:line="360" w:lineRule="auto"/>
        <w:ind w:firstLine="0"/>
        <w:jc w:val="both"/>
        <w:rPr>
          <w:sz w:val="22"/>
          <w:szCs w:val="22"/>
        </w:rPr>
      </w:pPr>
    </w:p>
    <w:p w14:paraId="31E49A5B" w14:textId="2A575633" w:rsidR="00164FC6" w:rsidRDefault="00C31C45" w:rsidP="00294140">
      <w:pPr>
        <w:pStyle w:val="Newparagraph"/>
        <w:numPr>
          <w:ilvl w:val="0"/>
          <w:numId w:val="40"/>
        </w:numPr>
        <w:spacing w:line="360" w:lineRule="auto"/>
        <w:jc w:val="both"/>
        <w:rPr>
          <w:sz w:val="22"/>
          <w:szCs w:val="22"/>
        </w:rPr>
      </w:pPr>
      <w:r>
        <w:rPr>
          <w:sz w:val="22"/>
          <w:szCs w:val="22"/>
        </w:rPr>
        <w:t xml:space="preserve">I. </w:t>
      </w:r>
      <w:r w:rsidR="00164FC6" w:rsidRPr="00EC1598">
        <w:rPr>
          <w:sz w:val="22"/>
          <w:szCs w:val="22"/>
        </w:rPr>
        <w:t xml:space="preserve">Michael-Kordatou, </w:t>
      </w:r>
      <w:r>
        <w:rPr>
          <w:sz w:val="22"/>
          <w:szCs w:val="22"/>
        </w:rPr>
        <w:t xml:space="preserve">R. </w:t>
      </w:r>
      <w:r w:rsidR="00164FC6" w:rsidRPr="00EC1598">
        <w:rPr>
          <w:sz w:val="22"/>
          <w:szCs w:val="22"/>
        </w:rPr>
        <w:t xml:space="preserve">Andreou, </w:t>
      </w:r>
      <w:r>
        <w:rPr>
          <w:sz w:val="22"/>
          <w:szCs w:val="22"/>
        </w:rPr>
        <w:t xml:space="preserve">M. </w:t>
      </w:r>
      <w:r w:rsidR="00164FC6" w:rsidRPr="00EC1598">
        <w:rPr>
          <w:sz w:val="22"/>
          <w:szCs w:val="22"/>
        </w:rPr>
        <w:t xml:space="preserve">Iacovou, </w:t>
      </w:r>
      <w:r>
        <w:rPr>
          <w:sz w:val="22"/>
          <w:szCs w:val="22"/>
        </w:rPr>
        <w:t xml:space="preserve">Z. </w:t>
      </w:r>
      <w:r w:rsidR="00164FC6" w:rsidRPr="00EC1598">
        <w:rPr>
          <w:sz w:val="22"/>
          <w:szCs w:val="22"/>
        </w:rPr>
        <w:t xml:space="preserve">Frontistis, </w:t>
      </w:r>
      <w:r>
        <w:rPr>
          <w:sz w:val="22"/>
          <w:szCs w:val="22"/>
        </w:rPr>
        <w:t xml:space="preserve">E. </w:t>
      </w:r>
      <w:r w:rsidR="00164FC6" w:rsidRPr="00EC1598">
        <w:rPr>
          <w:sz w:val="22"/>
          <w:szCs w:val="22"/>
        </w:rPr>
        <w:t xml:space="preserve">Hapeshi, </w:t>
      </w:r>
      <w:r>
        <w:rPr>
          <w:sz w:val="22"/>
          <w:szCs w:val="22"/>
        </w:rPr>
        <w:t xml:space="preserve">C. </w:t>
      </w:r>
      <w:r w:rsidR="00164FC6" w:rsidRPr="00EC1598">
        <w:rPr>
          <w:sz w:val="22"/>
          <w:szCs w:val="22"/>
        </w:rPr>
        <w:t xml:space="preserve">Michael, </w:t>
      </w:r>
      <w:r>
        <w:rPr>
          <w:sz w:val="22"/>
          <w:szCs w:val="22"/>
        </w:rPr>
        <w:t xml:space="preserve">D. </w:t>
      </w:r>
      <w:r w:rsidR="00164FC6" w:rsidRPr="00EC1598">
        <w:rPr>
          <w:sz w:val="22"/>
          <w:szCs w:val="22"/>
        </w:rPr>
        <w:t>Fatta-Kassinos</w:t>
      </w:r>
      <w:r>
        <w:rPr>
          <w:sz w:val="22"/>
          <w:szCs w:val="22"/>
        </w:rPr>
        <w:t>,</w:t>
      </w:r>
      <w:r w:rsidR="00164FC6" w:rsidRPr="00EC1598">
        <w:rPr>
          <w:sz w:val="22"/>
          <w:szCs w:val="22"/>
        </w:rPr>
        <w:t xml:space="preserve"> </w:t>
      </w:r>
      <w:r w:rsidRPr="00EC1598">
        <w:rPr>
          <w:i/>
          <w:iCs/>
          <w:sz w:val="22"/>
          <w:szCs w:val="22"/>
        </w:rPr>
        <w:t>J</w:t>
      </w:r>
      <w:r w:rsidR="00DE1725">
        <w:rPr>
          <w:i/>
          <w:iCs/>
          <w:sz w:val="22"/>
          <w:szCs w:val="22"/>
        </w:rPr>
        <w:t>.</w:t>
      </w:r>
      <w:r w:rsidRPr="00EC1598">
        <w:rPr>
          <w:i/>
          <w:iCs/>
          <w:sz w:val="22"/>
          <w:szCs w:val="22"/>
        </w:rPr>
        <w:t xml:space="preserve"> Hazard</w:t>
      </w:r>
      <w:r w:rsidR="00DE1725">
        <w:rPr>
          <w:i/>
          <w:iCs/>
          <w:sz w:val="22"/>
          <w:szCs w:val="22"/>
        </w:rPr>
        <w:t>.</w:t>
      </w:r>
      <w:r w:rsidRPr="00EC1598">
        <w:rPr>
          <w:i/>
          <w:iCs/>
          <w:sz w:val="22"/>
          <w:szCs w:val="22"/>
        </w:rPr>
        <w:t xml:space="preserve"> Mater</w:t>
      </w:r>
      <w:r w:rsidR="00DE1725">
        <w:rPr>
          <w:i/>
          <w:iCs/>
          <w:sz w:val="22"/>
          <w:szCs w:val="22"/>
        </w:rPr>
        <w:t>.</w:t>
      </w:r>
      <w:r w:rsidRPr="00EC1598">
        <w:rPr>
          <w:sz w:val="22"/>
          <w:szCs w:val="22"/>
        </w:rPr>
        <w:t xml:space="preserve"> </w:t>
      </w:r>
      <w:r w:rsidR="00164FC6" w:rsidRPr="00CC141C">
        <w:rPr>
          <w:b/>
          <w:sz w:val="22"/>
          <w:szCs w:val="22"/>
        </w:rPr>
        <w:t>2017</w:t>
      </w:r>
      <w:r>
        <w:rPr>
          <w:sz w:val="22"/>
          <w:szCs w:val="22"/>
        </w:rPr>
        <w:t>,</w:t>
      </w:r>
      <w:r w:rsidR="00164FC6" w:rsidRPr="00EC1598">
        <w:rPr>
          <w:sz w:val="22"/>
          <w:szCs w:val="22"/>
        </w:rPr>
        <w:t xml:space="preserve"> 323(A)</w:t>
      </w:r>
      <w:r>
        <w:rPr>
          <w:sz w:val="22"/>
          <w:szCs w:val="22"/>
        </w:rPr>
        <w:t xml:space="preserve">, </w:t>
      </w:r>
      <w:r w:rsidR="00164FC6" w:rsidRPr="00EC1598">
        <w:rPr>
          <w:sz w:val="22"/>
          <w:szCs w:val="22"/>
        </w:rPr>
        <w:t>414-425.</w:t>
      </w:r>
    </w:p>
    <w:p w14:paraId="50F7EE12" w14:textId="73F6D52A" w:rsidR="00CC141C" w:rsidRPr="00EC1598" w:rsidRDefault="00CC141C" w:rsidP="00CC141C">
      <w:pPr>
        <w:pStyle w:val="ListParagraph"/>
        <w:rPr>
          <w:sz w:val="22"/>
          <w:szCs w:val="22"/>
        </w:rPr>
      </w:pPr>
    </w:p>
    <w:p w14:paraId="567F42E5" w14:textId="441843AC" w:rsidR="00164FC6" w:rsidRDefault="000A35DB" w:rsidP="00294140">
      <w:pPr>
        <w:pStyle w:val="Newparagraph"/>
        <w:numPr>
          <w:ilvl w:val="0"/>
          <w:numId w:val="40"/>
        </w:numPr>
        <w:spacing w:line="360" w:lineRule="auto"/>
        <w:jc w:val="both"/>
        <w:rPr>
          <w:sz w:val="22"/>
          <w:szCs w:val="22"/>
          <w:lang w:val="en-US"/>
        </w:rPr>
      </w:pPr>
      <w:r>
        <w:rPr>
          <w:sz w:val="22"/>
          <w:szCs w:val="22"/>
          <w:lang w:val="en-US"/>
        </w:rPr>
        <w:t xml:space="preserve">I.C. </w:t>
      </w:r>
      <w:r w:rsidR="00164FC6" w:rsidRPr="00EC1598">
        <w:rPr>
          <w:sz w:val="22"/>
          <w:szCs w:val="22"/>
          <w:lang w:val="en-US"/>
        </w:rPr>
        <w:t xml:space="preserve">Iakovides, </w:t>
      </w:r>
      <w:r>
        <w:rPr>
          <w:sz w:val="22"/>
          <w:szCs w:val="22"/>
          <w:lang w:val="en-US"/>
        </w:rPr>
        <w:t xml:space="preserve">I. </w:t>
      </w:r>
      <w:r w:rsidR="00164FC6" w:rsidRPr="00EC1598">
        <w:rPr>
          <w:sz w:val="22"/>
          <w:szCs w:val="22"/>
          <w:lang w:val="en-US"/>
        </w:rPr>
        <w:t xml:space="preserve">Michael-Kordatou, </w:t>
      </w:r>
      <w:r>
        <w:rPr>
          <w:sz w:val="22"/>
          <w:szCs w:val="22"/>
          <w:lang w:val="en-US"/>
        </w:rPr>
        <w:t xml:space="preserve">N. F. F. </w:t>
      </w:r>
      <w:r w:rsidR="00164FC6" w:rsidRPr="00EC1598">
        <w:rPr>
          <w:sz w:val="22"/>
          <w:szCs w:val="22"/>
          <w:lang w:val="en-US"/>
        </w:rPr>
        <w:t xml:space="preserve">Moreira, </w:t>
      </w:r>
      <w:r>
        <w:rPr>
          <w:sz w:val="22"/>
          <w:szCs w:val="22"/>
          <w:lang w:val="en-US"/>
        </w:rPr>
        <w:t xml:space="preserve">A. R. </w:t>
      </w:r>
      <w:r w:rsidR="00164FC6" w:rsidRPr="00EC1598">
        <w:rPr>
          <w:sz w:val="22"/>
          <w:szCs w:val="22"/>
          <w:lang w:val="en-US"/>
        </w:rPr>
        <w:t xml:space="preserve">Ribeiro, </w:t>
      </w:r>
      <w:r>
        <w:rPr>
          <w:sz w:val="22"/>
          <w:szCs w:val="22"/>
          <w:lang w:val="en-US"/>
        </w:rPr>
        <w:t xml:space="preserve">T. </w:t>
      </w:r>
      <w:r w:rsidR="00164FC6" w:rsidRPr="00EC1598">
        <w:rPr>
          <w:sz w:val="22"/>
          <w:szCs w:val="22"/>
          <w:lang w:val="en-US"/>
        </w:rPr>
        <w:t xml:space="preserve">Fernandes, </w:t>
      </w:r>
      <w:r>
        <w:rPr>
          <w:sz w:val="22"/>
          <w:szCs w:val="22"/>
          <w:lang w:val="en-US"/>
        </w:rPr>
        <w:t xml:space="preserve">M. F. R. </w:t>
      </w:r>
      <w:r w:rsidR="00164FC6" w:rsidRPr="00EC1598">
        <w:rPr>
          <w:sz w:val="22"/>
          <w:szCs w:val="22"/>
          <w:lang w:val="en-US"/>
        </w:rPr>
        <w:t xml:space="preserve">Pereira, </w:t>
      </w:r>
      <w:r>
        <w:rPr>
          <w:sz w:val="22"/>
          <w:szCs w:val="22"/>
          <w:lang w:val="en-US"/>
        </w:rPr>
        <w:t xml:space="preserve">O. C. </w:t>
      </w:r>
      <w:r w:rsidR="00164FC6" w:rsidRPr="00EC1598">
        <w:rPr>
          <w:sz w:val="22"/>
          <w:szCs w:val="22"/>
          <w:lang w:val="en-US"/>
        </w:rPr>
        <w:t xml:space="preserve">Nunes, </w:t>
      </w:r>
      <w:r>
        <w:rPr>
          <w:sz w:val="22"/>
          <w:szCs w:val="22"/>
          <w:lang w:val="en-US"/>
        </w:rPr>
        <w:t xml:space="preserve">C. M. </w:t>
      </w:r>
      <w:r w:rsidR="00164FC6" w:rsidRPr="00EC1598">
        <w:rPr>
          <w:sz w:val="22"/>
          <w:szCs w:val="22"/>
          <w:lang w:val="en-US"/>
        </w:rPr>
        <w:t xml:space="preserve">Manaia, </w:t>
      </w:r>
      <w:r>
        <w:rPr>
          <w:sz w:val="22"/>
          <w:szCs w:val="22"/>
          <w:lang w:val="en-US"/>
        </w:rPr>
        <w:t xml:space="preserve">A. M. T. </w:t>
      </w:r>
      <w:r w:rsidR="00164FC6" w:rsidRPr="00EC1598">
        <w:rPr>
          <w:sz w:val="22"/>
          <w:szCs w:val="22"/>
          <w:lang w:val="en-US"/>
        </w:rPr>
        <w:t xml:space="preserve">Silva, </w:t>
      </w:r>
      <w:r>
        <w:rPr>
          <w:sz w:val="22"/>
          <w:szCs w:val="22"/>
          <w:lang w:val="en-US"/>
        </w:rPr>
        <w:t xml:space="preserve">D. </w:t>
      </w:r>
      <w:r w:rsidR="00164FC6" w:rsidRPr="00EC1598">
        <w:rPr>
          <w:sz w:val="22"/>
          <w:szCs w:val="22"/>
          <w:lang w:val="en-US"/>
        </w:rPr>
        <w:t>Fatta-Kassinos</w:t>
      </w:r>
      <w:r>
        <w:rPr>
          <w:sz w:val="22"/>
          <w:szCs w:val="22"/>
          <w:lang w:val="en-US"/>
        </w:rPr>
        <w:t>,</w:t>
      </w:r>
      <w:r w:rsidR="00164FC6" w:rsidRPr="00EC1598">
        <w:rPr>
          <w:sz w:val="22"/>
          <w:szCs w:val="22"/>
          <w:lang w:val="en-US"/>
        </w:rPr>
        <w:t xml:space="preserve"> </w:t>
      </w:r>
      <w:r w:rsidRPr="00EC1598">
        <w:rPr>
          <w:i/>
          <w:sz w:val="22"/>
          <w:szCs w:val="22"/>
          <w:lang w:val="en-US"/>
        </w:rPr>
        <w:t>Water</w:t>
      </w:r>
      <w:r w:rsidRPr="00DE1725">
        <w:rPr>
          <w:i/>
          <w:sz w:val="22"/>
          <w:szCs w:val="22"/>
          <w:lang w:val="en-US"/>
        </w:rPr>
        <w:t xml:space="preserve"> Res</w:t>
      </w:r>
      <w:r w:rsidR="00DE1725" w:rsidRPr="00DE1725">
        <w:rPr>
          <w:i/>
          <w:sz w:val="22"/>
          <w:szCs w:val="22"/>
          <w:lang w:val="en-US"/>
        </w:rPr>
        <w:t>.</w:t>
      </w:r>
      <w:r>
        <w:rPr>
          <w:sz w:val="22"/>
          <w:szCs w:val="22"/>
          <w:lang w:val="en-US"/>
        </w:rPr>
        <w:t xml:space="preserve"> </w:t>
      </w:r>
      <w:r w:rsidR="00164FC6" w:rsidRPr="000A35DB">
        <w:rPr>
          <w:b/>
          <w:sz w:val="22"/>
          <w:szCs w:val="22"/>
          <w:lang w:val="en-US"/>
        </w:rPr>
        <w:t>2019</w:t>
      </w:r>
      <w:r>
        <w:rPr>
          <w:sz w:val="22"/>
          <w:szCs w:val="22"/>
          <w:lang w:val="en-US"/>
        </w:rPr>
        <w:t>,</w:t>
      </w:r>
      <w:r w:rsidR="00164FC6" w:rsidRPr="00EC1598">
        <w:rPr>
          <w:sz w:val="22"/>
          <w:szCs w:val="22"/>
          <w:lang w:val="en-US"/>
        </w:rPr>
        <w:t xml:space="preserve"> 159, 333-347.</w:t>
      </w:r>
    </w:p>
    <w:p w14:paraId="161522A5" w14:textId="43DEC146" w:rsidR="00164FC6" w:rsidRDefault="00164FC6" w:rsidP="00294140">
      <w:pPr>
        <w:pStyle w:val="Newparagraph"/>
        <w:spacing w:line="360" w:lineRule="auto"/>
        <w:ind w:firstLine="0"/>
        <w:jc w:val="both"/>
        <w:rPr>
          <w:sz w:val="22"/>
          <w:szCs w:val="22"/>
          <w:lang w:val="en-US"/>
        </w:rPr>
      </w:pPr>
    </w:p>
    <w:p w14:paraId="088CCC4F" w14:textId="2324C67C" w:rsidR="00164FC6" w:rsidRDefault="000A35DB" w:rsidP="00294140">
      <w:pPr>
        <w:pStyle w:val="Newparagraph"/>
        <w:numPr>
          <w:ilvl w:val="0"/>
          <w:numId w:val="40"/>
        </w:numPr>
        <w:spacing w:line="360" w:lineRule="auto"/>
        <w:jc w:val="both"/>
        <w:rPr>
          <w:sz w:val="22"/>
          <w:szCs w:val="22"/>
          <w:lang w:val="en-US"/>
        </w:rPr>
      </w:pPr>
      <w:r w:rsidRPr="000A35DB">
        <w:rPr>
          <w:sz w:val="22"/>
          <w:szCs w:val="22"/>
          <w:lang w:val="en-US"/>
        </w:rPr>
        <w:t xml:space="preserve">Y. </w:t>
      </w:r>
      <w:r w:rsidR="00164FC6" w:rsidRPr="000A35DB">
        <w:rPr>
          <w:sz w:val="22"/>
          <w:szCs w:val="22"/>
          <w:lang w:val="en-US"/>
        </w:rPr>
        <w:t xml:space="preserve">Zheng, </w:t>
      </w:r>
      <w:r w:rsidRPr="000A35DB">
        <w:rPr>
          <w:sz w:val="22"/>
          <w:szCs w:val="22"/>
          <w:lang w:val="en-US"/>
        </w:rPr>
        <w:t xml:space="preserve">D. </w:t>
      </w:r>
      <w:r w:rsidR="00164FC6" w:rsidRPr="000A35DB">
        <w:rPr>
          <w:sz w:val="22"/>
          <w:szCs w:val="22"/>
          <w:lang w:val="en-US"/>
        </w:rPr>
        <w:t xml:space="preserve">Chen, </w:t>
      </w:r>
      <w:r w:rsidRPr="000A35DB">
        <w:rPr>
          <w:sz w:val="22"/>
          <w:szCs w:val="22"/>
          <w:lang w:val="en-US"/>
        </w:rPr>
        <w:t xml:space="preserve">T. </w:t>
      </w:r>
      <w:r w:rsidR="00164FC6" w:rsidRPr="000A35DB">
        <w:rPr>
          <w:sz w:val="22"/>
          <w:szCs w:val="22"/>
          <w:lang w:val="en-US"/>
        </w:rPr>
        <w:t xml:space="preserve">Chen, </w:t>
      </w:r>
      <w:r w:rsidRPr="000A35DB">
        <w:rPr>
          <w:sz w:val="22"/>
          <w:szCs w:val="22"/>
          <w:lang w:val="en-US"/>
        </w:rPr>
        <w:t xml:space="preserve">M. </w:t>
      </w:r>
      <w:r w:rsidR="00164FC6" w:rsidRPr="000A35DB">
        <w:rPr>
          <w:sz w:val="22"/>
          <w:szCs w:val="22"/>
          <w:lang w:val="en-US"/>
        </w:rPr>
        <w:t xml:space="preserve">Cai, </w:t>
      </w:r>
      <w:r w:rsidRPr="000A35DB">
        <w:rPr>
          <w:sz w:val="22"/>
          <w:szCs w:val="22"/>
          <w:lang w:val="en-US"/>
        </w:rPr>
        <w:t xml:space="preserve">Q. </w:t>
      </w:r>
      <w:r w:rsidR="00164FC6" w:rsidRPr="000A35DB">
        <w:rPr>
          <w:sz w:val="22"/>
          <w:szCs w:val="22"/>
          <w:lang w:val="en-US"/>
        </w:rPr>
        <w:t xml:space="preserve">Zhang, </w:t>
      </w:r>
      <w:r w:rsidRPr="000A35DB">
        <w:rPr>
          <w:sz w:val="22"/>
          <w:szCs w:val="22"/>
          <w:lang w:val="en-US"/>
        </w:rPr>
        <w:t xml:space="preserve">Z. </w:t>
      </w:r>
      <w:r w:rsidR="00164FC6" w:rsidRPr="000A35DB">
        <w:rPr>
          <w:sz w:val="22"/>
          <w:szCs w:val="22"/>
          <w:lang w:val="en-US"/>
        </w:rPr>
        <w:t xml:space="preserve">Xie, </w:t>
      </w:r>
      <w:r w:rsidRPr="000A35DB">
        <w:rPr>
          <w:sz w:val="22"/>
          <w:szCs w:val="22"/>
          <w:lang w:val="en-US"/>
        </w:rPr>
        <w:t xml:space="preserve">R. </w:t>
      </w:r>
      <w:r w:rsidR="00164FC6" w:rsidRPr="000A35DB">
        <w:rPr>
          <w:sz w:val="22"/>
          <w:szCs w:val="22"/>
          <w:lang w:val="en-US"/>
        </w:rPr>
        <w:t xml:space="preserve">Li, </w:t>
      </w:r>
      <w:r w:rsidRPr="000A35DB">
        <w:rPr>
          <w:sz w:val="22"/>
          <w:szCs w:val="22"/>
          <w:lang w:val="en-US"/>
        </w:rPr>
        <w:t xml:space="preserve">Z. </w:t>
      </w:r>
      <w:r w:rsidR="00164FC6" w:rsidRPr="000A35DB">
        <w:rPr>
          <w:sz w:val="22"/>
          <w:szCs w:val="22"/>
          <w:lang w:val="en-US"/>
        </w:rPr>
        <w:t xml:space="preserve">Xiao, </w:t>
      </w:r>
      <w:r w:rsidRPr="000A35DB">
        <w:rPr>
          <w:sz w:val="22"/>
          <w:szCs w:val="22"/>
          <w:lang w:val="en-US"/>
        </w:rPr>
        <w:t xml:space="preserve">G. </w:t>
      </w:r>
      <w:r w:rsidR="00164FC6" w:rsidRPr="000A35DB">
        <w:rPr>
          <w:sz w:val="22"/>
          <w:szCs w:val="22"/>
          <w:lang w:val="en-US"/>
        </w:rPr>
        <w:t xml:space="preserve">Liu, </w:t>
      </w:r>
      <w:r w:rsidRPr="000A35DB">
        <w:rPr>
          <w:sz w:val="22"/>
          <w:szCs w:val="22"/>
          <w:lang w:val="en-US"/>
        </w:rPr>
        <w:t xml:space="preserve">W. </w:t>
      </w:r>
      <w:r w:rsidR="00164FC6" w:rsidRPr="000A35DB">
        <w:rPr>
          <w:sz w:val="22"/>
          <w:szCs w:val="22"/>
          <w:lang w:val="en-US"/>
        </w:rPr>
        <w:t>Lv</w:t>
      </w:r>
      <w:r w:rsidRPr="000A35DB">
        <w:rPr>
          <w:sz w:val="22"/>
          <w:szCs w:val="22"/>
          <w:lang w:val="en-US"/>
        </w:rPr>
        <w:t xml:space="preserve">, </w:t>
      </w:r>
      <w:r w:rsidR="00164FC6" w:rsidRPr="000A35DB">
        <w:rPr>
          <w:sz w:val="22"/>
          <w:szCs w:val="22"/>
          <w:lang w:val="en-US"/>
        </w:rPr>
        <w:t xml:space="preserve"> </w:t>
      </w:r>
      <w:r w:rsidRPr="00EC1598">
        <w:rPr>
          <w:i/>
          <w:sz w:val="22"/>
          <w:szCs w:val="22"/>
          <w:lang w:val="en-US"/>
        </w:rPr>
        <w:t>Chemosphere</w:t>
      </w:r>
      <w:r w:rsidRPr="000A35DB">
        <w:rPr>
          <w:b/>
          <w:sz w:val="22"/>
          <w:szCs w:val="22"/>
          <w:lang w:val="en-US"/>
        </w:rPr>
        <w:t xml:space="preserve"> </w:t>
      </w:r>
      <w:r w:rsidR="00164FC6" w:rsidRPr="000A35DB">
        <w:rPr>
          <w:b/>
          <w:sz w:val="22"/>
          <w:szCs w:val="22"/>
          <w:lang w:val="en-US"/>
        </w:rPr>
        <w:t>2019</w:t>
      </w:r>
      <w:r w:rsidR="00164FC6" w:rsidRPr="00EC1598">
        <w:rPr>
          <w:sz w:val="22"/>
          <w:szCs w:val="22"/>
          <w:lang w:val="en-US"/>
        </w:rPr>
        <w:t>, 227, 198-206.</w:t>
      </w:r>
    </w:p>
    <w:p w14:paraId="104AC6F5" w14:textId="77777777" w:rsidR="00164FC6" w:rsidRDefault="00164FC6" w:rsidP="00294140">
      <w:pPr>
        <w:pStyle w:val="Newparagraph"/>
        <w:spacing w:line="360" w:lineRule="auto"/>
        <w:ind w:firstLine="0"/>
        <w:jc w:val="both"/>
        <w:rPr>
          <w:sz w:val="22"/>
          <w:szCs w:val="22"/>
          <w:lang w:val="en-US"/>
        </w:rPr>
      </w:pPr>
    </w:p>
    <w:p w14:paraId="5B2D3861" w14:textId="0B021F7E" w:rsidR="00294140" w:rsidRPr="00EC1598" w:rsidRDefault="000A35DB" w:rsidP="004F5189">
      <w:pPr>
        <w:pStyle w:val="Newparagraph"/>
        <w:numPr>
          <w:ilvl w:val="0"/>
          <w:numId w:val="40"/>
        </w:numPr>
        <w:spacing w:line="360" w:lineRule="auto"/>
        <w:jc w:val="both"/>
        <w:rPr>
          <w:sz w:val="22"/>
          <w:szCs w:val="22"/>
          <w:lang w:val="en-US"/>
        </w:rPr>
      </w:pPr>
      <w:r w:rsidRPr="000A35DB">
        <w:rPr>
          <w:sz w:val="22"/>
          <w:szCs w:val="22"/>
          <w:lang w:val="en-US"/>
        </w:rPr>
        <w:t xml:space="preserve">L. V. </w:t>
      </w:r>
      <w:r w:rsidR="00294140" w:rsidRPr="000A35DB">
        <w:rPr>
          <w:sz w:val="22"/>
          <w:szCs w:val="22"/>
          <w:lang w:val="en-US"/>
        </w:rPr>
        <w:t xml:space="preserve">Santos, </w:t>
      </w:r>
      <w:r w:rsidRPr="000A35DB">
        <w:rPr>
          <w:sz w:val="22"/>
          <w:szCs w:val="22"/>
          <w:lang w:val="en-US"/>
        </w:rPr>
        <w:t xml:space="preserve">A. M. </w:t>
      </w:r>
      <w:r w:rsidR="00294140" w:rsidRPr="000A35DB">
        <w:rPr>
          <w:sz w:val="22"/>
          <w:szCs w:val="22"/>
          <w:lang w:val="en-US"/>
        </w:rPr>
        <w:t xml:space="preserve">Meireles, </w:t>
      </w:r>
      <w:r w:rsidRPr="000A35DB">
        <w:rPr>
          <w:sz w:val="22"/>
          <w:szCs w:val="22"/>
          <w:lang w:val="en-US"/>
        </w:rPr>
        <w:t xml:space="preserve">L. C. </w:t>
      </w:r>
      <w:r w:rsidR="00294140" w:rsidRPr="000A35DB">
        <w:rPr>
          <w:sz w:val="22"/>
          <w:szCs w:val="22"/>
          <w:lang w:val="en-US"/>
        </w:rPr>
        <w:t>Lange</w:t>
      </w:r>
      <w:r w:rsidRPr="000A35DB">
        <w:rPr>
          <w:sz w:val="22"/>
          <w:szCs w:val="22"/>
          <w:lang w:val="en-US"/>
        </w:rPr>
        <w:t>,</w:t>
      </w:r>
      <w:r w:rsidR="00294140" w:rsidRPr="000A35DB">
        <w:rPr>
          <w:sz w:val="22"/>
          <w:szCs w:val="22"/>
          <w:lang w:val="en-US"/>
        </w:rPr>
        <w:t xml:space="preserve"> </w:t>
      </w:r>
      <w:r w:rsidR="004F5189" w:rsidRPr="004F5189">
        <w:rPr>
          <w:i/>
          <w:sz w:val="22"/>
          <w:szCs w:val="22"/>
          <w:lang w:val="en-US"/>
        </w:rPr>
        <w:t>J. Environ. Manage</w:t>
      </w:r>
      <w:r w:rsidR="004F5189">
        <w:rPr>
          <w:i/>
          <w:sz w:val="22"/>
          <w:szCs w:val="22"/>
          <w:lang w:val="en-US"/>
        </w:rPr>
        <w:t>.</w:t>
      </w:r>
      <w:r w:rsidR="004F5189" w:rsidRPr="004F5189">
        <w:rPr>
          <w:i/>
          <w:sz w:val="22"/>
          <w:szCs w:val="22"/>
          <w:lang w:val="en-US"/>
        </w:rPr>
        <w:t xml:space="preserve"> </w:t>
      </w:r>
      <w:r w:rsidR="00294140" w:rsidRPr="000A35DB">
        <w:rPr>
          <w:b/>
          <w:sz w:val="22"/>
          <w:szCs w:val="22"/>
          <w:lang w:val="en-US"/>
        </w:rPr>
        <w:t>2015</w:t>
      </w:r>
      <w:r>
        <w:rPr>
          <w:sz w:val="22"/>
          <w:szCs w:val="22"/>
          <w:lang w:val="en-US"/>
        </w:rPr>
        <w:t>,</w:t>
      </w:r>
      <w:r w:rsidR="00294140" w:rsidRPr="000A35DB">
        <w:rPr>
          <w:sz w:val="22"/>
          <w:szCs w:val="22"/>
          <w:lang w:val="en-US"/>
        </w:rPr>
        <w:t xml:space="preserve"> </w:t>
      </w:r>
      <w:r>
        <w:rPr>
          <w:sz w:val="22"/>
          <w:szCs w:val="22"/>
          <w:lang w:val="en-US"/>
        </w:rPr>
        <w:t xml:space="preserve">154, </w:t>
      </w:r>
      <w:r w:rsidR="00294140" w:rsidRPr="00EC1598">
        <w:rPr>
          <w:sz w:val="22"/>
          <w:szCs w:val="22"/>
          <w:lang w:val="en-US"/>
        </w:rPr>
        <w:t>8-12.</w:t>
      </w:r>
    </w:p>
    <w:p w14:paraId="6AB982A5" w14:textId="6B92C065" w:rsidR="00164FC6" w:rsidRDefault="00164FC6" w:rsidP="00294140">
      <w:pPr>
        <w:pStyle w:val="Newparagraph"/>
        <w:spacing w:line="360" w:lineRule="auto"/>
        <w:ind w:firstLine="0"/>
        <w:jc w:val="both"/>
        <w:rPr>
          <w:sz w:val="22"/>
          <w:szCs w:val="22"/>
          <w:lang w:val="en-US"/>
        </w:rPr>
      </w:pPr>
    </w:p>
    <w:p w14:paraId="2911D7CA" w14:textId="7AB02AF6" w:rsidR="00294140" w:rsidRPr="00EC1598" w:rsidRDefault="000A35DB" w:rsidP="00294140">
      <w:pPr>
        <w:pStyle w:val="Newparagraph"/>
        <w:numPr>
          <w:ilvl w:val="0"/>
          <w:numId w:val="40"/>
        </w:numPr>
        <w:spacing w:line="360" w:lineRule="auto"/>
        <w:jc w:val="both"/>
        <w:rPr>
          <w:sz w:val="22"/>
          <w:szCs w:val="22"/>
          <w:lang w:val="en-US"/>
        </w:rPr>
      </w:pPr>
      <w:r>
        <w:rPr>
          <w:sz w:val="22"/>
          <w:szCs w:val="22"/>
          <w:lang w:val="en-US"/>
        </w:rPr>
        <w:t xml:space="preserve">I. </w:t>
      </w:r>
      <w:r w:rsidR="00294140" w:rsidRPr="00EC1598">
        <w:rPr>
          <w:sz w:val="22"/>
          <w:szCs w:val="22"/>
          <w:lang w:val="en-US"/>
        </w:rPr>
        <w:t>Epold</w:t>
      </w:r>
      <w:r>
        <w:rPr>
          <w:sz w:val="22"/>
          <w:szCs w:val="22"/>
          <w:lang w:val="en-US"/>
        </w:rPr>
        <w:t>, M.</w:t>
      </w:r>
      <w:r w:rsidR="00294140" w:rsidRPr="00EC1598">
        <w:rPr>
          <w:sz w:val="22"/>
          <w:szCs w:val="22"/>
          <w:lang w:val="en-US"/>
        </w:rPr>
        <w:t xml:space="preserve"> Trapido, </w:t>
      </w:r>
      <w:r>
        <w:rPr>
          <w:sz w:val="22"/>
          <w:szCs w:val="22"/>
          <w:lang w:val="en-US"/>
        </w:rPr>
        <w:t>N.</w:t>
      </w:r>
      <w:r w:rsidR="00294140" w:rsidRPr="00EC1598">
        <w:rPr>
          <w:sz w:val="22"/>
          <w:szCs w:val="22"/>
          <w:lang w:val="en-US"/>
        </w:rPr>
        <w:t xml:space="preserve"> Dulova, </w:t>
      </w:r>
      <w:r w:rsidR="004F5189" w:rsidRPr="004F5189">
        <w:rPr>
          <w:i/>
          <w:sz w:val="22"/>
          <w:szCs w:val="22"/>
          <w:lang w:val="en-US"/>
        </w:rPr>
        <w:t xml:space="preserve">J. </w:t>
      </w:r>
      <w:r w:rsidRPr="00EC1598">
        <w:rPr>
          <w:i/>
          <w:sz w:val="22"/>
          <w:szCs w:val="22"/>
          <w:lang w:val="en-US"/>
        </w:rPr>
        <w:t>Chem. Eng</w:t>
      </w:r>
      <w:r w:rsidRPr="000A35DB">
        <w:rPr>
          <w:i/>
          <w:sz w:val="22"/>
          <w:szCs w:val="22"/>
          <w:lang w:val="en-US"/>
        </w:rPr>
        <w:t xml:space="preserve">. </w:t>
      </w:r>
      <w:r w:rsidR="00294140" w:rsidRPr="00CC141C">
        <w:rPr>
          <w:b/>
          <w:sz w:val="22"/>
          <w:szCs w:val="22"/>
          <w:lang w:val="en-US"/>
        </w:rPr>
        <w:t>2015</w:t>
      </w:r>
      <w:r w:rsidR="00294140" w:rsidRPr="00EC1598">
        <w:rPr>
          <w:sz w:val="22"/>
          <w:szCs w:val="22"/>
          <w:lang w:val="en-US"/>
        </w:rPr>
        <w:t>, 279, 452–462.</w:t>
      </w:r>
    </w:p>
    <w:p w14:paraId="77EBC1B3" w14:textId="77777777" w:rsidR="00294140" w:rsidRDefault="00294140" w:rsidP="00294140">
      <w:pPr>
        <w:pStyle w:val="Newparagraph"/>
        <w:spacing w:line="360" w:lineRule="auto"/>
        <w:ind w:firstLine="0"/>
        <w:jc w:val="both"/>
        <w:rPr>
          <w:sz w:val="22"/>
          <w:szCs w:val="22"/>
          <w:lang w:val="en-US"/>
        </w:rPr>
      </w:pPr>
    </w:p>
    <w:p w14:paraId="2F0DB286" w14:textId="4BA20BB4" w:rsidR="00294140" w:rsidRPr="004F5189" w:rsidRDefault="000A35DB" w:rsidP="00294140">
      <w:pPr>
        <w:pStyle w:val="Newparagraph"/>
        <w:numPr>
          <w:ilvl w:val="0"/>
          <w:numId w:val="40"/>
        </w:numPr>
        <w:spacing w:line="360" w:lineRule="auto"/>
        <w:jc w:val="both"/>
        <w:rPr>
          <w:color w:val="000000" w:themeColor="text1"/>
          <w:sz w:val="22"/>
          <w:lang w:val="de-DE"/>
        </w:rPr>
      </w:pPr>
      <w:r w:rsidRPr="004F5189">
        <w:rPr>
          <w:color w:val="000000" w:themeColor="text1"/>
          <w:sz w:val="22"/>
          <w:lang w:val="de-DE"/>
        </w:rPr>
        <w:t xml:space="preserve">M. </w:t>
      </w:r>
      <w:r w:rsidR="00294140" w:rsidRPr="004F5189">
        <w:rPr>
          <w:color w:val="000000" w:themeColor="text1"/>
          <w:sz w:val="22"/>
          <w:lang w:val="de-DE"/>
        </w:rPr>
        <w:t>Muz</w:t>
      </w:r>
      <w:r w:rsidRPr="004F5189">
        <w:rPr>
          <w:color w:val="000000" w:themeColor="text1"/>
          <w:sz w:val="22"/>
          <w:lang w:val="de-DE"/>
        </w:rPr>
        <w:t>,</w:t>
      </w:r>
      <w:r w:rsidR="00294140" w:rsidRPr="004F5189">
        <w:rPr>
          <w:color w:val="000000" w:themeColor="text1"/>
          <w:sz w:val="22"/>
          <w:lang w:val="de-DE"/>
        </w:rPr>
        <w:t xml:space="preserve"> </w:t>
      </w:r>
      <w:r w:rsidRPr="004F5189">
        <w:rPr>
          <w:color w:val="000000" w:themeColor="text1"/>
          <w:sz w:val="22"/>
          <w:lang w:val="de-DE"/>
        </w:rPr>
        <w:t xml:space="preserve">M. S. </w:t>
      </w:r>
      <w:r w:rsidR="00294140" w:rsidRPr="004F5189">
        <w:rPr>
          <w:color w:val="000000" w:themeColor="text1"/>
          <w:sz w:val="22"/>
          <w:lang w:val="de-DE"/>
        </w:rPr>
        <w:t xml:space="preserve">Ak, </w:t>
      </w:r>
      <w:r w:rsidRPr="004F5189">
        <w:rPr>
          <w:color w:val="000000" w:themeColor="text1"/>
          <w:sz w:val="22"/>
          <w:lang w:val="de-DE"/>
        </w:rPr>
        <w:t xml:space="preserve">O. T. </w:t>
      </w:r>
      <w:r w:rsidR="00294140" w:rsidRPr="004F5189">
        <w:rPr>
          <w:color w:val="000000" w:themeColor="text1"/>
          <w:sz w:val="22"/>
          <w:lang w:val="de-DE"/>
        </w:rPr>
        <w:t xml:space="preserve">Komesli, </w:t>
      </w:r>
      <w:r w:rsidRPr="004F5189">
        <w:rPr>
          <w:color w:val="000000" w:themeColor="text1"/>
          <w:sz w:val="22"/>
          <w:lang w:val="de-DE"/>
        </w:rPr>
        <w:t xml:space="preserve">C. F. </w:t>
      </w:r>
      <w:r w:rsidR="00294140" w:rsidRPr="004F5189">
        <w:rPr>
          <w:color w:val="000000" w:themeColor="text1"/>
          <w:sz w:val="22"/>
          <w:lang w:val="de-DE"/>
        </w:rPr>
        <w:t>Gökçay</w:t>
      </w:r>
      <w:r w:rsidRPr="004F5189">
        <w:rPr>
          <w:color w:val="000000" w:themeColor="text1"/>
          <w:sz w:val="22"/>
          <w:lang w:val="de-DE"/>
        </w:rPr>
        <w:t>,</w:t>
      </w:r>
      <w:r w:rsidR="00294140" w:rsidRPr="004F5189">
        <w:rPr>
          <w:color w:val="000000" w:themeColor="text1"/>
          <w:sz w:val="22"/>
          <w:lang w:val="de-DE"/>
        </w:rPr>
        <w:t xml:space="preserve"> </w:t>
      </w:r>
      <w:r w:rsidR="004F5189" w:rsidRPr="004F5189">
        <w:rPr>
          <w:i/>
          <w:sz w:val="22"/>
          <w:szCs w:val="22"/>
          <w:lang w:val="de-DE"/>
        </w:rPr>
        <w:t xml:space="preserve">J. Chem. Eng. </w:t>
      </w:r>
      <w:r w:rsidR="00294140" w:rsidRPr="004F5189">
        <w:rPr>
          <w:b/>
          <w:color w:val="000000" w:themeColor="text1"/>
          <w:sz w:val="22"/>
          <w:lang w:val="de-DE"/>
        </w:rPr>
        <w:t>2013</w:t>
      </w:r>
      <w:r w:rsidRPr="004F5189">
        <w:rPr>
          <w:b/>
          <w:color w:val="000000" w:themeColor="text1"/>
          <w:sz w:val="22"/>
          <w:lang w:val="de-DE"/>
        </w:rPr>
        <w:t>,</w:t>
      </w:r>
      <w:r w:rsidR="00294140" w:rsidRPr="004F5189">
        <w:rPr>
          <w:color w:val="000000" w:themeColor="text1"/>
          <w:sz w:val="22"/>
          <w:lang w:val="de-DE"/>
        </w:rPr>
        <w:t xml:space="preserve"> 217</w:t>
      </w:r>
      <w:r w:rsidRPr="004F5189">
        <w:rPr>
          <w:color w:val="000000" w:themeColor="text1"/>
          <w:sz w:val="22"/>
          <w:lang w:val="de-DE"/>
        </w:rPr>
        <w:t xml:space="preserve">, </w:t>
      </w:r>
      <w:r w:rsidR="00294140" w:rsidRPr="004F5189">
        <w:rPr>
          <w:color w:val="000000" w:themeColor="text1"/>
          <w:sz w:val="22"/>
          <w:lang w:val="de-DE"/>
        </w:rPr>
        <w:t>273-280.</w:t>
      </w:r>
    </w:p>
    <w:p w14:paraId="01D55E1C" w14:textId="06CE62FE" w:rsidR="00294140" w:rsidRPr="004F5189" w:rsidRDefault="00294140" w:rsidP="00294140">
      <w:pPr>
        <w:pStyle w:val="Newparagraph"/>
        <w:spacing w:line="360" w:lineRule="auto"/>
        <w:ind w:firstLine="0"/>
        <w:jc w:val="both"/>
        <w:rPr>
          <w:color w:val="000000" w:themeColor="text1"/>
          <w:sz w:val="22"/>
          <w:lang w:val="de-DE"/>
        </w:rPr>
      </w:pPr>
    </w:p>
    <w:p w14:paraId="048D09B0" w14:textId="6655C2A9" w:rsidR="00294140" w:rsidRPr="00A44008" w:rsidRDefault="00294140" w:rsidP="00294140">
      <w:pPr>
        <w:pStyle w:val="Newparagraph"/>
        <w:numPr>
          <w:ilvl w:val="0"/>
          <w:numId w:val="40"/>
        </w:numPr>
        <w:spacing w:line="360" w:lineRule="auto"/>
        <w:jc w:val="both"/>
        <w:rPr>
          <w:sz w:val="22"/>
          <w:szCs w:val="22"/>
          <w:lang w:val="en-US"/>
        </w:rPr>
      </w:pPr>
      <w:r w:rsidRPr="00EC1598">
        <w:rPr>
          <w:sz w:val="22"/>
          <w:szCs w:val="22"/>
        </w:rPr>
        <w:t>International organization for standa</w:t>
      </w:r>
      <w:r w:rsidRPr="00A44008">
        <w:rPr>
          <w:sz w:val="22"/>
          <w:szCs w:val="22"/>
        </w:rPr>
        <w:t>rdization</w:t>
      </w:r>
      <w:r w:rsidR="00A44008" w:rsidRPr="00A44008">
        <w:rPr>
          <w:sz w:val="22"/>
          <w:szCs w:val="22"/>
        </w:rPr>
        <w:t>,</w:t>
      </w:r>
      <w:r w:rsidRPr="00A44008">
        <w:rPr>
          <w:sz w:val="22"/>
          <w:szCs w:val="22"/>
        </w:rPr>
        <w:t xml:space="preserve"> </w:t>
      </w:r>
      <w:r w:rsidR="00A44008" w:rsidRPr="00A44008">
        <w:rPr>
          <w:sz w:val="22"/>
          <w:szCs w:val="22"/>
        </w:rPr>
        <w:t>i</w:t>
      </w:r>
      <w:r w:rsidRPr="00A44008">
        <w:rPr>
          <w:sz w:val="22"/>
          <w:szCs w:val="22"/>
        </w:rPr>
        <w:t xml:space="preserve">nternational </w:t>
      </w:r>
      <w:r w:rsidRPr="00EC1598">
        <w:rPr>
          <w:sz w:val="22"/>
          <w:szCs w:val="22"/>
        </w:rPr>
        <w:t>standard, ISO 6060:1989</w:t>
      </w:r>
      <w:r w:rsidR="00A44008">
        <w:rPr>
          <w:sz w:val="22"/>
          <w:szCs w:val="22"/>
        </w:rPr>
        <w:t xml:space="preserve">, </w:t>
      </w:r>
      <w:r w:rsidR="00A44008" w:rsidRPr="00A44008">
        <w:rPr>
          <w:b/>
          <w:sz w:val="22"/>
          <w:szCs w:val="22"/>
        </w:rPr>
        <w:t>1989</w:t>
      </w:r>
      <w:r w:rsidRPr="00EC1598">
        <w:rPr>
          <w:sz w:val="22"/>
          <w:szCs w:val="22"/>
        </w:rPr>
        <w:t xml:space="preserve">. </w:t>
      </w:r>
    </w:p>
    <w:p w14:paraId="31B95677" w14:textId="77777777" w:rsidR="00294140" w:rsidRPr="00EC1598" w:rsidRDefault="00294140" w:rsidP="00294140">
      <w:pPr>
        <w:pStyle w:val="Newparagraph"/>
        <w:spacing w:line="360" w:lineRule="auto"/>
        <w:jc w:val="both"/>
        <w:rPr>
          <w:sz w:val="22"/>
          <w:szCs w:val="22"/>
        </w:rPr>
      </w:pPr>
    </w:p>
    <w:p w14:paraId="2E36EF8B" w14:textId="5A95DB94" w:rsidR="00294140" w:rsidRPr="00EC1598" w:rsidRDefault="00294140" w:rsidP="00294140">
      <w:pPr>
        <w:pStyle w:val="Newparagraph"/>
        <w:numPr>
          <w:ilvl w:val="0"/>
          <w:numId w:val="40"/>
        </w:numPr>
        <w:spacing w:line="360" w:lineRule="auto"/>
        <w:jc w:val="both"/>
        <w:rPr>
          <w:i/>
          <w:iCs/>
          <w:sz w:val="22"/>
          <w:szCs w:val="22"/>
        </w:rPr>
      </w:pPr>
      <w:r w:rsidRPr="00EC1598">
        <w:rPr>
          <w:sz w:val="22"/>
          <w:szCs w:val="22"/>
        </w:rPr>
        <w:t>International organization for standardization</w:t>
      </w:r>
      <w:r w:rsidR="00A44008">
        <w:rPr>
          <w:sz w:val="22"/>
          <w:szCs w:val="22"/>
        </w:rPr>
        <w:t>,</w:t>
      </w:r>
      <w:r w:rsidRPr="00EC1598">
        <w:rPr>
          <w:sz w:val="22"/>
          <w:szCs w:val="22"/>
        </w:rPr>
        <w:t xml:space="preserve"> </w:t>
      </w:r>
      <w:r w:rsidR="00A44008">
        <w:rPr>
          <w:sz w:val="22"/>
          <w:szCs w:val="22"/>
        </w:rPr>
        <w:t>i</w:t>
      </w:r>
      <w:r w:rsidRPr="00EC1598">
        <w:rPr>
          <w:sz w:val="22"/>
          <w:szCs w:val="22"/>
        </w:rPr>
        <w:t>ntern</w:t>
      </w:r>
      <w:r w:rsidR="00A44008">
        <w:rPr>
          <w:sz w:val="22"/>
          <w:szCs w:val="22"/>
        </w:rPr>
        <w:t xml:space="preserve">ational standard ISO 8245:1999, </w:t>
      </w:r>
      <w:r w:rsidR="00A44008" w:rsidRPr="00A44008">
        <w:rPr>
          <w:b/>
          <w:sz w:val="22"/>
          <w:szCs w:val="22"/>
        </w:rPr>
        <w:t>1999</w:t>
      </w:r>
      <w:r w:rsidR="00A44008">
        <w:rPr>
          <w:b/>
          <w:sz w:val="22"/>
          <w:szCs w:val="22"/>
        </w:rPr>
        <w:t>.</w:t>
      </w:r>
    </w:p>
    <w:p w14:paraId="0C9078F2" w14:textId="77777777" w:rsidR="00294140" w:rsidRPr="00EC1598" w:rsidRDefault="00294140" w:rsidP="00294140">
      <w:pPr>
        <w:pStyle w:val="Newparagraph"/>
        <w:spacing w:line="360" w:lineRule="auto"/>
        <w:jc w:val="both"/>
        <w:rPr>
          <w:sz w:val="22"/>
          <w:szCs w:val="22"/>
        </w:rPr>
      </w:pPr>
    </w:p>
    <w:p w14:paraId="1D7CA067" w14:textId="0A1017BE" w:rsidR="00294140" w:rsidRPr="00EC1598" w:rsidRDefault="00294140" w:rsidP="00294140">
      <w:pPr>
        <w:pStyle w:val="Newparagraph"/>
        <w:numPr>
          <w:ilvl w:val="0"/>
          <w:numId w:val="40"/>
        </w:numPr>
        <w:spacing w:line="360" w:lineRule="auto"/>
        <w:jc w:val="both"/>
        <w:rPr>
          <w:sz w:val="22"/>
          <w:szCs w:val="22"/>
        </w:rPr>
      </w:pPr>
      <w:r w:rsidRPr="00EC1598">
        <w:rPr>
          <w:sz w:val="22"/>
          <w:szCs w:val="22"/>
        </w:rPr>
        <w:t>International o</w:t>
      </w:r>
      <w:r w:rsidR="00A44008">
        <w:rPr>
          <w:sz w:val="22"/>
          <w:szCs w:val="22"/>
        </w:rPr>
        <w:t>rganization for standardization, international standard</w:t>
      </w:r>
      <w:r w:rsidRPr="00EC1598">
        <w:rPr>
          <w:sz w:val="22"/>
          <w:szCs w:val="22"/>
        </w:rPr>
        <w:t xml:space="preserve"> ISO 9408:1999</w:t>
      </w:r>
      <w:r w:rsidR="00A44008">
        <w:rPr>
          <w:sz w:val="22"/>
          <w:szCs w:val="22"/>
        </w:rPr>
        <w:t xml:space="preserve">, </w:t>
      </w:r>
      <w:r w:rsidR="00A44008" w:rsidRPr="00A44008">
        <w:rPr>
          <w:b/>
          <w:sz w:val="22"/>
          <w:szCs w:val="22"/>
        </w:rPr>
        <w:t>1999</w:t>
      </w:r>
      <w:r w:rsidRPr="00EC1598">
        <w:rPr>
          <w:sz w:val="22"/>
          <w:szCs w:val="22"/>
        </w:rPr>
        <w:t xml:space="preserve">. </w:t>
      </w:r>
    </w:p>
    <w:p w14:paraId="36B8525C" w14:textId="66AC05F9" w:rsidR="00294140" w:rsidRDefault="00294140" w:rsidP="00294140">
      <w:pPr>
        <w:pStyle w:val="Newparagraph"/>
        <w:spacing w:line="360" w:lineRule="auto"/>
        <w:ind w:firstLine="0"/>
        <w:jc w:val="both"/>
        <w:rPr>
          <w:color w:val="000000" w:themeColor="text1"/>
          <w:sz w:val="22"/>
          <w:lang w:val="en-US"/>
        </w:rPr>
      </w:pPr>
    </w:p>
    <w:p w14:paraId="0BE72C32" w14:textId="77864875" w:rsidR="00294140" w:rsidRDefault="00660050" w:rsidP="004F5189">
      <w:pPr>
        <w:pStyle w:val="Newparagraph"/>
        <w:numPr>
          <w:ilvl w:val="0"/>
          <w:numId w:val="40"/>
        </w:numPr>
        <w:spacing w:line="360" w:lineRule="auto"/>
        <w:jc w:val="both"/>
        <w:rPr>
          <w:sz w:val="22"/>
          <w:szCs w:val="22"/>
          <w:lang w:val="en-US"/>
        </w:rPr>
      </w:pPr>
      <w:r>
        <w:rPr>
          <w:sz w:val="22"/>
          <w:szCs w:val="22"/>
          <w:lang w:val="en-US"/>
        </w:rPr>
        <w:t xml:space="preserve">P. </w:t>
      </w:r>
      <w:r w:rsidR="00294140" w:rsidRPr="003B0A74">
        <w:rPr>
          <w:sz w:val="22"/>
          <w:szCs w:val="22"/>
          <w:lang w:val="en-US"/>
        </w:rPr>
        <w:t xml:space="preserve">Cañizares, </w:t>
      </w:r>
      <w:r>
        <w:rPr>
          <w:sz w:val="22"/>
          <w:szCs w:val="22"/>
          <w:lang w:val="en-US"/>
        </w:rPr>
        <w:t xml:space="preserve">R. </w:t>
      </w:r>
      <w:r w:rsidR="00294140" w:rsidRPr="003B0A74">
        <w:rPr>
          <w:sz w:val="22"/>
          <w:szCs w:val="22"/>
          <w:lang w:val="en-US"/>
        </w:rPr>
        <w:t xml:space="preserve">Paz, </w:t>
      </w:r>
      <w:r>
        <w:rPr>
          <w:sz w:val="22"/>
          <w:szCs w:val="22"/>
          <w:lang w:val="en-US"/>
        </w:rPr>
        <w:t xml:space="preserve">C. </w:t>
      </w:r>
      <w:r w:rsidR="00294140" w:rsidRPr="003B0A74">
        <w:rPr>
          <w:sz w:val="22"/>
          <w:szCs w:val="22"/>
          <w:lang w:val="en-US"/>
        </w:rPr>
        <w:t>Sáez,</w:t>
      </w:r>
      <w:r>
        <w:rPr>
          <w:sz w:val="22"/>
          <w:szCs w:val="22"/>
          <w:lang w:val="en-US"/>
        </w:rPr>
        <w:t xml:space="preserve"> M. A.</w:t>
      </w:r>
      <w:r w:rsidR="00294140" w:rsidRPr="003B0A74">
        <w:rPr>
          <w:sz w:val="22"/>
          <w:szCs w:val="22"/>
          <w:lang w:val="en-US"/>
        </w:rPr>
        <w:t xml:space="preserve"> Rodrigo, </w:t>
      </w:r>
      <w:r w:rsidR="004F5189" w:rsidRPr="004F5189">
        <w:rPr>
          <w:i/>
          <w:sz w:val="22"/>
          <w:szCs w:val="22"/>
          <w:lang w:val="en-US"/>
        </w:rPr>
        <w:t xml:space="preserve">J. Environ. Manage. </w:t>
      </w:r>
      <w:r w:rsidR="00294140" w:rsidRPr="00CC141C">
        <w:rPr>
          <w:b/>
          <w:sz w:val="22"/>
          <w:szCs w:val="22"/>
          <w:lang w:val="en-US"/>
        </w:rPr>
        <w:t>2009</w:t>
      </w:r>
      <w:r>
        <w:rPr>
          <w:sz w:val="22"/>
          <w:szCs w:val="22"/>
          <w:lang w:val="en-US"/>
        </w:rPr>
        <w:t>,</w:t>
      </w:r>
      <w:r w:rsidR="00294140" w:rsidRPr="003B0A74">
        <w:rPr>
          <w:sz w:val="22"/>
          <w:szCs w:val="22"/>
          <w:lang w:val="en-US"/>
        </w:rPr>
        <w:t xml:space="preserve"> </w:t>
      </w:r>
      <w:r>
        <w:rPr>
          <w:sz w:val="22"/>
          <w:szCs w:val="22"/>
          <w:lang w:val="en-US"/>
        </w:rPr>
        <w:t>90</w:t>
      </w:r>
      <w:r w:rsidR="00294140" w:rsidRPr="003B0A74">
        <w:rPr>
          <w:sz w:val="22"/>
          <w:szCs w:val="22"/>
          <w:lang w:val="en-US"/>
        </w:rPr>
        <w:t>(1), 410-420.</w:t>
      </w:r>
    </w:p>
    <w:p w14:paraId="706E1884" w14:textId="1D2B57E1" w:rsidR="00294140" w:rsidRDefault="00294140" w:rsidP="00294140">
      <w:pPr>
        <w:pStyle w:val="Newparagraph"/>
        <w:spacing w:line="360" w:lineRule="auto"/>
        <w:ind w:firstLine="0"/>
        <w:jc w:val="both"/>
        <w:rPr>
          <w:color w:val="000000" w:themeColor="text1"/>
          <w:sz w:val="22"/>
          <w:lang w:val="en-US"/>
        </w:rPr>
      </w:pPr>
    </w:p>
    <w:p w14:paraId="492DC5A5" w14:textId="61FC4020" w:rsidR="00294140" w:rsidRPr="00EC1598" w:rsidRDefault="00660050" w:rsidP="004F5189">
      <w:pPr>
        <w:pStyle w:val="Newparagraph"/>
        <w:numPr>
          <w:ilvl w:val="0"/>
          <w:numId w:val="40"/>
        </w:numPr>
        <w:spacing w:line="360" w:lineRule="auto"/>
        <w:jc w:val="both"/>
        <w:rPr>
          <w:sz w:val="22"/>
          <w:szCs w:val="22"/>
          <w:lang w:val="en-US"/>
        </w:rPr>
      </w:pPr>
      <w:r>
        <w:rPr>
          <w:sz w:val="22"/>
          <w:szCs w:val="22"/>
          <w:lang w:val="en-US"/>
        </w:rPr>
        <w:t xml:space="preserve">I. </w:t>
      </w:r>
      <w:r w:rsidR="00294140" w:rsidRPr="00EC1598">
        <w:rPr>
          <w:sz w:val="22"/>
          <w:szCs w:val="22"/>
          <w:lang w:val="en-US"/>
        </w:rPr>
        <w:t xml:space="preserve">Bosevski, </w:t>
      </w:r>
      <w:r>
        <w:rPr>
          <w:sz w:val="22"/>
          <w:szCs w:val="22"/>
          <w:lang w:val="en-US"/>
        </w:rPr>
        <w:t xml:space="preserve">G. </w:t>
      </w:r>
      <w:r w:rsidR="00294140" w:rsidRPr="00EC1598">
        <w:rPr>
          <w:sz w:val="22"/>
          <w:szCs w:val="22"/>
          <w:lang w:val="en-US"/>
        </w:rPr>
        <w:t xml:space="preserve">Kalcikova, </w:t>
      </w:r>
      <w:r>
        <w:rPr>
          <w:sz w:val="22"/>
          <w:szCs w:val="22"/>
          <w:lang w:val="en-US"/>
        </w:rPr>
        <w:t xml:space="preserve">J. </w:t>
      </w:r>
      <w:r w:rsidR="00294140" w:rsidRPr="00EC1598">
        <w:rPr>
          <w:sz w:val="22"/>
          <w:szCs w:val="22"/>
          <w:lang w:val="en-US"/>
        </w:rPr>
        <w:t xml:space="preserve">Cerkovnik J., </w:t>
      </w:r>
      <w:r>
        <w:rPr>
          <w:sz w:val="22"/>
          <w:szCs w:val="22"/>
          <w:lang w:val="en-US"/>
        </w:rPr>
        <w:t xml:space="preserve">A. </w:t>
      </w:r>
      <w:r w:rsidR="00294140" w:rsidRPr="00EC1598">
        <w:rPr>
          <w:sz w:val="22"/>
          <w:szCs w:val="22"/>
          <w:lang w:val="en-US"/>
        </w:rPr>
        <w:t>Zgajnar Gotvajn</w:t>
      </w:r>
      <w:r>
        <w:rPr>
          <w:sz w:val="22"/>
          <w:szCs w:val="22"/>
          <w:lang w:val="en-US"/>
        </w:rPr>
        <w:t>,</w:t>
      </w:r>
      <w:r w:rsidR="00294140" w:rsidRPr="00EC1598">
        <w:rPr>
          <w:sz w:val="22"/>
          <w:szCs w:val="22"/>
          <w:lang w:val="en-US"/>
        </w:rPr>
        <w:t xml:space="preserve"> </w:t>
      </w:r>
      <w:r w:rsidR="004F5189" w:rsidRPr="004F5189">
        <w:rPr>
          <w:i/>
          <w:sz w:val="22"/>
          <w:szCs w:val="22"/>
          <w:lang w:val="en-US"/>
        </w:rPr>
        <w:t>Ozone: Sci. Eng.</w:t>
      </w:r>
      <w:r>
        <w:rPr>
          <w:b/>
          <w:sz w:val="22"/>
          <w:szCs w:val="22"/>
          <w:lang w:val="en-US"/>
        </w:rPr>
        <w:t xml:space="preserve"> </w:t>
      </w:r>
      <w:r w:rsidR="00294140" w:rsidRPr="00CC141C">
        <w:rPr>
          <w:b/>
          <w:sz w:val="22"/>
          <w:szCs w:val="22"/>
          <w:lang w:val="en-US"/>
        </w:rPr>
        <w:t>2019</w:t>
      </w:r>
      <w:r>
        <w:rPr>
          <w:b/>
          <w:sz w:val="22"/>
          <w:szCs w:val="22"/>
          <w:lang w:val="en-US"/>
        </w:rPr>
        <w:t>,</w:t>
      </w:r>
      <w:r w:rsidR="00294140" w:rsidRPr="00EC1598">
        <w:rPr>
          <w:sz w:val="22"/>
          <w:szCs w:val="22"/>
          <w:lang w:val="en-US"/>
        </w:rPr>
        <w:t xml:space="preserve"> </w:t>
      </w:r>
      <w:r>
        <w:rPr>
          <w:sz w:val="22"/>
          <w:szCs w:val="22"/>
          <w:lang w:val="en-US"/>
        </w:rPr>
        <w:t>42(2), 128-</w:t>
      </w:r>
      <w:r w:rsidR="00294140" w:rsidRPr="00EC1598">
        <w:rPr>
          <w:sz w:val="22"/>
          <w:szCs w:val="22"/>
          <w:lang w:val="en-US"/>
        </w:rPr>
        <w:t>135.</w:t>
      </w:r>
    </w:p>
    <w:p w14:paraId="22D70EE8" w14:textId="77777777" w:rsidR="00294140" w:rsidRPr="003B0A74" w:rsidRDefault="00294140" w:rsidP="00294140">
      <w:pPr>
        <w:pStyle w:val="Newparagraph"/>
        <w:spacing w:line="360" w:lineRule="auto"/>
        <w:ind w:firstLine="0"/>
        <w:jc w:val="both"/>
        <w:rPr>
          <w:color w:val="000000" w:themeColor="text1"/>
          <w:sz w:val="22"/>
          <w:lang w:val="en-US"/>
        </w:rPr>
      </w:pPr>
    </w:p>
    <w:p w14:paraId="33EDE415" w14:textId="535B9667" w:rsidR="00294140" w:rsidRPr="00EC1598" w:rsidRDefault="00C9551D" w:rsidP="00294140">
      <w:pPr>
        <w:pStyle w:val="Newparagraph"/>
        <w:numPr>
          <w:ilvl w:val="0"/>
          <w:numId w:val="40"/>
        </w:numPr>
        <w:spacing w:line="360" w:lineRule="auto"/>
        <w:jc w:val="both"/>
        <w:rPr>
          <w:sz w:val="22"/>
          <w:szCs w:val="22"/>
          <w:lang w:val="en-US"/>
        </w:rPr>
      </w:pPr>
      <w:r>
        <w:rPr>
          <w:sz w:val="22"/>
          <w:szCs w:val="22"/>
          <w:lang w:val="en-US"/>
        </w:rPr>
        <w:t xml:space="preserve">N. H. </w:t>
      </w:r>
      <w:r w:rsidR="00294140" w:rsidRPr="00EC1598">
        <w:rPr>
          <w:sz w:val="22"/>
          <w:szCs w:val="22"/>
          <w:lang w:val="en-US"/>
        </w:rPr>
        <w:t xml:space="preserve">El Najjar, </w:t>
      </w:r>
      <w:r>
        <w:rPr>
          <w:sz w:val="22"/>
          <w:szCs w:val="22"/>
          <w:lang w:val="en-US"/>
        </w:rPr>
        <w:t xml:space="preserve">A. </w:t>
      </w:r>
      <w:r w:rsidR="00294140" w:rsidRPr="00EC1598">
        <w:rPr>
          <w:sz w:val="22"/>
          <w:szCs w:val="22"/>
          <w:lang w:val="en-US"/>
        </w:rPr>
        <w:t xml:space="preserve">Touffet, </w:t>
      </w:r>
      <w:r>
        <w:rPr>
          <w:sz w:val="22"/>
          <w:szCs w:val="22"/>
          <w:lang w:val="en-US"/>
        </w:rPr>
        <w:t xml:space="preserve">M. </w:t>
      </w:r>
      <w:r w:rsidR="00294140" w:rsidRPr="00EC1598">
        <w:rPr>
          <w:sz w:val="22"/>
          <w:szCs w:val="22"/>
          <w:lang w:val="en-US"/>
        </w:rPr>
        <w:t xml:space="preserve">Deborde, </w:t>
      </w:r>
      <w:r>
        <w:rPr>
          <w:sz w:val="22"/>
          <w:szCs w:val="22"/>
          <w:lang w:val="en-US"/>
        </w:rPr>
        <w:t xml:space="preserve">R. </w:t>
      </w:r>
      <w:r w:rsidR="00294140" w:rsidRPr="00EC1598">
        <w:rPr>
          <w:sz w:val="22"/>
          <w:szCs w:val="22"/>
          <w:lang w:val="en-US"/>
        </w:rPr>
        <w:t xml:space="preserve">Journel, </w:t>
      </w:r>
      <w:r>
        <w:rPr>
          <w:sz w:val="22"/>
          <w:szCs w:val="22"/>
          <w:lang w:val="en-US"/>
        </w:rPr>
        <w:t xml:space="preserve">N. K. </w:t>
      </w:r>
      <w:r w:rsidR="00294140" w:rsidRPr="00EC1598">
        <w:rPr>
          <w:sz w:val="22"/>
          <w:szCs w:val="22"/>
          <w:lang w:val="en-US"/>
        </w:rPr>
        <w:t>Vel Leitner</w:t>
      </w:r>
      <w:r>
        <w:rPr>
          <w:sz w:val="22"/>
          <w:szCs w:val="22"/>
          <w:lang w:val="en-US"/>
        </w:rPr>
        <w:t>,</w:t>
      </w:r>
      <w:r w:rsidR="00294140" w:rsidRPr="00EC1598">
        <w:rPr>
          <w:sz w:val="22"/>
          <w:szCs w:val="22"/>
          <w:lang w:val="en-US"/>
        </w:rPr>
        <w:t xml:space="preserve"> </w:t>
      </w:r>
      <w:r w:rsidR="003A538F" w:rsidRPr="00CC141C">
        <w:rPr>
          <w:i/>
          <w:sz w:val="22"/>
          <w:szCs w:val="22"/>
          <w:lang w:val="en-US"/>
        </w:rPr>
        <w:t>Chemosphere</w:t>
      </w:r>
      <w:r w:rsidR="003A538F" w:rsidRPr="00CC141C">
        <w:rPr>
          <w:b/>
          <w:sz w:val="22"/>
          <w:szCs w:val="22"/>
          <w:lang w:val="en-US"/>
        </w:rPr>
        <w:t xml:space="preserve"> </w:t>
      </w:r>
      <w:r w:rsidR="00294140" w:rsidRPr="00CC141C">
        <w:rPr>
          <w:b/>
          <w:sz w:val="22"/>
          <w:szCs w:val="22"/>
          <w:lang w:val="en-US"/>
        </w:rPr>
        <w:t>2013</w:t>
      </w:r>
      <w:r w:rsidR="00294140" w:rsidRPr="00EC1598">
        <w:rPr>
          <w:sz w:val="22"/>
          <w:szCs w:val="22"/>
          <w:lang w:val="en-US"/>
        </w:rPr>
        <w:t xml:space="preserve"> 93(4), 604-611.</w:t>
      </w:r>
    </w:p>
    <w:p w14:paraId="7584F3CD" w14:textId="77777777" w:rsidR="00164FC6" w:rsidRDefault="00164FC6" w:rsidP="00294140">
      <w:pPr>
        <w:pStyle w:val="Newparagraph"/>
        <w:spacing w:line="360" w:lineRule="auto"/>
        <w:ind w:firstLine="0"/>
        <w:jc w:val="both"/>
        <w:rPr>
          <w:sz w:val="22"/>
          <w:szCs w:val="22"/>
          <w:lang w:val="en-US"/>
        </w:rPr>
      </w:pPr>
    </w:p>
    <w:p w14:paraId="7E361046" w14:textId="787FC55D" w:rsidR="00EC1598" w:rsidRPr="002B5745" w:rsidRDefault="003A538F" w:rsidP="004F5189">
      <w:pPr>
        <w:pStyle w:val="Newparagraph"/>
        <w:numPr>
          <w:ilvl w:val="0"/>
          <w:numId w:val="40"/>
        </w:numPr>
        <w:spacing w:line="360" w:lineRule="auto"/>
        <w:jc w:val="both"/>
        <w:rPr>
          <w:sz w:val="22"/>
          <w:szCs w:val="22"/>
          <w:lang w:val="en-US"/>
        </w:rPr>
      </w:pPr>
      <w:r>
        <w:rPr>
          <w:sz w:val="22"/>
          <w:szCs w:val="22"/>
          <w:lang w:val="en-US"/>
        </w:rPr>
        <w:t xml:space="preserve">R. </w:t>
      </w:r>
      <w:r w:rsidR="00EC1598" w:rsidRPr="00EC1598">
        <w:rPr>
          <w:sz w:val="22"/>
          <w:szCs w:val="22"/>
          <w:lang w:val="en-US"/>
        </w:rPr>
        <w:t xml:space="preserve">Andreozzi, </w:t>
      </w:r>
      <w:r>
        <w:rPr>
          <w:sz w:val="22"/>
          <w:szCs w:val="22"/>
          <w:lang w:val="en-US"/>
        </w:rPr>
        <w:t xml:space="preserve">M. </w:t>
      </w:r>
      <w:r w:rsidR="00EC1598" w:rsidRPr="00EC1598">
        <w:rPr>
          <w:sz w:val="22"/>
          <w:szCs w:val="22"/>
          <w:lang w:val="en-US"/>
        </w:rPr>
        <w:t xml:space="preserve">Canterino, </w:t>
      </w:r>
      <w:r>
        <w:rPr>
          <w:sz w:val="22"/>
          <w:szCs w:val="22"/>
          <w:lang w:val="en-US"/>
        </w:rPr>
        <w:t xml:space="preserve">R. </w:t>
      </w:r>
      <w:r w:rsidR="00EC1598" w:rsidRPr="00EC1598">
        <w:rPr>
          <w:sz w:val="22"/>
          <w:szCs w:val="22"/>
          <w:lang w:val="en-US"/>
        </w:rPr>
        <w:t xml:space="preserve">Marotta, </w:t>
      </w:r>
      <w:r>
        <w:rPr>
          <w:sz w:val="22"/>
          <w:szCs w:val="22"/>
          <w:lang w:val="en-US"/>
        </w:rPr>
        <w:t xml:space="preserve">N. </w:t>
      </w:r>
      <w:r w:rsidR="00EC1598" w:rsidRPr="00EC1598">
        <w:rPr>
          <w:sz w:val="22"/>
          <w:szCs w:val="22"/>
          <w:lang w:val="en-US"/>
        </w:rPr>
        <w:t>Paxeus</w:t>
      </w:r>
      <w:r>
        <w:rPr>
          <w:sz w:val="22"/>
          <w:szCs w:val="22"/>
          <w:lang w:val="en-US"/>
        </w:rPr>
        <w:t>,</w:t>
      </w:r>
      <w:r w:rsidR="00EC1598" w:rsidRPr="00EC1598">
        <w:rPr>
          <w:sz w:val="22"/>
          <w:szCs w:val="22"/>
          <w:lang w:val="en-US"/>
        </w:rPr>
        <w:t xml:space="preserve"> </w:t>
      </w:r>
      <w:r w:rsidR="004F5189" w:rsidRPr="004F5189">
        <w:rPr>
          <w:i/>
          <w:sz w:val="22"/>
          <w:szCs w:val="22"/>
          <w:lang w:val="en-US"/>
        </w:rPr>
        <w:t xml:space="preserve">J. Hazard. Mater </w:t>
      </w:r>
      <w:r w:rsidR="00EC1598" w:rsidRPr="00CC141C">
        <w:rPr>
          <w:b/>
          <w:sz w:val="22"/>
          <w:szCs w:val="22"/>
          <w:lang w:val="en-US"/>
        </w:rPr>
        <w:t>2005</w:t>
      </w:r>
      <w:r>
        <w:rPr>
          <w:b/>
          <w:sz w:val="22"/>
          <w:szCs w:val="22"/>
          <w:lang w:val="en-US"/>
        </w:rPr>
        <w:t>,</w:t>
      </w:r>
      <w:r w:rsidR="00EC1598" w:rsidRPr="00EC1598">
        <w:rPr>
          <w:sz w:val="22"/>
          <w:szCs w:val="22"/>
          <w:lang w:val="en-US"/>
        </w:rPr>
        <w:t xml:space="preserve"> 122(3), 243-250.</w:t>
      </w:r>
    </w:p>
    <w:sectPr w:rsidR="00EC1598" w:rsidRPr="002B5745" w:rsidSect="00330CAC">
      <w:headerReference w:type="even" r:id="rId25"/>
      <w:headerReference w:type="default" r:id="rId26"/>
      <w:footerReference w:type="even" r:id="rId27"/>
      <w:footerReference w:type="default" r:id="rId28"/>
      <w:headerReference w:type="first" r:id="rId29"/>
      <w:footerReference w:type="first" r:id="rId30"/>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C80C2" w14:textId="77777777" w:rsidR="00AB6476" w:rsidRDefault="00AB6476" w:rsidP="00AF2C92">
      <w:r>
        <w:separator/>
      </w:r>
    </w:p>
  </w:endnote>
  <w:endnote w:type="continuationSeparator" w:id="0">
    <w:p w14:paraId="00417477" w14:textId="77777777" w:rsidR="00AB6476" w:rsidRDefault="00AB6476" w:rsidP="00AF2C92">
      <w:r>
        <w:continuationSeparator/>
      </w:r>
    </w:p>
  </w:endnote>
  <w:endnote w:type="continuationNotice" w:id="1">
    <w:p w14:paraId="4B4109A7" w14:textId="77777777" w:rsidR="00213216" w:rsidRDefault="002132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A95F" w14:textId="77777777" w:rsidR="00AB6476" w:rsidRDefault="00AB6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A5FC4" w14:textId="77777777" w:rsidR="00AB6476" w:rsidRDefault="00AB6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03F9" w14:textId="77777777" w:rsidR="00AB6476" w:rsidRDefault="00AB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5DB96" w14:textId="77777777" w:rsidR="00AB6476" w:rsidRDefault="00AB6476" w:rsidP="00AF2C92">
      <w:r>
        <w:separator/>
      </w:r>
    </w:p>
  </w:footnote>
  <w:footnote w:type="continuationSeparator" w:id="0">
    <w:p w14:paraId="0A44E667" w14:textId="77777777" w:rsidR="00AB6476" w:rsidRDefault="00AB6476" w:rsidP="00AF2C92">
      <w:r>
        <w:continuationSeparator/>
      </w:r>
    </w:p>
  </w:footnote>
  <w:footnote w:type="continuationNotice" w:id="1">
    <w:p w14:paraId="64031EBD" w14:textId="77777777" w:rsidR="00213216" w:rsidRDefault="002132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C094" w14:textId="77777777" w:rsidR="00AB6476" w:rsidRDefault="00AB6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35C3" w14:textId="77777777" w:rsidR="00AB6476" w:rsidRDefault="00AB6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9E7F" w14:textId="77777777" w:rsidR="00AB6476" w:rsidRDefault="00AB6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4F3D21"/>
    <w:multiLevelType w:val="multilevel"/>
    <w:tmpl w:val="9D8465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4376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2C1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2047D7"/>
    <w:multiLevelType w:val="multilevel"/>
    <w:tmpl w:val="74D6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C12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564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8116B9"/>
    <w:multiLevelType w:val="multilevel"/>
    <w:tmpl w:val="9D8465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A7E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9100D0"/>
    <w:multiLevelType w:val="hybridMultilevel"/>
    <w:tmpl w:val="7680A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E0B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2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7"/>
  </w:num>
  <w:num w:numId="15">
    <w:abstractNumId w:val="14"/>
  </w:num>
  <w:num w:numId="16">
    <w:abstractNumId w:val="19"/>
  </w:num>
  <w:num w:numId="17">
    <w:abstractNumId w:val="11"/>
  </w:num>
  <w:num w:numId="18">
    <w:abstractNumId w:val="0"/>
  </w:num>
  <w:num w:numId="19">
    <w:abstractNumId w:val="12"/>
  </w:num>
  <w:num w:numId="20">
    <w:abstractNumId w:val="27"/>
  </w:num>
  <w:num w:numId="21">
    <w:abstractNumId w:val="27"/>
  </w:num>
  <w:num w:numId="22">
    <w:abstractNumId w:val="27"/>
  </w:num>
  <w:num w:numId="23">
    <w:abstractNumId w:val="27"/>
  </w:num>
  <w:num w:numId="24">
    <w:abstractNumId w:val="20"/>
  </w:num>
  <w:num w:numId="25">
    <w:abstractNumId w:val="21"/>
  </w:num>
  <w:num w:numId="26">
    <w:abstractNumId w:val="28"/>
  </w:num>
  <w:num w:numId="27">
    <w:abstractNumId w:val="29"/>
  </w:num>
  <w:num w:numId="28">
    <w:abstractNumId w:val="27"/>
  </w:num>
  <w:num w:numId="29">
    <w:abstractNumId w:val="13"/>
  </w:num>
  <w:num w:numId="30">
    <w:abstractNumId w:val="31"/>
  </w:num>
  <w:num w:numId="31">
    <w:abstractNumId w:val="32"/>
  </w:num>
  <w:num w:numId="32">
    <w:abstractNumId w:val="24"/>
  </w:num>
  <w:num w:numId="33">
    <w:abstractNumId w:val="34"/>
  </w:num>
  <w:num w:numId="34">
    <w:abstractNumId w:val="17"/>
  </w:num>
  <w:num w:numId="35">
    <w:abstractNumId w:val="23"/>
  </w:num>
  <w:num w:numId="36">
    <w:abstractNumId w:val="30"/>
  </w:num>
  <w:num w:numId="37">
    <w:abstractNumId w:val="33"/>
  </w:num>
  <w:num w:numId="38">
    <w:abstractNumId w:val="15"/>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A8"/>
    <w:rsid w:val="00001899"/>
    <w:rsid w:val="000049AD"/>
    <w:rsid w:val="0000541F"/>
    <w:rsid w:val="0000681B"/>
    <w:rsid w:val="000133C0"/>
    <w:rsid w:val="00014C4E"/>
    <w:rsid w:val="00017107"/>
    <w:rsid w:val="00017715"/>
    <w:rsid w:val="000202E2"/>
    <w:rsid w:val="00021912"/>
    <w:rsid w:val="00022441"/>
    <w:rsid w:val="0002261E"/>
    <w:rsid w:val="00024839"/>
    <w:rsid w:val="00026871"/>
    <w:rsid w:val="00027451"/>
    <w:rsid w:val="00030D41"/>
    <w:rsid w:val="00037A98"/>
    <w:rsid w:val="000427FB"/>
    <w:rsid w:val="00042FDA"/>
    <w:rsid w:val="0004455E"/>
    <w:rsid w:val="000465AB"/>
    <w:rsid w:val="00047CB5"/>
    <w:rsid w:val="00051FAA"/>
    <w:rsid w:val="00056822"/>
    <w:rsid w:val="000572A9"/>
    <w:rsid w:val="00061325"/>
    <w:rsid w:val="00062D19"/>
    <w:rsid w:val="000631F3"/>
    <w:rsid w:val="00073219"/>
    <w:rsid w:val="000733AC"/>
    <w:rsid w:val="00074B81"/>
    <w:rsid w:val="00074D22"/>
    <w:rsid w:val="00075081"/>
    <w:rsid w:val="0007528A"/>
    <w:rsid w:val="000811AB"/>
    <w:rsid w:val="00083C5F"/>
    <w:rsid w:val="00090FEA"/>
    <w:rsid w:val="0009172C"/>
    <w:rsid w:val="000930EC"/>
    <w:rsid w:val="00095E61"/>
    <w:rsid w:val="000966C1"/>
    <w:rsid w:val="000970AC"/>
    <w:rsid w:val="000A1167"/>
    <w:rsid w:val="000A35DB"/>
    <w:rsid w:val="000A4428"/>
    <w:rsid w:val="000A6D40"/>
    <w:rsid w:val="000A7383"/>
    <w:rsid w:val="000A7BC3"/>
    <w:rsid w:val="000B1661"/>
    <w:rsid w:val="000B1F0B"/>
    <w:rsid w:val="000B2E88"/>
    <w:rsid w:val="000B4603"/>
    <w:rsid w:val="000B7BD2"/>
    <w:rsid w:val="000C09BE"/>
    <w:rsid w:val="000C1380"/>
    <w:rsid w:val="000C37A4"/>
    <w:rsid w:val="000C554F"/>
    <w:rsid w:val="000C6924"/>
    <w:rsid w:val="000D0DC5"/>
    <w:rsid w:val="000D15FF"/>
    <w:rsid w:val="000D28DF"/>
    <w:rsid w:val="000D488B"/>
    <w:rsid w:val="000D68DF"/>
    <w:rsid w:val="000E138D"/>
    <w:rsid w:val="000E187A"/>
    <w:rsid w:val="000E2D61"/>
    <w:rsid w:val="000E450E"/>
    <w:rsid w:val="000E6259"/>
    <w:rsid w:val="000E6AAF"/>
    <w:rsid w:val="000F15F1"/>
    <w:rsid w:val="000F4677"/>
    <w:rsid w:val="000F5BE0"/>
    <w:rsid w:val="00100587"/>
    <w:rsid w:val="0010284E"/>
    <w:rsid w:val="00103122"/>
    <w:rsid w:val="0010336A"/>
    <w:rsid w:val="001050F1"/>
    <w:rsid w:val="00105AEA"/>
    <w:rsid w:val="00106DAF"/>
    <w:rsid w:val="00110D8A"/>
    <w:rsid w:val="001146E7"/>
    <w:rsid w:val="00114ABE"/>
    <w:rsid w:val="00116023"/>
    <w:rsid w:val="001309E1"/>
    <w:rsid w:val="00134A51"/>
    <w:rsid w:val="00140727"/>
    <w:rsid w:val="00141026"/>
    <w:rsid w:val="00145D0B"/>
    <w:rsid w:val="00150AFC"/>
    <w:rsid w:val="001571E1"/>
    <w:rsid w:val="00160628"/>
    <w:rsid w:val="00161344"/>
    <w:rsid w:val="00162195"/>
    <w:rsid w:val="0016322A"/>
    <w:rsid w:val="00164FC6"/>
    <w:rsid w:val="00165A21"/>
    <w:rsid w:val="001705CE"/>
    <w:rsid w:val="0017714B"/>
    <w:rsid w:val="001776D1"/>
    <w:rsid w:val="0018002F"/>
    <w:rsid w:val="001804DF"/>
    <w:rsid w:val="00181BDC"/>
    <w:rsid w:val="00181DB0"/>
    <w:rsid w:val="001829E3"/>
    <w:rsid w:val="00186E4E"/>
    <w:rsid w:val="001924C0"/>
    <w:rsid w:val="0019731E"/>
    <w:rsid w:val="001A09FE"/>
    <w:rsid w:val="001A42AF"/>
    <w:rsid w:val="001A67C9"/>
    <w:rsid w:val="001A69DE"/>
    <w:rsid w:val="001A713C"/>
    <w:rsid w:val="001B07E2"/>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1770"/>
    <w:rsid w:val="001F3411"/>
    <w:rsid w:val="001F4287"/>
    <w:rsid w:val="001F4DBA"/>
    <w:rsid w:val="00203A1C"/>
    <w:rsid w:val="0020415E"/>
    <w:rsid w:val="00204FF4"/>
    <w:rsid w:val="0021056E"/>
    <w:rsid w:val="0021075D"/>
    <w:rsid w:val="0021165A"/>
    <w:rsid w:val="00211BC9"/>
    <w:rsid w:val="00213216"/>
    <w:rsid w:val="00215B5A"/>
    <w:rsid w:val="0021620C"/>
    <w:rsid w:val="00216E78"/>
    <w:rsid w:val="00217275"/>
    <w:rsid w:val="00217969"/>
    <w:rsid w:val="002211DD"/>
    <w:rsid w:val="00235BB3"/>
    <w:rsid w:val="00236F4B"/>
    <w:rsid w:val="00242B0D"/>
    <w:rsid w:val="00246069"/>
    <w:rsid w:val="002467C6"/>
    <w:rsid w:val="0024692A"/>
    <w:rsid w:val="00250280"/>
    <w:rsid w:val="00252BBA"/>
    <w:rsid w:val="00253123"/>
    <w:rsid w:val="0025372C"/>
    <w:rsid w:val="00264001"/>
    <w:rsid w:val="00266354"/>
    <w:rsid w:val="00267A18"/>
    <w:rsid w:val="00273462"/>
    <w:rsid w:val="0027395B"/>
    <w:rsid w:val="00275854"/>
    <w:rsid w:val="00283085"/>
    <w:rsid w:val="0028390B"/>
    <w:rsid w:val="00283B41"/>
    <w:rsid w:val="00285F28"/>
    <w:rsid w:val="00286398"/>
    <w:rsid w:val="00294140"/>
    <w:rsid w:val="00295A9C"/>
    <w:rsid w:val="002A3C42"/>
    <w:rsid w:val="002A5D75"/>
    <w:rsid w:val="002B1B1A"/>
    <w:rsid w:val="002B5745"/>
    <w:rsid w:val="002B7228"/>
    <w:rsid w:val="002B7A01"/>
    <w:rsid w:val="002C201E"/>
    <w:rsid w:val="002C53EE"/>
    <w:rsid w:val="002D24F7"/>
    <w:rsid w:val="002D2799"/>
    <w:rsid w:val="002D2CD7"/>
    <w:rsid w:val="002D4DDC"/>
    <w:rsid w:val="002D4F75"/>
    <w:rsid w:val="002D6493"/>
    <w:rsid w:val="002D747E"/>
    <w:rsid w:val="002D7AB6"/>
    <w:rsid w:val="002E06D0"/>
    <w:rsid w:val="002E3C27"/>
    <w:rsid w:val="002E403A"/>
    <w:rsid w:val="002E7F3A"/>
    <w:rsid w:val="002F4EDB"/>
    <w:rsid w:val="002F6054"/>
    <w:rsid w:val="00310E13"/>
    <w:rsid w:val="00315713"/>
    <w:rsid w:val="0031686C"/>
    <w:rsid w:val="00316FE0"/>
    <w:rsid w:val="003204D2"/>
    <w:rsid w:val="00324D62"/>
    <w:rsid w:val="0032605E"/>
    <w:rsid w:val="003275D1"/>
    <w:rsid w:val="00330B2A"/>
    <w:rsid w:val="00330CAC"/>
    <w:rsid w:val="00331E17"/>
    <w:rsid w:val="00333063"/>
    <w:rsid w:val="003408E3"/>
    <w:rsid w:val="00343480"/>
    <w:rsid w:val="00345E89"/>
    <w:rsid w:val="00350B5E"/>
    <w:rsid w:val="003522A1"/>
    <w:rsid w:val="0035254B"/>
    <w:rsid w:val="00353555"/>
    <w:rsid w:val="003565D4"/>
    <w:rsid w:val="003607FB"/>
    <w:rsid w:val="003608FC"/>
    <w:rsid w:val="00360AB0"/>
    <w:rsid w:val="00360FD5"/>
    <w:rsid w:val="0036340D"/>
    <w:rsid w:val="003634A5"/>
    <w:rsid w:val="00366868"/>
    <w:rsid w:val="00367506"/>
    <w:rsid w:val="00370085"/>
    <w:rsid w:val="003707AC"/>
    <w:rsid w:val="00370B0E"/>
    <w:rsid w:val="00372809"/>
    <w:rsid w:val="003744A7"/>
    <w:rsid w:val="00376235"/>
    <w:rsid w:val="00381FB6"/>
    <w:rsid w:val="003836D3"/>
    <w:rsid w:val="00383A52"/>
    <w:rsid w:val="00385055"/>
    <w:rsid w:val="00391652"/>
    <w:rsid w:val="0039507F"/>
    <w:rsid w:val="003A1260"/>
    <w:rsid w:val="003A295F"/>
    <w:rsid w:val="003A41DD"/>
    <w:rsid w:val="003A538F"/>
    <w:rsid w:val="003A7033"/>
    <w:rsid w:val="003B0A74"/>
    <w:rsid w:val="003B47FE"/>
    <w:rsid w:val="003B5673"/>
    <w:rsid w:val="003B6287"/>
    <w:rsid w:val="003B62C9"/>
    <w:rsid w:val="003C7176"/>
    <w:rsid w:val="003D0929"/>
    <w:rsid w:val="003D4729"/>
    <w:rsid w:val="003D7DD6"/>
    <w:rsid w:val="003E5AAF"/>
    <w:rsid w:val="003E600D"/>
    <w:rsid w:val="003E64DF"/>
    <w:rsid w:val="003E6A5D"/>
    <w:rsid w:val="003F193A"/>
    <w:rsid w:val="003F2B3E"/>
    <w:rsid w:val="003F4207"/>
    <w:rsid w:val="003F5C46"/>
    <w:rsid w:val="003F7CBB"/>
    <w:rsid w:val="003F7D34"/>
    <w:rsid w:val="00412C8E"/>
    <w:rsid w:val="0041518D"/>
    <w:rsid w:val="0042221D"/>
    <w:rsid w:val="00424DD3"/>
    <w:rsid w:val="004269C5"/>
    <w:rsid w:val="00435939"/>
    <w:rsid w:val="00437CC7"/>
    <w:rsid w:val="00442B9C"/>
    <w:rsid w:val="0044463E"/>
    <w:rsid w:val="00445EFA"/>
    <w:rsid w:val="0044738A"/>
    <w:rsid w:val="004473D3"/>
    <w:rsid w:val="0044754A"/>
    <w:rsid w:val="00452231"/>
    <w:rsid w:val="004523F0"/>
    <w:rsid w:val="00453CE6"/>
    <w:rsid w:val="00460C13"/>
    <w:rsid w:val="00461DC1"/>
    <w:rsid w:val="00463228"/>
    <w:rsid w:val="00463782"/>
    <w:rsid w:val="004667E0"/>
    <w:rsid w:val="0046760E"/>
    <w:rsid w:val="00470E10"/>
    <w:rsid w:val="004739CA"/>
    <w:rsid w:val="00477A97"/>
    <w:rsid w:val="00481343"/>
    <w:rsid w:val="004841C1"/>
    <w:rsid w:val="0048549E"/>
    <w:rsid w:val="00485AC7"/>
    <w:rsid w:val="004930C6"/>
    <w:rsid w:val="00493347"/>
    <w:rsid w:val="00496092"/>
    <w:rsid w:val="004A08DB"/>
    <w:rsid w:val="004A25D0"/>
    <w:rsid w:val="004A37E8"/>
    <w:rsid w:val="004A4D8C"/>
    <w:rsid w:val="004A5326"/>
    <w:rsid w:val="004A5C9D"/>
    <w:rsid w:val="004A7549"/>
    <w:rsid w:val="004B09D4"/>
    <w:rsid w:val="004B309D"/>
    <w:rsid w:val="004B330A"/>
    <w:rsid w:val="004B7C8E"/>
    <w:rsid w:val="004C3D3C"/>
    <w:rsid w:val="004D06D8"/>
    <w:rsid w:val="004D0EDC"/>
    <w:rsid w:val="004D1220"/>
    <w:rsid w:val="004D14B3"/>
    <w:rsid w:val="004D1529"/>
    <w:rsid w:val="004D2253"/>
    <w:rsid w:val="004D5514"/>
    <w:rsid w:val="004D56C3"/>
    <w:rsid w:val="004E0338"/>
    <w:rsid w:val="004E140D"/>
    <w:rsid w:val="004E4FF3"/>
    <w:rsid w:val="004E56A8"/>
    <w:rsid w:val="004F2118"/>
    <w:rsid w:val="004F3B55"/>
    <w:rsid w:val="004F428E"/>
    <w:rsid w:val="004F4E46"/>
    <w:rsid w:val="004F5189"/>
    <w:rsid w:val="004F5459"/>
    <w:rsid w:val="004F6B7D"/>
    <w:rsid w:val="005015F6"/>
    <w:rsid w:val="005030C4"/>
    <w:rsid w:val="005031C5"/>
    <w:rsid w:val="00504FDC"/>
    <w:rsid w:val="005120CC"/>
    <w:rsid w:val="00512B7B"/>
    <w:rsid w:val="00514EA1"/>
    <w:rsid w:val="0051798B"/>
    <w:rsid w:val="00521F5A"/>
    <w:rsid w:val="00525E06"/>
    <w:rsid w:val="00526454"/>
    <w:rsid w:val="00531823"/>
    <w:rsid w:val="00533250"/>
    <w:rsid w:val="00534ECC"/>
    <w:rsid w:val="0053720D"/>
    <w:rsid w:val="00540EF5"/>
    <w:rsid w:val="00541BF3"/>
    <w:rsid w:val="00541CD3"/>
    <w:rsid w:val="00541F16"/>
    <w:rsid w:val="0054744E"/>
    <w:rsid w:val="005476FA"/>
    <w:rsid w:val="0055369B"/>
    <w:rsid w:val="0055595E"/>
    <w:rsid w:val="00557988"/>
    <w:rsid w:val="005620E8"/>
    <w:rsid w:val="00562C49"/>
    <w:rsid w:val="00562DEF"/>
    <w:rsid w:val="0056321A"/>
    <w:rsid w:val="00563A35"/>
    <w:rsid w:val="00565B8F"/>
    <w:rsid w:val="00566596"/>
    <w:rsid w:val="005741E9"/>
    <w:rsid w:val="005748CF"/>
    <w:rsid w:val="00575338"/>
    <w:rsid w:val="00575AAA"/>
    <w:rsid w:val="00577C46"/>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4544"/>
    <w:rsid w:val="005E5B55"/>
    <w:rsid w:val="005E5E4A"/>
    <w:rsid w:val="005E693D"/>
    <w:rsid w:val="005E75BF"/>
    <w:rsid w:val="005F4423"/>
    <w:rsid w:val="005F57BA"/>
    <w:rsid w:val="005F61E6"/>
    <w:rsid w:val="005F6C45"/>
    <w:rsid w:val="00603573"/>
    <w:rsid w:val="00605A69"/>
    <w:rsid w:val="00606C54"/>
    <w:rsid w:val="00614375"/>
    <w:rsid w:val="00615593"/>
    <w:rsid w:val="00615B0A"/>
    <w:rsid w:val="006168CF"/>
    <w:rsid w:val="0062011B"/>
    <w:rsid w:val="00621889"/>
    <w:rsid w:val="006228D0"/>
    <w:rsid w:val="00626DE0"/>
    <w:rsid w:val="00630901"/>
    <w:rsid w:val="00631F8E"/>
    <w:rsid w:val="00636EE9"/>
    <w:rsid w:val="006377C3"/>
    <w:rsid w:val="00640950"/>
    <w:rsid w:val="00641AE7"/>
    <w:rsid w:val="00642629"/>
    <w:rsid w:val="0064782B"/>
    <w:rsid w:val="0065293D"/>
    <w:rsid w:val="00653EFC"/>
    <w:rsid w:val="00654021"/>
    <w:rsid w:val="00655B17"/>
    <w:rsid w:val="00660050"/>
    <w:rsid w:val="00661045"/>
    <w:rsid w:val="00666DA8"/>
    <w:rsid w:val="00671057"/>
    <w:rsid w:val="00675AAF"/>
    <w:rsid w:val="006772CE"/>
    <w:rsid w:val="0068031A"/>
    <w:rsid w:val="00680BE7"/>
    <w:rsid w:val="0068108F"/>
    <w:rsid w:val="00681B2F"/>
    <w:rsid w:val="0068335F"/>
    <w:rsid w:val="006833BC"/>
    <w:rsid w:val="00685A49"/>
    <w:rsid w:val="00687217"/>
    <w:rsid w:val="00693302"/>
    <w:rsid w:val="0069640B"/>
    <w:rsid w:val="006A1B83"/>
    <w:rsid w:val="006A21CD"/>
    <w:rsid w:val="006A5918"/>
    <w:rsid w:val="006A7D32"/>
    <w:rsid w:val="006B21B2"/>
    <w:rsid w:val="006B4A4A"/>
    <w:rsid w:val="006B77FF"/>
    <w:rsid w:val="006C19B2"/>
    <w:rsid w:val="006C4409"/>
    <w:rsid w:val="006C5BB8"/>
    <w:rsid w:val="006C6936"/>
    <w:rsid w:val="006C7B01"/>
    <w:rsid w:val="006D0FE8"/>
    <w:rsid w:val="006D34F1"/>
    <w:rsid w:val="006D4B2B"/>
    <w:rsid w:val="006D4F3C"/>
    <w:rsid w:val="006D5C66"/>
    <w:rsid w:val="006D7002"/>
    <w:rsid w:val="006E1B3C"/>
    <w:rsid w:val="006E23FB"/>
    <w:rsid w:val="006E325A"/>
    <w:rsid w:val="006E33EC"/>
    <w:rsid w:val="006E3802"/>
    <w:rsid w:val="006E4186"/>
    <w:rsid w:val="006E6C02"/>
    <w:rsid w:val="006F231A"/>
    <w:rsid w:val="006F4D6C"/>
    <w:rsid w:val="006F6B55"/>
    <w:rsid w:val="006F6D9F"/>
    <w:rsid w:val="006F788D"/>
    <w:rsid w:val="006F78E1"/>
    <w:rsid w:val="00701072"/>
    <w:rsid w:val="00702054"/>
    <w:rsid w:val="007035A4"/>
    <w:rsid w:val="00711799"/>
    <w:rsid w:val="00712B78"/>
    <w:rsid w:val="0071393B"/>
    <w:rsid w:val="00713EE2"/>
    <w:rsid w:val="007177FC"/>
    <w:rsid w:val="00720C5E"/>
    <w:rsid w:val="00721701"/>
    <w:rsid w:val="0072271F"/>
    <w:rsid w:val="00731835"/>
    <w:rsid w:val="007341F8"/>
    <w:rsid w:val="00734372"/>
    <w:rsid w:val="00734EB8"/>
    <w:rsid w:val="00735F8B"/>
    <w:rsid w:val="0074090B"/>
    <w:rsid w:val="00742D1F"/>
    <w:rsid w:val="00743EBA"/>
    <w:rsid w:val="00744C8E"/>
    <w:rsid w:val="0074707E"/>
    <w:rsid w:val="007516DC"/>
    <w:rsid w:val="007522DC"/>
    <w:rsid w:val="00752E58"/>
    <w:rsid w:val="00754B80"/>
    <w:rsid w:val="00761918"/>
    <w:rsid w:val="00762F03"/>
    <w:rsid w:val="0076413B"/>
    <w:rsid w:val="007648AE"/>
    <w:rsid w:val="00764BF8"/>
    <w:rsid w:val="0076514D"/>
    <w:rsid w:val="00773D59"/>
    <w:rsid w:val="007743F3"/>
    <w:rsid w:val="00781003"/>
    <w:rsid w:val="007911FD"/>
    <w:rsid w:val="007912F4"/>
    <w:rsid w:val="00793930"/>
    <w:rsid w:val="00793DD1"/>
    <w:rsid w:val="00794FEC"/>
    <w:rsid w:val="007A003E"/>
    <w:rsid w:val="007A1965"/>
    <w:rsid w:val="007A2ED1"/>
    <w:rsid w:val="007A496B"/>
    <w:rsid w:val="007A4BE6"/>
    <w:rsid w:val="007B0DC6"/>
    <w:rsid w:val="007B1094"/>
    <w:rsid w:val="007B1762"/>
    <w:rsid w:val="007B1BBC"/>
    <w:rsid w:val="007B20DC"/>
    <w:rsid w:val="007B3320"/>
    <w:rsid w:val="007B5C5E"/>
    <w:rsid w:val="007B5FF0"/>
    <w:rsid w:val="007B73A8"/>
    <w:rsid w:val="007C301F"/>
    <w:rsid w:val="007C4540"/>
    <w:rsid w:val="007C65AF"/>
    <w:rsid w:val="007C71FE"/>
    <w:rsid w:val="007D135D"/>
    <w:rsid w:val="007D730F"/>
    <w:rsid w:val="007D7CD8"/>
    <w:rsid w:val="007E3AA7"/>
    <w:rsid w:val="007F737D"/>
    <w:rsid w:val="00801EE1"/>
    <w:rsid w:val="0080308E"/>
    <w:rsid w:val="00805303"/>
    <w:rsid w:val="00806705"/>
    <w:rsid w:val="00806738"/>
    <w:rsid w:val="008216D5"/>
    <w:rsid w:val="008249CE"/>
    <w:rsid w:val="0082714C"/>
    <w:rsid w:val="00831A50"/>
    <w:rsid w:val="00831B3C"/>
    <w:rsid w:val="00831C89"/>
    <w:rsid w:val="00832114"/>
    <w:rsid w:val="00834C46"/>
    <w:rsid w:val="00836382"/>
    <w:rsid w:val="0084093E"/>
    <w:rsid w:val="00841CE1"/>
    <w:rsid w:val="008473D8"/>
    <w:rsid w:val="0085094C"/>
    <w:rsid w:val="008528DC"/>
    <w:rsid w:val="00852B8C"/>
    <w:rsid w:val="00854981"/>
    <w:rsid w:val="00864B2E"/>
    <w:rsid w:val="00865963"/>
    <w:rsid w:val="00866011"/>
    <w:rsid w:val="00871C1D"/>
    <w:rsid w:val="0087450E"/>
    <w:rsid w:val="00875A82"/>
    <w:rsid w:val="00876CA3"/>
    <w:rsid w:val="008772FE"/>
    <w:rsid w:val="008775F1"/>
    <w:rsid w:val="008821AE"/>
    <w:rsid w:val="00883D3A"/>
    <w:rsid w:val="008854F7"/>
    <w:rsid w:val="00885A9D"/>
    <w:rsid w:val="00887852"/>
    <w:rsid w:val="008929D2"/>
    <w:rsid w:val="00893636"/>
    <w:rsid w:val="00893B94"/>
    <w:rsid w:val="00896E9D"/>
    <w:rsid w:val="00896F11"/>
    <w:rsid w:val="008A1049"/>
    <w:rsid w:val="008A1C98"/>
    <w:rsid w:val="008A322D"/>
    <w:rsid w:val="008A4847"/>
    <w:rsid w:val="008A4D72"/>
    <w:rsid w:val="008A6285"/>
    <w:rsid w:val="008A63B2"/>
    <w:rsid w:val="008B345D"/>
    <w:rsid w:val="008C1FC2"/>
    <w:rsid w:val="008C2980"/>
    <w:rsid w:val="008C4DD6"/>
    <w:rsid w:val="008C5AFB"/>
    <w:rsid w:val="008D07FB"/>
    <w:rsid w:val="008D0C02"/>
    <w:rsid w:val="008D17FE"/>
    <w:rsid w:val="008D357D"/>
    <w:rsid w:val="008D435A"/>
    <w:rsid w:val="008E387B"/>
    <w:rsid w:val="008E6087"/>
    <w:rsid w:val="008E758D"/>
    <w:rsid w:val="008F10A7"/>
    <w:rsid w:val="008F255A"/>
    <w:rsid w:val="008F4C36"/>
    <w:rsid w:val="008F755D"/>
    <w:rsid w:val="008F7A39"/>
    <w:rsid w:val="009021E8"/>
    <w:rsid w:val="00904677"/>
    <w:rsid w:val="00905EE2"/>
    <w:rsid w:val="00911440"/>
    <w:rsid w:val="00911712"/>
    <w:rsid w:val="00911B27"/>
    <w:rsid w:val="009170BE"/>
    <w:rsid w:val="00920B55"/>
    <w:rsid w:val="009262C9"/>
    <w:rsid w:val="00927875"/>
    <w:rsid w:val="00927A7E"/>
    <w:rsid w:val="00930EB9"/>
    <w:rsid w:val="00933DC7"/>
    <w:rsid w:val="009418F4"/>
    <w:rsid w:val="00942BBC"/>
    <w:rsid w:val="00944180"/>
    <w:rsid w:val="00944AA0"/>
    <w:rsid w:val="00947DA2"/>
    <w:rsid w:val="00951177"/>
    <w:rsid w:val="009641DF"/>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A7A56"/>
    <w:rsid w:val="009B24B5"/>
    <w:rsid w:val="009B3196"/>
    <w:rsid w:val="009B4EBC"/>
    <w:rsid w:val="009B53A8"/>
    <w:rsid w:val="009B5ABB"/>
    <w:rsid w:val="009B73CE"/>
    <w:rsid w:val="009C1A05"/>
    <w:rsid w:val="009C2461"/>
    <w:rsid w:val="009C5A15"/>
    <w:rsid w:val="009C5C06"/>
    <w:rsid w:val="009C6FE2"/>
    <w:rsid w:val="009C7674"/>
    <w:rsid w:val="009D004A"/>
    <w:rsid w:val="009D5880"/>
    <w:rsid w:val="009E1FD4"/>
    <w:rsid w:val="009E3259"/>
    <w:rsid w:val="009E3B07"/>
    <w:rsid w:val="009E51D1"/>
    <w:rsid w:val="009E5531"/>
    <w:rsid w:val="009F171E"/>
    <w:rsid w:val="009F3D2F"/>
    <w:rsid w:val="009F506D"/>
    <w:rsid w:val="009F7052"/>
    <w:rsid w:val="00A0235B"/>
    <w:rsid w:val="00A02668"/>
    <w:rsid w:val="00A02801"/>
    <w:rsid w:val="00A06A39"/>
    <w:rsid w:val="00A07F58"/>
    <w:rsid w:val="00A131CB"/>
    <w:rsid w:val="00A14847"/>
    <w:rsid w:val="00A16D6D"/>
    <w:rsid w:val="00A2069F"/>
    <w:rsid w:val="00A21383"/>
    <w:rsid w:val="00A2199F"/>
    <w:rsid w:val="00A21B31"/>
    <w:rsid w:val="00A2360E"/>
    <w:rsid w:val="00A25C6F"/>
    <w:rsid w:val="00A26E0C"/>
    <w:rsid w:val="00A32FCB"/>
    <w:rsid w:val="00A34C25"/>
    <w:rsid w:val="00A3507D"/>
    <w:rsid w:val="00A3717A"/>
    <w:rsid w:val="00A4088C"/>
    <w:rsid w:val="00A43001"/>
    <w:rsid w:val="00A44008"/>
    <w:rsid w:val="00A4456B"/>
    <w:rsid w:val="00A448D4"/>
    <w:rsid w:val="00A452E0"/>
    <w:rsid w:val="00A506DF"/>
    <w:rsid w:val="00A51EA5"/>
    <w:rsid w:val="00A53742"/>
    <w:rsid w:val="00A557A1"/>
    <w:rsid w:val="00A63059"/>
    <w:rsid w:val="00A63AE3"/>
    <w:rsid w:val="00A651A4"/>
    <w:rsid w:val="00A71361"/>
    <w:rsid w:val="00A746E2"/>
    <w:rsid w:val="00A81CD7"/>
    <w:rsid w:val="00A81FF2"/>
    <w:rsid w:val="00A83904"/>
    <w:rsid w:val="00A90A79"/>
    <w:rsid w:val="00A920FB"/>
    <w:rsid w:val="00A9285E"/>
    <w:rsid w:val="00A96728"/>
    <w:rsid w:val="00A96B30"/>
    <w:rsid w:val="00AA158B"/>
    <w:rsid w:val="00AA442D"/>
    <w:rsid w:val="00AA59B5"/>
    <w:rsid w:val="00AA7777"/>
    <w:rsid w:val="00AA7B84"/>
    <w:rsid w:val="00AB4702"/>
    <w:rsid w:val="00AB6476"/>
    <w:rsid w:val="00AC0B4C"/>
    <w:rsid w:val="00AC1164"/>
    <w:rsid w:val="00AC2296"/>
    <w:rsid w:val="00AC2754"/>
    <w:rsid w:val="00AC48B0"/>
    <w:rsid w:val="00AC4ACD"/>
    <w:rsid w:val="00AC5DFB"/>
    <w:rsid w:val="00AC678E"/>
    <w:rsid w:val="00AD13DC"/>
    <w:rsid w:val="00AD6DE2"/>
    <w:rsid w:val="00AE0A40"/>
    <w:rsid w:val="00AE1ED4"/>
    <w:rsid w:val="00AE21E1"/>
    <w:rsid w:val="00AE2C53"/>
    <w:rsid w:val="00AE2F8D"/>
    <w:rsid w:val="00AE3BAE"/>
    <w:rsid w:val="00AE53A9"/>
    <w:rsid w:val="00AE6A21"/>
    <w:rsid w:val="00AF1C8F"/>
    <w:rsid w:val="00AF2B68"/>
    <w:rsid w:val="00AF2C92"/>
    <w:rsid w:val="00AF3EC1"/>
    <w:rsid w:val="00AF5025"/>
    <w:rsid w:val="00AF519F"/>
    <w:rsid w:val="00AF5387"/>
    <w:rsid w:val="00AF55F5"/>
    <w:rsid w:val="00AF5D8C"/>
    <w:rsid w:val="00AF7E86"/>
    <w:rsid w:val="00B00B04"/>
    <w:rsid w:val="00B024B9"/>
    <w:rsid w:val="00B0467B"/>
    <w:rsid w:val="00B077FA"/>
    <w:rsid w:val="00B100BB"/>
    <w:rsid w:val="00B10189"/>
    <w:rsid w:val="00B127D7"/>
    <w:rsid w:val="00B13B0C"/>
    <w:rsid w:val="00B14408"/>
    <w:rsid w:val="00B1453A"/>
    <w:rsid w:val="00B20F82"/>
    <w:rsid w:val="00B25BD5"/>
    <w:rsid w:val="00B3046B"/>
    <w:rsid w:val="00B34079"/>
    <w:rsid w:val="00B3793A"/>
    <w:rsid w:val="00B401BA"/>
    <w:rsid w:val="00B407E4"/>
    <w:rsid w:val="00B411BF"/>
    <w:rsid w:val="00B425B6"/>
    <w:rsid w:val="00B42A72"/>
    <w:rsid w:val="00B441AE"/>
    <w:rsid w:val="00B45A65"/>
    <w:rsid w:val="00B45F33"/>
    <w:rsid w:val="00B46D50"/>
    <w:rsid w:val="00B53170"/>
    <w:rsid w:val="00B548B9"/>
    <w:rsid w:val="00B551F7"/>
    <w:rsid w:val="00B56DBE"/>
    <w:rsid w:val="00B576E9"/>
    <w:rsid w:val="00B62999"/>
    <w:rsid w:val="00B63BE3"/>
    <w:rsid w:val="00B641BC"/>
    <w:rsid w:val="00B64885"/>
    <w:rsid w:val="00B64FA3"/>
    <w:rsid w:val="00B66810"/>
    <w:rsid w:val="00B72BE3"/>
    <w:rsid w:val="00B73714"/>
    <w:rsid w:val="00B73B80"/>
    <w:rsid w:val="00B770C7"/>
    <w:rsid w:val="00B80F26"/>
    <w:rsid w:val="00B819D4"/>
    <w:rsid w:val="00B822BD"/>
    <w:rsid w:val="00B842F4"/>
    <w:rsid w:val="00B86388"/>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4006"/>
    <w:rsid w:val="00BC4574"/>
    <w:rsid w:val="00BC5AD4"/>
    <w:rsid w:val="00BC7CE7"/>
    <w:rsid w:val="00BD295E"/>
    <w:rsid w:val="00BD4664"/>
    <w:rsid w:val="00BE1193"/>
    <w:rsid w:val="00BE320B"/>
    <w:rsid w:val="00BF4849"/>
    <w:rsid w:val="00BF4C49"/>
    <w:rsid w:val="00BF4EA7"/>
    <w:rsid w:val="00BF6525"/>
    <w:rsid w:val="00C00EDB"/>
    <w:rsid w:val="00C0226C"/>
    <w:rsid w:val="00C02863"/>
    <w:rsid w:val="00C0383A"/>
    <w:rsid w:val="00C067FF"/>
    <w:rsid w:val="00C06BB7"/>
    <w:rsid w:val="00C12862"/>
    <w:rsid w:val="00C13D28"/>
    <w:rsid w:val="00C14585"/>
    <w:rsid w:val="00C165A0"/>
    <w:rsid w:val="00C216CE"/>
    <w:rsid w:val="00C2184F"/>
    <w:rsid w:val="00C22A78"/>
    <w:rsid w:val="00C23C7E"/>
    <w:rsid w:val="00C246C5"/>
    <w:rsid w:val="00C251A3"/>
    <w:rsid w:val="00C25A82"/>
    <w:rsid w:val="00C30A2A"/>
    <w:rsid w:val="00C31C45"/>
    <w:rsid w:val="00C32226"/>
    <w:rsid w:val="00C33993"/>
    <w:rsid w:val="00C40174"/>
    <w:rsid w:val="00C4069E"/>
    <w:rsid w:val="00C41ADC"/>
    <w:rsid w:val="00C44149"/>
    <w:rsid w:val="00C44410"/>
    <w:rsid w:val="00C44A15"/>
    <w:rsid w:val="00C4630A"/>
    <w:rsid w:val="00C523F0"/>
    <w:rsid w:val="00C526D2"/>
    <w:rsid w:val="00C5271C"/>
    <w:rsid w:val="00C53A91"/>
    <w:rsid w:val="00C5794E"/>
    <w:rsid w:val="00C60968"/>
    <w:rsid w:val="00C63D39"/>
    <w:rsid w:val="00C63EDD"/>
    <w:rsid w:val="00C65B36"/>
    <w:rsid w:val="00C7292E"/>
    <w:rsid w:val="00C74E88"/>
    <w:rsid w:val="00C77F85"/>
    <w:rsid w:val="00C80924"/>
    <w:rsid w:val="00C8286B"/>
    <w:rsid w:val="00C83312"/>
    <w:rsid w:val="00C947F8"/>
    <w:rsid w:val="00C9515F"/>
    <w:rsid w:val="00C9551D"/>
    <w:rsid w:val="00C963C5"/>
    <w:rsid w:val="00CA030C"/>
    <w:rsid w:val="00CA1F41"/>
    <w:rsid w:val="00CA2564"/>
    <w:rsid w:val="00CA32EE"/>
    <w:rsid w:val="00CA5771"/>
    <w:rsid w:val="00CA6A1A"/>
    <w:rsid w:val="00CB6206"/>
    <w:rsid w:val="00CC141C"/>
    <w:rsid w:val="00CC1E75"/>
    <w:rsid w:val="00CC2E0E"/>
    <w:rsid w:val="00CC361C"/>
    <w:rsid w:val="00CC474B"/>
    <w:rsid w:val="00CC658C"/>
    <w:rsid w:val="00CC67BF"/>
    <w:rsid w:val="00CD0843"/>
    <w:rsid w:val="00CD4E31"/>
    <w:rsid w:val="00CD5A78"/>
    <w:rsid w:val="00CD7345"/>
    <w:rsid w:val="00CE372E"/>
    <w:rsid w:val="00CF0A1B"/>
    <w:rsid w:val="00CF0D8D"/>
    <w:rsid w:val="00CF174F"/>
    <w:rsid w:val="00CF19F6"/>
    <w:rsid w:val="00CF2F4F"/>
    <w:rsid w:val="00CF536D"/>
    <w:rsid w:val="00CF54EF"/>
    <w:rsid w:val="00D02E9D"/>
    <w:rsid w:val="00D054FF"/>
    <w:rsid w:val="00D1053C"/>
    <w:rsid w:val="00D10CB8"/>
    <w:rsid w:val="00D11D6F"/>
    <w:rsid w:val="00D12806"/>
    <w:rsid w:val="00D12D44"/>
    <w:rsid w:val="00D15018"/>
    <w:rsid w:val="00D158AC"/>
    <w:rsid w:val="00D1694C"/>
    <w:rsid w:val="00D20898"/>
    <w:rsid w:val="00D20F5E"/>
    <w:rsid w:val="00D23B76"/>
    <w:rsid w:val="00D24B4A"/>
    <w:rsid w:val="00D379A3"/>
    <w:rsid w:val="00D45D51"/>
    <w:rsid w:val="00D45FF3"/>
    <w:rsid w:val="00D50099"/>
    <w:rsid w:val="00D50875"/>
    <w:rsid w:val="00D512CF"/>
    <w:rsid w:val="00D528B9"/>
    <w:rsid w:val="00D53186"/>
    <w:rsid w:val="00D5487D"/>
    <w:rsid w:val="00D60140"/>
    <w:rsid w:val="00D6024A"/>
    <w:rsid w:val="00D608B5"/>
    <w:rsid w:val="00D64739"/>
    <w:rsid w:val="00D65135"/>
    <w:rsid w:val="00D65DE3"/>
    <w:rsid w:val="00D70E7A"/>
    <w:rsid w:val="00D71F99"/>
    <w:rsid w:val="00D73CA4"/>
    <w:rsid w:val="00D73D71"/>
    <w:rsid w:val="00D74396"/>
    <w:rsid w:val="00D80284"/>
    <w:rsid w:val="00D81F71"/>
    <w:rsid w:val="00D8642D"/>
    <w:rsid w:val="00D90A5E"/>
    <w:rsid w:val="00D91A68"/>
    <w:rsid w:val="00D923BD"/>
    <w:rsid w:val="00D94788"/>
    <w:rsid w:val="00D95A68"/>
    <w:rsid w:val="00DA17C7"/>
    <w:rsid w:val="00DA6A9A"/>
    <w:rsid w:val="00DB1EFD"/>
    <w:rsid w:val="00DB3EAF"/>
    <w:rsid w:val="00DB46C6"/>
    <w:rsid w:val="00DC0C5F"/>
    <w:rsid w:val="00DC3203"/>
    <w:rsid w:val="00DC3C99"/>
    <w:rsid w:val="00DC52F5"/>
    <w:rsid w:val="00DC5FD0"/>
    <w:rsid w:val="00DD0354"/>
    <w:rsid w:val="00DD1AB6"/>
    <w:rsid w:val="00DD27D7"/>
    <w:rsid w:val="00DD458C"/>
    <w:rsid w:val="00DD4D99"/>
    <w:rsid w:val="00DD72E9"/>
    <w:rsid w:val="00DD7605"/>
    <w:rsid w:val="00DE1725"/>
    <w:rsid w:val="00DE2020"/>
    <w:rsid w:val="00DE3476"/>
    <w:rsid w:val="00DE7BEA"/>
    <w:rsid w:val="00DF3064"/>
    <w:rsid w:val="00DF5B84"/>
    <w:rsid w:val="00DF6D5B"/>
    <w:rsid w:val="00DF771B"/>
    <w:rsid w:val="00DF7EE2"/>
    <w:rsid w:val="00E01BAA"/>
    <w:rsid w:val="00E024ED"/>
    <w:rsid w:val="00E0282A"/>
    <w:rsid w:val="00E02F9B"/>
    <w:rsid w:val="00E07E14"/>
    <w:rsid w:val="00E14F94"/>
    <w:rsid w:val="00E17336"/>
    <w:rsid w:val="00E17430"/>
    <w:rsid w:val="00E17D15"/>
    <w:rsid w:val="00E22B95"/>
    <w:rsid w:val="00E23BD8"/>
    <w:rsid w:val="00E2793D"/>
    <w:rsid w:val="00E30331"/>
    <w:rsid w:val="00E30BB8"/>
    <w:rsid w:val="00E31B20"/>
    <w:rsid w:val="00E31F9C"/>
    <w:rsid w:val="00E40488"/>
    <w:rsid w:val="00E44E54"/>
    <w:rsid w:val="00E50367"/>
    <w:rsid w:val="00E51ABA"/>
    <w:rsid w:val="00E524CB"/>
    <w:rsid w:val="00E6387C"/>
    <w:rsid w:val="00E65456"/>
    <w:rsid w:val="00E6565A"/>
    <w:rsid w:val="00E65A91"/>
    <w:rsid w:val="00E66188"/>
    <w:rsid w:val="00E664FB"/>
    <w:rsid w:val="00E672F0"/>
    <w:rsid w:val="00E70373"/>
    <w:rsid w:val="00E72E40"/>
    <w:rsid w:val="00E73665"/>
    <w:rsid w:val="00E73999"/>
    <w:rsid w:val="00E73BDC"/>
    <w:rsid w:val="00E73E9E"/>
    <w:rsid w:val="00E75C4A"/>
    <w:rsid w:val="00E81660"/>
    <w:rsid w:val="00E822CB"/>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598"/>
    <w:rsid w:val="00EC198B"/>
    <w:rsid w:val="00EC426D"/>
    <w:rsid w:val="00EC571B"/>
    <w:rsid w:val="00EC57D7"/>
    <w:rsid w:val="00EC6385"/>
    <w:rsid w:val="00ED1DE9"/>
    <w:rsid w:val="00ED23D4"/>
    <w:rsid w:val="00ED5E0B"/>
    <w:rsid w:val="00EE37B6"/>
    <w:rsid w:val="00EE3B83"/>
    <w:rsid w:val="00EF0F45"/>
    <w:rsid w:val="00EF249A"/>
    <w:rsid w:val="00EF7463"/>
    <w:rsid w:val="00EF7971"/>
    <w:rsid w:val="00F002EF"/>
    <w:rsid w:val="00F01EE9"/>
    <w:rsid w:val="00F03C29"/>
    <w:rsid w:val="00F04900"/>
    <w:rsid w:val="00F05A28"/>
    <w:rsid w:val="00F065A4"/>
    <w:rsid w:val="00F10F23"/>
    <w:rsid w:val="00F1212E"/>
    <w:rsid w:val="00F126B9"/>
    <w:rsid w:val="00F12715"/>
    <w:rsid w:val="00F144D5"/>
    <w:rsid w:val="00F146F0"/>
    <w:rsid w:val="00F15039"/>
    <w:rsid w:val="00F15A7A"/>
    <w:rsid w:val="00F20FF3"/>
    <w:rsid w:val="00F2190B"/>
    <w:rsid w:val="00F228B5"/>
    <w:rsid w:val="00F2389C"/>
    <w:rsid w:val="00F24174"/>
    <w:rsid w:val="00F25C67"/>
    <w:rsid w:val="00F269F0"/>
    <w:rsid w:val="00F30DFF"/>
    <w:rsid w:val="00F32B80"/>
    <w:rsid w:val="00F331F2"/>
    <w:rsid w:val="00F340EB"/>
    <w:rsid w:val="00F35285"/>
    <w:rsid w:val="00F405F1"/>
    <w:rsid w:val="00F43B9D"/>
    <w:rsid w:val="00F44D5E"/>
    <w:rsid w:val="00F53A35"/>
    <w:rsid w:val="00F55A3D"/>
    <w:rsid w:val="00F5744B"/>
    <w:rsid w:val="00F61209"/>
    <w:rsid w:val="00F6259E"/>
    <w:rsid w:val="00F65DD4"/>
    <w:rsid w:val="00F672B2"/>
    <w:rsid w:val="00F67C13"/>
    <w:rsid w:val="00F745BA"/>
    <w:rsid w:val="00F76450"/>
    <w:rsid w:val="00F805F7"/>
    <w:rsid w:val="00F82159"/>
    <w:rsid w:val="00F83973"/>
    <w:rsid w:val="00F8705A"/>
    <w:rsid w:val="00F87FA3"/>
    <w:rsid w:val="00F93D8C"/>
    <w:rsid w:val="00F974F5"/>
    <w:rsid w:val="00FA2EED"/>
    <w:rsid w:val="00FA3102"/>
    <w:rsid w:val="00FA48D4"/>
    <w:rsid w:val="00FA54FA"/>
    <w:rsid w:val="00FA6D39"/>
    <w:rsid w:val="00FB227E"/>
    <w:rsid w:val="00FB3D61"/>
    <w:rsid w:val="00FB44CE"/>
    <w:rsid w:val="00FB46BC"/>
    <w:rsid w:val="00FB4EB5"/>
    <w:rsid w:val="00FB5009"/>
    <w:rsid w:val="00FB76AB"/>
    <w:rsid w:val="00FC7AE7"/>
    <w:rsid w:val="00FD03FE"/>
    <w:rsid w:val="00FD126E"/>
    <w:rsid w:val="00FD3169"/>
    <w:rsid w:val="00FD3601"/>
    <w:rsid w:val="00FD3C36"/>
    <w:rsid w:val="00FD4D81"/>
    <w:rsid w:val="00FD7498"/>
    <w:rsid w:val="00FD7A38"/>
    <w:rsid w:val="00FD7FB3"/>
    <w:rsid w:val="00FE4713"/>
    <w:rsid w:val="00FF1F44"/>
    <w:rsid w:val="00FF225E"/>
    <w:rsid w:val="00FF4565"/>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0C8C4C"/>
  <w14:defaultImageDpi w14:val="330"/>
  <w15:docId w15:val="{19998E4E-9160-4709-B65B-617CD359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B0A74"/>
    <w:pPr>
      <w:spacing w:before="360" w:after="300" w:line="360" w:lineRule="auto"/>
      <w:ind w:left="720" w:right="-6"/>
      <w:jc w:val="both"/>
    </w:pPr>
    <w:rPr>
      <w:lang w:val="en-US"/>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CommentText">
    <w:name w:val="annotation text"/>
    <w:basedOn w:val="Normal"/>
    <w:link w:val="CommentTextChar"/>
    <w:rsid w:val="001146E7"/>
    <w:pPr>
      <w:spacing w:line="240" w:lineRule="auto"/>
    </w:pPr>
    <w:rPr>
      <w:rFonts w:ascii="Arial" w:hAnsi="Arial"/>
      <w:sz w:val="20"/>
      <w:szCs w:val="20"/>
      <w:lang w:val="en-US" w:eastAsia="tr-TR"/>
    </w:rPr>
  </w:style>
  <w:style w:type="character" w:customStyle="1" w:styleId="CommentTextChar">
    <w:name w:val="Comment Text Char"/>
    <w:basedOn w:val="DefaultParagraphFont"/>
    <w:link w:val="CommentText"/>
    <w:rsid w:val="001146E7"/>
    <w:rPr>
      <w:rFonts w:ascii="Arial" w:hAnsi="Arial"/>
      <w:lang w:val="en-US" w:eastAsia="tr-TR"/>
    </w:rPr>
  </w:style>
  <w:style w:type="paragraph" w:styleId="Caption">
    <w:name w:val="caption"/>
    <w:basedOn w:val="Normal"/>
    <w:next w:val="Normal"/>
    <w:uiPriority w:val="35"/>
    <w:unhideWhenUsed/>
    <w:rsid w:val="001146E7"/>
    <w:pPr>
      <w:spacing w:after="200" w:line="240" w:lineRule="auto"/>
    </w:pPr>
    <w:rPr>
      <w:i/>
      <w:iCs/>
      <w:color w:val="1F497D" w:themeColor="text2"/>
      <w:sz w:val="18"/>
      <w:szCs w:val="18"/>
    </w:rPr>
  </w:style>
  <w:style w:type="paragraph" w:customStyle="1" w:styleId="RSCB08CHeadingIn-line">
    <w:name w:val="RSC B08 C Heading (In-line)"/>
    <w:link w:val="RSCB08CHeadingIn-lineChar"/>
    <w:qFormat/>
    <w:rsid w:val="00655B17"/>
    <w:pPr>
      <w:spacing w:line="276" w:lineRule="auto"/>
    </w:pPr>
    <w:rPr>
      <w:rFonts w:asciiTheme="minorHAnsi" w:eastAsiaTheme="minorHAnsi" w:hAnsiTheme="minorHAnsi" w:cstheme="minorBidi"/>
      <w:b/>
      <w:sz w:val="18"/>
      <w:szCs w:val="22"/>
      <w:lang w:eastAsia="en-US"/>
    </w:rPr>
  </w:style>
  <w:style w:type="character" w:customStyle="1" w:styleId="RSCB08CHeadingIn-lineChar">
    <w:name w:val="RSC B08 C Heading (In-line) Char"/>
    <w:basedOn w:val="DefaultParagraphFont"/>
    <w:link w:val="RSCB08CHeadingIn-line"/>
    <w:rsid w:val="00655B17"/>
    <w:rPr>
      <w:rFonts w:asciiTheme="minorHAnsi" w:eastAsiaTheme="minorHAnsi" w:hAnsiTheme="minorHAnsi" w:cstheme="minorBidi"/>
      <w:b/>
      <w:sz w:val="18"/>
      <w:szCs w:val="22"/>
      <w:lang w:eastAsia="en-US"/>
    </w:rPr>
  </w:style>
  <w:style w:type="table" w:styleId="TableGridLight">
    <w:name w:val="Grid Table Light"/>
    <w:basedOn w:val="TableNormal"/>
    <w:uiPriority w:val="40"/>
    <w:rsid w:val="00655B17"/>
    <w:rPr>
      <w:rFonts w:ascii="Arial" w:eastAsia="Calibri" w:hAnsi="Arial" w:cs="Arial"/>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D11D6F"/>
    <w:pPr>
      <w:spacing w:after="160"/>
    </w:pPr>
    <w:rPr>
      <w:rFonts w:eastAsiaTheme="minorHAnsi" w:cs="Arial"/>
      <w:b/>
      <w:bCs/>
      <w:lang w:eastAsia="en-US"/>
    </w:rPr>
  </w:style>
  <w:style w:type="character" w:customStyle="1" w:styleId="CommentSubjectChar">
    <w:name w:val="Comment Subject Char"/>
    <w:basedOn w:val="CommentTextChar"/>
    <w:link w:val="CommentSubject"/>
    <w:uiPriority w:val="99"/>
    <w:semiHidden/>
    <w:rsid w:val="00D11D6F"/>
    <w:rPr>
      <w:rFonts w:ascii="Arial" w:eastAsiaTheme="minorHAnsi" w:hAnsi="Arial" w:cs="Arial"/>
      <w:b/>
      <w:bCs/>
      <w:lang w:val="en-US" w:eastAsia="en-US"/>
    </w:rPr>
  </w:style>
  <w:style w:type="table" w:styleId="TableGrid">
    <w:name w:val="Table Grid"/>
    <w:basedOn w:val="TableNormal"/>
    <w:rsid w:val="006A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D31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D3169"/>
    <w:rPr>
      <w:rFonts w:ascii="Segoe UI" w:hAnsi="Segoe UI" w:cs="Segoe UI"/>
      <w:sz w:val="18"/>
      <w:szCs w:val="18"/>
    </w:rPr>
  </w:style>
  <w:style w:type="paragraph" w:styleId="ListParagraph">
    <w:name w:val="List Paragraph"/>
    <w:basedOn w:val="Normal"/>
    <w:rsid w:val="00C77F85"/>
    <w:pPr>
      <w:ind w:left="720"/>
      <w:contextualSpacing/>
    </w:pPr>
  </w:style>
  <w:style w:type="character" w:styleId="LineNumber">
    <w:name w:val="line number"/>
    <w:basedOn w:val="DefaultParagraphFont"/>
    <w:semiHidden/>
    <w:unhideWhenUsed/>
    <w:rsid w:val="00330CAC"/>
  </w:style>
  <w:style w:type="character" w:styleId="Strong">
    <w:name w:val="Strong"/>
    <w:basedOn w:val="DefaultParagraphFont"/>
    <w:uiPriority w:val="22"/>
    <w:qFormat/>
    <w:rsid w:val="00A44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9288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hart" Target="charts/chart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5.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4.xm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evig1\AppData\Local\Temp\1\7zO0EC88EA4\TF_Template_Word_Windows_201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y.novartis.net/personal/bosevig1_novartis_net/Documents/1_FKKT/Vpis%20in%20tema/Disertacija/Ozoniranje%20v%20vodnem%20mediju/Kont_Tiam_vs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my.novartis.net/personal/bosevig1_novartis_net/Documents/1_FKKT/Vpis%20in%20tema/Disertacija/Ozoniranje%20v%20vodnem%20mediju/Kont_Tiam_vs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my.novartis.net/personal/bosevig1_novartis_net/Documents/1_FKKT/Vpis%20in%20tema/Disertacija/Ozoniranje%20v%20vodnem%20mediju/Kont_Levof_vs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my.novartis.net/personal/bosevig1_novartis_net/Documents/1_FKKT/Vpis%20in%20tema/Disertacija/Ozoniranje%20v%20vodnem%20mediju/Kont_Levof_vse.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my.novartis.net/personal/bosevig1_novartis_net/Documents/1_FKKT/Vpis%20in%20tema/Disertacija/Ozoniranje%20v%20vodnem%20mediju/Kont_Amox_vse.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my.novartis.net/personal/bosevig1_novartis_net/Documents/1_FKKT/Vpis%20in%20tema/Disertacija/Ozoniranje%20v%20vodnem%20mediju/Kont_Amox_vse.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7036459467509"/>
          <c:y val="4.1198501872659173E-2"/>
          <c:w val="0.82138216355264337"/>
          <c:h val="0.75653962372350514"/>
        </c:manualLayout>
      </c:layout>
      <c:scatterChart>
        <c:scatterStyle val="lineMarker"/>
        <c:varyColors val="0"/>
        <c:ser>
          <c:idx val="0"/>
          <c:order val="0"/>
          <c:tx>
            <c:strRef>
              <c:f>'30.5.2017 (2)-kinetika'!$B$45</c:f>
              <c:strCache>
                <c:ptCount val="1"/>
                <c:pt idx="0">
                  <c:v>TOC</c:v>
                </c:pt>
              </c:strCache>
            </c:strRef>
          </c:tx>
          <c:spPr>
            <a:ln w="2540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ysDot"/>
              </a:ln>
              <a:effectLst/>
            </c:spPr>
            <c:trendlineType val="log"/>
            <c:dispRSqr val="0"/>
            <c:dispEq val="0"/>
          </c:trendline>
          <c:trendline>
            <c:spPr>
              <a:ln w="19050" cap="rnd">
                <a:solidFill>
                  <a:schemeClr val="tx1"/>
                </a:solidFill>
                <a:prstDash val="sysDot"/>
              </a:ln>
              <a:effectLst/>
            </c:spPr>
            <c:trendlineType val="linear"/>
            <c:dispRSqr val="0"/>
            <c:dispEq val="0"/>
          </c:trendline>
          <c:xVal>
            <c:numRef>
              <c:f>'30.5.2017 (2)-kinetika'!$A$46:$A$49</c:f>
              <c:numCache>
                <c:formatCode>General</c:formatCode>
                <c:ptCount val="4"/>
                <c:pt idx="0">
                  <c:v>0</c:v>
                </c:pt>
                <c:pt idx="1">
                  <c:v>15</c:v>
                </c:pt>
                <c:pt idx="2">
                  <c:v>30</c:v>
                </c:pt>
                <c:pt idx="3">
                  <c:v>45</c:v>
                </c:pt>
              </c:numCache>
            </c:numRef>
          </c:xVal>
          <c:yVal>
            <c:numRef>
              <c:f>'30.5.2017 (2)-kinetika'!$B$46:$B$49</c:f>
              <c:numCache>
                <c:formatCode>General</c:formatCode>
                <c:ptCount val="4"/>
                <c:pt idx="0">
                  <c:v>64.209999999999994</c:v>
                </c:pt>
                <c:pt idx="1">
                  <c:v>62.883499999999998</c:v>
                </c:pt>
                <c:pt idx="2">
                  <c:v>58.766999999999996</c:v>
                </c:pt>
                <c:pt idx="3">
                  <c:v>57.86</c:v>
                </c:pt>
              </c:numCache>
            </c:numRef>
          </c:yVal>
          <c:smooth val="0"/>
          <c:extLst>
            <c:ext xmlns:c16="http://schemas.microsoft.com/office/drawing/2014/chart" uri="{C3380CC4-5D6E-409C-BE32-E72D297353CC}">
              <c16:uniqueId val="{00000000-DF4D-4AD2-9EDB-0886569BABC3}"/>
            </c:ext>
          </c:extLst>
        </c:ser>
        <c:ser>
          <c:idx val="2"/>
          <c:order val="1"/>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0"/>
            <c:dispEq val="0"/>
          </c:trendline>
          <c:xVal>
            <c:numRef>
              <c:f>'30.5.2017 (2)-kinetika'!$A$50:$A$53</c:f>
              <c:numCache>
                <c:formatCode>General</c:formatCode>
                <c:ptCount val="4"/>
                <c:pt idx="0">
                  <c:v>90</c:v>
                </c:pt>
                <c:pt idx="1">
                  <c:v>120</c:v>
                </c:pt>
                <c:pt idx="2">
                  <c:v>135</c:v>
                </c:pt>
                <c:pt idx="3">
                  <c:v>180</c:v>
                </c:pt>
              </c:numCache>
            </c:numRef>
          </c:xVal>
          <c:yVal>
            <c:numRef>
              <c:f>'30.5.2017 (2)-kinetika'!$B$50:$B$53</c:f>
              <c:numCache>
                <c:formatCode>General</c:formatCode>
                <c:ptCount val="4"/>
                <c:pt idx="0">
                  <c:v>56.71</c:v>
                </c:pt>
                <c:pt idx="1">
                  <c:v>55.531999999999996</c:v>
                </c:pt>
                <c:pt idx="2">
                  <c:v>55.573499999999996</c:v>
                </c:pt>
                <c:pt idx="3">
                  <c:v>54.56</c:v>
                </c:pt>
              </c:numCache>
            </c:numRef>
          </c:yVal>
          <c:smooth val="0"/>
          <c:extLst>
            <c:ext xmlns:c16="http://schemas.microsoft.com/office/drawing/2014/chart" uri="{C3380CC4-5D6E-409C-BE32-E72D297353CC}">
              <c16:uniqueId val="{00000001-DF4D-4AD2-9EDB-0886569BABC3}"/>
            </c:ext>
          </c:extLst>
        </c:ser>
        <c:dLbls>
          <c:showLegendKey val="0"/>
          <c:showVal val="0"/>
          <c:showCatName val="0"/>
          <c:showSerName val="0"/>
          <c:showPercent val="0"/>
          <c:showBubbleSize val="0"/>
        </c:dLbls>
        <c:axId val="705513592"/>
        <c:axId val="705511632"/>
      </c:scatterChart>
      <c:valAx>
        <c:axId val="70551359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Time (min)</a:t>
                </a:r>
                <a:endParaRPr lang="en-US" sz="1100">
                  <a:solidFill>
                    <a:schemeClr val="tx1"/>
                  </a:solidFill>
                </a:endParaRPr>
              </a:p>
            </c:rich>
          </c:tx>
          <c:layout>
            <c:manualLayout>
              <c:xMode val="edge"/>
              <c:yMode val="edge"/>
              <c:x val="0.49531246610702589"/>
              <c:y val="0.921048104281082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11632"/>
        <c:crosses val="autoZero"/>
        <c:crossBetween val="midCat"/>
      </c:valAx>
      <c:valAx>
        <c:axId val="705511632"/>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TOC (</a:t>
                </a:r>
                <a:r>
                  <a:rPr lang="sl-SI" sz="1100" baseline="0">
                    <a:solidFill>
                      <a:schemeClr val="tx1"/>
                    </a:solidFill>
                  </a:rPr>
                  <a:t>mg/L)</a:t>
                </a:r>
                <a:endParaRPr lang="en-US" sz="1100">
                  <a:solidFill>
                    <a:schemeClr val="tx1"/>
                  </a:solidFill>
                </a:endParaRPr>
              </a:p>
            </c:rich>
          </c:tx>
          <c:layout>
            <c:manualLayout>
              <c:xMode val="edge"/>
              <c:yMode val="edge"/>
              <c:x val="2.7455121436114043E-2"/>
              <c:y val="0.343701377215488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13592"/>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7036459467509"/>
          <c:y val="4.1198501872659173E-2"/>
          <c:w val="0.82138216355264337"/>
          <c:h val="0.75653962372350514"/>
        </c:manualLayout>
      </c:layout>
      <c:scatterChart>
        <c:scatterStyle val="lineMarker"/>
        <c:varyColors val="0"/>
        <c:ser>
          <c:idx val="0"/>
          <c:order val="0"/>
          <c:tx>
            <c:strRef>
              <c:f>'30.5.2017 (2)-kinetika'!$C$45</c:f>
              <c:strCache>
                <c:ptCount val="1"/>
                <c:pt idx="0">
                  <c:v>KPK</c:v>
                </c:pt>
              </c:strCache>
            </c:strRef>
          </c:tx>
          <c:spPr>
            <a:ln w="2540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ysDot"/>
              </a:ln>
              <a:effectLst/>
            </c:spPr>
            <c:trendlineType val="log"/>
            <c:dispRSqr val="0"/>
            <c:dispEq val="0"/>
          </c:trendline>
          <c:trendline>
            <c:spPr>
              <a:ln w="19050" cap="rnd">
                <a:solidFill>
                  <a:schemeClr val="tx1"/>
                </a:solidFill>
                <a:prstDash val="sysDot"/>
              </a:ln>
              <a:effectLst/>
            </c:spPr>
            <c:trendlineType val="linear"/>
            <c:dispRSqr val="0"/>
            <c:dispEq val="0"/>
          </c:trendline>
          <c:xVal>
            <c:numRef>
              <c:f>'30.5.2017 (2)-kinetika'!$A$46:$A$49</c:f>
              <c:numCache>
                <c:formatCode>General</c:formatCode>
                <c:ptCount val="4"/>
                <c:pt idx="0">
                  <c:v>0</c:v>
                </c:pt>
                <c:pt idx="1">
                  <c:v>15</c:v>
                </c:pt>
                <c:pt idx="2">
                  <c:v>30</c:v>
                </c:pt>
                <c:pt idx="3">
                  <c:v>45</c:v>
                </c:pt>
              </c:numCache>
            </c:numRef>
          </c:xVal>
          <c:yVal>
            <c:numRef>
              <c:f>'30.5.2017 (2)-kinetika'!$C$46:$C$49</c:f>
              <c:numCache>
                <c:formatCode>General</c:formatCode>
                <c:ptCount val="4"/>
                <c:pt idx="0">
                  <c:v>166.9655172413793</c:v>
                </c:pt>
                <c:pt idx="1">
                  <c:v>161.05000000000001</c:v>
                </c:pt>
                <c:pt idx="2">
                  <c:v>147.1</c:v>
                </c:pt>
                <c:pt idx="3">
                  <c:v>143.32758620689657</c:v>
                </c:pt>
              </c:numCache>
            </c:numRef>
          </c:yVal>
          <c:smooth val="0"/>
          <c:extLst>
            <c:ext xmlns:c16="http://schemas.microsoft.com/office/drawing/2014/chart" uri="{C3380CC4-5D6E-409C-BE32-E72D297353CC}">
              <c16:uniqueId val="{00000000-D685-4528-83B6-D62BE6C6CC83}"/>
            </c:ext>
          </c:extLst>
        </c:ser>
        <c:ser>
          <c:idx val="2"/>
          <c:order val="1"/>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0"/>
            <c:dispEq val="0"/>
          </c:trendline>
          <c:xVal>
            <c:numRef>
              <c:f>'30.5.2017 (2)-kinetika'!$A$50:$A$53</c:f>
              <c:numCache>
                <c:formatCode>General</c:formatCode>
                <c:ptCount val="4"/>
                <c:pt idx="0">
                  <c:v>90</c:v>
                </c:pt>
                <c:pt idx="1">
                  <c:v>120</c:v>
                </c:pt>
                <c:pt idx="2">
                  <c:v>135</c:v>
                </c:pt>
                <c:pt idx="3">
                  <c:v>180</c:v>
                </c:pt>
              </c:numCache>
            </c:numRef>
          </c:xVal>
          <c:yVal>
            <c:numRef>
              <c:f>'30.5.2017 (2)-kinetika'!$C$50:$C$53</c:f>
              <c:numCache>
                <c:formatCode>General</c:formatCode>
                <c:ptCount val="4"/>
                <c:pt idx="0">
                  <c:v>127.72413793103448</c:v>
                </c:pt>
                <c:pt idx="1">
                  <c:v>123.4</c:v>
                </c:pt>
                <c:pt idx="2">
                  <c:v>122.05</c:v>
                </c:pt>
                <c:pt idx="3">
                  <c:v>108.5</c:v>
                </c:pt>
              </c:numCache>
            </c:numRef>
          </c:yVal>
          <c:smooth val="0"/>
          <c:extLst>
            <c:ext xmlns:c16="http://schemas.microsoft.com/office/drawing/2014/chart" uri="{C3380CC4-5D6E-409C-BE32-E72D297353CC}">
              <c16:uniqueId val="{00000001-D685-4528-83B6-D62BE6C6CC83}"/>
            </c:ext>
          </c:extLst>
        </c:ser>
        <c:dLbls>
          <c:showLegendKey val="0"/>
          <c:showVal val="0"/>
          <c:showCatName val="0"/>
          <c:showSerName val="0"/>
          <c:showPercent val="0"/>
          <c:showBubbleSize val="0"/>
        </c:dLbls>
        <c:axId val="705508104"/>
        <c:axId val="705508496"/>
      </c:scatterChart>
      <c:valAx>
        <c:axId val="70550810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Time (min)</a:t>
                </a:r>
                <a:endParaRPr lang="en-US" sz="1100">
                  <a:solidFill>
                    <a:schemeClr val="tx1"/>
                  </a:solidFill>
                </a:endParaRPr>
              </a:p>
            </c:rich>
          </c:tx>
          <c:layout>
            <c:manualLayout>
              <c:xMode val="edge"/>
              <c:yMode val="edge"/>
              <c:x val="0.49531246610702589"/>
              <c:y val="0.921048104281082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08496"/>
        <c:crosses val="autoZero"/>
        <c:crossBetween val="midCat"/>
      </c:valAx>
      <c:valAx>
        <c:axId val="705508496"/>
        <c:scaling>
          <c:orientation val="minMax"/>
          <c:max val="200"/>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COD (</a:t>
                </a:r>
                <a:r>
                  <a:rPr lang="sl-SI" sz="1100" baseline="0">
                    <a:solidFill>
                      <a:schemeClr val="tx1"/>
                    </a:solidFill>
                  </a:rPr>
                  <a:t>mg/L)</a:t>
                </a:r>
                <a:endParaRPr lang="en-US" sz="1100">
                  <a:solidFill>
                    <a:schemeClr val="tx1"/>
                  </a:solidFill>
                </a:endParaRPr>
              </a:p>
            </c:rich>
          </c:tx>
          <c:layout>
            <c:manualLayout>
              <c:xMode val="edge"/>
              <c:yMode val="edge"/>
              <c:x val="2.7455121436114043E-2"/>
              <c:y val="0.343701377215488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08104"/>
        <c:crosses val="autoZero"/>
        <c:crossBetween val="midCat"/>
        <c:majorUnit val="40"/>
      </c:valAx>
      <c:spPr>
        <a:noFill/>
        <a:ln>
          <a:solidFill>
            <a:schemeClr val="tx1"/>
          </a:solidFill>
        </a:ln>
        <a:effectLst/>
      </c:spPr>
    </c:plotArea>
    <c:legend>
      <c:legendPos val="r"/>
      <c:legendEntry>
        <c:idx val="1"/>
        <c:delete val="1"/>
      </c:legendEntry>
      <c:legendEntry>
        <c:idx val="2"/>
        <c:delete val="1"/>
      </c:legendEntry>
      <c:legendEntry>
        <c:idx val="4"/>
        <c:delete val="1"/>
      </c:legendEntry>
      <c:layout>
        <c:manualLayout>
          <c:xMode val="edge"/>
          <c:yMode val="edge"/>
          <c:x val="0.75575251872349059"/>
          <c:y val="0.62159718694437383"/>
          <c:w val="0.20082821397664508"/>
          <c:h val="0.17011207772415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7036459467509"/>
          <c:y val="4.1198501872659173E-2"/>
          <c:w val="0.82138216355264337"/>
          <c:h val="0.75653962372350514"/>
        </c:manualLayout>
      </c:layout>
      <c:scatterChart>
        <c:scatterStyle val="lineMarker"/>
        <c:varyColors val="0"/>
        <c:ser>
          <c:idx val="0"/>
          <c:order val="0"/>
          <c:tx>
            <c:strRef>
              <c:f>'29.1.2018-kinetika'!$B$43</c:f>
              <c:strCache>
                <c:ptCount val="1"/>
                <c:pt idx="0">
                  <c:v>TOC</c:v>
                </c:pt>
              </c:strCache>
            </c:strRef>
          </c:tx>
          <c:spPr>
            <a:ln w="2540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ysDot"/>
              </a:ln>
              <a:effectLst/>
            </c:spPr>
            <c:trendlineType val="log"/>
            <c:dispRSqr val="0"/>
            <c:dispEq val="0"/>
          </c:trendline>
          <c:trendline>
            <c:spPr>
              <a:ln w="19050" cap="rnd">
                <a:solidFill>
                  <a:schemeClr val="tx1"/>
                </a:solidFill>
                <a:prstDash val="sysDot"/>
              </a:ln>
              <a:effectLst/>
            </c:spPr>
            <c:trendlineType val="linear"/>
            <c:dispRSqr val="0"/>
            <c:dispEq val="0"/>
          </c:trendline>
          <c:xVal>
            <c:numRef>
              <c:f>'29.1.2018-kinetika'!$A$44:$A$47</c:f>
              <c:numCache>
                <c:formatCode>General</c:formatCode>
                <c:ptCount val="4"/>
                <c:pt idx="0">
                  <c:v>0</c:v>
                </c:pt>
                <c:pt idx="1">
                  <c:v>15</c:v>
                </c:pt>
                <c:pt idx="2">
                  <c:v>30</c:v>
                </c:pt>
                <c:pt idx="3">
                  <c:v>45</c:v>
                </c:pt>
              </c:numCache>
            </c:numRef>
          </c:xVal>
          <c:yVal>
            <c:numRef>
              <c:f>'29.1.2018-kinetika'!$B$44:$B$47</c:f>
              <c:numCache>
                <c:formatCode>General</c:formatCode>
                <c:ptCount val="4"/>
                <c:pt idx="0">
                  <c:v>57.72</c:v>
                </c:pt>
                <c:pt idx="1">
                  <c:v>48.740499999999997</c:v>
                </c:pt>
                <c:pt idx="2">
                  <c:v>47.4</c:v>
                </c:pt>
                <c:pt idx="3">
                  <c:v>38.94</c:v>
                </c:pt>
              </c:numCache>
            </c:numRef>
          </c:yVal>
          <c:smooth val="0"/>
          <c:extLst>
            <c:ext xmlns:c16="http://schemas.microsoft.com/office/drawing/2014/chart" uri="{C3380CC4-5D6E-409C-BE32-E72D297353CC}">
              <c16:uniqueId val="{00000000-E152-46AE-AF4B-1081AA60FD0F}"/>
            </c:ext>
          </c:extLst>
        </c:ser>
        <c:ser>
          <c:idx val="2"/>
          <c:order val="1"/>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0"/>
            <c:dispEq val="0"/>
          </c:trendline>
          <c:xVal>
            <c:numRef>
              <c:f>'29.1.2018-kinetika'!$A$48:$A$51</c:f>
              <c:numCache>
                <c:formatCode>General</c:formatCode>
                <c:ptCount val="4"/>
                <c:pt idx="0">
                  <c:v>90</c:v>
                </c:pt>
                <c:pt idx="1">
                  <c:v>120</c:v>
                </c:pt>
                <c:pt idx="2">
                  <c:v>135</c:v>
                </c:pt>
                <c:pt idx="3">
                  <c:v>180</c:v>
                </c:pt>
              </c:numCache>
            </c:numRef>
          </c:xVal>
          <c:yVal>
            <c:numRef>
              <c:f>'29.1.2018-kinetika'!$B$48:$B$51</c:f>
              <c:numCache>
                <c:formatCode>General</c:formatCode>
                <c:ptCount val="4"/>
                <c:pt idx="0">
                  <c:v>33.99</c:v>
                </c:pt>
                <c:pt idx="1">
                  <c:v>32.200000000000003</c:v>
                </c:pt>
                <c:pt idx="2">
                  <c:v>32.130000000000003</c:v>
                </c:pt>
                <c:pt idx="3">
                  <c:v>30.61</c:v>
                </c:pt>
              </c:numCache>
            </c:numRef>
          </c:yVal>
          <c:smooth val="0"/>
          <c:extLst>
            <c:ext xmlns:c16="http://schemas.microsoft.com/office/drawing/2014/chart" uri="{C3380CC4-5D6E-409C-BE32-E72D297353CC}">
              <c16:uniqueId val="{00000001-E152-46AE-AF4B-1081AA60FD0F}"/>
            </c:ext>
          </c:extLst>
        </c:ser>
        <c:dLbls>
          <c:showLegendKey val="0"/>
          <c:showVal val="0"/>
          <c:showCatName val="0"/>
          <c:showSerName val="0"/>
          <c:showPercent val="0"/>
          <c:showBubbleSize val="0"/>
        </c:dLbls>
        <c:axId val="705509280"/>
        <c:axId val="705509672"/>
      </c:scatterChart>
      <c:valAx>
        <c:axId val="70550928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Time (min)</a:t>
                </a:r>
                <a:endParaRPr lang="en-US" sz="1100">
                  <a:solidFill>
                    <a:schemeClr val="tx1"/>
                  </a:solidFill>
                </a:endParaRPr>
              </a:p>
            </c:rich>
          </c:tx>
          <c:layout>
            <c:manualLayout>
              <c:xMode val="edge"/>
              <c:yMode val="edge"/>
              <c:x val="0.49531246610702589"/>
              <c:y val="0.921048104281082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09672"/>
        <c:crosses val="autoZero"/>
        <c:crossBetween val="midCat"/>
      </c:valAx>
      <c:valAx>
        <c:axId val="70550967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TOC (</a:t>
                </a:r>
                <a:r>
                  <a:rPr lang="sl-SI" sz="1100" baseline="0">
                    <a:solidFill>
                      <a:schemeClr val="tx1"/>
                    </a:solidFill>
                  </a:rPr>
                  <a:t>mg/L)</a:t>
                </a:r>
                <a:endParaRPr lang="en-US" sz="1100">
                  <a:solidFill>
                    <a:schemeClr val="tx1"/>
                  </a:solidFill>
                </a:endParaRPr>
              </a:p>
            </c:rich>
          </c:tx>
          <c:layout>
            <c:manualLayout>
              <c:xMode val="edge"/>
              <c:yMode val="edge"/>
              <c:x val="2.7455121436114043E-2"/>
              <c:y val="0.343701377215488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09280"/>
        <c:crosses val="autoZero"/>
        <c:crossBetween val="midCat"/>
      </c:valAx>
      <c:spPr>
        <a:noFill/>
        <a:ln>
          <a:solidFill>
            <a:schemeClr val="tx1"/>
          </a:solidFill>
        </a:ln>
        <a:effectLst/>
      </c:spPr>
    </c:plotArea>
    <c:legend>
      <c:legendPos val="r"/>
      <c:legendEntry>
        <c:idx val="1"/>
        <c:delete val="1"/>
      </c:legendEntry>
      <c:legendEntry>
        <c:idx val="2"/>
        <c:delete val="1"/>
      </c:legendEntry>
      <c:legendEntry>
        <c:idx val="3"/>
        <c:delete val="1"/>
      </c:legendEntry>
      <c:legendEntry>
        <c:idx val="4"/>
        <c:delete val="1"/>
      </c:legendEntry>
      <c:layout>
        <c:manualLayout>
          <c:xMode val="edge"/>
          <c:yMode val="edge"/>
          <c:x val="0.75336445902199811"/>
          <c:y val="4.0384096393192757E-2"/>
          <c:w val="0.20400324789794763"/>
          <c:h val="0.17011207772415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4324304651711"/>
          <c:y val="4.1198501872659173E-2"/>
          <c:w val="0.80652022647340293"/>
          <c:h val="0.75653962372350514"/>
        </c:manualLayout>
      </c:layout>
      <c:scatterChart>
        <c:scatterStyle val="lineMarker"/>
        <c:varyColors val="0"/>
        <c:ser>
          <c:idx val="0"/>
          <c:order val="0"/>
          <c:tx>
            <c:strRef>
              <c:f>'29.1.2018-kinetika'!$C$43</c:f>
              <c:strCache>
                <c:ptCount val="1"/>
                <c:pt idx="0">
                  <c:v>KPK</c:v>
                </c:pt>
              </c:strCache>
            </c:strRef>
          </c:tx>
          <c:spPr>
            <a:ln w="2540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ysDot"/>
              </a:ln>
              <a:effectLst/>
            </c:spPr>
            <c:trendlineType val="log"/>
            <c:dispRSqr val="0"/>
            <c:dispEq val="0"/>
          </c:trendline>
          <c:trendline>
            <c:spPr>
              <a:ln w="19050" cap="rnd">
                <a:solidFill>
                  <a:schemeClr val="tx1"/>
                </a:solidFill>
                <a:prstDash val="sysDot"/>
              </a:ln>
              <a:effectLst/>
            </c:spPr>
            <c:trendlineType val="linear"/>
            <c:dispRSqr val="0"/>
            <c:dispEq val="0"/>
          </c:trendline>
          <c:xVal>
            <c:numRef>
              <c:f>'29.1.2018-kinetika'!$A$44:$A$47</c:f>
              <c:numCache>
                <c:formatCode>General</c:formatCode>
                <c:ptCount val="4"/>
                <c:pt idx="0">
                  <c:v>0</c:v>
                </c:pt>
                <c:pt idx="1">
                  <c:v>15</c:v>
                </c:pt>
                <c:pt idx="2">
                  <c:v>30</c:v>
                </c:pt>
                <c:pt idx="3">
                  <c:v>45</c:v>
                </c:pt>
              </c:numCache>
            </c:numRef>
          </c:xVal>
          <c:yVal>
            <c:numRef>
              <c:f>'29.1.2018-kinetika'!$C$44:$C$47</c:f>
              <c:numCache>
                <c:formatCode>General</c:formatCode>
                <c:ptCount val="4"/>
                <c:pt idx="0">
                  <c:v>175.3</c:v>
                </c:pt>
                <c:pt idx="1">
                  <c:v>154</c:v>
                </c:pt>
                <c:pt idx="2">
                  <c:v>93</c:v>
                </c:pt>
                <c:pt idx="3">
                  <c:v>66.84</c:v>
                </c:pt>
              </c:numCache>
            </c:numRef>
          </c:yVal>
          <c:smooth val="0"/>
          <c:extLst>
            <c:ext xmlns:c16="http://schemas.microsoft.com/office/drawing/2014/chart" uri="{C3380CC4-5D6E-409C-BE32-E72D297353CC}">
              <c16:uniqueId val="{00000000-95A6-453D-B904-9FBC68384E78}"/>
            </c:ext>
          </c:extLst>
        </c:ser>
        <c:ser>
          <c:idx val="3"/>
          <c:order val="1"/>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0"/>
            <c:dispEq val="0"/>
          </c:trendline>
          <c:xVal>
            <c:numRef>
              <c:f>'29.1.2018-kinetika'!$A$48:$A$51</c:f>
              <c:numCache>
                <c:formatCode>General</c:formatCode>
                <c:ptCount val="4"/>
                <c:pt idx="0">
                  <c:v>90</c:v>
                </c:pt>
                <c:pt idx="1">
                  <c:v>120</c:v>
                </c:pt>
                <c:pt idx="2">
                  <c:v>135</c:v>
                </c:pt>
                <c:pt idx="3">
                  <c:v>180</c:v>
                </c:pt>
              </c:numCache>
            </c:numRef>
          </c:xVal>
          <c:yVal>
            <c:numRef>
              <c:f>'29.1.2018-kinetika'!$C$48:$C$51</c:f>
              <c:numCache>
                <c:formatCode>General</c:formatCode>
                <c:ptCount val="4"/>
                <c:pt idx="0">
                  <c:v>60.61999999999999</c:v>
                </c:pt>
                <c:pt idx="1">
                  <c:v>55.676000000000002</c:v>
                </c:pt>
                <c:pt idx="2">
                  <c:v>49.72</c:v>
                </c:pt>
                <c:pt idx="3">
                  <c:v>37.879999999999995</c:v>
                </c:pt>
              </c:numCache>
            </c:numRef>
          </c:yVal>
          <c:smooth val="0"/>
          <c:extLst>
            <c:ext xmlns:c16="http://schemas.microsoft.com/office/drawing/2014/chart" uri="{C3380CC4-5D6E-409C-BE32-E72D297353CC}">
              <c16:uniqueId val="{00000001-95A6-453D-B904-9FBC68384E78}"/>
            </c:ext>
          </c:extLst>
        </c:ser>
        <c:dLbls>
          <c:showLegendKey val="0"/>
          <c:showVal val="0"/>
          <c:showCatName val="0"/>
          <c:showSerName val="0"/>
          <c:showPercent val="0"/>
          <c:showBubbleSize val="0"/>
        </c:dLbls>
        <c:axId val="705512416"/>
        <c:axId val="705510456"/>
      </c:scatterChart>
      <c:valAx>
        <c:axId val="7055124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Time (min)</a:t>
                </a:r>
                <a:endParaRPr lang="en-US" sz="1100">
                  <a:solidFill>
                    <a:schemeClr val="tx1"/>
                  </a:solidFill>
                </a:endParaRPr>
              </a:p>
            </c:rich>
          </c:tx>
          <c:layout>
            <c:manualLayout>
              <c:xMode val="edge"/>
              <c:yMode val="edge"/>
              <c:x val="0.49531246610702589"/>
              <c:y val="0.921048104281082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10456"/>
        <c:crosses val="autoZero"/>
        <c:crossBetween val="midCat"/>
      </c:valAx>
      <c:valAx>
        <c:axId val="70551045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COD (</a:t>
                </a:r>
                <a:r>
                  <a:rPr lang="sl-SI" sz="1100" baseline="0">
                    <a:solidFill>
                      <a:schemeClr val="tx1"/>
                    </a:solidFill>
                  </a:rPr>
                  <a:t>mg/L)</a:t>
                </a:r>
                <a:endParaRPr lang="en-US" sz="1100">
                  <a:solidFill>
                    <a:schemeClr val="tx1"/>
                  </a:solidFill>
                </a:endParaRPr>
              </a:p>
            </c:rich>
          </c:tx>
          <c:layout>
            <c:manualLayout>
              <c:xMode val="edge"/>
              <c:yMode val="edge"/>
              <c:x val="2.7455121436114043E-2"/>
              <c:y val="0.343701377215488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05512416"/>
        <c:crosses val="autoZero"/>
        <c:crossBetween val="midCat"/>
        <c:majorUnit val="40"/>
      </c:valAx>
      <c:spPr>
        <a:noFill/>
        <a:ln>
          <a:solidFill>
            <a:schemeClr val="tx1"/>
          </a:solidFill>
        </a:ln>
        <a:effectLst/>
      </c:spPr>
    </c:plotArea>
    <c:legend>
      <c:legendPos val="r"/>
      <c:legendEntry>
        <c:idx val="1"/>
        <c:delete val="1"/>
      </c:legendEntry>
      <c:legendEntry>
        <c:idx val="2"/>
        <c:delete val="1"/>
      </c:legendEntry>
      <c:legendEntry>
        <c:idx val="3"/>
        <c:delete val="1"/>
      </c:legendEntry>
      <c:legendEntry>
        <c:idx val="4"/>
        <c:delete val="1"/>
      </c:legendEntry>
      <c:layout>
        <c:manualLayout>
          <c:xMode val="edge"/>
          <c:yMode val="edge"/>
          <c:x val="0.77236038846568877"/>
          <c:y val="5.0464741554483113E-2"/>
          <c:w val="0.1842241904293849"/>
          <c:h val="0.18082216789433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7036459467509"/>
          <c:y val="4.1198501872659173E-2"/>
          <c:w val="0.82138216355264337"/>
          <c:h val="0.75692745033866726"/>
        </c:manualLayout>
      </c:layout>
      <c:scatterChart>
        <c:scatterStyle val="lineMarker"/>
        <c:varyColors val="0"/>
        <c:ser>
          <c:idx val="0"/>
          <c:order val="0"/>
          <c:tx>
            <c:strRef>
              <c:f>'8.11.2017-kinetika (3)'!$B$43</c:f>
              <c:strCache>
                <c:ptCount val="1"/>
                <c:pt idx="0">
                  <c:v>TOC</c:v>
                </c:pt>
              </c:strCache>
            </c:strRef>
          </c:tx>
          <c:spPr>
            <a:ln w="2540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ysDot"/>
              </a:ln>
              <a:effectLst/>
            </c:spPr>
            <c:trendlineType val="log"/>
            <c:dispRSqr val="0"/>
            <c:dispEq val="0"/>
          </c:trendline>
          <c:xVal>
            <c:numRef>
              <c:f>'8.11.2017-kinetika (3)'!$A$44:$A$51</c:f>
              <c:numCache>
                <c:formatCode>General</c:formatCode>
                <c:ptCount val="8"/>
                <c:pt idx="0">
                  <c:v>0</c:v>
                </c:pt>
                <c:pt idx="1">
                  <c:v>15</c:v>
                </c:pt>
                <c:pt idx="2">
                  <c:v>30</c:v>
                </c:pt>
                <c:pt idx="3">
                  <c:v>45</c:v>
                </c:pt>
                <c:pt idx="4">
                  <c:v>90</c:v>
                </c:pt>
                <c:pt idx="5">
                  <c:v>120</c:v>
                </c:pt>
                <c:pt idx="6">
                  <c:v>135</c:v>
                </c:pt>
                <c:pt idx="7">
                  <c:v>180</c:v>
                </c:pt>
              </c:numCache>
            </c:numRef>
          </c:xVal>
          <c:yVal>
            <c:numRef>
              <c:f>'8.11.2017-kinetika (3)'!$B$44:$B$51</c:f>
              <c:numCache>
                <c:formatCode>General</c:formatCode>
                <c:ptCount val="8"/>
                <c:pt idx="0">
                  <c:v>35.799999999999997</c:v>
                </c:pt>
                <c:pt idx="1">
                  <c:v>34.71</c:v>
                </c:pt>
                <c:pt idx="2">
                  <c:v>31.46</c:v>
                </c:pt>
                <c:pt idx="3">
                  <c:v>32.950000000000003</c:v>
                </c:pt>
                <c:pt idx="4">
                  <c:v>32.46</c:v>
                </c:pt>
                <c:pt idx="5">
                  <c:v>31.15</c:v>
                </c:pt>
              </c:numCache>
            </c:numRef>
          </c:yVal>
          <c:smooth val="0"/>
          <c:extLst>
            <c:ext xmlns:c16="http://schemas.microsoft.com/office/drawing/2014/chart" uri="{C3380CC4-5D6E-409C-BE32-E72D297353CC}">
              <c16:uniqueId val="{00000000-9DD1-4C53-B60B-68637B713CA8}"/>
            </c:ext>
          </c:extLst>
        </c:ser>
        <c:ser>
          <c:idx val="1"/>
          <c:order val="1"/>
          <c:tx>
            <c:strRef>
              <c:f>'8.11.2017-kinetika (3)'!$R$43</c:f>
              <c:strCache>
                <c:ptCount val="1"/>
                <c:pt idx="0">
                  <c:v>TOCteor</c:v>
                </c:pt>
              </c:strCache>
            </c:strRef>
          </c:tx>
          <c:spPr>
            <a:ln w="25400" cap="rnd">
              <a:noFill/>
              <a:prstDash val="sysDot"/>
              <a:round/>
            </a:ln>
            <a:effectLst/>
          </c:spPr>
          <c:marker>
            <c:symbol val="none"/>
          </c:marker>
          <c:trendline>
            <c:spPr>
              <a:ln w="19050" cap="rnd">
                <a:solidFill>
                  <a:schemeClr val="accent2"/>
                </a:solidFill>
                <a:prstDash val="sysDot"/>
              </a:ln>
              <a:effectLst/>
            </c:spPr>
            <c:trendlineType val="log"/>
            <c:dispRSqr val="0"/>
            <c:dispEq val="0"/>
          </c:trendline>
          <c:trendline>
            <c:spPr>
              <a:ln w="19050" cap="rnd">
                <a:solidFill>
                  <a:schemeClr val="accent2"/>
                </a:solidFill>
                <a:prstDash val="sysDot"/>
              </a:ln>
              <a:effectLst/>
            </c:spPr>
            <c:trendlineType val="power"/>
            <c:dispRSqr val="0"/>
            <c:dispEq val="0"/>
          </c:trendline>
          <c:trendline>
            <c:spPr>
              <a:ln w="19050" cap="rnd">
                <a:solidFill>
                  <a:schemeClr val="tx1"/>
                </a:solidFill>
                <a:prstDash val="sysDot"/>
              </a:ln>
              <a:effectLst/>
            </c:spPr>
            <c:trendlineType val="poly"/>
            <c:order val="3"/>
            <c:dispRSqr val="0"/>
            <c:dispEq val="0"/>
          </c:trendline>
          <c:xVal>
            <c:numRef>
              <c:f>'8.11.2017-kinetika (3)'!$A$44:$A$51</c:f>
              <c:numCache>
                <c:formatCode>General</c:formatCode>
                <c:ptCount val="8"/>
                <c:pt idx="0">
                  <c:v>0</c:v>
                </c:pt>
                <c:pt idx="1">
                  <c:v>15</c:v>
                </c:pt>
                <c:pt idx="2">
                  <c:v>30</c:v>
                </c:pt>
                <c:pt idx="3">
                  <c:v>45</c:v>
                </c:pt>
                <c:pt idx="4">
                  <c:v>90</c:v>
                </c:pt>
                <c:pt idx="5">
                  <c:v>120</c:v>
                </c:pt>
                <c:pt idx="6">
                  <c:v>135</c:v>
                </c:pt>
                <c:pt idx="7">
                  <c:v>180</c:v>
                </c:pt>
              </c:numCache>
            </c:numRef>
          </c:xVal>
          <c:yVal>
            <c:numRef>
              <c:f>'8.11.2017-kinetika (3)'!$R$44:$R$51</c:f>
              <c:numCache>
                <c:formatCode>_-* #,##0\ _€_-;\-* #,##0\ _€_-;_-* "-"??\ _€_-;_-@_-</c:formatCode>
                <c:ptCount val="8"/>
                <c:pt idx="0">
                  <c:v>35.79999999999999</c:v>
                </c:pt>
                <c:pt idx="1">
                  <c:v>34</c:v>
                </c:pt>
                <c:pt idx="2">
                  <c:v>33</c:v>
                </c:pt>
                <c:pt idx="3">
                  <c:v>32</c:v>
                </c:pt>
                <c:pt idx="4">
                  <c:v>32</c:v>
                </c:pt>
                <c:pt idx="5">
                  <c:v>31</c:v>
                </c:pt>
                <c:pt idx="6">
                  <c:v>30</c:v>
                </c:pt>
                <c:pt idx="7">
                  <c:v>30.445795122540339</c:v>
                </c:pt>
              </c:numCache>
            </c:numRef>
          </c:yVal>
          <c:smooth val="0"/>
          <c:extLst>
            <c:ext xmlns:c16="http://schemas.microsoft.com/office/drawing/2014/chart" uri="{C3380CC4-5D6E-409C-BE32-E72D297353CC}">
              <c16:uniqueId val="{00000001-9DD1-4C53-B60B-68637B713CA8}"/>
            </c:ext>
          </c:extLst>
        </c:ser>
        <c:dLbls>
          <c:showLegendKey val="0"/>
          <c:showVal val="0"/>
          <c:showCatName val="0"/>
          <c:showSerName val="0"/>
          <c:showPercent val="0"/>
          <c:showBubbleSize val="0"/>
        </c:dLbls>
        <c:axId val="710331456"/>
        <c:axId val="710327536"/>
      </c:scatterChart>
      <c:valAx>
        <c:axId val="71033145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Time (min)</a:t>
                </a:r>
                <a:endParaRPr lang="en-US" sz="1100">
                  <a:solidFill>
                    <a:schemeClr val="tx1"/>
                  </a:solidFill>
                </a:endParaRPr>
              </a:p>
            </c:rich>
          </c:tx>
          <c:layout>
            <c:manualLayout>
              <c:xMode val="edge"/>
              <c:yMode val="edge"/>
              <c:x val="0.48429318236046942"/>
              <c:y val="0.921048224898174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10327536"/>
        <c:crosses val="autoZero"/>
        <c:crossBetween val="midCat"/>
      </c:valAx>
      <c:valAx>
        <c:axId val="710327536"/>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TOC (</a:t>
                </a:r>
                <a:r>
                  <a:rPr lang="sl-SI" sz="1100" baseline="0">
                    <a:solidFill>
                      <a:schemeClr val="tx1"/>
                    </a:solidFill>
                  </a:rPr>
                  <a:t>mg/L)</a:t>
                </a:r>
                <a:endParaRPr lang="en-US" sz="1100">
                  <a:solidFill>
                    <a:schemeClr val="tx1"/>
                  </a:solidFill>
                </a:endParaRPr>
              </a:p>
            </c:rich>
          </c:tx>
          <c:layout>
            <c:manualLayout>
              <c:xMode val="edge"/>
              <c:yMode val="edge"/>
              <c:x val="2.7455121436114043E-2"/>
              <c:y val="0.343701377215488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10331456"/>
        <c:crosses val="autoZero"/>
        <c:crossBetween val="midCat"/>
      </c:valAx>
      <c:spPr>
        <a:noFill/>
        <a:ln>
          <a:solidFill>
            <a:schemeClr val="tx1"/>
          </a:solid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layout>
        <c:manualLayout>
          <c:xMode val="edge"/>
          <c:yMode val="edge"/>
          <c:x val="0.59249755970586326"/>
          <c:y val="0.63052920144845781"/>
          <c:w val="0.36415088609791546"/>
          <c:h val="0.1628243692237950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85405956486848"/>
          <c:y val="4.1198501872659173E-2"/>
          <c:w val="0.80209843604260211"/>
          <c:h val="0.76154060465739704"/>
        </c:manualLayout>
      </c:layout>
      <c:scatterChart>
        <c:scatterStyle val="lineMarker"/>
        <c:varyColors val="0"/>
        <c:ser>
          <c:idx val="0"/>
          <c:order val="0"/>
          <c:tx>
            <c:strRef>
              <c:f>'8.11.2017-kinetika'!$C$43</c:f>
              <c:strCache>
                <c:ptCount val="1"/>
                <c:pt idx="0">
                  <c:v>KPK</c:v>
                </c:pt>
              </c:strCache>
            </c:strRef>
          </c:tx>
          <c:spPr>
            <a:ln w="25400"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ysDot"/>
              </a:ln>
              <a:effectLst/>
            </c:spPr>
            <c:trendlineType val="log"/>
            <c:dispRSqr val="0"/>
            <c:dispEq val="0"/>
          </c:trendline>
          <c:trendline>
            <c:spPr>
              <a:ln w="19050" cap="rnd">
                <a:solidFill>
                  <a:schemeClr val="accent1"/>
                </a:solidFill>
                <a:prstDash val="sysDot"/>
              </a:ln>
              <a:effectLst/>
            </c:spPr>
            <c:trendlineType val="log"/>
            <c:dispRSqr val="0"/>
            <c:dispEq val="0"/>
          </c:trendline>
          <c:xVal>
            <c:numRef>
              <c:f>'8.11.2017-kinetika'!$A$44:$A$51</c:f>
              <c:numCache>
                <c:formatCode>General</c:formatCode>
                <c:ptCount val="8"/>
                <c:pt idx="0">
                  <c:v>0</c:v>
                </c:pt>
                <c:pt idx="1">
                  <c:v>15</c:v>
                </c:pt>
                <c:pt idx="2">
                  <c:v>30</c:v>
                </c:pt>
                <c:pt idx="3">
                  <c:v>45</c:v>
                </c:pt>
                <c:pt idx="4">
                  <c:v>90</c:v>
                </c:pt>
                <c:pt idx="5">
                  <c:v>120</c:v>
                </c:pt>
                <c:pt idx="6">
                  <c:v>135</c:v>
                </c:pt>
                <c:pt idx="7">
                  <c:v>180</c:v>
                </c:pt>
              </c:numCache>
            </c:numRef>
          </c:xVal>
          <c:yVal>
            <c:numRef>
              <c:f>'8.11.2017-kinetika'!$C$44:$C$51</c:f>
              <c:numCache>
                <c:formatCode>General</c:formatCode>
                <c:ptCount val="8"/>
                <c:pt idx="0">
                  <c:v>165.3</c:v>
                </c:pt>
                <c:pt idx="1">
                  <c:v>105.06</c:v>
                </c:pt>
                <c:pt idx="2">
                  <c:v>91.24</c:v>
                </c:pt>
                <c:pt idx="3">
                  <c:v>71.680000000000007</c:v>
                </c:pt>
                <c:pt idx="4">
                  <c:v>65.180000000000007</c:v>
                </c:pt>
                <c:pt idx="5">
                  <c:v>58.44</c:v>
                </c:pt>
                <c:pt idx="7">
                  <c:v>55</c:v>
                </c:pt>
              </c:numCache>
            </c:numRef>
          </c:yVal>
          <c:smooth val="0"/>
          <c:extLst>
            <c:ext xmlns:c16="http://schemas.microsoft.com/office/drawing/2014/chart" uri="{C3380CC4-5D6E-409C-BE32-E72D297353CC}">
              <c16:uniqueId val="{00000000-A5AB-45E4-894F-A7608870C530}"/>
            </c:ext>
          </c:extLst>
        </c:ser>
        <c:ser>
          <c:idx val="1"/>
          <c:order val="1"/>
          <c:spPr>
            <a:ln w="25400" cap="rnd">
              <a:noFill/>
              <a:prstDash val="sysDot"/>
              <a:round/>
            </a:ln>
            <a:effectLst/>
          </c:spPr>
          <c:marker>
            <c:symbol val="none"/>
          </c:marker>
          <c:trendline>
            <c:spPr>
              <a:ln w="19050" cap="rnd">
                <a:solidFill>
                  <a:schemeClr val="tx1"/>
                </a:solidFill>
                <a:prstDash val="sysDot"/>
              </a:ln>
              <a:effectLst/>
            </c:spPr>
            <c:trendlineType val="poly"/>
            <c:order val="6"/>
            <c:dispRSqr val="0"/>
            <c:dispEq val="0"/>
          </c:trendline>
          <c:xVal>
            <c:numRef>
              <c:f>'8.11.2017-kinetika'!$A$44:$A$51</c:f>
              <c:numCache>
                <c:formatCode>General</c:formatCode>
                <c:ptCount val="8"/>
                <c:pt idx="0">
                  <c:v>0</c:v>
                </c:pt>
                <c:pt idx="1">
                  <c:v>15</c:v>
                </c:pt>
                <c:pt idx="2">
                  <c:v>30</c:v>
                </c:pt>
                <c:pt idx="3">
                  <c:v>45</c:v>
                </c:pt>
                <c:pt idx="4">
                  <c:v>90</c:v>
                </c:pt>
                <c:pt idx="5">
                  <c:v>120</c:v>
                </c:pt>
                <c:pt idx="6">
                  <c:v>135</c:v>
                </c:pt>
                <c:pt idx="7">
                  <c:v>180</c:v>
                </c:pt>
              </c:numCache>
            </c:numRef>
          </c:xVal>
          <c:yVal>
            <c:numRef>
              <c:f>'8.11.2017-kinetika'!$S$44:$S$51</c:f>
              <c:numCache>
                <c:formatCode>_-* #,##0\ _€_-;\-* #,##0\ _€_-;_-* "-"??\ _€_-;_-@_-</c:formatCode>
                <c:ptCount val="8"/>
                <c:pt idx="0">
                  <c:v>165.30000000000007</c:v>
                </c:pt>
                <c:pt idx="1">
                  <c:v>126.75574980899466</c:v>
                </c:pt>
                <c:pt idx="2">
                  <c:v>97.199153718333079</c:v>
                </c:pt>
                <c:pt idx="3">
                  <c:v>74.534492500708026</c:v>
                </c:pt>
                <c:pt idx="4">
                  <c:v>55.431757711932406</c:v>
                </c:pt>
                <c:pt idx="5">
                  <c:v>52.517826976113412</c:v>
                </c:pt>
                <c:pt idx="6">
                  <c:v>51.118817267630071</c:v>
                </c:pt>
                <c:pt idx="7">
                  <c:v>47.141450798318147</c:v>
                </c:pt>
              </c:numCache>
            </c:numRef>
          </c:yVal>
          <c:smooth val="0"/>
          <c:extLst>
            <c:ext xmlns:c16="http://schemas.microsoft.com/office/drawing/2014/chart" uri="{C3380CC4-5D6E-409C-BE32-E72D297353CC}">
              <c16:uniqueId val="{00000001-A5AB-45E4-894F-A7608870C530}"/>
            </c:ext>
          </c:extLst>
        </c:ser>
        <c:dLbls>
          <c:showLegendKey val="0"/>
          <c:showVal val="0"/>
          <c:showCatName val="0"/>
          <c:showSerName val="0"/>
          <c:showPercent val="0"/>
          <c:showBubbleSize val="0"/>
        </c:dLbls>
        <c:axId val="710325576"/>
        <c:axId val="710328712"/>
      </c:scatterChart>
      <c:valAx>
        <c:axId val="7103255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Time (min)</a:t>
                </a:r>
                <a:endParaRPr lang="en-US" sz="1100">
                  <a:solidFill>
                    <a:schemeClr val="tx1"/>
                  </a:solidFill>
                </a:endParaRPr>
              </a:p>
            </c:rich>
          </c:tx>
          <c:layout>
            <c:manualLayout>
              <c:xMode val="edge"/>
              <c:yMode val="edge"/>
              <c:x val="0.49531246610702589"/>
              <c:y val="0.921048224898174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10328712"/>
        <c:crosses val="autoZero"/>
        <c:crossBetween val="midCat"/>
      </c:valAx>
      <c:valAx>
        <c:axId val="710328712"/>
        <c:scaling>
          <c:orientation val="minMax"/>
          <c:max val="200"/>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sl-SI" sz="1100">
                    <a:solidFill>
                      <a:schemeClr val="tx1"/>
                    </a:solidFill>
                  </a:rPr>
                  <a:t>COD (</a:t>
                </a:r>
                <a:r>
                  <a:rPr lang="sl-SI" sz="1100" baseline="0">
                    <a:solidFill>
                      <a:schemeClr val="tx1"/>
                    </a:solidFill>
                  </a:rPr>
                  <a:t>mg/L)</a:t>
                </a:r>
                <a:endParaRPr lang="en-US" sz="1100">
                  <a:solidFill>
                    <a:schemeClr val="tx1"/>
                  </a:solidFill>
                </a:endParaRPr>
              </a:p>
            </c:rich>
          </c:tx>
          <c:layout>
            <c:manualLayout>
              <c:xMode val="edge"/>
              <c:yMode val="edge"/>
              <c:x val="2.7455121436114043E-2"/>
              <c:y val="0.343701377215488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10325576"/>
        <c:crosses val="autoZero"/>
        <c:crossBetween val="midCat"/>
      </c:valAx>
      <c:spPr>
        <a:noFill/>
        <a:ln>
          <a:solidFill>
            <a:schemeClr val="tx1"/>
          </a:solidFill>
        </a:ln>
        <a:effectLst/>
      </c:spPr>
    </c:plotArea>
    <c:legend>
      <c:legendPos val="b"/>
      <c:legendEntry>
        <c:idx val="1"/>
        <c:delete val="1"/>
      </c:legendEntry>
      <c:legendEntry>
        <c:idx val="2"/>
        <c:delete val="1"/>
      </c:legendEntry>
      <c:legendEntry>
        <c:idx val="3"/>
        <c:delete val="1"/>
      </c:legendEntry>
      <c:legendEntry>
        <c:idx val="4"/>
        <c:delete val="1"/>
      </c:legendEntry>
      <c:layout>
        <c:manualLayout>
          <c:xMode val="edge"/>
          <c:yMode val="edge"/>
          <c:x val="0.68056966420581422"/>
          <c:y val="4.5854235458470921E-2"/>
          <c:w val="0.27601106849432155"/>
          <c:h val="0.1746995650241300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0.53745</cdr:x>
      <cdr:y>0.48085</cdr:y>
    </cdr:from>
    <cdr:to>
      <cdr:x>0.9574</cdr:x>
      <cdr:y>0.71271</cdr:y>
    </cdr:to>
    <cdr:sp macro="" textlink="">
      <cdr:nvSpPr>
        <cdr:cNvPr id="2" name="Text Box 2"/>
        <cdr:cNvSpPr txBox="1">
          <a:spLocks xmlns:a="http://schemas.openxmlformats.org/drawingml/2006/main" noChangeArrowheads="1"/>
        </cdr:cNvSpPr>
      </cdr:nvSpPr>
      <cdr:spPr bwMode="auto">
        <a:xfrm xmlns:a="http://schemas.openxmlformats.org/drawingml/2006/main">
          <a:off x="2515222" y="1211580"/>
          <a:ext cx="1965345" cy="58421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p xmlns:a="http://schemas.openxmlformats.org/drawingml/2006/main">
          <a:pPr algn="l">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     TOC experimental</a:t>
          </a:r>
        </a:p>
        <a:p xmlns:a="http://schemas.openxmlformats.org/drawingml/2006/main">
          <a:pPr algn="l">
            <a:lnSpc>
              <a:spcPct val="107000"/>
            </a:lnSpc>
            <a:spcAft>
              <a:spcPts val="800"/>
            </a:spcAft>
          </a:pPr>
          <a:r>
            <a:rPr lang="sl-SI" sz="900" b="1">
              <a:effectLst/>
              <a:latin typeface="Times New Roman" panose="02020603050405020304" pitchFamily="18" charset="0"/>
              <a:ea typeface="Calibri" panose="020F0502020204030204" pitchFamily="34" charset="0"/>
              <a:cs typeface="Times New Roman" panose="02020603050405020304" pitchFamily="18" charset="0"/>
            </a:rPr>
            <a:t>∙∙∙∙∙∙</a:t>
          </a:r>
          <a:r>
            <a:rPr lang="sl-SI" sz="900">
              <a:effectLst/>
              <a:latin typeface="Times New Roman" panose="02020603050405020304" pitchFamily="18" charset="0"/>
              <a:ea typeface="Calibri" panose="020F0502020204030204" pitchFamily="34" charset="0"/>
              <a:cs typeface="Times New Roman" panose="02020603050405020304" pitchFamily="18" charset="0"/>
            </a:rPr>
            <a:t> TOC proposed</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0.61516</cdr:x>
      <cdr:y>0.11199</cdr:y>
    </cdr:from>
    <cdr:to>
      <cdr:x>0.94141</cdr:x>
      <cdr:y>0.29344</cdr:y>
    </cdr:to>
    <cdr:sp macro="" textlink="">
      <cdr:nvSpPr>
        <cdr:cNvPr id="2" name="Text Box 2"/>
        <cdr:cNvSpPr txBox="1">
          <a:spLocks xmlns:a="http://schemas.openxmlformats.org/drawingml/2006/main" noChangeArrowheads="1"/>
        </cdr:cNvSpPr>
      </cdr:nvSpPr>
      <cdr:spPr bwMode="auto">
        <a:xfrm xmlns:a="http://schemas.openxmlformats.org/drawingml/2006/main">
          <a:off x="2878916" y="282171"/>
          <a:ext cx="1526829"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2</a:t>
          </a:r>
          <a:r>
            <a:rPr lang="sl-SI" sz="900">
              <a:effectLst/>
              <a:latin typeface="Times New Roman" panose="02020603050405020304" pitchFamily="18" charset="0"/>
              <a:ea typeface="Calibri" panose="020F0502020204030204" pitchFamily="34" charset="0"/>
              <a:cs typeface="Times New Roman" panose="02020603050405020304" pitchFamily="18" charset="0"/>
            </a:rPr>
            <a:t> = 0.22 mg L</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 </a:t>
          </a:r>
          <a:r>
            <a:rPr lang="sl-SI" sz="900">
              <a:effectLst/>
              <a:latin typeface="Times New Roman" panose="02020603050405020304" pitchFamily="18" charset="0"/>
              <a:ea typeface="Calibri" panose="020F0502020204030204" pitchFamily="34" charset="0"/>
              <a:cs typeface="Times New Roman" panose="02020603050405020304" pitchFamily="18" charset="0"/>
            </a:rPr>
            <a:t>= 0.9480</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0.16165</cdr:x>
      <cdr:y>0.29894</cdr:y>
    </cdr:from>
    <cdr:to>
      <cdr:x>0.45442</cdr:x>
      <cdr:y>0.48039</cdr:y>
    </cdr:to>
    <cdr:sp macro="" textlink="">
      <cdr:nvSpPr>
        <cdr:cNvPr id="3" name="Text Box 2"/>
        <cdr:cNvSpPr txBox="1">
          <a:spLocks xmlns:a="http://schemas.openxmlformats.org/drawingml/2006/main" noChangeArrowheads="1"/>
        </cdr:cNvSpPr>
      </cdr:nvSpPr>
      <cdr:spPr bwMode="auto">
        <a:xfrm xmlns:a="http://schemas.openxmlformats.org/drawingml/2006/main">
          <a:off x="756516" y="753226"/>
          <a:ext cx="1370157"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 0.57 mg L</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 </a:t>
          </a:r>
          <a:r>
            <a:rPr lang="sl-SI" sz="900">
              <a:effectLst/>
              <a:latin typeface="Times New Roman" panose="02020603050405020304" pitchFamily="18" charset="0"/>
              <a:ea typeface="Calibri" panose="020F0502020204030204" pitchFamily="34" charset="0"/>
              <a:cs typeface="Times New Roman" panose="02020603050405020304" pitchFamily="18" charset="0"/>
            </a:rPr>
            <a:t>= 0.9531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0.52225</cdr:x>
      <cdr:y>0.55242</cdr:y>
    </cdr:from>
    <cdr:to>
      <cdr:x>0.9422</cdr:x>
      <cdr:y>0.78427</cdr:y>
    </cdr:to>
    <cdr:sp macro="" textlink="">
      <cdr:nvSpPr>
        <cdr:cNvPr id="4" name="Text Box 2"/>
        <cdr:cNvSpPr txBox="1">
          <a:spLocks xmlns:a="http://schemas.openxmlformats.org/drawingml/2006/main" noChangeArrowheads="1"/>
        </cdr:cNvSpPr>
      </cdr:nvSpPr>
      <cdr:spPr bwMode="auto">
        <a:xfrm xmlns:a="http://schemas.openxmlformats.org/drawingml/2006/main">
          <a:off x="2444116" y="1391920"/>
          <a:ext cx="1965324" cy="584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     COD experimental</a:t>
          </a:r>
        </a:p>
        <a:p xmlns:a="http://schemas.openxmlformats.org/drawingml/2006/main">
          <a:pPr algn="l">
            <a:lnSpc>
              <a:spcPct val="107000"/>
            </a:lnSpc>
            <a:spcAft>
              <a:spcPts val="800"/>
            </a:spcAft>
          </a:pPr>
          <a:r>
            <a:rPr lang="sl-SI" sz="900" b="1">
              <a:effectLst/>
              <a:latin typeface="Times New Roman" panose="02020603050405020304" pitchFamily="18" charset="0"/>
              <a:ea typeface="Calibri" panose="020F0502020204030204" pitchFamily="34" charset="0"/>
              <a:cs typeface="Times New Roman" panose="02020603050405020304" pitchFamily="18" charset="0"/>
            </a:rPr>
            <a:t>∙∙∙∙∙∙</a:t>
          </a:r>
          <a:r>
            <a:rPr lang="sl-SI" sz="900">
              <a:effectLst/>
              <a:latin typeface="Times New Roman" panose="02020603050405020304" pitchFamily="18" charset="0"/>
              <a:ea typeface="Calibri" panose="020F0502020204030204" pitchFamily="34" charset="0"/>
              <a:cs typeface="Times New Roman" panose="02020603050405020304" pitchFamily="18" charset="0"/>
            </a:rPr>
            <a:t> COD proposed</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0.20951</cdr:x>
      <cdr:y>0.06342</cdr:y>
    </cdr:from>
    <cdr:to>
      <cdr:x>0.50228</cdr:x>
      <cdr:y>0.24487</cdr:y>
    </cdr:to>
    <cdr:sp macro="" textlink="">
      <cdr:nvSpPr>
        <cdr:cNvPr id="2" name="Text Box 1"/>
        <cdr:cNvSpPr txBox="1">
          <a:spLocks xmlns:a="http://schemas.openxmlformats.org/drawingml/2006/main" noChangeArrowheads="1"/>
        </cdr:cNvSpPr>
      </cdr:nvSpPr>
      <cdr:spPr bwMode="auto">
        <a:xfrm xmlns:a="http://schemas.openxmlformats.org/drawingml/2006/main">
          <a:off x="980498" y="159790"/>
          <a:ext cx="1370157"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 0.38 mg L</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 </a:t>
          </a:r>
          <a:r>
            <a:rPr lang="sl-SI" sz="900">
              <a:effectLst/>
              <a:latin typeface="Times New Roman" panose="02020603050405020304" pitchFamily="18" charset="0"/>
              <a:ea typeface="Calibri" panose="020F0502020204030204" pitchFamily="34" charset="0"/>
              <a:cs typeface="Times New Roman" panose="02020603050405020304" pitchFamily="18" charset="0"/>
            </a:rPr>
            <a:t>= 0.9382</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0.61953</cdr:x>
      <cdr:y>0.51979</cdr:y>
    </cdr:from>
    <cdr:to>
      <cdr:x>0.9123</cdr:x>
      <cdr:y>0.70125</cdr:y>
    </cdr:to>
    <cdr:sp macro="" textlink="">
      <cdr:nvSpPr>
        <cdr:cNvPr id="3" name="Text Box 2"/>
        <cdr:cNvSpPr txBox="1">
          <a:spLocks xmlns:a="http://schemas.openxmlformats.org/drawingml/2006/main" noChangeArrowheads="1"/>
        </cdr:cNvSpPr>
      </cdr:nvSpPr>
      <cdr:spPr bwMode="auto">
        <a:xfrm xmlns:a="http://schemas.openxmlformats.org/drawingml/2006/main">
          <a:off x="2899353" y="1309717"/>
          <a:ext cx="1370157"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2</a:t>
          </a:r>
          <a:r>
            <a:rPr lang="sl-SI" sz="900">
              <a:effectLst/>
              <a:latin typeface="Times New Roman" panose="02020603050405020304" pitchFamily="18" charset="0"/>
              <a:ea typeface="Calibri" panose="020F0502020204030204" pitchFamily="34" charset="0"/>
              <a:cs typeface="Times New Roman" panose="02020603050405020304" pitchFamily="18" charset="0"/>
            </a:rPr>
            <a:t> = 0.04 mg L</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 </a:t>
          </a:r>
          <a:r>
            <a:rPr lang="sl-SI" sz="900">
              <a:effectLst/>
              <a:latin typeface="Times New Roman" panose="02020603050405020304" pitchFamily="18" charset="0"/>
              <a:ea typeface="Calibri" panose="020F0502020204030204" pitchFamily="34" charset="0"/>
              <a:cs typeface="Times New Roman" panose="02020603050405020304" pitchFamily="18" charset="0"/>
            </a:rPr>
            <a:t>= 0.9504</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0.53691</cdr:x>
      <cdr:y>0.04738</cdr:y>
    </cdr:from>
    <cdr:to>
      <cdr:x>0.95685</cdr:x>
      <cdr:y>0.27923</cdr:y>
    </cdr:to>
    <cdr:sp macro="" textlink="">
      <cdr:nvSpPr>
        <cdr:cNvPr id="4" name="Text Box 2"/>
        <cdr:cNvSpPr txBox="1">
          <a:spLocks xmlns:a="http://schemas.openxmlformats.org/drawingml/2006/main" noChangeArrowheads="1"/>
        </cdr:cNvSpPr>
      </cdr:nvSpPr>
      <cdr:spPr bwMode="auto">
        <a:xfrm xmlns:a="http://schemas.openxmlformats.org/drawingml/2006/main">
          <a:off x="2512696" y="119380"/>
          <a:ext cx="1965324" cy="584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sl-SI" sz="900">
              <a:effectLst/>
              <a:latin typeface="Arial" panose="020B0604020202020204" pitchFamily="34" charset="0"/>
              <a:ea typeface="Calibri" panose="020F0502020204030204" pitchFamily="34" charset="0"/>
              <a:cs typeface="Arial" panose="020B0604020202020204" pitchFamily="34" charset="0"/>
            </a:rPr>
            <a:t>●     </a:t>
          </a:r>
          <a:r>
            <a:rPr lang="sl-SI" sz="900">
              <a:effectLst/>
              <a:latin typeface="Arial" panose="020B0604020202020204" pitchFamily="34" charset="0"/>
              <a:ea typeface="Calibri" panose="020F0502020204030204" pitchFamily="34" charset="0"/>
            </a:rPr>
            <a:t>TOC </a:t>
          </a:r>
          <a:r>
            <a:rPr lang="sl-SI" sz="900">
              <a:effectLst/>
              <a:latin typeface="Times New Roman" panose="02020603050405020304" pitchFamily="18" charset="0"/>
              <a:ea typeface="Calibri" panose="020F0502020204030204" pitchFamily="34" charset="0"/>
              <a:cs typeface="Times New Roman" panose="02020603050405020304" pitchFamily="18" charset="0"/>
            </a:rPr>
            <a:t>experimental</a:t>
          </a:r>
        </a:p>
        <a:p xmlns:a="http://schemas.openxmlformats.org/drawingml/2006/main">
          <a:pPr algn="l">
            <a:lnSpc>
              <a:spcPct val="107000"/>
            </a:lnSpc>
            <a:spcAft>
              <a:spcPts val="800"/>
            </a:spcAft>
          </a:pPr>
          <a:r>
            <a:rPr lang="sl-SI" sz="900" b="1">
              <a:effectLst/>
              <a:latin typeface="Arial" panose="020B0604020202020204" pitchFamily="34" charset="0"/>
              <a:ea typeface="Calibri" panose="020F0502020204030204" pitchFamily="34" charset="0"/>
            </a:rPr>
            <a:t>∙∙∙∙∙∙</a:t>
          </a:r>
          <a:r>
            <a:rPr lang="sl-SI" sz="900">
              <a:effectLst/>
              <a:latin typeface="Arial" panose="020B0604020202020204" pitchFamily="34" charset="0"/>
              <a:ea typeface="Calibri" panose="020F0502020204030204" pitchFamily="34" charset="0"/>
            </a:rPr>
            <a:t> TOC proposed</a:t>
          </a:r>
          <a:endParaRPr lang="en-US" sz="1100">
            <a:effectLst/>
            <a:latin typeface="Arial" panose="020B0604020202020204" pitchFamily="34" charset="0"/>
            <a:ea typeface="Calibri" panose="020F050202020403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0.25293</cdr:x>
      <cdr:y>0.15506</cdr:y>
    </cdr:from>
    <cdr:to>
      <cdr:x>0.5457</cdr:x>
      <cdr:y>0.33651</cdr:y>
    </cdr:to>
    <cdr:sp macro="" textlink="">
      <cdr:nvSpPr>
        <cdr:cNvPr id="2" name="Text Box 1"/>
        <cdr:cNvSpPr txBox="1">
          <a:spLocks xmlns:a="http://schemas.openxmlformats.org/drawingml/2006/main" noChangeArrowheads="1"/>
        </cdr:cNvSpPr>
      </cdr:nvSpPr>
      <cdr:spPr bwMode="auto">
        <a:xfrm xmlns:a="http://schemas.openxmlformats.org/drawingml/2006/main">
          <a:off x="1183698" y="390699"/>
          <a:ext cx="1370157"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 2.58 mg L</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 </a:t>
          </a:r>
          <a:r>
            <a:rPr lang="sl-SI" sz="900">
              <a:effectLst/>
              <a:latin typeface="Times New Roman" panose="02020603050405020304" pitchFamily="18" charset="0"/>
              <a:ea typeface="Calibri" panose="020F0502020204030204" pitchFamily="34" charset="0"/>
              <a:cs typeface="Times New Roman" panose="02020603050405020304" pitchFamily="18" charset="0"/>
            </a:rPr>
            <a:t>= 0.9634</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0.65258</cdr:x>
      <cdr:y>0.39699</cdr:y>
    </cdr:from>
    <cdr:to>
      <cdr:x>0.94536</cdr:x>
      <cdr:y>0.57845</cdr:y>
    </cdr:to>
    <cdr:sp macro="" textlink="">
      <cdr:nvSpPr>
        <cdr:cNvPr id="5" name="Text Box 1"/>
        <cdr:cNvSpPr txBox="1">
          <a:spLocks xmlns:a="http://schemas.openxmlformats.org/drawingml/2006/main" noChangeArrowheads="1"/>
        </cdr:cNvSpPr>
      </cdr:nvSpPr>
      <cdr:spPr bwMode="auto">
        <a:xfrm xmlns:a="http://schemas.openxmlformats.org/drawingml/2006/main">
          <a:off x="3054061" y="1000300"/>
          <a:ext cx="1370157"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2</a:t>
          </a:r>
          <a:r>
            <a:rPr lang="sl-SI" sz="900">
              <a:effectLst/>
              <a:latin typeface="Times New Roman" panose="02020603050405020304" pitchFamily="18" charset="0"/>
              <a:ea typeface="Calibri" panose="020F0502020204030204" pitchFamily="34" charset="0"/>
              <a:cs typeface="Times New Roman" panose="02020603050405020304" pitchFamily="18" charset="0"/>
            </a:rPr>
            <a:t> = 0.26 mg L</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r>
            <a:rPr lang="sl-SI" sz="900">
              <a:effectLst/>
              <a:latin typeface="Times New Roman" panose="02020603050405020304" pitchFamily="18" charset="0"/>
              <a:ea typeface="Calibri" panose="020F0502020204030204" pitchFamily="34" charset="0"/>
              <a:cs typeface="Times New Roman" panose="02020603050405020304" pitchFamily="18" charset="0"/>
            </a:rPr>
            <a:t>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 </a:t>
          </a:r>
          <a:r>
            <a:rPr lang="sl-SI" sz="900">
              <a:effectLst/>
              <a:latin typeface="Times New Roman" panose="02020603050405020304" pitchFamily="18" charset="0"/>
              <a:ea typeface="Calibri" panose="020F0502020204030204" pitchFamily="34" charset="0"/>
              <a:cs typeface="Times New Roman" panose="02020603050405020304" pitchFamily="18" charset="0"/>
            </a:rPr>
            <a:t>= 0.9841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0.53636</cdr:x>
      <cdr:y>0.05544</cdr:y>
    </cdr:from>
    <cdr:to>
      <cdr:x>0.95631</cdr:x>
      <cdr:y>0.2873</cdr:y>
    </cdr:to>
    <cdr:sp macro="" textlink="">
      <cdr:nvSpPr>
        <cdr:cNvPr id="4" name="Text Box 2"/>
        <cdr:cNvSpPr txBox="1">
          <a:spLocks xmlns:a="http://schemas.openxmlformats.org/drawingml/2006/main" noChangeArrowheads="1"/>
        </cdr:cNvSpPr>
      </cdr:nvSpPr>
      <cdr:spPr bwMode="auto">
        <a:xfrm xmlns:a="http://schemas.openxmlformats.org/drawingml/2006/main">
          <a:off x="2510156" y="139700"/>
          <a:ext cx="1965324" cy="584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     COD experimental</a:t>
          </a:r>
        </a:p>
        <a:p xmlns:a="http://schemas.openxmlformats.org/drawingml/2006/main">
          <a:pPr algn="l">
            <a:lnSpc>
              <a:spcPct val="107000"/>
            </a:lnSpc>
            <a:spcAft>
              <a:spcPts val="800"/>
            </a:spcAft>
          </a:pPr>
          <a:r>
            <a:rPr lang="sl-SI" sz="900" b="1">
              <a:effectLst/>
              <a:latin typeface="Times New Roman" panose="02020603050405020304" pitchFamily="18" charset="0"/>
              <a:ea typeface="Calibri" panose="020F0502020204030204" pitchFamily="34" charset="0"/>
              <a:cs typeface="Times New Roman" panose="02020603050405020304" pitchFamily="18" charset="0"/>
            </a:rPr>
            <a:t>∙∙∙∙∙∙</a:t>
          </a:r>
          <a:r>
            <a:rPr lang="sl-SI" sz="900">
              <a:effectLst/>
              <a:latin typeface="Times New Roman" panose="02020603050405020304" pitchFamily="18" charset="0"/>
              <a:ea typeface="Calibri" panose="020F0502020204030204" pitchFamily="34" charset="0"/>
              <a:cs typeface="Times New Roman" panose="02020603050405020304" pitchFamily="18" charset="0"/>
            </a:rPr>
            <a:t> COD proposed</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0.25025</cdr:x>
      <cdr:y>0.35567</cdr:y>
    </cdr:from>
    <cdr:to>
      <cdr:x>0.54746</cdr:x>
      <cdr:y>0.73566</cdr:y>
    </cdr:to>
    <cdr:sp macro="" textlink="">
      <cdr:nvSpPr>
        <cdr:cNvPr id="2" name="Text Box 1"/>
        <cdr:cNvSpPr txBox="1">
          <a:spLocks xmlns:a="http://schemas.openxmlformats.org/drawingml/2006/main" noChangeArrowheads="1"/>
        </cdr:cNvSpPr>
      </cdr:nvSpPr>
      <cdr:spPr bwMode="auto">
        <a:xfrm xmlns:a="http://schemas.openxmlformats.org/drawingml/2006/main">
          <a:off x="1153680" y="979055"/>
          <a:ext cx="1370157" cy="1046018"/>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1(s)</a:t>
          </a:r>
          <a:r>
            <a:rPr lang="sl-SI" sz="900">
              <a:effectLst/>
              <a:latin typeface="Times New Roman" panose="02020603050405020304" pitchFamily="18" charset="0"/>
              <a:ea typeface="Calibri" panose="020F0502020204030204" pitchFamily="34" charset="0"/>
              <a:cs typeface="Times New Roman" panose="02020603050405020304" pitchFamily="18" charset="0"/>
            </a:rPr>
            <a:t> = 0.8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2(s)</a:t>
          </a:r>
          <a:r>
            <a:rPr lang="sl-SI" sz="900">
              <a:effectLst/>
              <a:latin typeface="Times New Roman" panose="02020603050405020304" pitchFamily="18" charset="0"/>
              <a:ea typeface="Calibri" panose="020F0502020204030204" pitchFamily="34" charset="0"/>
              <a:cs typeface="Times New Roman" panose="02020603050405020304" pitchFamily="18" charset="0"/>
            </a:rPr>
            <a:t> = 1.29 L mg</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p>
        <a:p xmlns:a="http://schemas.openxmlformats.org/drawingml/2006/main">
          <a:pPr marL="0" marR="0" lvl="0" indent="0" algn="just" defTabSz="914400" eaLnBrk="1" fontAlgn="auto" latinLnBrk="0" hangingPunct="1">
            <a:lnSpc>
              <a:spcPct val="107000"/>
            </a:lnSpc>
            <a:spcBef>
              <a:spcPts val="0"/>
            </a:spcBef>
            <a:spcAft>
              <a:spcPts val="800"/>
            </a:spcAft>
            <a:buClrTx/>
            <a:buSzTx/>
            <a:buFontTx/>
            <a:buNone/>
            <a:tabLst/>
            <a:defRPr/>
          </a:pPr>
          <a:r>
            <a:rPr lang="sl-SI" sz="900" baseline="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a:t>
          </a:r>
          <a:r>
            <a:rPr lang="sl-SI" sz="900" baseline="0">
              <a:effectLst/>
              <a:latin typeface="Times New Roman" panose="02020603050405020304" pitchFamily="18" charset="0"/>
              <a:ea typeface="Calibri" panose="020F0502020204030204" pitchFamily="34" charset="0"/>
              <a:cs typeface="Times New Roman" panose="02020603050405020304" pitchFamily="18" charset="0"/>
            </a:rPr>
            <a:t> = 0.8197</a:t>
          </a:r>
          <a:endParaRPr lang="en-US" sz="1100" baseline="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0.52961</cdr:x>
      <cdr:y>0.57116</cdr:y>
    </cdr:from>
    <cdr:to>
      <cdr:x>0.95592</cdr:x>
      <cdr:y>0.78339</cdr:y>
    </cdr:to>
    <cdr:sp macro="" textlink="">
      <cdr:nvSpPr>
        <cdr:cNvPr id="3" name="Text Box 2"/>
        <cdr:cNvSpPr txBox="1">
          <a:spLocks xmlns:a="http://schemas.openxmlformats.org/drawingml/2006/main" noChangeArrowheads="1"/>
        </cdr:cNvSpPr>
      </cdr:nvSpPr>
      <cdr:spPr bwMode="auto">
        <a:xfrm xmlns:a="http://schemas.openxmlformats.org/drawingml/2006/main">
          <a:off x="2441576" y="1572260"/>
          <a:ext cx="1965324" cy="584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     TOC experimental</a:t>
          </a:r>
        </a:p>
        <a:p xmlns:a="http://schemas.openxmlformats.org/drawingml/2006/main">
          <a:pPr algn="l">
            <a:lnSpc>
              <a:spcPct val="107000"/>
            </a:lnSpc>
            <a:spcAft>
              <a:spcPts val="800"/>
            </a:spcAft>
          </a:pPr>
          <a:r>
            <a:rPr lang="sl-SI" sz="900" b="1">
              <a:effectLst/>
              <a:latin typeface="Times New Roman" panose="02020603050405020304" pitchFamily="18" charset="0"/>
              <a:ea typeface="Calibri" panose="020F0502020204030204" pitchFamily="34" charset="0"/>
              <a:cs typeface="Times New Roman" panose="02020603050405020304" pitchFamily="18" charset="0"/>
            </a:rPr>
            <a:t>∙∙∙∙∙∙</a:t>
          </a:r>
          <a:r>
            <a:rPr lang="sl-SI" sz="900">
              <a:effectLst/>
              <a:latin typeface="Times New Roman" panose="02020603050405020304" pitchFamily="18" charset="0"/>
              <a:ea typeface="Calibri" panose="020F0502020204030204" pitchFamily="34" charset="0"/>
              <a:cs typeface="Times New Roman" panose="02020603050405020304" pitchFamily="18" charset="0"/>
            </a:rPr>
            <a:t> TOC proposed</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0.27069</cdr:x>
      <cdr:y>0.11822</cdr:y>
    </cdr:from>
    <cdr:to>
      <cdr:x>0.56346</cdr:x>
      <cdr:y>0.39589</cdr:y>
    </cdr:to>
    <cdr:sp macro="" textlink="">
      <cdr:nvSpPr>
        <cdr:cNvPr id="2" name="Text Box 1"/>
        <cdr:cNvSpPr txBox="1">
          <a:spLocks xmlns:a="http://schemas.openxmlformats.org/drawingml/2006/main" noChangeArrowheads="1"/>
        </cdr:cNvSpPr>
      </cdr:nvSpPr>
      <cdr:spPr bwMode="auto">
        <a:xfrm xmlns:a="http://schemas.openxmlformats.org/drawingml/2006/main">
          <a:off x="1266825" y="297873"/>
          <a:ext cx="1370157" cy="69965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1(s)</a:t>
          </a:r>
          <a:r>
            <a:rPr lang="sl-SI" sz="900">
              <a:effectLst/>
              <a:latin typeface="Times New Roman" panose="02020603050405020304" pitchFamily="18" charset="0"/>
              <a:ea typeface="Calibri" panose="020F0502020204030204" pitchFamily="34" charset="0"/>
              <a:cs typeface="Times New Roman" panose="02020603050405020304" pitchFamily="18" charset="0"/>
            </a:rPr>
            <a:t> = 0.85 min</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a:p xmlns:a="http://schemas.openxmlformats.org/drawingml/2006/main">
          <a:pPr algn="just">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k</a:t>
          </a:r>
          <a:r>
            <a:rPr lang="sl-SI" sz="900" baseline="-25000">
              <a:effectLst/>
              <a:latin typeface="Times New Roman" panose="02020603050405020304" pitchFamily="18" charset="0"/>
              <a:ea typeface="Calibri" panose="020F0502020204030204" pitchFamily="34" charset="0"/>
              <a:cs typeface="Times New Roman" panose="02020603050405020304" pitchFamily="18" charset="0"/>
            </a:rPr>
            <a:t>2(s)</a:t>
          </a:r>
          <a:r>
            <a:rPr lang="sl-SI" sz="900">
              <a:effectLst/>
              <a:latin typeface="Times New Roman" panose="02020603050405020304" pitchFamily="18" charset="0"/>
              <a:ea typeface="Calibri" panose="020F0502020204030204" pitchFamily="34" charset="0"/>
              <a:cs typeface="Times New Roman" panose="02020603050405020304" pitchFamily="18" charset="0"/>
            </a:rPr>
            <a:t> = 0.20 L mg</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-1</a:t>
          </a:r>
        </a:p>
        <a:p xmlns:a="http://schemas.openxmlformats.org/drawingml/2006/main">
          <a:pPr algn="just">
            <a:lnSpc>
              <a:spcPct val="107000"/>
            </a:lnSpc>
            <a:spcAft>
              <a:spcPts val="800"/>
            </a:spcAft>
          </a:pPr>
          <a:r>
            <a:rPr lang="sl-SI" sz="900" baseline="0">
              <a:effectLst/>
              <a:latin typeface="Times New Roman" panose="02020603050405020304" pitchFamily="18" charset="0"/>
              <a:ea typeface="Calibri" panose="020F0502020204030204" pitchFamily="34" charset="0"/>
              <a:cs typeface="Times New Roman" panose="02020603050405020304" pitchFamily="18" charset="0"/>
            </a:rPr>
            <a:t>R</a:t>
          </a:r>
          <a:r>
            <a:rPr lang="sl-SI" sz="900" baseline="30000">
              <a:effectLst/>
              <a:latin typeface="Times New Roman" panose="02020603050405020304" pitchFamily="18" charset="0"/>
              <a:ea typeface="Calibri" panose="020F0502020204030204" pitchFamily="34" charset="0"/>
              <a:cs typeface="Times New Roman" panose="02020603050405020304" pitchFamily="18" charset="0"/>
            </a:rPr>
            <a:t>2</a:t>
          </a:r>
          <a:r>
            <a:rPr lang="sl-SI" sz="900" baseline="0">
              <a:effectLst/>
              <a:latin typeface="Times New Roman" panose="02020603050405020304" pitchFamily="18" charset="0"/>
              <a:ea typeface="Calibri" panose="020F0502020204030204" pitchFamily="34" charset="0"/>
              <a:cs typeface="Times New Roman" panose="02020603050405020304" pitchFamily="18" charset="0"/>
            </a:rPr>
            <a:t> = 0.9942</a:t>
          </a:r>
          <a:endParaRPr lang="en-US" sz="1100" baseline="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0.53582</cdr:x>
      <cdr:y>0.05444</cdr:y>
    </cdr:from>
    <cdr:to>
      <cdr:x>0.95577</cdr:x>
      <cdr:y>0.28629</cdr:y>
    </cdr:to>
    <cdr:sp macro="" textlink="">
      <cdr:nvSpPr>
        <cdr:cNvPr id="3" name="Text Box 2"/>
        <cdr:cNvSpPr txBox="1">
          <a:spLocks xmlns:a="http://schemas.openxmlformats.org/drawingml/2006/main" noChangeArrowheads="1"/>
        </cdr:cNvSpPr>
      </cdr:nvSpPr>
      <cdr:spPr bwMode="auto">
        <a:xfrm xmlns:a="http://schemas.openxmlformats.org/drawingml/2006/main">
          <a:off x="2507616" y="137160"/>
          <a:ext cx="1965324" cy="584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07000"/>
            </a:lnSpc>
            <a:spcAft>
              <a:spcPts val="800"/>
            </a:spcAft>
          </a:pPr>
          <a:r>
            <a:rPr lang="sl-SI" sz="900">
              <a:effectLst/>
              <a:latin typeface="Times New Roman" panose="02020603050405020304" pitchFamily="18" charset="0"/>
              <a:ea typeface="Calibri" panose="020F0502020204030204" pitchFamily="34" charset="0"/>
              <a:cs typeface="Times New Roman" panose="02020603050405020304" pitchFamily="18" charset="0"/>
            </a:rPr>
            <a:t>●     COD experimental</a:t>
          </a:r>
        </a:p>
        <a:p xmlns:a="http://schemas.openxmlformats.org/drawingml/2006/main">
          <a:pPr algn="l">
            <a:lnSpc>
              <a:spcPct val="107000"/>
            </a:lnSpc>
            <a:spcAft>
              <a:spcPts val="800"/>
            </a:spcAft>
          </a:pPr>
          <a:r>
            <a:rPr lang="sl-SI" sz="900" b="1">
              <a:effectLst/>
              <a:latin typeface="Times New Roman" panose="02020603050405020304" pitchFamily="18" charset="0"/>
              <a:ea typeface="Calibri" panose="020F0502020204030204" pitchFamily="34" charset="0"/>
              <a:cs typeface="Times New Roman" panose="02020603050405020304" pitchFamily="18" charset="0"/>
            </a:rPr>
            <a:t>∙∙∙∙∙∙</a:t>
          </a:r>
          <a:r>
            <a:rPr lang="sl-SI" sz="900">
              <a:effectLst/>
              <a:latin typeface="Times New Roman" panose="02020603050405020304" pitchFamily="18" charset="0"/>
              <a:ea typeface="Calibri" panose="020F0502020204030204" pitchFamily="34" charset="0"/>
              <a:cs typeface="Times New Roman" panose="02020603050405020304" pitchFamily="18" charset="0"/>
            </a:rPr>
            <a:t> COD proposed</a:t>
          </a:r>
          <a:endParaRPr lang="en-US"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F1AFACDA47C2498F0BF40C16D7C9EB" ma:contentTypeVersion="13" ma:contentTypeDescription="Create a new document." ma:contentTypeScope="" ma:versionID="5dc0be5b2324c077c07731816994e50e">
  <xsd:schema xmlns:xsd="http://www.w3.org/2001/XMLSchema" xmlns:xs="http://www.w3.org/2001/XMLSchema" xmlns:p="http://schemas.microsoft.com/office/2006/metadata/properties" xmlns:ns3="48bc6220-9c82-4794-b078-5906805ba06a" xmlns:ns4="c6838c9c-c33a-405a-892a-cba67bab8e1f" targetNamespace="http://schemas.microsoft.com/office/2006/metadata/properties" ma:root="true" ma:fieldsID="3913084176725208d5ae1c9cd8704b43" ns3:_="" ns4:_="">
    <xsd:import namespace="48bc6220-9c82-4794-b078-5906805ba06a"/>
    <xsd:import namespace="c6838c9c-c33a-405a-892a-cba67bab8e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c6220-9c82-4794-b078-5906805ba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838c9c-c33a-405a-892a-cba67bab8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1C7B0-D6C8-4CED-BD67-48FE9D0B9F66}">
  <ds:schemaRefs>
    <ds:schemaRef ds:uri="http://purl.org/dc/elements/1.1/"/>
    <ds:schemaRef ds:uri="http://schemas.microsoft.com/office/2006/metadata/properties"/>
    <ds:schemaRef ds:uri="http://purl.org/dc/terms/"/>
    <ds:schemaRef ds:uri="48bc6220-9c82-4794-b078-5906805ba06a"/>
    <ds:schemaRef ds:uri="http://schemas.microsoft.com/office/2006/documentManagement/types"/>
    <ds:schemaRef ds:uri="http://schemas.microsoft.com/office/infopath/2007/PartnerControls"/>
    <ds:schemaRef ds:uri="http://schemas.openxmlformats.org/package/2006/metadata/core-properties"/>
    <ds:schemaRef ds:uri="c6838c9c-c33a-405a-892a-cba67bab8e1f"/>
    <ds:schemaRef ds:uri="http://www.w3.org/XML/1998/namespace"/>
    <ds:schemaRef ds:uri="http://purl.org/dc/dcmitype/"/>
  </ds:schemaRefs>
</ds:datastoreItem>
</file>

<file path=customXml/itemProps2.xml><?xml version="1.0" encoding="utf-8"?>
<ds:datastoreItem xmlns:ds="http://schemas.openxmlformats.org/officeDocument/2006/customXml" ds:itemID="{495A8E16-60EC-44D0-9FA9-B30A8850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c6220-9c82-4794-b078-5906805ba06a"/>
    <ds:schemaRef ds:uri="c6838c9c-c33a-405a-892a-cba67bab8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BB83C-8C6F-4AF7-9D53-C9864B26A9D0}">
  <ds:schemaRefs>
    <ds:schemaRef ds:uri="http://schemas.microsoft.com/sharepoint/v3/contenttype/forms"/>
  </ds:schemaRefs>
</ds:datastoreItem>
</file>

<file path=customXml/itemProps4.xml><?xml version="1.0" encoding="utf-8"?>
<ds:datastoreItem xmlns:ds="http://schemas.openxmlformats.org/officeDocument/2006/customXml" ds:itemID="{77EF35BA-14BE-4C58-8956-296CFA06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19</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28207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Bosevski, Igor</dc:creator>
  <cp:lastModifiedBy>Bosevski, Igor</cp:lastModifiedBy>
  <cp:revision>3</cp:revision>
  <cp:lastPrinted>2022-10-19T18:09:00Z</cp:lastPrinted>
  <dcterms:created xsi:type="dcterms:W3CDTF">2022-10-19T18:09:00Z</dcterms:created>
  <dcterms:modified xsi:type="dcterms:W3CDTF">2022-10-19T18:10:00Z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2022-02-14T12:07:07Z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7dbdb29e-5498-4da1-a6af-4c08822a999b</vt:lpwstr>
  </property>
  <property fmtid="{D5CDD505-2E9C-101B-9397-08002B2CF9AE}" pid="8" name="MSIP_Label_3c9bec58-8084-492e-8360-0e1cfe36408c_ContentBits">
    <vt:lpwstr>0</vt:lpwstr>
  </property>
  <property fmtid="{D5CDD505-2E9C-101B-9397-08002B2CF9AE}" pid="9" name="ContentTypeId">
    <vt:lpwstr>0x010100CEF1AFACDA47C2498F0BF40C16D7C9EB</vt:lpwstr>
  </property>
</Properties>
</file>