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40E79" w14:textId="5D380058" w:rsidR="008B1B0A" w:rsidRPr="00E612A1" w:rsidRDefault="003F4070" w:rsidP="008E3706">
      <w:pPr>
        <w:pStyle w:val="NazovClanku"/>
        <w:spacing w:line="360" w:lineRule="auto"/>
        <w:rPr>
          <w:color w:val="auto"/>
          <w:sz w:val="36"/>
          <w:szCs w:val="34"/>
        </w:rPr>
      </w:pPr>
      <w:r w:rsidRPr="00E612A1">
        <w:rPr>
          <w:color w:val="auto"/>
          <w:sz w:val="36"/>
          <w:szCs w:val="34"/>
        </w:rPr>
        <w:t xml:space="preserve">Industrial wastewater as a source of external organic carbon for the biological nutrient removal </w:t>
      </w:r>
    </w:p>
    <w:p w14:paraId="6B2BFBC4" w14:textId="47B0DBB1" w:rsidR="008B1B0A" w:rsidRPr="00E612A1" w:rsidRDefault="001C0E60" w:rsidP="008E3706">
      <w:pPr>
        <w:pStyle w:val="MenaAutorov"/>
        <w:suppressAutoHyphens/>
        <w:spacing w:line="360" w:lineRule="auto"/>
        <w:rPr>
          <w:sz w:val="28"/>
          <w:szCs w:val="26"/>
        </w:rPr>
      </w:pPr>
      <w:r w:rsidRPr="00E612A1">
        <w:rPr>
          <w:sz w:val="28"/>
          <w:szCs w:val="26"/>
        </w:rPr>
        <w:t>Bibiána Kožárová</w:t>
      </w:r>
      <w:r w:rsidR="008E3706" w:rsidRPr="00E612A1">
        <w:rPr>
          <w:sz w:val="28"/>
          <w:szCs w:val="26"/>
          <w:vertAlign w:val="superscript"/>
        </w:rPr>
        <w:t>*</w:t>
      </w:r>
      <w:r w:rsidRPr="00E612A1">
        <w:rPr>
          <w:sz w:val="28"/>
          <w:szCs w:val="26"/>
        </w:rPr>
        <w:t>, Ronald Zakhar, Zuzana Imreová, Hana Hanuljaková, Ines Karlovská, Miloslav Drtil</w:t>
      </w:r>
    </w:p>
    <w:p w14:paraId="36BD596A" w14:textId="3325B827" w:rsidR="008E3706" w:rsidRPr="00456F8A" w:rsidRDefault="001C0E60" w:rsidP="00071CB2">
      <w:pPr>
        <w:pStyle w:val="MenaOrganizacia"/>
        <w:suppressAutoHyphens/>
        <w:spacing w:line="360" w:lineRule="auto"/>
        <w:ind w:left="720"/>
        <w:rPr>
          <w:sz w:val="24"/>
          <w:szCs w:val="24"/>
        </w:rPr>
      </w:pPr>
      <w:r w:rsidRPr="00456F8A">
        <w:rPr>
          <w:sz w:val="24"/>
          <w:szCs w:val="24"/>
        </w:rPr>
        <w:t>Department of Environmental Engineering, Faculty of Chemical and Food Technology, Slovak University</w:t>
      </w:r>
      <w:r w:rsidR="008E3706" w:rsidRPr="00456F8A">
        <w:rPr>
          <w:sz w:val="24"/>
          <w:szCs w:val="24"/>
        </w:rPr>
        <w:t xml:space="preserve"> </w:t>
      </w:r>
      <w:r w:rsidRPr="00456F8A">
        <w:rPr>
          <w:sz w:val="24"/>
          <w:szCs w:val="24"/>
        </w:rPr>
        <w:t>of</w:t>
      </w:r>
      <w:r w:rsidR="00941C93" w:rsidRPr="00456F8A">
        <w:rPr>
          <w:sz w:val="24"/>
          <w:szCs w:val="24"/>
        </w:rPr>
        <w:t> </w:t>
      </w:r>
      <w:r w:rsidRPr="00456F8A">
        <w:rPr>
          <w:sz w:val="24"/>
          <w:szCs w:val="24"/>
        </w:rPr>
        <w:t>Technology, Radlinského 9, 812 37 Bratislava, Slovak Republic</w:t>
      </w:r>
    </w:p>
    <w:p w14:paraId="116676CE" w14:textId="60CE282D" w:rsidR="00B0603A" w:rsidRPr="00E612A1" w:rsidRDefault="008E3706" w:rsidP="008E3706">
      <w:pPr>
        <w:pStyle w:val="MenaOrganizacia"/>
        <w:suppressAutoHyphens/>
        <w:spacing w:line="360" w:lineRule="auto"/>
      </w:pPr>
      <w:r w:rsidRPr="00456F8A">
        <w:rPr>
          <w:sz w:val="24"/>
          <w:szCs w:val="24"/>
        </w:rPr>
        <w:t xml:space="preserve">* Corresponding author: </w:t>
      </w:r>
      <w:r w:rsidR="00753A1B" w:rsidRPr="00456F8A">
        <w:rPr>
          <w:sz w:val="24"/>
          <w:szCs w:val="24"/>
        </w:rPr>
        <w:t>b.kozarova@gmail.com, +421907 478 032</w:t>
      </w:r>
      <w:r w:rsidR="00BD4B54" w:rsidRPr="00E612A1">
        <w:br/>
      </w:r>
    </w:p>
    <w:p w14:paraId="59F2C4B5" w14:textId="77777777" w:rsidR="008E3706" w:rsidRPr="00456F8A" w:rsidRDefault="004D356C" w:rsidP="008E3706">
      <w:pPr>
        <w:pStyle w:val="Abstrakt"/>
        <w:suppressAutoHyphens/>
        <w:spacing w:line="360" w:lineRule="auto"/>
        <w:ind w:hanging="567"/>
        <w:rPr>
          <w:b/>
          <w:sz w:val="24"/>
          <w:szCs w:val="25"/>
        </w:rPr>
      </w:pPr>
      <w:r w:rsidRPr="00456F8A">
        <w:rPr>
          <w:b/>
          <w:sz w:val="24"/>
          <w:szCs w:val="25"/>
        </w:rPr>
        <w:t xml:space="preserve">Abstract: </w:t>
      </w:r>
    </w:p>
    <w:p w14:paraId="6B7BAF22" w14:textId="4C5B9E94" w:rsidR="003F4070" w:rsidRPr="00E612A1" w:rsidRDefault="00EF5EA2" w:rsidP="00EF5EA2">
      <w:pPr>
        <w:pStyle w:val="Abstrakt"/>
        <w:tabs>
          <w:tab w:val="left" w:pos="8505"/>
        </w:tabs>
        <w:suppressAutoHyphens/>
        <w:spacing w:line="360" w:lineRule="auto"/>
        <w:ind w:left="284"/>
        <w:rPr>
          <w:b/>
          <w:bCs/>
          <w:sz w:val="24"/>
          <w:szCs w:val="25"/>
        </w:rPr>
      </w:pPr>
      <w:r w:rsidRPr="00E612A1">
        <w:rPr>
          <w:sz w:val="24"/>
          <w:szCs w:val="25"/>
        </w:rPr>
        <w:t>Addition of external organic carbon source for denitrification is generally used in wastewater treatment plants (WWTPs) to intensify nitrogen removal processes. The aim of the laboratory survey was to measure the composition of concentrated industrial wastewater, determine the possibilities of its use as an external denitrification substrate, and assess its overall impact on WWTPs. The results demonstrate that the analysed industrial wastewater is biodegradable, and it can be used as a denitrification substrate without special adaptation of biomass. The denitrification rates with tested wastewater were in the range of 1.6 to 1.9 mg</w:t>
      </w:r>
      <w:r w:rsidRPr="00E612A1">
        <w:rPr>
          <w:sz w:val="24"/>
          <w:szCs w:val="25"/>
          <w:vertAlign w:val="subscript"/>
        </w:rPr>
        <w:t>N</w:t>
      </w:r>
      <w:r w:rsidRPr="00E612A1">
        <w:rPr>
          <w:sz w:val="24"/>
          <w:szCs w:val="25"/>
        </w:rPr>
        <w:t>/g·h. Negative influence of long-term dosing of industrial wastewater on activated sludge were not confirmed. The effect of imported wastewater on WWTP must be assessed comprehensively, including the impact of heavy metals from wastewater on the sludge quality. The instructions on how to calculate this balance are provided in the article.</w:t>
      </w:r>
    </w:p>
    <w:p w14:paraId="753816C1" w14:textId="77777777" w:rsidR="009F7530" w:rsidRPr="00E612A1" w:rsidRDefault="009F7530" w:rsidP="008E3706">
      <w:pPr>
        <w:pStyle w:val="Abstrakt"/>
        <w:suppressAutoHyphens/>
        <w:spacing w:line="360" w:lineRule="auto"/>
        <w:ind w:left="0"/>
        <w:rPr>
          <w:b/>
          <w:sz w:val="24"/>
          <w:szCs w:val="25"/>
        </w:rPr>
      </w:pPr>
    </w:p>
    <w:p w14:paraId="4D70D8F8" w14:textId="47BA2C93" w:rsidR="008B1B0A" w:rsidRPr="00E612A1" w:rsidRDefault="004D356C" w:rsidP="00562467">
      <w:pPr>
        <w:pStyle w:val="Abstrakt"/>
        <w:suppressAutoHyphens/>
        <w:spacing w:line="360" w:lineRule="auto"/>
        <w:ind w:left="1418" w:hanging="1134"/>
        <w:rPr>
          <w:color w:val="FF0000"/>
          <w:sz w:val="24"/>
          <w:szCs w:val="25"/>
        </w:rPr>
      </w:pPr>
      <w:r w:rsidRPr="00E612A1">
        <w:rPr>
          <w:b/>
          <w:sz w:val="24"/>
          <w:szCs w:val="25"/>
        </w:rPr>
        <w:t>Keywords</w:t>
      </w:r>
      <w:r w:rsidRPr="00E612A1">
        <w:rPr>
          <w:sz w:val="24"/>
          <w:szCs w:val="25"/>
        </w:rPr>
        <w:t>:</w:t>
      </w:r>
      <w:r w:rsidR="00562467" w:rsidRPr="00E612A1">
        <w:rPr>
          <w:sz w:val="24"/>
          <w:szCs w:val="25"/>
        </w:rPr>
        <w:t xml:space="preserve"> </w:t>
      </w:r>
      <w:r w:rsidR="00EF5EA2" w:rsidRPr="00E612A1">
        <w:rPr>
          <w:sz w:val="24"/>
          <w:szCs w:val="25"/>
        </w:rPr>
        <w:t xml:space="preserve">biodegradability of industrial wastewater, biological wastewater treatment with nitrogen removal, heavy metals in sludge, rate and efficiency of denitrification, </w:t>
      </w:r>
      <w:r w:rsidR="00EF5EA2" w:rsidRPr="00E612A1">
        <w:rPr>
          <w:color w:val="auto"/>
          <w:sz w:val="24"/>
          <w:szCs w:val="25"/>
        </w:rPr>
        <w:t xml:space="preserve">semicontinuous bioreactors </w:t>
      </w:r>
      <w:r w:rsidR="00024776" w:rsidRPr="00E612A1">
        <w:rPr>
          <w:color w:val="auto"/>
          <w:sz w:val="24"/>
          <w:szCs w:val="25"/>
        </w:rPr>
        <w:t xml:space="preserve"> </w:t>
      </w:r>
      <w:r w:rsidR="00503179" w:rsidRPr="00E612A1">
        <w:rPr>
          <w:color w:val="auto"/>
          <w:sz w:val="24"/>
          <w:szCs w:val="25"/>
        </w:rPr>
        <w:t xml:space="preserve"> </w:t>
      </w:r>
    </w:p>
    <w:p w14:paraId="7D4093C2" w14:textId="6D32C7E6" w:rsidR="004D356C" w:rsidRPr="00456F8A" w:rsidRDefault="00AC514E" w:rsidP="00562467">
      <w:pPr>
        <w:pStyle w:val="Titulok1"/>
        <w:numPr>
          <w:ilvl w:val="0"/>
          <w:numId w:val="32"/>
        </w:numPr>
        <w:spacing w:line="360" w:lineRule="auto"/>
        <w:jc w:val="center"/>
      </w:pPr>
      <w:r w:rsidRPr="00456F8A">
        <w:t>Introduction</w:t>
      </w:r>
    </w:p>
    <w:p w14:paraId="2E869E94" w14:textId="1DEE541B" w:rsidR="004806E4" w:rsidRPr="00E612A1" w:rsidRDefault="00184327" w:rsidP="004D2538">
      <w:pPr>
        <w:pStyle w:val="ZakladnyText"/>
        <w:spacing w:line="360" w:lineRule="auto"/>
        <w:ind w:firstLine="284"/>
        <w:rPr>
          <w:sz w:val="24"/>
          <w:szCs w:val="24"/>
        </w:rPr>
      </w:pPr>
      <w:r w:rsidRPr="00E612A1">
        <w:rPr>
          <w:sz w:val="24"/>
          <w:szCs w:val="24"/>
        </w:rPr>
        <w:t>Over the years, considerable effort has been made to advance and optimize the technologies for effective biological nitrogen removal at wastewater treatment plants (WWTPs).</w:t>
      </w:r>
      <w:r w:rsidR="000150EC" w:rsidRPr="000150EC">
        <w:rPr>
          <w:sz w:val="24"/>
          <w:szCs w:val="24"/>
          <w:vertAlign w:val="superscript"/>
        </w:rPr>
        <w:t>1</w:t>
      </w:r>
      <w:r w:rsidR="008C5C36">
        <w:rPr>
          <w:sz w:val="24"/>
          <w:szCs w:val="24"/>
          <w:vertAlign w:val="superscript"/>
        </w:rPr>
        <w:t>,2</w:t>
      </w:r>
      <w:r w:rsidRPr="00E612A1">
        <w:rPr>
          <w:sz w:val="24"/>
          <w:szCs w:val="24"/>
        </w:rPr>
        <w:t xml:space="preserve"> Organotrophic denitrification is an efficient process in which, through microbiological activity, a </w:t>
      </w:r>
      <w:r w:rsidRPr="00E612A1">
        <w:rPr>
          <w:sz w:val="24"/>
          <w:szCs w:val="24"/>
        </w:rPr>
        <w:lastRenderedPageBreak/>
        <w:t>reduction of nitrates and nitrites to nitrogen gas occurs</w:t>
      </w:r>
      <w:r w:rsidR="00985D16">
        <w:rPr>
          <w:sz w:val="24"/>
          <w:szCs w:val="24"/>
          <w:vertAlign w:val="superscript"/>
        </w:rPr>
        <w:t>3</w:t>
      </w:r>
      <w:r w:rsidRPr="00E612A1">
        <w:rPr>
          <w:sz w:val="24"/>
          <w:szCs w:val="24"/>
        </w:rPr>
        <w:t>. It has a unique place in the biological removal of nitrogen from wastewater. This is because during the denitrification nitrogen process, it passes from water into the air. Anoxic zones without dissolved oxygen, in which the redox potential values are in the range of approximately -50 mV to 50 mV for calomel electrode and approximately 150 mV to 250 mV for standard hydrogen electrode, it is necessary for this process.</w:t>
      </w:r>
      <w:r w:rsidR="00823EC4">
        <w:rPr>
          <w:sz w:val="24"/>
          <w:szCs w:val="24"/>
          <w:vertAlign w:val="superscript"/>
        </w:rPr>
        <w:t>4</w:t>
      </w:r>
      <w:r w:rsidRPr="00E612A1">
        <w:rPr>
          <w:sz w:val="24"/>
          <w:szCs w:val="24"/>
        </w:rPr>
        <w:t xml:space="preserve"> Denitrification is most often used in wastewater treatment, where the sources of electrons for nitrogen reduction are organic compounds.</w:t>
      </w:r>
      <w:r w:rsidR="00823EC4">
        <w:rPr>
          <w:sz w:val="24"/>
          <w:szCs w:val="24"/>
          <w:vertAlign w:val="superscript"/>
        </w:rPr>
        <w:t>5</w:t>
      </w:r>
      <w:r w:rsidRPr="00E612A1">
        <w:rPr>
          <w:sz w:val="24"/>
          <w:szCs w:val="24"/>
        </w:rPr>
        <w:t xml:space="preserve"> The process takes place even in the </w:t>
      </w:r>
      <w:r w:rsidR="004806E4" w:rsidRPr="00E612A1">
        <w:rPr>
          <w:sz w:val="24"/>
          <w:szCs w:val="24"/>
        </w:rPr>
        <w:t>absence of exogenous organic carbon (C</w:t>
      </w:r>
      <w:r w:rsidR="004806E4" w:rsidRPr="00E612A1">
        <w:rPr>
          <w:sz w:val="24"/>
          <w:szCs w:val="24"/>
          <w:vertAlign w:val="subscript"/>
        </w:rPr>
        <w:t>org</w:t>
      </w:r>
      <w:r w:rsidR="004806E4" w:rsidRPr="00E612A1">
        <w:rPr>
          <w:sz w:val="24"/>
          <w:szCs w:val="24"/>
        </w:rPr>
        <w:t xml:space="preserve">) but its rate is significantly lower. In this case, bacteria use their internal organic compounds as a source of electrons (endogenous process). </w:t>
      </w:r>
    </w:p>
    <w:p w14:paraId="7D7E6390" w14:textId="3129C46F" w:rsidR="004806E4" w:rsidRPr="00E612A1" w:rsidRDefault="004806E4" w:rsidP="008C385B">
      <w:pPr>
        <w:pStyle w:val="ZakladnyText"/>
        <w:spacing w:line="360" w:lineRule="auto"/>
        <w:ind w:firstLine="284"/>
        <w:rPr>
          <w:sz w:val="24"/>
          <w:szCs w:val="24"/>
        </w:rPr>
      </w:pPr>
      <w:r w:rsidRPr="00E612A1">
        <w:rPr>
          <w:sz w:val="24"/>
          <w:szCs w:val="24"/>
        </w:rPr>
        <w:t>In many WWTPs, the absence of readily biodegradable organic substrate in the wastewater is a limiting factor for successful removal of higher nitrogen concentrations. It occurs mainly due to the long sewerage networks in which organic compounds are anaerobically decomposed, while nitrogen remains in the wastewater. Groundwater leakage into the sewer system</w:t>
      </w:r>
      <w:r w:rsidR="00823EC4">
        <w:rPr>
          <w:sz w:val="24"/>
          <w:szCs w:val="24"/>
          <w:vertAlign w:val="superscript"/>
        </w:rPr>
        <w:t>6</w:t>
      </w:r>
      <w:r w:rsidRPr="00E612A1">
        <w:rPr>
          <w:sz w:val="24"/>
          <w:szCs w:val="24"/>
        </w:rPr>
        <w:t xml:space="preserve"> can also be a contributor of excess nitrogen in the wastewater, although this problem is not commonly reported. In the groundwater of the Slovak Republic, there is NO</w:t>
      </w:r>
      <w:r w:rsidRPr="00E612A1">
        <w:rPr>
          <w:sz w:val="24"/>
          <w:szCs w:val="24"/>
          <w:vertAlign w:val="subscript"/>
        </w:rPr>
        <w:t>3</w:t>
      </w:r>
      <w:r w:rsidRPr="00E612A1">
        <w:rPr>
          <w:sz w:val="24"/>
          <w:szCs w:val="24"/>
          <w:vertAlign w:val="superscript"/>
        </w:rPr>
        <w:t>−</w:t>
      </w:r>
      <w:r w:rsidRPr="00E612A1">
        <w:rPr>
          <w:sz w:val="24"/>
          <w:szCs w:val="24"/>
        </w:rPr>
        <w:t xml:space="preserve"> usually present at dozens mg/l.</w:t>
      </w:r>
      <w:r w:rsidR="00864C6F" w:rsidRPr="00E612A1">
        <w:t xml:space="preserve"> </w:t>
      </w:r>
      <w:r w:rsidR="00864C6F" w:rsidRPr="00E612A1">
        <w:rPr>
          <w:sz w:val="24"/>
          <w:szCs w:val="24"/>
        </w:rPr>
        <w:t>The concentration limit (50 mg/l of NO</w:t>
      </w:r>
      <w:r w:rsidR="00864C6F" w:rsidRPr="00E612A1">
        <w:rPr>
          <w:sz w:val="24"/>
          <w:szCs w:val="24"/>
          <w:vertAlign w:val="subscript"/>
        </w:rPr>
        <w:t>3</w:t>
      </w:r>
      <w:r w:rsidR="00864C6F" w:rsidRPr="00E612A1">
        <w:rPr>
          <w:sz w:val="24"/>
          <w:szCs w:val="24"/>
          <w:vertAlign w:val="superscript"/>
        </w:rPr>
        <w:t>−</w:t>
      </w:r>
      <w:r w:rsidR="00864C6F" w:rsidRPr="00E612A1">
        <w:rPr>
          <w:sz w:val="24"/>
          <w:szCs w:val="24"/>
        </w:rPr>
        <w:t>) was exceeded several times.</w:t>
      </w:r>
      <w:r w:rsidR="00823EC4">
        <w:rPr>
          <w:sz w:val="24"/>
          <w:szCs w:val="24"/>
          <w:vertAlign w:val="superscript"/>
        </w:rPr>
        <w:t>7</w:t>
      </w:r>
      <w:r w:rsidRPr="00E612A1">
        <w:rPr>
          <w:sz w:val="24"/>
          <w:szCs w:val="24"/>
          <w:vertAlign w:val="superscript"/>
        </w:rPr>
        <w:t xml:space="preserve"> </w:t>
      </w:r>
      <w:r w:rsidRPr="00E612A1">
        <w:rPr>
          <w:sz w:val="24"/>
          <w:szCs w:val="24"/>
        </w:rPr>
        <w:t>The average groundwater infiltration into the harmed pipes is 36.85% of the total wastewater volume.</w:t>
      </w:r>
      <w:r w:rsidR="00823EC4">
        <w:rPr>
          <w:sz w:val="24"/>
          <w:szCs w:val="24"/>
          <w:vertAlign w:val="superscript"/>
        </w:rPr>
        <w:t>8</w:t>
      </w:r>
      <w:r w:rsidRPr="00E612A1">
        <w:rPr>
          <w:sz w:val="24"/>
          <w:szCs w:val="24"/>
        </w:rPr>
        <w:t xml:space="preserve"> If the leakage of the groundwater into sewerage is too high, then this nitrogen source is certainly interesting. Increased nitrogen input into wastewater can be </w:t>
      </w:r>
      <w:r w:rsidR="00D81971" w:rsidRPr="00E612A1">
        <w:rPr>
          <w:sz w:val="24"/>
          <w:szCs w:val="24"/>
        </w:rPr>
        <w:t xml:space="preserve">also </w:t>
      </w:r>
      <w:r w:rsidRPr="00E612A1">
        <w:rPr>
          <w:sz w:val="24"/>
          <w:szCs w:val="24"/>
        </w:rPr>
        <w:t>a consequence of the changes in eating habits</w:t>
      </w:r>
      <w:r w:rsidR="00D81971" w:rsidRPr="00E612A1">
        <w:rPr>
          <w:sz w:val="24"/>
          <w:szCs w:val="24"/>
        </w:rPr>
        <w:t xml:space="preserve"> of a population</w:t>
      </w:r>
      <w:r w:rsidRPr="00E612A1">
        <w:rPr>
          <w:sz w:val="24"/>
          <w:szCs w:val="24"/>
        </w:rPr>
        <w:t>. While the Slovak standard</w:t>
      </w:r>
      <w:r w:rsidR="00DB4AA1">
        <w:rPr>
          <w:sz w:val="24"/>
          <w:szCs w:val="24"/>
          <w:vertAlign w:val="superscript"/>
        </w:rPr>
        <w:t>9</w:t>
      </w:r>
      <w:r w:rsidRPr="00E612A1">
        <w:rPr>
          <w:sz w:val="24"/>
          <w:szCs w:val="24"/>
        </w:rPr>
        <w:t xml:space="preserve"> nitrogen production is reported at the level of 11 g/d per capita, Pitter</w:t>
      </w:r>
      <w:r w:rsidR="00823EC4">
        <w:rPr>
          <w:sz w:val="24"/>
          <w:szCs w:val="24"/>
          <w:vertAlign w:val="superscript"/>
        </w:rPr>
        <w:t>4</w:t>
      </w:r>
      <w:r w:rsidRPr="00E612A1">
        <w:rPr>
          <w:sz w:val="24"/>
          <w:szCs w:val="24"/>
        </w:rPr>
        <w:t xml:space="preserve"> already stated at 12 g/d per capita that it is possible to find the production up to 14 g/d per capita.</w:t>
      </w:r>
      <w:r w:rsidR="00823EC4">
        <w:rPr>
          <w:sz w:val="24"/>
          <w:szCs w:val="24"/>
          <w:vertAlign w:val="superscript"/>
        </w:rPr>
        <w:t>10</w:t>
      </w:r>
    </w:p>
    <w:p w14:paraId="36EF6417" w14:textId="4DEDE7D0" w:rsidR="000F3642" w:rsidRPr="00E612A1" w:rsidRDefault="000F3642" w:rsidP="000F3642">
      <w:pPr>
        <w:pStyle w:val="ZakladnyText"/>
        <w:spacing w:line="360" w:lineRule="auto"/>
        <w:ind w:firstLine="284"/>
        <w:rPr>
          <w:sz w:val="24"/>
          <w:szCs w:val="24"/>
        </w:rPr>
      </w:pPr>
      <w:r w:rsidRPr="00E612A1">
        <w:rPr>
          <w:sz w:val="24"/>
          <w:szCs w:val="24"/>
        </w:rPr>
        <w:t>In the case of insufficient concentrations of C</w:t>
      </w:r>
      <w:r w:rsidRPr="00E612A1">
        <w:rPr>
          <w:sz w:val="24"/>
          <w:szCs w:val="24"/>
          <w:vertAlign w:val="subscript"/>
        </w:rPr>
        <w:t>org</w:t>
      </w:r>
      <w:r w:rsidRPr="00E612A1">
        <w:rPr>
          <w:sz w:val="24"/>
          <w:szCs w:val="24"/>
        </w:rPr>
        <w:t xml:space="preserve"> in the wastewater, or that the retention time of wastewater under anoxic conditions at WWTP is too short, a possible solution is the dosing of suitable external organic substrate into the denitrification reactor (to increase the denitrification rate).</w:t>
      </w:r>
      <w:r w:rsidR="00823EC4">
        <w:rPr>
          <w:sz w:val="24"/>
          <w:szCs w:val="24"/>
          <w:vertAlign w:val="superscript"/>
        </w:rPr>
        <w:t>11</w:t>
      </w:r>
    </w:p>
    <w:p w14:paraId="6880389B" w14:textId="13F70F23" w:rsidR="0000319D" w:rsidRPr="00E612A1" w:rsidRDefault="0000319D" w:rsidP="0000319D">
      <w:pPr>
        <w:pStyle w:val="ZakladnyText"/>
        <w:spacing w:line="360" w:lineRule="auto"/>
        <w:ind w:firstLine="284"/>
        <w:rPr>
          <w:sz w:val="24"/>
          <w:szCs w:val="24"/>
        </w:rPr>
      </w:pPr>
      <w:r w:rsidRPr="00E612A1">
        <w:rPr>
          <w:sz w:val="24"/>
          <w:szCs w:val="24"/>
        </w:rPr>
        <w:t>Composition of organic compounds has a strong effect on the presence of denitrifying microorganisms and thus on denitrification efficiency. Available external sources of C</w:t>
      </w:r>
      <w:r w:rsidRPr="00E612A1">
        <w:rPr>
          <w:sz w:val="24"/>
          <w:szCs w:val="24"/>
          <w:vertAlign w:val="subscript"/>
        </w:rPr>
        <w:t>org</w:t>
      </w:r>
      <w:r w:rsidRPr="00E612A1">
        <w:rPr>
          <w:sz w:val="24"/>
          <w:szCs w:val="24"/>
        </w:rPr>
        <w:t xml:space="preserve"> are alcohols, especially methanol (cost-effective, although it requires some adaptation of biomass and increased demands on operational safety because it is toxic and explosive) or ethanol (does not require such adaptation of biomass but is more expensive).</w:t>
      </w:r>
      <w:r w:rsidR="000629F5" w:rsidRPr="000629F5">
        <w:rPr>
          <w:sz w:val="24"/>
          <w:szCs w:val="24"/>
          <w:vertAlign w:val="superscript"/>
        </w:rPr>
        <w:t>4</w:t>
      </w:r>
      <w:r w:rsidRPr="00E612A1">
        <w:rPr>
          <w:sz w:val="24"/>
          <w:szCs w:val="24"/>
        </w:rPr>
        <w:t xml:space="preserve"> Organic acids (mainly acetic acid) also require less problematic adaptation because the biomass at the WWTP recognizes them (they are formed by acidogenesis and acetogenesis in the sewerage system), but they are also more expensive. Another option is saccharides (e.g., glucose, amyloid, sucrose).</w:t>
      </w:r>
      <w:r w:rsidR="005A4BB7">
        <w:rPr>
          <w:sz w:val="24"/>
          <w:szCs w:val="24"/>
          <w:vertAlign w:val="superscript"/>
        </w:rPr>
        <w:t>1</w:t>
      </w:r>
      <w:r w:rsidR="00823EC4">
        <w:rPr>
          <w:sz w:val="24"/>
          <w:szCs w:val="24"/>
          <w:vertAlign w:val="superscript"/>
        </w:rPr>
        <w:t>2</w:t>
      </w:r>
      <w:r w:rsidRPr="00E612A1">
        <w:rPr>
          <w:sz w:val="24"/>
          <w:szCs w:val="24"/>
        </w:rPr>
        <w:t xml:space="preserve"> The use </w:t>
      </w:r>
      <w:r w:rsidRPr="00E612A1">
        <w:rPr>
          <w:sz w:val="24"/>
          <w:szCs w:val="24"/>
        </w:rPr>
        <w:lastRenderedPageBreak/>
        <w:t>of alternative C</w:t>
      </w:r>
      <w:r w:rsidRPr="00E612A1">
        <w:rPr>
          <w:sz w:val="24"/>
          <w:szCs w:val="24"/>
          <w:vertAlign w:val="subscript"/>
        </w:rPr>
        <w:t>org</w:t>
      </w:r>
      <w:r w:rsidRPr="00E612A1">
        <w:rPr>
          <w:sz w:val="24"/>
          <w:szCs w:val="24"/>
        </w:rPr>
        <w:t xml:space="preserve"> sources such as concentrated wastewater from industries are an interesting option.</w:t>
      </w:r>
      <w:r w:rsidRPr="00E612A1">
        <w:rPr>
          <w:sz w:val="24"/>
          <w:szCs w:val="24"/>
          <w:vertAlign w:val="superscript"/>
        </w:rPr>
        <w:t>1</w:t>
      </w:r>
      <w:r w:rsidR="00823EC4">
        <w:rPr>
          <w:sz w:val="24"/>
          <w:szCs w:val="24"/>
          <w:vertAlign w:val="superscript"/>
        </w:rPr>
        <w:t>3</w:t>
      </w:r>
      <w:r w:rsidRPr="00E612A1">
        <w:rPr>
          <w:sz w:val="24"/>
          <w:szCs w:val="24"/>
          <w:vertAlign w:val="superscript"/>
        </w:rPr>
        <w:t>,1</w:t>
      </w:r>
      <w:r w:rsidR="00823EC4">
        <w:rPr>
          <w:sz w:val="24"/>
          <w:szCs w:val="24"/>
          <w:vertAlign w:val="superscript"/>
        </w:rPr>
        <w:t>4</w:t>
      </w:r>
      <w:r w:rsidRPr="00E612A1">
        <w:rPr>
          <w:sz w:val="24"/>
          <w:szCs w:val="24"/>
        </w:rPr>
        <w:t xml:space="preserve"> In any case, these wastewaters must be treated, and therefore their import to WWTPs, where they increase the efficiency of denitrification,</w:t>
      </w:r>
      <w:r w:rsidRPr="00E612A1">
        <w:rPr>
          <w:sz w:val="22"/>
          <w:szCs w:val="24"/>
        </w:rPr>
        <w:t xml:space="preserve"> </w:t>
      </w:r>
      <w:r w:rsidRPr="00E612A1">
        <w:rPr>
          <w:sz w:val="24"/>
          <w:szCs w:val="24"/>
        </w:rPr>
        <w:t>will bring double benefits. The usability of wastewater from the agro-food industry</w:t>
      </w:r>
      <w:r w:rsidR="00E612A1" w:rsidRPr="00E612A1">
        <w:rPr>
          <w:sz w:val="24"/>
          <w:szCs w:val="24"/>
        </w:rPr>
        <w:t> (e.g., milk bottling industries, potato processing industries, wastewater from winery industries)</w:t>
      </w:r>
      <w:r w:rsidRPr="00E612A1">
        <w:rPr>
          <w:sz w:val="24"/>
          <w:szCs w:val="24"/>
        </w:rPr>
        <w:t xml:space="preserve"> is commonly reported</w:t>
      </w:r>
      <w:r w:rsidRPr="00E612A1">
        <w:rPr>
          <w:sz w:val="24"/>
          <w:szCs w:val="24"/>
          <w:vertAlign w:val="superscript"/>
        </w:rPr>
        <w:t>1</w:t>
      </w:r>
      <w:r w:rsidR="00823EC4">
        <w:rPr>
          <w:sz w:val="24"/>
          <w:szCs w:val="24"/>
          <w:vertAlign w:val="superscript"/>
        </w:rPr>
        <w:t>5</w:t>
      </w:r>
      <w:r w:rsidRPr="00E612A1">
        <w:rPr>
          <w:sz w:val="24"/>
          <w:szCs w:val="24"/>
        </w:rPr>
        <w:t xml:space="preserve">, however other industries also produce external organic substrates. </w:t>
      </w:r>
    </w:p>
    <w:p w14:paraId="7D0080D8" w14:textId="20854159" w:rsidR="00915EFB" w:rsidRPr="009631F0" w:rsidRDefault="00915EFB" w:rsidP="008C385B">
      <w:pPr>
        <w:pStyle w:val="ZakladnyText"/>
        <w:spacing w:line="360" w:lineRule="auto"/>
        <w:ind w:firstLine="284"/>
        <w:rPr>
          <w:sz w:val="24"/>
          <w:szCs w:val="24"/>
        </w:rPr>
      </w:pPr>
      <w:r w:rsidRPr="009631F0">
        <w:rPr>
          <w:sz w:val="24"/>
          <w:szCs w:val="24"/>
        </w:rPr>
        <w:t>The specific denitrification rates reported in mg</w:t>
      </w:r>
      <w:r w:rsidRPr="009631F0">
        <w:rPr>
          <w:sz w:val="24"/>
          <w:szCs w:val="24"/>
          <w:vertAlign w:val="subscript"/>
        </w:rPr>
        <w:t>N</w:t>
      </w:r>
      <w:r w:rsidRPr="009631F0">
        <w:rPr>
          <w:sz w:val="24"/>
          <w:szCs w:val="24"/>
        </w:rPr>
        <w:t>/g·h vary considerably – mostly from tenths up to 20 mg</w:t>
      </w:r>
      <w:r w:rsidRPr="009631F0">
        <w:rPr>
          <w:sz w:val="24"/>
          <w:szCs w:val="24"/>
          <w:vertAlign w:val="subscript"/>
        </w:rPr>
        <w:t>N</w:t>
      </w:r>
      <w:r w:rsidRPr="009631F0">
        <w:rPr>
          <w:sz w:val="24"/>
          <w:szCs w:val="24"/>
        </w:rPr>
        <w:t>/g·h</w:t>
      </w:r>
      <w:r>
        <w:rPr>
          <w:sz w:val="24"/>
          <w:szCs w:val="24"/>
        </w:rPr>
        <w:t>.</w:t>
      </w:r>
      <w:r w:rsidR="005A4BB7">
        <w:rPr>
          <w:sz w:val="24"/>
          <w:szCs w:val="24"/>
          <w:vertAlign w:val="superscript"/>
        </w:rPr>
        <w:t>1</w:t>
      </w:r>
      <w:r w:rsidR="00823EC4">
        <w:rPr>
          <w:sz w:val="24"/>
          <w:szCs w:val="24"/>
          <w:vertAlign w:val="superscript"/>
        </w:rPr>
        <w:t>2</w:t>
      </w:r>
      <w:r w:rsidRPr="00450C6D">
        <w:rPr>
          <w:sz w:val="24"/>
          <w:szCs w:val="24"/>
          <w:vertAlign w:val="superscript"/>
        </w:rPr>
        <w:t>,1</w:t>
      </w:r>
      <w:r w:rsidR="00823EC4">
        <w:rPr>
          <w:sz w:val="24"/>
          <w:szCs w:val="24"/>
          <w:vertAlign w:val="superscript"/>
        </w:rPr>
        <w:t>6</w:t>
      </w:r>
      <w:r w:rsidRPr="00450C6D">
        <w:rPr>
          <w:sz w:val="24"/>
          <w:szCs w:val="24"/>
          <w:vertAlign w:val="superscript"/>
          <w:lang w:val="cs-CZ"/>
        </w:rPr>
        <w:t>–</w:t>
      </w:r>
      <w:r w:rsidR="005A4BB7">
        <w:rPr>
          <w:sz w:val="24"/>
          <w:szCs w:val="24"/>
          <w:vertAlign w:val="superscript"/>
        </w:rPr>
        <w:t>2</w:t>
      </w:r>
      <w:r w:rsidR="00823EC4">
        <w:rPr>
          <w:sz w:val="24"/>
          <w:szCs w:val="24"/>
          <w:vertAlign w:val="superscript"/>
        </w:rPr>
        <w:t>2</w:t>
      </w:r>
      <w:r>
        <w:rPr>
          <w:sz w:val="24"/>
          <w:szCs w:val="24"/>
        </w:rPr>
        <w:t xml:space="preserve"> </w:t>
      </w:r>
      <w:r w:rsidRPr="009631F0">
        <w:rPr>
          <w:sz w:val="24"/>
          <w:szCs w:val="24"/>
        </w:rPr>
        <w:t>For activated sludge adapted to sewage</w:t>
      </w:r>
      <w:r>
        <w:rPr>
          <w:sz w:val="24"/>
          <w:szCs w:val="24"/>
        </w:rPr>
        <w:t>,</w:t>
      </w:r>
      <w:r w:rsidRPr="009631F0">
        <w:rPr>
          <w:sz w:val="24"/>
          <w:szCs w:val="24"/>
        </w:rPr>
        <w:t xml:space="preserve"> acetate is reported as the substrate with the highest denitrification rates. Denitrification rates are significantly affected by test conditions (temperature, pH). The values of the rates also depend on the composition of the biomass in the tests, adaptation, </w:t>
      </w:r>
      <w:r>
        <w:rPr>
          <w:sz w:val="24"/>
          <w:szCs w:val="24"/>
        </w:rPr>
        <w:t xml:space="preserve">and </w:t>
      </w:r>
      <w:r w:rsidRPr="009631F0">
        <w:rPr>
          <w:sz w:val="24"/>
          <w:szCs w:val="24"/>
        </w:rPr>
        <w:t>sludge retention time (SRT) (</w:t>
      </w:r>
      <w:r>
        <w:rPr>
          <w:sz w:val="24"/>
          <w:szCs w:val="24"/>
        </w:rPr>
        <w:t xml:space="preserve">the </w:t>
      </w:r>
      <w:r w:rsidRPr="009631F0">
        <w:rPr>
          <w:sz w:val="24"/>
          <w:szCs w:val="24"/>
        </w:rPr>
        <w:t xml:space="preserve">higher </w:t>
      </w:r>
      <w:r>
        <w:rPr>
          <w:sz w:val="24"/>
          <w:szCs w:val="24"/>
        </w:rPr>
        <w:t xml:space="preserve">the </w:t>
      </w:r>
      <w:r w:rsidRPr="009631F0">
        <w:rPr>
          <w:sz w:val="24"/>
          <w:szCs w:val="24"/>
        </w:rPr>
        <w:t>SRT values</w:t>
      </w:r>
      <w:r>
        <w:rPr>
          <w:sz w:val="24"/>
          <w:szCs w:val="24"/>
        </w:rPr>
        <w:t>,</w:t>
      </w:r>
      <w:r w:rsidRPr="009631F0">
        <w:rPr>
          <w:sz w:val="24"/>
          <w:szCs w:val="24"/>
        </w:rPr>
        <w:t xml:space="preserve"> the </w:t>
      </w:r>
      <w:r>
        <w:rPr>
          <w:sz w:val="24"/>
          <w:szCs w:val="24"/>
        </w:rPr>
        <w:t xml:space="preserve">higher the increase in </w:t>
      </w:r>
      <w:r w:rsidRPr="009631F0">
        <w:rPr>
          <w:sz w:val="24"/>
          <w:szCs w:val="24"/>
        </w:rPr>
        <w:t>volumetric rate</w:t>
      </w:r>
      <w:r>
        <w:rPr>
          <w:sz w:val="24"/>
          <w:szCs w:val="24"/>
        </w:rPr>
        <w:t>s</w:t>
      </w:r>
      <w:r w:rsidRPr="009631F0">
        <w:rPr>
          <w:sz w:val="24"/>
          <w:szCs w:val="24"/>
        </w:rPr>
        <w:t>, but the specific rates related to the unit amount of biomass may also decrease). If denitrification rates are measured in batch kinetic tests, then the test conditions are different from those in the activated sludge reactor. In the batch test</w:t>
      </w:r>
      <w:r>
        <w:rPr>
          <w:sz w:val="24"/>
          <w:szCs w:val="24"/>
        </w:rPr>
        <w:t>,</w:t>
      </w:r>
      <w:r w:rsidRPr="009631F0">
        <w:rPr>
          <w:sz w:val="24"/>
          <w:szCs w:val="24"/>
        </w:rPr>
        <w:t xml:space="preserve"> there is a substrate concentration gradient </w:t>
      </w:r>
      <w:r>
        <w:rPr>
          <w:sz w:val="24"/>
          <w:szCs w:val="24"/>
        </w:rPr>
        <w:t>(</w:t>
      </w:r>
      <w:r w:rsidRPr="009631F0">
        <w:rPr>
          <w:sz w:val="24"/>
          <w:szCs w:val="24"/>
        </w:rPr>
        <w:t>i.e.</w:t>
      </w:r>
      <w:r>
        <w:rPr>
          <w:sz w:val="24"/>
          <w:szCs w:val="24"/>
        </w:rPr>
        <w:t>,</w:t>
      </w:r>
      <w:r w:rsidRPr="009631F0">
        <w:rPr>
          <w:sz w:val="24"/>
          <w:szCs w:val="24"/>
        </w:rPr>
        <w:t xml:space="preserve"> at the beginning of the test there are high substrate concentrations, and they only gradually decrease</w:t>
      </w:r>
      <w:r>
        <w:rPr>
          <w:sz w:val="24"/>
          <w:szCs w:val="24"/>
        </w:rPr>
        <w:t>)</w:t>
      </w:r>
      <w:r w:rsidRPr="009631F0">
        <w:rPr>
          <w:sz w:val="24"/>
          <w:szCs w:val="24"/>
        </w:rPr>
        <w:t>. According to the so-called Monod kinetics, the substrate removal rate decreases with decreasing substrate concentration</w:t>
      </w:r>
      <w:r>
        <w:rPr>
          <w:sz w:val="24"/>
          <w:szCs w:val="24"/>
        </w:rPr>
        <w:t>.</w:t>
      </w:r>
      <w:r w:rsidRPr="00EB7E80">
        <w:rPr>
          <w:sz w:val="24"/>
          <w:szCs w:val="24"/>
          <w:vertAlign w:val="superscript"/>
        </w:rPr>
        <w:t>2</w:t>
      </w:r>
      <w:r w:rsidR="00823EC4">
        <w:rPr>
          <w:sz w:val="24"/>
          <w:szCs w:val="24"/>
          <w:vertAlign w:val="superscript"/>
        </w:rPr>
        <w:t>3</w:t>
      </w:r>
      <w:r w:rsidRPr="00EB7E80">
        <w:rPr>
          <w:sz w:val="24"/>
          <w:szCs w:val="24"/>
          <w:vertAlign w:val="superscript"/>
        </w:rPr>
        <w:t>,2</w:t>
      </w:r>
      <w:r w:rsidR="00823EC4">
        <w:rPr>
          <w:sz w:val="24"/>
          <w:szCs w:val="24"/>
          <w:vertAlign w:val="superscript"/>
        </w:rPr>
        <w:t>4</w:t>
      </w:r>
      <w:r>
        <w:rPr>
          <w:sz w:val="24"/>
          <w:szCs w:val="24"/>
        </w:rPr>
        <w:t xml:space="preserve"> </w:t>
      </w:r>
      <w:r w:rsidRPr="009631F0">
        <w:rPr>
          <w:sz w:val="24"/>
          <w:szCs w:val="24"/>
        </w:rPr>
        <w:t>When assessing denitrification rates, it is also necessary to consider whether the organic substrate is single or multicomponent. According to Henze et al</w:t>
      </w:r>
      <w:r>
        <w:rPr>
          <w:sz w:val="24"/>
          <w:szCs w:val="24"/>
        </w:rPr>
        <w:t>.</w:t>
      </w:r>
      <w:r w:rsidRPr="00EB7E80">
        <w:rPr>
          <w:sz w:val="24"/>
          <w:szCs w:val="24"/>
          <w:vertAlign w:val="superscript"/>
        </w:rPr>
        <w:t>2</w:t>
      </w:r>
      <w:r w:rsidR="00823EC4">
        <w:rPr>
          <w:sz w:val="24"/>
          <w:szCs w:val="24"/>
          <w:vertAlign w:val="superscript"/>
        </w:rPr>
        <w:t>4</w:t>
      </w:r>
      <w:r w:rsidRPr="009631F0">
        <w:rPr>
          <w:sz w:val="24"/>
          <w:szCs w:val="24"/>
        </w:rPr>
        <w:t xml:space="preserve"> and Phillips et al.</w:t>
      </w:r>
      <w:r w:rsidRPr="00EB7E80">
        <w:rPr>
          <w:sz w:val="24"/>
          <w:szCs w:val="24"/>
          <w:vertAlign w:val="superscript"/>
        </w:rPr>
        <w:t>2</w:t>
      </w:r>
      <w:r w:rsidR="00823EC4">
        <w:rPr>
          <w:sz w:val="24"/>
          <w:szCs w:val="24"/>
          <w:vertAlign w:val="superscript"/>
        </w:rPr>
        <w:t>5</w:t>
      </w:r>
      <w:r w:rsidRPr="009631F0">
        <w:rPr>
          <w:sz w:val="24"/>
          <w:szCs w:val="24"/>
        </w:rPr>
        <w:t>, the denitrification rates achieved in batch kinetic tests are divided into 3 parts</w:t>
      </w:r>
      <w:r>
        <w:rPr>
          <w:sz w:val="24"/>
          <w:szCs w:val="24"/>
        </w:rPr>
        <w:t>. I</w:t>
      </w:r>
      <w:r w:rsidRPr="009631F0">
        <w:rPr>
          <w:sz w:val="24"/>
          <w:szCs w:val="24"/>
        </w:rPr>
        <w:t xml:space="preserve">n the first phase of the tests, the rate is the highest because an easily degradable organic substrate enters the denitrification; in the second phase of the test, the rate is slower because high molecular weight and insoluble organic compounds requiring hydrolysis are denitrified; </w:t>
      </w:r>
      <w:r>
        <w:rPr>
          <w:sz w:val="24"/>
          <w:szCs w:val="24"/>
        </w:rPr>
        <w:t xml:space="preserve">and finally </w:t>
      </w:r>
      <w:r w:rsidRPr="009631F0">
        <w:rPr>
          <w:sz w:val="24"/>
          <w:szCs w:val="24"/>
        </w:rPr>
        <w:t>in the third phase, the rate is the lowest because only endogenous denitrification is occurring. The rate</w:t>
      </w:r>
      <w:r>
        <w:rPr>
          <w:sz w:val="24"/>
          <w:szCs w:val="24"/>
        </w:rPr>
        <w:t>s are</w:t>
      </w:r>
      <w:r w:rsidRPr="009631F0">
        <w:rPr>
          <w:sz w:val="24"/>
          <w:szCs w:val="24"/>
        </w:rPr>
        <w:t xml:space="preserve"> calculated according to the recommendations of the technical standards</w:t>
      </w:r>
      <w:r w:rsidR="00823EC4">
        <w:rPr>
          <w:sz w:val="24"/>
          <w:szCs w:val="24"/>
          <w:vertAlign w:val="superscript"/>
        </w:rPr>
        <w:t>9</w:t>
      </w:r>
      <w:r w:rsidRPr="00EB7E80">
        <w:rPr>
          <w:sz w:val="24"/>
          <w:szCs w:val="24"/>
          <w:vertAlign w:val="superscript"/>
        </w:rPr>
        <w:t>,</w:t>
      </w:r>
      <w:r w:rsidR="00823EC4">
        <w:rPr>
          <w:sz w:val="24"/>
          <w:szCs w:val="24"/>
          <w:vertAlign w:val="superscript"/>
        </w:rPr>
        <w:t>11</w:t>
      </w:r>
      <w:r w:rsidRPr="00EB7E80">
        <w:rPr>
          <w:sz w:val="24"/>
          <w:szCs w:val="24"/>
          <w:vertAlign w:val="superscript"/>
        </w:rPr>
        <w:t xml:space="preserve"> </w:t>
      </w:r>
      <w:r w:rsidRPr="009631F0">
        <w:rPr>
          <w:sz w:val="24"/>
          <w:szCs w:val="24"/>
        </w:rPr>
        <w:t>a</w:t>
      </w:r>
      <w:r>
        <w:rPr>
          <w:sz w:val="24"/>
          <w:szCs w:val="24"/>
        </w:rPr>
        <w:t>nd</w:t>
      </w:r>
      <w:r w:rsidRPr="009631F0">
        <w:rPr>
          <w:sz w:val="24"/>
          <w:szCs w:val="24"/>
        </w:rPr>
        <w:t xml:space="preserve"> based on the level of 0.5–3</w:t>
      </w:r>
      <w:r w:rsidR="007111B7">
        <w:rPr>
          <w:sz w:val="24"/>
          <w:szCs w:val="24"/>
        </w:rPr>
        <w:t> </w:t>
      </w:r>
      <w:r w:rsidRPr="009631F0">
        <w:rPr>
          <w:sz w:val="24"/>
          <w:szCs w:val="24"/>
        </w:rPr>
        <w:t>mgN/g·h. These rates are observed at real WWTPs,</w:t>
      </w:r>
      <w:r>
        <w:rPr>
          <w:sz w:val="24"/>
          <w:szCs w:val="24"/>
        </w:rPr>
        <w:t xml:space="preserve"> and</w:t>
      </w:r>
      <w:r w:rsidRPr="009631F0">
        <w:rPr>
          <w:sz w:val="24"/>
          <w:szCs w:val="24"/>
        </w:rPr>
        <w:t xml:space="preserve"> if we calculate the denitrification rates from the actual loading values</w:t>
      </w:r>
      <w:r w:rsidRPr="00EB7E80">
        <w:rPr>
          <w:sz w:val="24"/>
          <w:szCs w:val="24"/>
          <w:vertAlign w:val="superscript"/>
        </w:rPr>
        <w:t>2</w:t>
      </w:r>
      <w:r w:rsidR="007111B7">
        <w:rPr>
          <w:sz w:val="24"/>
          <w:szCs w:val="24"/>
          <w:vertAlign w:val="superscript"/>
        </w:rPr>
        <w:t>6</w:t>
      </w:r>
      <w:r>
        <w:rPr>
          <w:sz w:val="24"/>
          <w:szCs w:val="24"/>
        </w:rPr>
        <w:t xml:space="preserve"> </w:t>
      </w:r>
      <w:r w:rsidRPr="009631F0">
        <w:rPr>
          <w:sz w:val="24"/>
          <w:szCs w:val="24"/>
        </w:rPr>
        <w:t>the denitrification rates valid for temperatures 10–20 °C are 0.1–0.2 mg</w:t>
      </w:r>
      <w:r w:rsidRPr="009631F0">
        <w:rPr>
          <w:sz w:val="24"/>
          <w:szCs w:val="24"/>
          <w:vertAlign w:val="subscript"/>
        </w:rPr>
        <w:t>N</w:t>
      </w:r>
      <w:r w:rsidRPr="009631F0">
        <w:rPr>
          <w:sz w:val="24"/>
          <w:szCs w:val="24"/>
        </w:rPr>
        <w:t>/g·h for endogenous denitrification</w:t>
      </w:r>
      <w:r w:rsidR="00823EC4">
        <w:rPr>
          <w:sz w:val="24"/>
          <w:szCs w:val="24"/>
          <w:vertAlign w:val="superscript"/>
        </w:rPr>
        <w:t>5</w:t>
      </w:r>
      <w:r w:rsidRPr="009631F0">
        <w:rPr>
          <w:sz w:val="24"/>
          <w:szCs w:val="24"/>
        </w:rPr>
        <w:t>, 0.6–2 mg</w:t>
      </w:r>
      <w:r w:rsidRPr="009631F0">
        <w:rPr>
          <w:sz w:val="24"/>
          <w:szCs w:val="24"/>
          <w:vertAlign w:val="subscript"/>
        </w:rPr>
        <w:t>N</w:t>
      </w:r>
      <w:r w:rsidRPr="009631F0">
        <w:rPr>
          <w:sz w:val="24"/>
          <w:szCs w:val="24"/>
        </w:rPr>
        <w:t>/g·h for raw wastewater</w:t>
      </w:r>
      <w:r>
        <w:rPr>
          <w:sz w:val="24"/>
          <w:szCs w:val="24"/>
        </w:rPr>
        <w:t>,</w:t>
      </w:r>
      <w:r w:rsidRPr="009631F0">
        <w:rPr>
          <w:sz w:val="24"/>
          <w:szCs w:val="24"/>
        </w:rPr>
        <w:t xml:space="preserve"> and 1–9 mg</w:t>
      </w:r>
      <w:r w:rsidRPr="009631F0">
        <w:rPr>
          <w:sz w:val="24"/>
          <w:szCs w:val="24"/>
          <w:vertAlign w:val="subscript"/>
        </w:rPr>
        <w:t>N</w:t>
      </w:r>
      <w:r w:rsidRPr="009631F0">
        <w:rPr>
          <w:sz w:val="24"/>
          <w:szCs w:val="24"/>
        </w:rPr>
        <w:t>/g·h for methanol and acetate. In summary, denitrification rates measured with a given substrate above 1 mg</w:t>
      </w:r>
      <w:r w:rsidRPr="009631F0">
        <w:rPr>
          <w:sz w:val="24"/>
          <w:szCs w:val="24"/>
          <w:vertAlign w:val="subscript"/>
        </w:rPr>
        <w:t>N</w:t>
      </w:r>
      <w:r w:rsidRPr="009631F0">
        <w:rPr>
          <w:sz w:val="24"/>
          <w:szCs w:val="24"/>
        </w:rPr>
        <w:t>/g·h can be considered as a positive result.</w:t>
      </w:r>
    </w:p>
    <w:p w14:paraId="3C91CF12" w14:textId="34151E4B" w:rsidR="003E4942" w:rsidRPr="009631F0" w:rsidRDefault="003E4942" w:rsidP="008C385B">
      <w:pPr>
        <w:pStyle w:val="ZakladnyText"/>
        <w:spacing w:line="360" w:lineRule="auto"/>
        <w:ind w:firstLine="284"/>
        <w:rPr>
          <w:sz w:val="24"/>
          <w:szCs w:val="24"/>
        </w:rPr>
      </w:pPr>
      <w:r w:rsidRPr="009631F0">
        <w:rPr>
          <w:sz w:val="24"/>
          <w:szCs w:val="24"/>
        </w:rPr>
        <w:t>The organic matter is an essential factor for microbial growth and development. In addition to the biodegradability, price</w:t>
      </w:r>
      <w:r>
        <w:rPr>
          <w:sz w:val="24"/>
          <w:szCs w:val="24"/>
        </w:rPr>
        <w:t>,</w:t>
      </w:r>
      <w:r w:rsidRPr="009631F0">
        <w:rPr>
          <w:sz w:val="24"/>
          <w:szCs w:val="24"/>
        </w:rPr>
        <w:t xml:space="preserve"> and storage options </w:t>
      </w:r>
      <w:r>
        <w:rPr>
          <w:sz w:val="24"/>
          <w:szCs w:val="24"/>
        </w:rPr>
        <w:t xml:space="preserve">for </w:t>
      </w:r>
      <w:r w:rsidRPr="009631F0">
        <w:rPr>
          <w:sz w:val="24"/>
          <w:szCs w:val="24"/>
        </w:rPr>
        <w:t xml:space="preserve">the choice of external organic substrate is influenced by the following factors: the highest possible </w:t>
      </w:r>
      <w:r w:rsidR="005B33E9" w:rsidRPr="005B33E9">
        <w:rPr>
          <w:bCs/>
          <w:sz w:val="24"/>
          <w:szCs w:val="24"/>
        </w:rPr>
        <w:t>chemical oxygen demand</w:t>
      </w:r>
      <w:r w:rsidR="005B33E9" w:rsidRPr="005B33E9">
        <w:rPr>
          <w:bCs/>
          <w:sz w:val="24"/>
          <w:szCs w:val="24"/>
          <w:lang w:val="cs-CZ"/>
        </w:rPr>
        <w:t xml:space="preserve"> </w:t>
      </w:r>
      <w:r w:rsidR="005B33E9">
        <w:rPr>
          <w:bCs/>
          <w:sz w:val="24"/>
          <w:szCs w:val="24"/>
          <w:lang w:val="cs-CZ"/>
        </w:rPr>
        <w:t>(</w:t>
      </w:r>
      <w:r w:rsidRPr="009631F0">
        <w:rPr>
          <w:sz w:val="24"/>
          <w:szCs w:val="24"/>
        </w:rPr>
        <w:t>COD</w:t>
      </w:r>
      <w:r w:rsidRPr="009631F0">
        <w:rPr>
          <w:sz w:val="24"/>
          <w:szCs w:val="24"/>
          <w:vertAlign w:val="subscript"/>
        </w:rPr>
        <w:t>Cr</w:t>
      </w:r>
      <w:r w:rsidR="005B33E9">
        <w:rPr>
          <w:sz w:val="24"/>
          <w:szCs w:val="24"/>
        </w:rPr>
        <w:t>)</w:t>
      </w:r>
      <w:r w:rsidRPr="009631F0">
        <w:rPr>
          <w:sz w:val="24"/>
          <w:szCs w:val="24"/>
        </w:rPr>
        <w:t xml:space="preserve"> concentration and specific COD</w:t>
      </w:r>
      <w:r w:rsidRPr="009631F0">
        <w:rPr>
          <w:sz w:val="24"/>
          <w:szCs w:val="24"/>
          <w:vertAlign w:val="subscript"/>
        </w:rPr>
        <w:t>Cr</w:t>
      </w:r>
      <w:r w:rsidRPr="009631F0">
        <w:rPr>
          <w:sz w:val="24"/>
          <w:szCs w:val="24"/>
        </w:rPr>
        <w:t xml:space="preserve"> expressed in mg COD</w:t>
      </w:r>
      <w:r w:rsidRPr="009631F0">
        <w:rPr>
          <w:sz w:val="24"/>
          <w:szCs w:val="24"/>
          <w:vertAlign w:val="subscript"/>
        </w:rPr>
        <w:t>Cr</w:t>
      </w:r>
      <w:r>
        <w:rPr>
          <w:sz w:val="24"/>
          <w:szCs w:val="24"/>
        </w:rPr>
        <w:t>/</w:t>
      </w:r>
      <w:r w:rsidRPr="009631F0">
        <w:rPr>
          <w:sz w:val="24"/>
          <w:szCs w:val="24"/>
        </w:rPr>
        <w:t xml:space="preserve">mg substrate; efficiency at which the </w:t>
      </w:r>
      <w:r w:rsidRPr="009631F0">
        <w:rPr>
          <w:sz w:val="24"/>
          <w:szCs w:val="24"/>
        </w:rPr>
        <w:lastRenderedPageBreak/>
        <w:t>bacteria are able to use it; toxicity of intermediates or substrate itself; composition stability (with the best possible homogeneity)</w:t>
      </w:r>
      <w:r w:rsidR="00AA615D">
        <w:rPr>
          <w:sz w:val="24"/>
          <w:szCs w:val="24"/>
        </w:rPr>
        <w:t xml:space="preserve">. </w:t>
      </w:r>
      <w:r w:rsidR="005B33E9">
        <w:rPr>
          <w:sz w:val="24"/>
          <w:szCs w:val="24"/>
        </w:rPr>
        <w:t>Another</w:t>
      </w:r>
      <w:r w:rsidR="00AA615D">
        <w:rPr>
          <w:sz w:val="24"/>
          <w:szCs w:val="24"/>
        </w:rPr>
        <w:t xml:space="preserve"> </w:t>
      </w:r>
      <w:r w:rsidR="000C15F5">
        <w:rPr>
          <w:sz w:val="24"/>
          <w:szCs w:val="24"/>
        </w:rPr>
        <w:t>factor</w:t>
      </w:r>
      <w:r w:rsidR="00AA615D">
        <w:rPr>
          <w:sz w:val="24"/>
          <w:szCs w:val="24"/>
        </w:rPr>
        <w:t xml:space="preserve"> </w:t>
      </w:r>
      <w:r w:rsidR="000C15F5">
        <w:rPr>
          <w:sz w:val="24"/>
          <w:szCs w:val="24"/>
        </w:rPr>
        <w:t>is</w:t>
      </w:r>
      <w:r w:rsidR="00AA615D">
        <w:rPr>
          <w:sz w:val="24"/>
          <w:szCs w:val="24"/>
        </w:rPr>
        <w:t xml:space="preserve"> </w:t>
      </w:r>
      <w:r w:rsidRPr="009631F0">
        <w:rPr>
          <w:sz w:val="24"/>
          <w:szCs w:val="24"/>
        </w:rPr>
        <w:t xml:space="preserve">the lowest possible portion of nitrogen in the substrate; the highest possible portion of compounds in the substrate entering the denitrification reaction and a low portion of compounds entering the assimilation reaction associated with the growth of new biomass; </w:t>
      </w:r>
      <w:r>
        <w:rPr>
          <w:sz w:val="24"/>
          <w:szCs w:val="24"/>
        </w:rPr>
        <w:t xml:space="preserve">and </w:t>
      </w:r>
      <w:r w:rsidRPr="009631F0">
        <w:rPr>
          <w:sz w:val="24"/>
          <w:szCs w:val="24"/>
        </w:rPr>
        <w:t>the lowest possible ratio of high molecular weight and undissolved compounds</w:t>
      </w:r>
      <w:r>
        <w:rPr>
          <w:sz w:val="24"/>
          <w:szCs w:val="24"/>
        </w:rPr>
        <w:t>.</w:t>
      </w:r>
      <w:r w:rsidR="00823EC4">
        <w:rPr>
          <w:sz w:val="24"/>
          <w:szCs w:val="24"/>
          <w:vertAlign w:val="superscript"/>
        </w:rPr>
        <w:t>4</w:t>
      </w:r>
      <w:r w:rsidRPr="00EB7E80">
        <w:rPr>
          <w:sz w:val="24"/>
          <w:szCs w:val="24"/>
          <w:vertAlign w:val="superscript"/>
        </w:rPr>
        <w:t>,</w:t>
      </w:r>
      <w:r w:rsidR="00823EC4">
        <w:rPr>
          <w:sz w:val="24"/>
          <w:szCs w:val="24"/>
          <w:vertAlign w:val="superscript"/>
        </w:rPr>
        <w:t>5</w:t>
      </w:r>
      <w:r w:rsidRPr="00EB7E80">
        <w:rPr>
          <w:sz w:val="24"/>
          <w:szCs w:val="24"/>
          <w:vertAlign w:val="superscript"/>
        </w:rPr>
        <w:t>,</w:t>
      </w:r>
      <w:r w:rsidR="00823EC4">
        <w:rPr>
          <w:sz w:val="24"/>
          <w:szCs w:val="24"/>
          <w:vertAlign w:val="superscript"/>
        </w:rPr>
        <w:t>11</w:t>
      </w:r>
      <w:r w:rsidRPr="009631F0">
        <w:rPr>
          <w:sz w:val="24"/>
          <w:szCs w:val="24"/>
        </w:rPr>
        <w:t xml:space="preserve"> </w:t>
      </w:r>
    </w:p>
    <w:p w14:paraId="4A33C4D0" w14:textId="3F715CAA" w:rsidR="00C5502F" w:rsidRPr="00E612A1" w:rsidRDefault="003E4942" w:rsidP="008C385B">
      <w:pPr>
        <w:pStyle w:val="ZakladnyText"/>
        <w:spacing w:line="360" w:lineRule="auto"/>
        <w:ind w:firstLine="284"/>
        <w:rPr>
          <w:sz w:val="24"/>
          <w:szCs w:val="24"/>
        </w:rPr>
      </w:pPr>
      <w:r w:rsidRPr="009631F0">
        <w:rPr>
          <w:sz w:val="24"/>
          <w:szCs w:val="24"/>
        </w:rPr>
        <w:t>The objectives of this study were to analytically determine the content of components present in industrial wastewater with a high COD concentration, monitor its impact on</w:t>
      </w:r>
      <w:r>
        <w:rPr>
          <w:sz w:val="24"/>
          <w:szCs w:val="24"/>
        </w:rPr>
        <w:t xml:space="preserve"> the</w:t>
      </w:r>
      <w:r w:rsidRPr="009631F0">
        <w:rPr>
          <w:sz w:val="24"/>
          <w:szCs w:val="24"/>
        </w:rPr>
        <w:t xml:space="preserve"> biological stage of WWTP</w:t>
      </w:r>
      <w:r>
        <w:rPr>
          <w:sz w:val="24"/>
          <w:szCs w:val="24"/>
        </w:rPr>
        <w:t>s,</w:t>
      </w:r>
      <w:r w:rsidRPr="009631F0">
        <w:rPr>
          <w:sz w:val="24"/>
          <w:szCs w:val="24"/>
        </w:rPr>
        <w:t xml:space="preserve"> and to present the possibilities of using concentrated industrial wastewater as an external source for the denitrification (e.g.</w:t>
      </w:r>
      <w:r>
        <w:rPr>
          <w:sz w:val="24"/>
          <w:szCs w:val="24"/>
        </w:rPr>
        <w:t>,</w:t>
      </w:r>
      <w:r w:rsidRPr="009631F0">
        <w:rPr>
          <w:sz w:val="24"/>
          <w:szCs w:val="24"/>
        </w:rPr>
        <w:t xml:space="preserve"> at municipal WWTPs with </w:t>
      </w:r>
      <w:r>
        <w:rPr>
          <w:sz w:val="24"/>
          <w:szCs w:val="24"/>
        </w:rPr>
        <w:t xml:space="preserve">the </w:t>
      </w:r>
      <w:r w:rsidRPr="009631F0">
        <w:rPr>
          <w:sz w:val="24"/>
          <w:szCs w:val="24"/>
        </w:rPr>
        <w:t>lack of denitrification capacity, where</w:t>
      </w:r>
      <w:r>
        <w:rPr>
          <w:sz w:val="24"/>
          <w:szCs w:val="24"/>
        </w:rPr>
        <w:t xml:space="preserve"> the</w:t>
      </w:r>
      <w:r w:rsidRPr="009631F0">
        <w:rPr>
          <w:sz w:val="24"/>
          <w:szCs w:val="24"/>
        </w:rPr>
        <w:t xml:space="preserve"> accelerating of denitrification could help to achieve the legal requirements on treated wastewater and to reduce the payment of fees for discharged nitrogen</w:t>
      </w:r>
      <w:r>
        <w:rPr>
          <w:sz w:val="24"/>
          <w:szCs w:val="24"/>
        </w:rPr>
        <w:t>).</w:t>
      </w:r>
      <w:r w:rsidRPr="00EB7E80">
        <w:rPr>
          <w:sz w:val="24"/>
          <w:szCs w:val="24"/>
          <w:vertAlign w:val="superscript"/>
        </w:rPr>
        <w:t>2</w:t>
      </w:r>
      <w:r w:rsidR="00823EC4">
        <w:rPr>
          <w:sz w:val="24"/>
          <w:szCs w:val="24"/>
          <w:vertAlign w:val="superscript"/>
        </w:rPr>
        <w:t>7</w:t>
      </w:r>
      <w:r w:rsidRPr="00EB7E80">
        <w:rPr>
          <w:sz w:val="24"/>
          <w:szCs w:val="24"/>
          <w:vertAlign w:val="superscript"/>
        </w:rPr>
        <w:t>,2</w:t>
      </w:r>
      <w:r w:rsidR="00823EC4">
        <w:rPr>
          <w:sz w:val="24"/>
          <w:szCs w:val="24"/>
          <w:vertAlign w:val="superscript"/>
        </w:rPr>
        <w:t>8</w:t>
      </w:r>
      <w:r>
        <w:rPr>
          <w:sz w:val="24"/>
          <w:szCs w:val="24"/>
          <w:vertAlign w:val="superscript"/>
        </w:rPr>
        <w:t xml:space="preserve"> </w:t>
      </w:r>
    </w:p>
    <w:p w14:paraId="5C7AD481" w14:textId="32C87C2F" w:rsidR="000C15F5" w:rsidRPr="00456F8A" w:rsidRDefault="004D356C" w:rsidP="000C15F5">
      <w:pPr>
        <w:pStyle w:val="Titulok1"/>
        <w:numPr>
          <w:ilvl w:val="0"/>
          <w:numId w:val="32"/>
        </w:numPr>
        <w:spacing w:line="360" w:lineRule="auto"/>
        <w:jc w:val="center"/>
      </w:pPr>
      <w:r w:rsidRPr="00456F8A">
        <w:t>Material</w:t>
      </w:r>
      <w:r w:rsidR="00BB0A3A" w:rsidRPr="00456F8A">
        <w:t>s</w:t>
      </w:r>
      <w:r w:rsidRPr="00456F8A">
        <w:t xml:space="preserve"> and Methods</w:t>
      </w:r>
    </w:p>
    <w:p w14:paraId="6F375099" w14:textId="704F2C65" w:rsidR="000C15F5" w:rsidRPr="008141F4" w:rsidRDefault="000C15F5" w:rsidP="000C15F5">
      <w:pPr>
        <w:pStyle w:val="TextNadTabulku"/>
        <w:suppressAutoHyphens/>
        <w:spacing w:line="360" w:lineRule="auto"/>
        <w:ind w:left="0" w:firstLine="360"/>
        <w:rPr>
          <w:sz w:val="24"/>
          <w:szCs w:val="24"/>
        </w:rPr>
      </w:pPr>
      <w:r w:rsidRPr="00F4759B">
        <w:rPr>
          <w:sz w:val="24"/>
          <w:szCs w:val="24"/>
        </w:rPr>
        <w:t xml:space="preserve">The </w:t>
      </w:r>
      <w:r w:rsidRPr="00132FB7">
        <w:rPr>
          <w:sz w:val="24"/>
          <w:szCs w:val="24"/>
        </w:rPr>
        <w:t>analysed parameters</w:t>
      </w:r>
      <w:r w:rsidRPr="00F4759B">
        <w:rPr>
          <w:sz w:val="24"/>
          <w:szCs w:val="24"/>
        </w:rPr>
        <w:t xml:space="preserve">, their abbreviations, respective symbols, and the method of determination are </w:t>
      </w:r>
      <w:r>
        <w:rPr>
          <w:sz w:val="24"/>
          <w:szCs w:val="24"/>
        </w:rPr>
        <w:t>shown</w:t>
      </w:r>
      <w:r w:rsidRPr="00F4759B">
        <w:rPr>
          <w:sz w:val="24"/>
          <w:szCs w:val="24"/>
        </w:rPr>
        <w:t xml:space="preserve"> in Table 1. All analyses were performed according to standard procedures.</w:t>
      </w:r>
      <w:r w:rsidRPr="00F4759B">
        <w:rPr>
          <w:sz w:val="24"/>
          <w:szCs w:val="24"/>
          <w:vertAlign w:val="superscript"/>
        </w:rPr>
        <w:t>2</w:t>
      </w:r>
      <w:r w:rsidR="00823EC4">
        <w:rPr>
          <w:sz w:val="24"/>
          <w:szCs w:val="24"/>
          <w:vertAlign w:val="superscript"/>
        </w:rPr>
        <w:t>9</w:t>
      </w:r>
    </w:p>
    <w:p w14:paraId="381BE176" w14:textId="3429CE32" w:rsidR="000C15F5" w:rsidRDefault="000C15F5" w:rsidP="000C15F5">
      <w:pPr>
        <w:pStyle w:val="ZakladnyText"/>
        <w:spacing w:line="360" w:lineRule="auto"/>
        <w:ind w:firstLine="360"/>
        <w:rPr>
          <w:sz w:val="24"/>
          <w:szCs w:val="25"/>
        </w:rPr>
      </w:pPr>
      <w:r w:rsidRPr="00F4759B">
        <w:rPr>
          <w:sz w:val="24"/>
          <w:szCs w:val="25"/>
        </w:rPr>
        <w:t xml:space="preserve">Activated sludge for denitrification and respirometry tests was cultivated in three long-term </w:t>
      </w:r>
      <w:r w:rsidRPr="00132FB7">
        <w:rPr>
          <w:sz w:val="24"/>
          <w:szCs w:val="25"/>
        </w:rPr>
        <w:t>semicontinuous lab-scale bioreactors</w:t>
      </w:r>
      <w:r w:rsidR="00823EC4">
        <w:rPr>
          <w:sz w:val="24"/>
          <w:szCs w:val="25"/>
          <w:vertAlign w:val="superscript"/>
        </w:rPr>
        <w:t>30</w:t>
      </w:r>
      <w:r w:rsidRPr="00F4759B">
        <w:rPr>
          <w:sz w:val="24"/>
          <w:szCs w:val="25"/>
          <w:vertAlign w:val="superscript"/>
        </w:rPr>
        <w:t xml:space="preserve"> </w:t>
      </w:r>
      <w:r w:rsidRPr="00F4759B">
        <w:rPr>
          <w:sz w:val="24"/>
          <w:szCs w:val="25"/>
        </w:rPr>
        <w:t>(designated R</w:t>
      </w:r>
      <w:r w:rsidRPr="00F4759B">
        <w:rPr>
          <w:sz w:val="24"/>
          <w:szCs w:val="25"/>
          <w:vertAlign w:val="subscript"/>
        </w:rPr>
        <w:t>1</w:t>
      </w:r>
      <w:r w:rsidRPr="00F4759B">
        <w:rPr>
          <w:sz w:val="24"/>
          <w:szCs w:val="25"/>
        </w:rPr>
        <w:t>, R</w:t>
      </w:r>
      <w:r w:rsidRPr="00F4759B">
        <w:rPr>
          <w:sz w:val="24"/>
          <w:szCs w:val="25"/>
          <w:vertAlign w:val="subscript"/>
        </w:rPr>
        <w:t>2</w:t>
      </w:r>
      <w:r>
        <w:rPr>
          <w:sz w:val="24"/>
          <w:szCs w:val="25"/>
        </w:rPr>
        <w:t>,</w:t>
      </w:r>
      <w:r w:rsidRPr="00F4759B">
        <w:rPr>
          <w:sz w:val="24"/>
          <w:szCs w:val="25"/>
        </w:rPr>
        <w:t xml:space="preserve"> and R</w:t>
      </w:r>
      <w:r w:rsidRPr="00F4759B">
        <w:rPr>
          <w:sz w:val="24"/>
          <w:szCs w:val="25"/>
          <w:vertAlign w:val="subscript"/>
        </w:rPr>
        <w:t>3</w:t>
      </w:r>
      <w:r w:rsidRPr="00F4759B">
        <w:rPr>
          <w:sz w:val="24"/>
          <w:szCs w:val="25"/>
        </w:rPr>
        <w:t>) with a total volume of 1 litre placed on magnetic stirrers. Mixing</w:t>
      </w:r>
      <w:r w:rsidRPr="009631F0">
        <w:rPr>
          <w:sz w:val="24"/>
          <w:szCs w:val="25"/>
        </w:rPr>
        <w:t xml:space="preserve"> and aeration of the activated sludge in models R</w:t>
      </w:r>
      <w:r w:rsidRPr="009631F0">
        <w:rPr>
          <w:sz w:val="24"/>
          <w:szCs w:val="25"/>
          <w:vertAlign w:val="subscript"/>
        </w:rPr>
        <w:t>1</w:t>
      </w:r>
      <w:r w:rsidRPr="009631F0">
        <w:rPr>
          <w:sz w:val="24"/>
          <w:szCs w:val="25"/>
        </w:rPr>
        <w:t>, R</w:t>
      </w:r>
      <w:r w:rsidRPr="009631F0">
        <w:rPr>
          <w:sz w:val="24"/>
          <w:szCs w:val="25"/>
          <w:vertAlign w:val="subscript"/>
        </w:rPr>
        <w:t>2</w:t>
      </w:r>
      <w:r>
        <w:rPr>
          <w:sz w:val="24"/>
          <w:szCs w:val="25"/>
        </w:rPr>
        <w:t>,</w:t>
      </w:r>
      <w:r w:rsidRPr="009631F0">
        <w:rPr>
          <w:sz w:val="24"/>
          <w:szCs w:val="25"/>
        </w:rPr>
        <w:t xml:space="preserve"> and R</w:t>
      </w:r>
      <w:r w:rsidRPr="009631F0">
        <w:rPr>
          <w:sz w:val="24"/>
          <w:szCs w:val="25"/>
          <w:vertAlign w:val="subscript"/>
        </w:rPr>
        <w:t xml:space="preserve">3 </w:t>
      </w:r>
      <w:r w:rsidRPr="009631F0">
        <w:rPr>
          <w:sz w:val="24"/>
          <w:szCs w:val="25"/>
        </w:rPr>
        <w:t xml:space="preserve">were set up in the following </w:t>
      </w:r>
      <w:r>
        <w:rPr>
          <w:sz w:val="24"/>
          <w:szCs w:val="25"/>
        </w:rPr>
        <w:t>way:</w:t>
      </w:r>
      <w:r w:rsidRPr="009631F0">
        <w:rPr>
          <w:sz w:val="24"/>
          <w:szCs w:val="25"/>
        </w:rPr>
        <w:t xml:space="preserve"> 5 hours after the addition of the substrate mixing (i.e.</w:t>
      </w:r>
      <w:r>
        <w:rPr>
          <w:sz w:val="24"/>
          <w:szCs w:val="25"/>
        </w:rPr>
        <w:t>,</w:t>
      </w:r>
      <w:r w:rsidRPr="009631F0">
        <w:rPr>
          <w:sz w:val="24"/>
          <w:szCs w:val="25"/>
        </w:rPr>
        <w:t xml:space="preserve"> denitrification) followed by 17 hours aeration (i.e., nitrification and oxidation of residual organic compounds with O</w:t>
      </w:r>
      <w:r w:rsidRPr="009631F0">
        <w:rPr>
          <w:sz w:val="24"/>
          <w:szCs w:val="25"/>
          <w:vertAlign w:val="subscript"/>
        </w:rPr>
        <w:t>2</w:t>
      </w:r>
      <w:r w:rsidRPr="009631F0">
        <w:rPr>
          <w:sz w:val="24"/>
          <w:szCs w:val="25"/>
        </w:rPr>
        <w:t>)</w:t>
      </w:r>
      <w:r>
        <w:rPr>
          <w:sz w:val="24"/>
          <w:szCs w:val="25"/>
        </w:rPr>
        <w:t>,</w:t>
      </w:r>
      <w:r w:rsidRPr="009631F0">
        <w:rPr>
          <w:sz w:val="24"/>
          <w:szCs w:val="25"/>
        </w:rPr>
        <w:t xml:space="preserve"> and 2 hours sedimentation and</w:t>
      </w:r>
      <w:r>
        <w:rPr>
          <w:sz w:val="24"/>
          <w:szCs w:val="25"/>
        </w:rPr>
        <w:t xml:space="preserve"> </w:t>
      </w:r>
      <w:r w:rsidRPr="009631F0">
        <w:rPr>
          <w:sz w:val="24"/>
          <w:szCs w:val="25"/>
        </w:rPr>
        <w:t>draw off effluent and dosing of the substrate. The volumetric loading expressed in kg COD</w:t>
      </w:r>
      <w:r w:rsidRPr="009631F0">
        <w:rPr>
          <w:sz w:val="24"/>
          <w:szCs w:val="25"/>
          <w:vertAlign w:val="subscript"/>
        </w:rPr>
        <w:t>Cr</w:t>
      </w:r>
      <w:r w:rsidRPr="009631F0">
        <w:rPr>
          <w:sz w:val="24"/>
          <w:szCs w:val="25"/>
        </w:rPr>
        <w:t xml:space="preserve"> was maintained at 0.88 kg/m</w:t>
      </w:r>
      <w:r w:rsidRPr="009631F0">
        <w:rPr>
          <w:sz w:val="24"/>
          <w:szCs w:val="25"/>
          <w:vertAlign w:val="superscript"/>
        </w:rPr>
        <w:t>3</w:t>
      </w:r>
      <w:r w:rsidRPr="009631F0">
        <w:rPr>
          <w:sz w:val="24"/>
          <w:szCs w:val="25"/>
        </w:rPr>
        <w:t xml:space="preserve">·d. The hydraulic retention time was 1.8 days and the set SRT was 15 days. Reactors were operated at the laboratory temperature 27–30 °C (experiments </w:t>
      </w:r>
      <w:r>
        <w:rPr>
          <w:sz w:val="24"/>
          <w:szCs w:val="25"/>
        </w:rPr>
        <w:t>performed</w:t>
      </w:r>
      <w:r w:rsidRPr="009631F0">
        <w:rPr>
          <w:sz w:val="24"/>
          <w:szCs w:val="25"/>
        </w:rPr>
        <w:t xml:space="preserve"> during summer months). The substrate was dosed every 24 hours. Substrate to the reactor R</w:t>
      </w:r>
      <w:r w:rsidRPr="009631F0">
        <w:rPr>
          <w:sz w:val="24"/>
          <w:szCs w:val="25"/>
          <w:vertAlign w:val="subscript"/>
        </w:rPr>
        <w:t>1</w:t>
      </w:r>
      <w:r w:rsidRPr="009631F0">
        <w:rPr>
          <w:sz w:val="24"/>
          <w:szCs w:val="25"/>
        </w:rPr>
        <w:t xml:space="preserve"> (i.e., reference reactor) contained glucose, peptone, and starch. The substrate consisting of glucose, peptone, starch</w:t>
      </w:r>
      <w:r>
        <w:rPr>
          <w:sz w:val="24"/>
          <w:szCs w:val="25"/>
        </w:rPr>
        <w:t>,</w:t>
      </w:r>
      <w:r w:rsidRPr="009631F0">
        <w:rPr>
          <w:sz w:val="24"/>
          <w:szCs w:val="25"/>
        </w:rPr>
        <w:t xml:space="preserve"> and industrial wastewater was dosed to reactor R</w:t>
      </w:r>
      <w:r w:rsidRPr="009631F0">
        <w:rPr>
          <w:sz w:val="24"/>
          <w:szCs w:val="25"/>
          <w:vertAlign w:val="subscript"/>
        </w:rPr>
        <w:t>2</w:t>
      </w:r>
      <w:r w:rsidRPr="009631F0">
        <w:rPr>
          <w:sz w:val="24"/>
          <w:szCs w:val="25"/>
        </w:rPr>
        <w:t xml:space="preserve"> in a ratio of 1:1 (mg COD</w:t>
      </w:r>
      <w:r w:rsidRPr="009631F0">
        <w:rPr>
          <w:sz w:val="24"/>
          <w:szCs w:val="25"/>
          <w:vertAlign w:val="subscript"/>
        </w:rPr>
        <w:t>Cr,glucose + peptone + starch </w:t>
      </w:r>
      <w:r w:rsidRPr="009631F0">
        <w:rPr>
          <w:sz w:val="24"/>
          <w:szCs w:val="25"/>
        </w:rPr>
        <w:t>: mg COD</w:t>
      </w:r>
      <w:r w:rsidRPr="009631F0">
        <w:rPr>
          <w:sz w:val="24"/>
          <w:szCs w:val="25"/>
          <w:vertAlign w:val="subscript"/>
        </w:rPr>
        <w:t>Cr, industrial wastewater</w:t>
      </w:r>
      <w:r w:rsidRPr="009631F0">
        <w:rPr>
          <w:sz w:val="24"/>
          <w:szCs w:val="25"/>
        </w:rPr>
        <w:t>). Only the industrial wastewater was dosed to reactor R</w:t>
      </w:r>
      <w:r w:rsidRPr="009631F0">
        <w:rPr>
          <w:sz w:val="24"/>
          <w:szCs w:val="25"/>
          <w:vertAlign w:val="subscript"/>
        </w:rPr>
        <w:t>3</w:t>
      </w:r>
      <w:r w:rsidRPr="009631F0">
        <w:rPr>
          <w:sz w:val="24"/>
          <w:szCs w:val="25"/>
        </w:rPr>
        <w:t>. The total concentration of COD</w:t>
      </w:r>
      <w:r w:rsidRPr="009631F0">
        <w:rPr>
          <w:sz w:val="24"/>
          <w:szCs w:val="25"/>
          <w:vertAlign w:val="subscript"/>
        </w:rPr>
        <w:t>Cr</w:t>
      </w:r>
      <w:r w:rsidRPr="009631F0">
        <w:rPr>
          <w:sz w:val="24"/>
          <w:szCs w:val="25"/>
        </w:rPr>
        <w:t xml:space="preserve"> in all 3 substrates was 1</w:t>
      </w:r>
      <w:r w:rsidR="00A35403">
        <w:rPr>
          <w:sz w:val="24"/>
          <w:szCs w:val="25"/>
        </w:rPr>
        <w:t>,</w:t>
      </w:r>
      <w:r w:rsidRPr="009631F0">
        <w:rPr>
          <w:sz w:val="24"/>
          <w:szCs w:val="25"/>
        </w:rPr>
        <w:t>600 mg/l. Nutrients (N and P) were dosed in the form of NH</w:t>
      </w:r>
      <w:r w:rsidRPr="009631F0">
        <w:rPr>
          <w:sz w:val="24"/>
          <w:szCs w:val="25"/>
          <w:vertAlign w:val="subscript"/>
        </w:rPr>
        <w:t>4</w:t>
      </w:r>
      <w:r w:rsidRPr="009631F0">
        <w:rPr>
          <w:sz w:val="24"/>
          <w:szCs w:val="25"/>
        </w:rPr>
        <w:t>Cl and KH</w:t>
      </w:r>
      <w:r w:rsidRPr="009631F0">
        <w:rPr>
          <w:sz w:val="24"/>
          <w:szCs w:val="25"/>
          <w:vertAlign w:val="subscript"/>
        </w:rPr>
        <w:t>2</w:t>
      </w:r>
      <w:r w:rsidRPr="009631F0">
        <w:rPr>
          <w:sz w:val="24"/>
          <w:szCs w:val="25"/>
        </w:rPr>
        <w:t>PO</w:t>
      </w:r>
      <w:r w:rsidRPr="009631F0">
        <w:rPr>
          <w:sz w:val="24"/>
          <w:szCs w:val="25"/>
          <w:vertAlign w:val="subscript"/>
        </w:rPr>
        <w:t>4</w:t>
      </w:r>
      <w:r w:rsidRPr="009631F0">
        <w:rPr>
          <w:sz w:val="24"/>
          <w:szCs w:val="25"/>
        </w:rPr>
        <w:t>. The concentrations of TKN (N-NH</w:t>
      </w:r>
      <w:r w:rsidRPr="009631F0">
        <w:rPr>
          <w:sz w:val="24"/>
          <w:szCs w:val="25"/>
          <w:vertAlign w:val="subscript"/>
        </w:rPr>
        <w:t>4</w:t>
      </w:r>
      <w:r w:rsidRPr="009631F0">
        <w:rPr>
          <w:sz w:val="24"/>
          <w:szCs w:val="25"/>
        </w:rPr>
        <w:t xml:space="preserve"> + N</w:t>
      </w:r>
      <w:r w:rsidRPr="009631F0">
        <w:rPr>
          <w:sz w:val="24"/>
          <w:szCs w:val="25"/>
          <w:vertAlign w:val="subscript"/>
        </w:rPr>
        <w:t>org</w:t>
      </w:r>
      <w:r w:rsidRPr="009631F0">
        <w:rPr>
          <w:sz w:val="24"/>
          <w:szCs w:val="25"/>
        </w:rPr>
        <w:t xml:space="preserve">) were at the level </w:t>
      </w:r>
      <w:r w:rsidRPr="009631F0">
        <w:rPr>
          <w:sz w:val="24"/>
          <w:szCs w:val="25"/>
        </w:rPr>
        <w:lastRenderedPageBreak/>
        <w:t>of 55 mg/l</w:t>
      </w:r>
      <w:r w:rsidRPr="009631F0" w:rsidDel="00C91A55">
        <w:rPr>
          <w:sz w:val="24"/>
          <w:szCs w:val="25"/>
        </w:rPr>
        <w:t xml:space="preserve"> </w:t>
      </w:r>
      <w:r w:rsidRPr="009631F0">
        <w:rPr>
          <w:sz w:val="24"/>
          <w:szCs w:val="25"/>
        </w:rPr>
        <w:t>and P-PO</w:t>
      </w:r>
      <w:r w:rsidRPr="009631F0">
        <w:rPr>
          <w:sz w:val="24"/>
          <w:szCs w:val="25"/>
          <w:vertAlign w:val="subscript"/>
        </w:rPr>
        <w:t>4</w:t>
      </w:r>
      <w:r w:rsidRPr="009631F0">
        <w:rPr>
          <w:sz w:val="24"/>
          <w:szCs w:val="25"/>
        </w:rPr>
        <w:t xml:space="preserve"> at the level of 12 mg/l. To ensure the supply of micronutrients for activated sludge, reject water from dewatering of digested sludge at real municipal WWTP was added (30 ml</w:t>
      </w:r>
      <w:r w:rsidRPr="009631F0">
        <w:rPr>
          <w:sz w:val="24"/>
          <w:szCs w:val="25"/>
          <w:vertAlign w:val="subscript"/>
        </w:rPr>
        <w:t>reject water</w:t>
      </w:r>
      <w:r w:rsidRPr="009631F0">
        <w:rPr>
          <w:sz w:val="24"/>
          <w:szCs w:val="25"/>
        </w:rPr>
        <w:t>/l</w:t>
      </w:r>
      <w:r w:rsidRPr="009631F0">
        <w:rPr>
          <w:sz w:val="24"/>
          <w:szCs w:val="25"/>
          <w:vertAlign w:val="subscript"/>
        </w:rPr>
        <w:t>of substrate</w:t>
      </w:r>
      <w:r w:rsidRPr="009631F0">
        <w:rPr>
          <w:sz w:val="24"/>
          <w:szCs w:val="25"/>
        </w:rPr>
        <w:t>). The pH was adjusted with a sodium hydro</w:t>
      </w:r>
      <w:r>
        <w:rPr>
          <w:sz w:val="24"/>
          <w:szCs w:val="25"/>
        </w:rPr>
        <w:t>-</w:t>
      </w:r>
      <w:r w:rsidRPr="009631F0">
        <w:rPr>
          <w:sz w:val="24"/>
          <w:szCs w:val="25"/>
        </w:rPr>
        <w:t xml:space="preserve">carbonate solution to 7. </w:t>
      </w:r>
    </w:p>
    <w:p w14:paraId="08C57ABB" w14:textId="6721E35E" w:rsidR="00DC75EB" w:rsidRPr="00456F8A" w:rsidRDefault="00E715F1" w:rsidP="00DB3AEE">
      <w:pPr>
        <w:pStyle w:val="TextNadTabulku"/>
        <w:suppressAutoHyphens/>
        <w:spacing w:line="360" w:lineRule="auto"/>
        <w:rPr>
          <w:sz w:val="24"/>
          <w:szCs w:val="24"/>
        </w:rPr>
      </w:pPr>
      <w:r w:rsidRPr="00456F8A">
        <w:rPr>
          <w:b/>
          <w:sz w:val="24"/>
          <w:szCs w:val="24"/>
        </w:rPr>
        <w:t>Tab</w:t>
      </w:r>
      <w:r w:rsidR="009631F0" w:rsidRPr="00456F8A">
        <w:rPr>
          <w:b/>
          <w:sz w:val="24"/>
          <w:szCs w:val="24"/>
        </w:rPr>
        <w:t xml:space="preserve">le </w:t>
      </w:r>
      <w:r w:rsidRPr="00456F8A">
        <w:rPr>
          <w:b/>
          <w:sz w:val="24"/>
          <w:szCs w:val="24"/>
        </w:rPr>
        <w:t>1.</w:t>
      </w:r>
      <w:r w:rsidR="00753A1B" w:rsidRPr="00456F8A">
        <w:rPr>
          <w:sz w:val="24"/>
          <w:szCs w:val="24"/>
        </w:rPr>
        <w:t xml:space="preserve"> </w:t>
      </w:r>
      <w:r w:rsidR="007D502C" w:rsidRPr="00456F8A">
        <w:rPr>
          <w:sz w:val="24"/>
          <w:szCs w:val="24"/>
        </w:rPr>
        <w:t>Analysed parameters, their abbreviations</w:t>
      </w:r>
      <w:r w:rsidR="002F3A60" w:rsidRPr="00456F8A">
        <w:rPr>
          <w:sz w:val="24"/>
          <w:szCs w:val="24"/>
        </w:rPr>
        <w:t xml:space="preserve"> (symbol</w:t>
      </w:r>
      <w:r w:rsidR="001B197F" w:rsidRPr="00456F8A">
        <w:rPr>
          <w:sz w:val="24"/>
          <w:szCs w:val="24"/>
        </w:rPr>
        <w:t>s</w:t>
      </w:r>
      <w:r w:rsidR="002F3A60" w:rsidRPr="00456F8A">
        <w:rPr>
          <w:sz w:val="24"/>
          <w:szCs w:val="24"/>
        </w:rPr>
        <w:t>)</w:t>
      </w:r>
      <w:r w:rsidR="005D3DE3" w:rsidRPr="00456F8A">
        <w:rPr>
          <w:sz w:val="24"/>
          <w:szCs w:val="24"/>
        </w:rPr>
        <w:t>,</w:t>
      </w:r>
      <w:r w:rsidR="007D502C" w:rsidRPr="00456F8A">
        <w:rPr>
          <w:sz w:val="24"/>
          <w:szCs w:val="24"/>
        </w:rPr>
        <w:t xml:space="preserve"> and the method of determination</w:t>
      </w:r>
      <w:r w:rsidR="009631F0" w:rsidRPr="00456F8A">
        <w:rPr>
          <w:sz w:val="24"/>
          <w:szCs w:val="24"/>
        </w:rPr>
        <w:t>.</w:t>
      </w:r>
    </w:p>
    <w:tbl>
      <w:tblPr>
        <w:tblStyle w:val="Mriekatabuky"/>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3402"/>
        <w:gridCol w:w="3435"/>
      </w:tblGrid>
      <w:tr w:rsidR="00873361" w:rsidRPr="00E612A1" w14:paraId="0B4A0C5C" w14:textId="77777777" w:rsidTr="00D87ABE">
        <w:trPr>
          <w:trHeight w:val="14"/>
        </w:trPr>
        <w:tc>
          <w:tcPr>
            <w:tcW w:w="3085" w:type="dxa"/>
            <w:tcBorders>
              <w:top w:val="single" w:sz="4" w:space="0" w:color="auto"/>
              <w:bottom w:val="single" w:sz="4" w:space="0" w:color="auto"/>
            </w:tcBorders>
            <w:vAlign w:val="center"/>
            <w:hideMark/>
          </w:tcPr>
          <w:p w14:paraId="4B82803D" w14:textId="77777777" w:rsidR="00873361" w:rsidRPr="00E612A1" w:rsidRDefault="00873361" w:rsidP="00DB3AEE">
            <w:pPr>
              <w:spacing w:line="360" w:lineRule="auto"/>
              <w:ind w:right="-101"/>
              <w:jc w:val="center"/>
              <w:rPr>
                <w:b/>
                <w:bCs/>
                <w:lang w:val="en-GB"/>
              </w:rPr>
            </w:pPr>
            <w:r w:rsidRPr="00E612A1">
              <w:rPr>
                <w:b/>
                <w:bCs/>
                <w:lang w:val="en-GB"/>
              </w:rPr>
              <w:t>Gravimetric methods</w:t>
            </w:r>
          </w:p>
        </w:tc>
        <w:tc>
          <w:tcPr>
            <w:tcW w:w="3402" w:type="dxa"/>
            <w:tcBorders>
              <w:top w:val="single" w:sz="4" w:space="0" w:color="auto"/>
              <w:bottom w:val="single" w:sz="4" w:space="0" w:color="auto"/>
            </w:tcBorders>
            <w:vAlign w:val="center"/>
            <w:hideMark/>
          </w:tcPr>
          <w:p w14:paraId="687E7621" w14:textId="1645A148" w:rsidR="00873361" w:rsidRPr="00E612A1" w:rsidRDefault="00873361" w:rsidP="00DB3AEE">
            <w:pPr>
              <w:spacing w:line="360" w:lineRule="auto"/>
              <w:jc w:val="center"/>
              <w:rPr>
                <w:b/>
                <w:bCs/>
                <w:lang w:val="en-GB"/>
              </w:rPr>
            </w:pPr>
            <w:r w:rsidRPr="00E612A1">
              <w:rPr>
                <w:b/>
                <w:bCs/>
                <w:lang w:val="en-GB"/>
              </w:rPr>
              <w:t>Spectrophotometric methods</w:t>
            </w:r>
          </w:p>
        </w:tc>
        <w:tc>
          <w:tcPr>
            <w:tcW w:w="3435" w:type="dxa"/>
            <w:tcBorders>
              <w:top w:val="single" w:sz="4" w:space="0" w:color="auto"/>
              <w:bottom w:val="single" w:sz="4" w:space="0" w:color="auto"/>
            </w:tcBorders>
          </w:tcPr>
          <w:p w14:paraId="5686C540" w14:textId="0848F4B7" w:rsidR="00873361" w:rsidRPr="00E612A1" w:rsidRDefault="00873361" w:rsidP="00DB3AEE">
            <w:pPr>
              <w:spacing w:line="360" w:lineRule="auto"/>
              <w:jc w:val="center"/>
              <w:rPr>
                <w:b/>
                <w:bCs/>
                <w:lang w:val="en-GB"/>
              </w:rPr>
            </w:pPr>
            <w:r w:rsidRPr="00E612A1">
              <w:rPr>
                <w:b/>
                <w:bCs/>
                <w:lang w:val="en-GB"/>
              </w:rPr>
              <w:t>Atomic absorption spectrometry</w:t>
            </w:r>
          </w:p>
        </w:tc>
      </w:tr>
      <w:tr w:rsidR="00873361" w:rsidRPr="00E612A1" w14:paraId="7019E865" w14:textId="77777777" w:rsidTr="00D87ABE">
        <w:trPr>
          <w:trHeight w:val="14"/>
        </w:trPr>
        <w:tc>
          <w:tcPr>
            <w:tcW w:w="3085" w:type="dxa"/>
            <w:tcBorders>
              <w:top w:val="single" w:sz="4" w:space="0" w:color="auto"/>
              <w:bottom w:val="single" w:sz="4" w:space="0" w:color="auto"/>
            </w:tcBorders>
            <w:vAlign w:val="center"/>
          </w:tcPr>
          <w:p w14:paraId="32C8CC50" w14:textId="71E0D4BD" w:rsidR="00873361" w:rsidRPr="00E612A1" w:rsidRDefault="00873361" w:rsidP="00DB3AEE">
            <w:pPr>
              <w:spacing w:after="240" w:line="360" w:lineRule="auto"/>
              <w:jc w:val="center"/>
              <w:rPr>
                <w:bCs/>
                <w:lang w:val="en-GB"/>
              </w:rPr>
            </w:pPr>
            <w:r w:rsidRPr="00E612A1">
              <w:rPr>
                <w:bCs/>
                <w:lang w:val="en-GB"/>
              </w:rPr>
              <w:t>total solids (TS)                        total suspended solids (TSS)      volatile solids (VS)              activat</w:t>
            </w:r>
            <w:r w:rsidR="00CF1D80" w:rsidRPr="00E612A1">
              <w:rPr>
                <w:bCs/>
                <w:lang w:val="en-GB"/>
              </w:rPr>
              <w:t>ed</w:t>
            </w:r>
            <w:r w:rsidRPr="00E612A1">
              <w:rPr>
                <w:bCs/>
                <w:lang w:val="en-GB"/>
              </w:rPr>
              <w:t xml:space="preserve"> sludge concentration (Xc) </w:t>
            </w:r>
            <w:r w:rsidR="008B043C">
              <w:rPr>
                <w:bCs/>
                <w:lang w:val="en-GB"/>
              </w:rPr>
              <w:t xml:space="preserve">    </w:t>
            </w:r>
            <w:r w:rsidRPr="00E612A1">
              <w:rPr>
                <w:bCs/>
                <w:lang w:val="en-GB"/>
              </w:rPr>
              <w:t>sludge volume index (SVI)</w:t>
            </w:r>
          </w:p>
        </w:tc>
        <w:tc>
          <w:tcPr>
            <w:tcW w:w="3402" w:type="dxa"/>
            <w:tcBorders>
              <w:top w:val="single" w:sz="4" w:space="0" w:color="auto"/>
              <w:bottom w:val="single" w:sz="4" w:space="0" w:color="auto"/>
            </w:tcBorders>
            <w:vAlign w:val="center"/>
          </w:tcPr>
          <w:p w14:paraId="5C52D6F4" w14:textId="7E5382E9" w:rsidR="00873361" w:rsidRPr="00E612A1" w:rsidRDefault="00873361" w:rsidP="00DB3AEE">
            <w:pPr>
              <w:spacing w:line="360" w:lineRule="auto"/>
              <w:jc w:val="center"/>
              <w:rPr>
                <w:bCs/>
                <w:lang w:val="en-GB"/>
              </w:rPr>
            </w:pPr>
            <w:bookmarkStart w:id="0" w:name="_Hlk99658256"/>
            <w:r w:rsidRPr="00E612A1">
              <w:rPr>
                <w:bCs/>
                <w:lang w:val="en-GB"/>
              </w:rPr>
              <w:t>chemical oxygen demand</w:t>
            </w:r>
            <w:bookmarkEnd w:id="0"/>
            <w:r w:rsidR="00D87ABE">
              <w:rPr>
                <w:bCs/>
                <w:lang w:val="en-GB"/>
              </w:rPr>
              <w:t xml:space="preserve"> </w:t>
            </w:r>
            <w:r w:rsidRPr="00E612A1">
              <w:rPr>
                <w:bCs/>
                <w:lang w:val="en-GB"/>
              </w:rPr>
              <w:t>(COD</w:t>
            </w:r>
            <w:r w:rsidRPr="00E612A1">
              <w:rPr>
                <w:bCs/>
                <w:vertAlign w:val="subscript"/>
                <w:lang w:val="en-GB"/>
              </w:rPr>
              <w:t>Cr</w:t>
            </w:r>
            <w:r w:rsidRPr="00E612A1">
              <w:rPr>
                <w:bCs/>
                <w:lang w:val="en-GB"/>
              </w:rPr>
              <w:t>)</w:t>
            </w:r>
          </w:p>
          <w:p w14:paraId="710D29D3" w14:textId="61CC316D" w:rsidR="00873361" w:rsidRPr="00E612A1" w:rsidRDefault="00873361" w:rsidP="00DB3AEE">
            <w:pPr>
              <w:spacing w:line="360" w:lineRule="auto"/>
              <w:jc w:val="center"/>
              <w:rPr>
                <w:bCs/>
                <w:lang w:val="en-GB"/>
              </w:rPr>
            </w:pPr>
            <w:r w:rsidRPr="00E612A1">
              <w:rPr>
                <w:bCs/>
                <w:lang w:val="en-GB"/>
              </w:rPr>
              <w:t>ammonium nitrogen (N-NH</w:t>
            </w:r>
            <w:r w:rsidRPr="00E612A1">
              <w:rPr>
                <w:bCs/>
                <w:vertAlign w:val="subscript"/>
                <w:lang w:val="en-GB"/>
              </w:rPr>
              <w:t>4</w:t>
            </w:r>
            <w:r w:rsidRPr="00E612A1">
              <w:rPr>
                <w:bCs/>
                <w:lang w:val="en-GB"/>
              </w:rPr>
              <w:t>)</w:t>
            </w:r>
          </w:p>
          <w:p w14:paraId="210A8608" w14:textId="77777777" w:rsidR="00873361" w:rsidRPr="00E612A1" w:rsidRDefault="00873361" w:rsidP="00DB3AEE">
            <w:pPr>
              <w:spacing w:line="360" w:lineRule="auto"/>
              <w:jc w:val="center"/>
              <w:rPr>
                <w:bCs/>
                <w:lang w:val="en-GB"/>
              </w:rPr>
            </w:pPr>
            <w:r w:rsidRPr="00E612A1">
              <w:rPr>
                <w:bCs/>
                <w:lang w:val="en-GB"/>
              </w:rPr>
              <w:t>total Kjeldahl nitrogen (TKN)</w:t>
            </w:r>
          </w:p>
          <w:p w14:paraId="2BC4967B" w14:textId="77777777" w:rsidR="00873361" w:rsidRPr="00E612A1" w:rsidRDefault="00873361" w:rsidP="00DB3AEE">
            <w:pPr>
              <w:spacing w:line="360" w:lineRule="auto"/>
              <w:jc w:val="center"/>
              <w:rPr>
                <w:bCs/>
                <w:lang w:val="en-GB"/>
              </w:rPr>
            </w:pPr>
            <w:r w:rsidRPr="00E612A1">
              <w:rPr>
                <w:bCs/>
                <w:lang w:val="en-GB"/>
              </w:rPr>
              <w:t>nitrite nitrogen (N-NO</w:t>
            </w:r>
            <w:r w:rsidRPr="00E612A1">
              <w:rPr>
                <w:bCs/>
                <w:vertAlign w:val="subscript"/>
                <w:lang w:val="en-GB"/>
              </w:rPr>
              <w:t>2</w:t>
            </w:r>
            <w:r w:rsidRPr="00E612A1">
              <w:rPr>
                <w:bCs/>
                <w:lang w:val="en-GB"/>
              </w:rPr>
              <w:t>)</w:t>
            </w:r>
          </w:p>
          <w:p w14:paraId="2FCDC1A7" w14:textId="77777777" w:rsidR="00873361" w:rsidRPr="00E612A1" w:rsidRDefault="00873361" w:rsidP="00DB3AEE">
            <w:pPr>
              <w:spacing w:line="360" w:lineRule="auto"/>
              <w:jc w:val="center"/>
              <w:rPr>
                <w:bCs/>
                <w:lang w:val="en-GB"/>
              </w:rPr>
            </w:pPr>
            <w:r w:rsidRPr="00E612A1">
              <w:rPr>
                <w:bCs/>
                <w:lang w:val="en-GB"/>
              </w:rPr>
              <w:t>nitrate nitrogen (N-NO</w:t>
            </w:r>
            <w:r w:rsidRPr="00E612A1">
              <w:rPr>
                <w:bCs/>
                <w:vertAlign w:val="subscript"/>
                <w:lang w:val="en-GB"/>
              </w:rPr>
              <w:t>3</w:t>
            </w:r>
            <w:r w:rsidRPr="00E612A1">
              <w:rPr>
                <w:bCs/>
                <w:lang w:val="en-GB"/>
              </w:rPr>
              <w:t>)        phosphate phosphorus (P-PO</w:t>
            </w:r>
            <w:r w:rsidRPr="00E612A1">
              <w:rPr>
                <w:bCs/>
                <w:vertAlign w:val="subscript"/>
                <w:lang w:val="en-GB"/>
              </w:rPr>
              <w:t>4</w:t>
            </w:r>
            <w:r w:rsidRPr="00E612A1">
              <w:rPr>
                <w:bCs/>
                <w:lang w:val="en-GB"/>
              </w:rPr>
              <w:t>)</w:t>
            </w:r>
          </w:p>
        </w:tc>
        <w:tc>
          <w:tcPr>
            <w:tcW w:w="3435" w:type="dxa"/>
            <w:tcBorders>
              <w:top w:val="single" w:sz="4" w:space="0" w:color="auto"/>
              <w:bottom w:val="single" w:sz="4" w:space="0" w:color="auto"/>
            </w:tcBorders>
          </w:tcPr>
          <w:p w14:paraId="038AFCC3" w14:textId="77777777" w:rsidR="00873361" w:rsidRPr="00E612A1" w:rsidRDefault="00873361" w:rsidP="00DB3AEE">
            <w:pPr>
              <w:spacing w:line="360" w:lineRule="auto"/>
              <w:jc w:val="center"/>
              <w:rPr>
                <w:bCs/>
                <w:lang w:val="en-GB"/>
              </w:rPr>
            </w:pPr>
            <w:r w:rsidRPr="00E612A1">
              <w:rPr>
                <w:bCs/>
                <w:lang w:val="en-GB"/>
              </w:rPr>
              <w:t>cadmium (Cd)</w:t>
            </w:r>
          </w:p>
          <w:p w14:paraId="060F7732" w14:textId="77777777" w:rsidR="00873361" w:rsidRPr="00E612A1" w:rsidRDefault="00873361" w:rsidP="00DB3AEE">
            <w:pPr>
              <w:spacing w:line="360" w:lineRule="auto"/>
              <w:jc w:val="center"/>
              <w:rPr>
                <w:bCs/>
                <w:lang w:val="en-GB"/>
              </w:rPr>
            </w:pPr>
            <w:r w:rsidRPr="00E612A1">
              <w:rPr>
                <w:bCs/>
                <w:lang w:val="en-GB"/>
              </w:rPr>
              <w:t>chromium (Cr)</w:t>
            </w:r>
          </w:p>
          <w:p w14:paraId="1A5C6F0A" w14:textId="120EEDF9" w:rsidR="00873361" w:rsidRPr="00E612A1" w:rsidRDefault="00873361" w:rsidP="00DB3AEE">
            <w:pPr>
              <w:spacing w:line="360" w:lineRule="auto"/>
              <w:jc w:val="center"/>
              <w:rPr>
                <w:bCs/>
                <w:lang w:val="en-GB"/>
              </w:rPr>
            </w:pPr>
            <w:r w:rsidRPr="00E612A1">
              <w:rPr>
                <w:bCs/>
                <w:lang w:val="en-GB"/>
              </w:rPr>
              <w:t>copper (Cu)</w:t>
            </w:r>
          </w:p>
          <w:p w14:paraId="671C9D1C" w14:textId="77777777" w:rsidR="00873361" w:rsidRPr="00E612A1" w:rsidRDefault="00873361" w:rsidP="00DB3AEE">
            <w:pPr>
              <w:spacing w:line="360" w:lineRule="auto"/>
              <w:jc w:val="center"/>
              <w:rPr>
                <w:bCs/>
                <w:lang w:val="en-GB"/>
              </w:rPr>
            </w:pPr>
            <w:r w:rsidRPr="00E612A1">
              <w:rPr>
                <w:bCs/>
                <w:lang w:val="en-GB"/>
              </w:rPr>
              <w:t>nickel (Ni)</w:t>
            </w:r>
          </w:p>
          <w:p w14:paraId="4FC42A24" w14:textId="77777777" w:rsidR="00873361" w:rsidRPr="00E612A1" w:rsidRDefault="00873361" w:rsidP="00DB3AEE">
            <w:pPr>
              <w:spacing w:line="360" w:lineRule="auto"/>
              <w:jc w:val="center"/>
              <w:rPr>
                <w:bCs/>
                <w:lang w:val="en-GB"/>
              </w:rPr>
            </w:pPr>
            <w:r w:rsidRPr="00E612A1">
              <w:rPr>
                <w:bCs/>
                <w:lang w:val="en-GB"/>
              </w:rPr>
              <w:t>lead (Pb)</w:t>
            </w:r>
          </w:p>
          <w:p w14:paraId="3391814B" w14:textId="77777777" w:rsidR="00873361" w:rsidRPr="00E612A1" w:rsidRDefault="00873361" w:rsidP="00DB3AEE">
            <w:pPr>
              <w:spacing w:line="360" w:lineRule="auto"/>
              <w:jc w:val="center"/>
              <w:rPr>
                <w:bCs/>
                <w:lang w:val="en-GB"/>
              </w:rPr>
            </w:pPr>
            <w:r w:rsidRPr="00E612A1">
              <w:rPr>
                <w:bCs/>
                <w:lang w:val="en-GB"/>
              </w:rPr>
              <w:t>zinc (Zn)</w:t>
            </w:r>
          </w:p>
        </w:tc>
      </w:tr>
    </w:tbl>
    <w:p w14:paraId="070D438F" w14:textId="77777777" w:rsidR="00F65254" w:rsidRDefault="00873361" w:rsidP="00F65254">
      <w:pPr>
        <w:pStyle w:val="ZakladnyText"/>
        <w:suppressAutoHyphens/>
        <w:spacing w:line="360" w:lineRule="auto"/>
        <w:rPr>
          <w:sz w:val="24"/>
          <w:szCs w:val="24"/>
        </w:rPr>
      </w:pPr>
      <w:r w:rsidRPr="00E612A1">
        <w:rPr>
          <w:sz w:val="24"/>
          <w:szCs w:val="24"/>
        </w:rPr>
        <w:t>Note: Spectrophotometer HACH DR5000 and atomic absorption spectrometer ContrAA 700 Analytik Jena were used</w:t>
      </w:r>
    </w:p>
    <w:p w14:paraId="58AB7ADF" w14:textId="77777777" w:rsidR="00F65254" w:rsidRDefault="00F65254" w:rsidP="00F65254">
      <w:pPr>
        <w:pStyle w:val="ZakladnyText"/>
        <w:suppressAutoHyphens/>
        <w:spacing w:line="360" w:lineRule="auto"/>
        <w:rPr>
          <w:sz w:val="24"/>
          <w:szCs w:val="24"/>
        </w:rPr>
      </w:pPr>
    </w:p>
    <w:p w14:paraId="3F5FC2E2" w14:textId="073E25FA" w:rsidR="00F65254" w:rsidRDefault="00CE1134" w:rsidP="008C385B">
      <w:pPr>
        <w:pStyle w:val="ZakladnyText"/>
        <w:suppressAutoHyphens/>
        <w:spacing w:line="360" w:lineRule="auto"/>
        <w:ind w:firstLine="357"/>
        <w:rPr>
          <w:sz w:val="24"/>
          <w:szCs w:val="25"/>
        </w:rPr>
      </w:pPr>
      <w:r w:rsidRPr="00132FB7">
        <w:rPr>
          <w:sz w:val="24"/>
          <w:szCs w:val="25"/>
        </w:rPr>
        <w:t>Denitrification tests</w:t>
      </w:r>
      <w:r w:rsidRPr="00CB3141">
        <w:rPr>
          <w:sz w:val="24"/>
          <w:szCs w:val="25"/>
        </w:rPr>
        <w:t xml:space="preserve"> were performed on the 0, 7</w:t>
      </w:r>
      <w:r w:rsidRPr="00132FB7">
        <w:rPr>
          <w:sz w:val="24"/>
          <w:szCs w:val="25"/>
          <w:vertAlign w:val="superscript"/>
        </w:rPr>
        <w:t>th</w:t>
      </w:r>
      <w:r>
        <w:rPr>
          <w:sz w:val="24"/>
          <w:szCs w:val="25"/>
        </w:rPr>
        <w:t>,</w:t>
      </w:r>
      <w:r w:rsidRPr="00CB3141">
        <w:rPr>
          <w:sz w:val="24"/>
          <w:szCs w:val="25"/>
        </w:rPr>
        <w:t xml:space="preserve"> and 22</w:t>
      </w:r>
      <w:r w:rsidRPr="00132FB7">
        <w:rPr>
          <w:sz w:val="24"/>
          <w:szCs w:val="25"/>
          <w:vertAlign w:val="superscript"/>
        </w:rPr>
        <w:t>nd</w:t>
      </w:r>
      <w:r w:rsidRPr="00CB3141">
        <w:rPr>
          <w:sz w:val="24"/>
          <w:szCs w:val="25"/>
        </w:rPr>
        <w:t xml:space="preserve"> day of operation of the laboratory reactors R</w:t>
      </w:r>
      <w:r w:rsidRPr="00CB3141">
        <w:rPr>
          <w:sz w:val="24"/>
          <w:szCs w:val="25"/>
          <w:vertAlign w:val="subscript"/>
        </w:rPr>
        <w:t>1</w:t>
      </w:r>
      <w:r w:rsidRPr="00CB3141">
        <w:rPr>
          <w:sz w:val="24"/>
          <w:szCs w:val="25"/>
        </w:rPr>
        <w:t>, R</w:t>
      </w:r>
      <w:r w:rsidRPr="00CB3141">
        <w:rPr>
          <w:sz w:val="24"/>
          <w:szCs w:val="25"/>
          <w:vertAlign w:val="subscript"/>
        </w:rPr>
        <w:t>2</w:t>
      </w:r>
      <w:r>
        <w:rPr>
          <w:sz w:val="24"/>
          <w:szCs w:val="25"/>
        </w:rPr>
        <w:t>,</w:t>
      </w:r>
      <w:r w:rsidRPr="00CB3141">
        <w:rPr>
          <w:sz w:val="24"/>
          <w:szCs w:val="25"/>
        </w:rPr>
        <w:t xml:space="preserve"> and R</w:t>
      </w:r>
      <w:r w:rsidRPr="00CB3141">
        <w:rPr>
          <w:sz w:val="24"/>
          <w:szCs w:val="25"/>
          <w:vertAlign w:val="subscript"/>
        </w:rPr>
        <w:t>3</w:t>
      </w:r>
      <w:r w:rsidRPr="00CB3141">
        <w:rPr>
          <w:sz w:val="24"/>
          <w:szCs w:val="25"/>
        </w:rPr>
        <w:t>. 22 days is 1.5 times the value of SRT; within 22 days the original activated sludge (inoculum) with SRT of 15 days is completely replaced. For more complicated substrates, due to slower adaptation and slower growing biomass, it is possible to recommend higher SRTs and longer duration of experiments.</w:t>
      </w:r>
      <w:r w:rsidR="00823EC4">
        <w:rPr>
          <w:sz w:val="24"/>
          <w:szCs w:val="25"/>
          <w:vertAlign w:val="superscript"/>
        </w:rPr>
        <w:t>30</w:t>
      </w:r>
      <w:r w:rsidRPr="00CB3141">
        <w:rPr>
          <w:sz w:val="24"/>
          <w:szCs w:val="25"/>
        </w:rPr>
        <w:t xml:space="preserve"> In this research, the 3</w:t>
      </w:r>
      <w:r>
        <w:rPr>
          <w:sz w:val="24"/>
          <w:szCs w:val="25"/>
        </w:rPr>
        <w:t xml:space="preserve"> </w:t>
      </w:r>
      <w:r w:rsidRPr="00CB3141">
        <w:rPr>
          <w:sz w:val="24"/>
          <w:szCs w:val="25"/>
        </w:rPr>
        <w:t xml:space="preserve">week duration of the experiments was also set according to the requirements of the industrial wastewater producer. </w:t>
      </w:r>
    </w:p>
    <w:p w14:paraId="0A6818F4" w14:textId="77777777" w:rsidR="00C646E8" w:rsidRDefault="00CE1134" w:rsidP="00F65254">
      <w:pPr>
        <w:pStyle w:val="ZakladnyText"/>
        <w:suppressAutoHyphens/>
        <w:spacing w:line="360" w:lineRule="auto"/>
        <w:ind w:firstLine="357"/>
        <w:rPr>
          <w:sz w:val="24"/>
          <w:szCs w:val="25"/>
        </w:rPr>
      </w:pPr>
      <w:r w:rsidRPr="00CB3141">
        <w:rPr>
          <w:sz w:val="24"/>
          <w:szCs w:val="25"/>
        </w:rPr>
        <w:t>Before the denitrification test, activated sludge</w:t>
      </w:r>
      <w:r w:rsidRPr="009631F0">
        <w:rPr>
          <w:sz w:val="24"/>
          <w:szCs w:val="25"/>
        </w:rPr>
        <w:t xml:space="preserve"> was taken from the reactors R</w:t>
      </w:r>
      <w:r w:rsidRPr="009631F0">
        <w:rPr>
          <w:sz w:val="24"/>
          <w:szCs w:val="25"/>
          <w:vertAlign w:val="subscript"/>
        </w:rPr>
        <w:t>1</w:t>
      </w:r>
      <w:r w:rsidRPr="009631F0">
        <w:rPr>
          <w:sz w:val="24"/>
          <w:szCs w:val="25"/>
        </w:rPr>
        <w:t>, R</w:t>
      </w:r>
      <w:r w:rsidRPr="009631F0">
        <w:rPr>
          <w:sz w:val="24"/>
          <w:szCs w:val="25"/>
          <w:vertAlign w:val="subscript"/>
        </w:rPr>
        <w:t>2</w:t>
      </w:r>
      <w:r w:rsidRPr="009631F0">
        <w:rPr>
          <w:sz w:val="24"/>
          <w:szCs w:val="25"/>
        </w:rPr>
        <w:t>, R</w:t>
      </w:r>
      <w:r w:rsidRPr="009631F0">
        <w:rPr>
          <w:sz w:val="24"/>
          <w:szCs w:val="25"/>
          <w:vertAlign w:val="subscript"/>
        </w:rPr>
        <w:t>3</w:t>
      </w:r>
      <w:r w:rsidRPr="009631F0">
        <w:rPr>
          <w:sz w:val="24"/>
          <w:szCs w:val="25"/>
        </w:rPr>
        <w:t xml:space="preserve"> (taken as an excess sludge), diluted to a concentration of 1 g/l and poured into </w:t>
      </w:r>
      <w:r w:rsidR="00F65254">
        <w:rPr>
          <w:sz w:val="24"/>
          <w:szCs w:val="25"/>
        </w:rPr>
        <w:t>b</w:t>
      </w:r>
      <w:r w:rsidR="00F65254" w:rsidRPr="00F65254">
        <w:rPr>
          <w:sz w:val="24"/>
          <w:szCs w:val="25"/>
          <w:lang w:val="cs-CZ"/>
        </w:rPr>
        <w:t>iochemical oxygen demand</w:t>
      </w:r>
      <w:r w:rsidR="00F65254">
        <w:rPr>
          <w:sz w:val="24"/>
          <w:szCs w:val="25"/>
          <w:lang w:val="cs-CZ"/>
        </w:rPr>
        <w:t xml:space="preserve"> (</w:t>
      </w:r>
      <w:r w:rsidRPr="009631F0">
        <w:rPr>
          <w:sz w:val="24"/>
          <w:szCs w:val="25"/>
        </w:rPr>
        <w:t>BOD</w:t>
      </w:r>
      <w:r w:rsidR="00F65254">
        <w:rPr>
          <w:sz w:val="24"/>
          <w:szCs w:val="25"/>
        </w:rPr>
        <w:t>)</w:t>
      </w:r>
      <w:r w:rsidRPr="009631F0">
        <w:rPr>
          <w:sz w:val="24"/>
          <w:szCs w:val="25"/>
        </w:rPr>
        <w:t xml:space="preserve"> bottles D</w:t>
      </w:r>
      <w:r w:rsidRPr="009631F0">
        <w:rPr>
          <w:sz w:val="24"/>
          <w:szCs w:val="25"/>
          <w:vertAlign w:val="subscript"/>
        </w:rPr>
        <w:t>1</w:t>
      </w:r>
      <w:r w:rsidRPr="009631F0">
        <w:rPr>
          <w:sz w:val="24"/>
          <w:szCs w:val="25"/>
        </w:rPr>
        <w:t>, D</w:t>
      </w:r>
      <w:r w:rsidRPr="009631F0">
        <w:rPr>
          <w:sz w:val="24"/>
          <w:szCs w:val="25"/>
          <w:vertAlign w:val="subscript"/>
        </w:rPr>
        <w:t>2</w:t>
      </w:r>
      <w:r>
        <w:rPr>
          <w:sz w:val="24"/>
          <w:szCs w:val="25"/>
        </w:rPr>
        <w:t>,</w:t>
      </w:r>
      <w:r w:rsidRPr="009631F0">
        <w:rPr>
          <w:sz w:val="24"/>
          <w:szCs w:val="25"/>
        </w:rPr>
        <w:t xml:space="preserve"> and D</w:t>
      </w:r>
      <w:r w:rsidRPr="009631F0">
        <w:rPr>
          <w:sz w:val="24"/>
          <w:szCs w:val="25"/>
          <w:vertAlign w:val="subscript"/>
        </w:rPr>
        <w:t>3</w:t>
      </w:r>
      <w:r w:rsidRPr="009631F0">
        <w:rPr>
          <w:sz w:val="24"/>
          <w:szCs w:val="25"/>
        </w:rPr>
        <w:t xml:space="preserve">. After </w:t>
      </w:r>
      <w:r>
        <w:rPr>
          <w:sz w:val="24"/>
          <w:szCs w:val="25"/>
        </w:rPr>
        <w:t xml:space="preserve">a </w:t>
      </w:r>
      <w:r w:rsidRPr="009631F0">
        <w:rPr>
          <w:sz w:val="24"/>
          <w:szCs w:val="25"/>
        </w:rPr>
        <w:t>2-hour aeration to remove residual degradable organic compounds, aeration was replaced by a slow stirring and the tested substrate was added. Initial N-NO</w:t>
      </w:r>
      <w:r w:rsidRPr="009631F0">
        <w:rPr>
          <w:sz w:val="24"/>
          <w:szCs w:val="25"/>
          <w:vertAlign w:val="subscript"/>
        </w:rPr>
        <w:t>3</w:t>
      </w:r>
      <w:r w:rsidRPr="009631F0">
        <w:rPr>
          <w:sz w:val="24"/>
          <w:szCs w:val="25"/>
        </w:rPr>
        <w:t xml:space="preserve"> concentration in all 3 bottles was 30 mg/l. Organic exogenous substrate wasn</w:t>
      </w:r>
      <w:r>
        <w:rPr>
          <w:sz w:val="24"/>
          <w:szCs w:val="25"/>
        </w:rPr>
        <w:t>’</w:t>
      </w:r>
      <w:r w:rsidRPr="009631F0">
        <w:rPr>
          <w:sz w:val="24"/>
          <w:szCs w:val="25"/>
        </w:rPr>
        <w:t>t added to the bottle D</w:t>
      </w:r>
      <w:r w:rsidRPr="009631F0">
        <w:rPr>
          <w:sz w:val="24"/>
          <w:szCs w:val="25"/>
          <w:vertAlign w:val="subscript"/>
        </w:rPr>
        <w:t>1</w:t>
      </w:r>
      <w:r w:rsidRPr="009631F0">
        <w:rPr>
          <w:sz w:val="24"/>
          <w:szCs w:val="25"/>
        </w:rPr>
        <w:t xml:space="preserve"> (this denitrification test was comparative and only endogenous denitrification was performed). Organic substrate was added to the BOD bottles D</w:t>
      </w:r>
      <w:r w:rsidRPr="009631F0">
        <w:rPr>
          <w:sz w:val="24"/>
          <w:szCs w:val="25"/>
          <w:vertAlign w:val="subscript"/>
        </w:rPr>
        <w:t>2</w:t>
      </w:r>
      <w:r w:rsidRPr="009631F0">
        <w:rPr>
          <w:sz w:val="24"/>
          <w:szCs w:val="25"/>
        </w:rPr>
        <w:t xml:space="preserve"> and D</w:t>
      </w:r>
      <w:r w:rsidRPr="009631F0">
        <w:rPr>
          <w:sz w:val="24"/>
          <w:szCs w:val="25"/>
          <w:vertAlign w:val="subscript"/>
        </w:rPr>
        <w:t>3</w:t>
      </w:r>
      <w:r w:rsidRPr="009631F0">
        <w:rPr>
          <w:sz w:val="24"/>
          <w:szCs w:val="25"/>
        </w:rPr>
        <w:t xml:space="preserve"> to allow comparison of endogenous and total denitrification rates. If the total respiration rates in bottles D</w:t>
      </w:r>
      <w:r w:rsidRPr="009631F0">
        <w:rPr>
          <w:sz w:val="24"/>
          <w:szCs w:val="25"/>
          <w:vertAlign w:val="subscript"/>
        </w:rPr>
        <w:t>2</w:t>
      </w:r>
      <w:r w:rsidRPr="009631F0">
        <w:rPr>
          <w:sz w:val="24"/>
          <w:szCs w:val="25"/>
        </w:rPr>
        <w:t xml:space="preserve"> and D</w:t>
      </w:r>
      <w:r w:rsidRPr="009631F0">
        <w:rPr>
          <w:sz w:val="24"/>
          <w:szCs w:val="25"/>
          <w:vertAlign w:val="subscript"/>
        </w:rPr>
        <w:t>3</w:t>
      </w:r>
      <w:r w:rsidRPr="009631F0">
        <w:rPr>
          <w:sz w:val="24"/>
          <w:szCs w:val="25"/>
        </w:rPr>
        <w:t xml:space="preserve"> were higher than the endogenous rate in D</w:t>
      </w:r>
      <w:r w:rsidRPr="009631F0">
        <w:rPr>
          <w:sz w:val="24"/>
          <w:szCs w:val="25"/>
          <w:vertAlign w:val="subscript"/>
        </w:rPr>
        <w:t>1</w:t>
      </w:r>
      <w:r w:rsidRPr="009631F0">
        <w:rPr>
          <w:sz w:val="24"/>
          <w:szCs w:val="25"/>
        </w:rPr>
        <w:t xml:space="preserve">, the organic substrate was </w:t>
      </w:r>
      <w:r w:rsidRPr="009631F0">
        <w:rPr>
          <w:sz w:val="24"/>
          <w:szCs w:val="25"/>
        </w:rPr>
        <w:lastRenderedPageBreak/>
        <w:t>degradable and usable in denitrification. Glucose was added to bottle D</w:t>
      </w:r>
      <w:r w:rsidRPr="009631F0">
        <w:rPr>
          <w:sz w:val="24"/>
          <w:szCs w:val="25"/>
          <w:vertAlign w:val="subscript"/>
        </w:rPr>
        <w:t>2</w:t>
      </w:r>
      <w:r w:rsidRPr="009631F0">
        <w:rPr>
          <w:sz w:val="24"/>
          <w:szCs w:val="25"/>
        </w:rPr>
        <w:t xml:space="preserve"> in the ratio COD</w:t>
      </w:r>
      <w:r w:rsidRPr="009631F0">
        <w:rPr>
          <w:sz w:val="24"/>
          <w:szCs w:val="25"/>
          <w:vertAlign w:val="subscript"/>
        </w:rPr>
        <w:t xml:space="preserve">Cr </w:t>
      </w:r>
      <w:r w:rsidRPr="009631F0">
        <w:rPr>
          <w:sz w:val="24"/>
          <w:szCs w:val="25"/>
        </w:rPr>
        <w:t>: N-NO</w:t>
      </w:r>
      <w:r w:rsidRPr="009631F0">
        <w:rPr>
          <w:sz w:val="24"/>
          <w:szCs w:val="25"/>
          <w:vertAlign w:val="subscript"/>
        </w:rPr>
        <w:t>3</w:t>
      </w:r>
      <w:r w:rsidRPr="009631F0">
        <w:rPr>
          <w:sz w:val="24"/>
          <w:szCs w:val="25"/>
        </w:rPr>
        <w:t xml:space="preserve"> = 15 mg/mg (COD</w:t>
      </w:r>
      <w:r w:rsidRPr="009631F0">
        <w:rPr>
          <w:sz w:val="24"/>
          <w:szCs w:val="25"/>
          <w:vertAlign w:val="subscript"/>
        </w:rPr>
        <w:t>Cr</w:t>
      </w:r>
      <w:r w:rsidRPr="009631F0">
        <w:rPr>
          <w:sz w:val="24"/>
          <w:szCs w:val="25"/>
        </w:rPr>
        <w:t xml:space="preserve"> = 450 mg/l). The tested industrial wastewater was added to bottle D</w:t>
      </w:r>
      <w:r w:rsidRPr="009631F0">
        <w:rPr>
          <w:sz w:val="24"/>
          <w:szCs w:val="25"/>
          <w:vertAlign w:val="subscript"/>
        </w:rPr>
        <w:t>3</w:t>
      </w:r>
      <w:r w:rsidRPr="009631F0">
        <w:rPr>
          <w:sz w:val="24"/>
          <w:szCs w:val="25"/>
        </w:rPr>
        <w:t>, also in the ratio</w:t>
      </w:r>
      <w:r>
        <w:rPr>
          <w:sz w:val="24"/>
          <w:szCs w:val="25"/>
        </w:rPr>
        <w:t xml:space="preserve"> of</w:t>
      </w:r>
      <w:r w:rsidRPr="009631F0">
        <w:rPr>
          <w:sz w:val="24"/>
          <w:szCs w:val="25"/>
        </w:rPr>
        <w:t xml:space="preserve"> COD</w:t>
      </w:r>
      <w:r w:rsidRPr="009631F0">
        <w:rPr>
          <w:sz w:val="24"/>
          <w:szCs w:val="25"/>
          <w:vertAlign w:val="subscript"/>
        </w:rPr>
        <w:t xml:space="preserve">Cr </w:t>
      </w:r>
      <w:r w:rsidRPr="009631F0">
        <w:rPr>
          <w:sz w:val="24"/>
          <w:szCs w:val="25"/>
        </w:rPr>
        <w:t>: N-NO</w:t>
      </w:r>
      <w:r w:rsidRPr="009631F0">
        <w:rPr>
          <w:sz w:val="24"/>
          <w:szCs w:val="25"/>
          <w:vertAlign w:val="subscript"/>
        </w:rPr>
        <w:t>3</w:t>
      </w:r>
      <w:r w:rsidRPr="009631F0">
        <w:rPr>
          <w:sz w:val="24"/>
          <w:szCs w:val="25"/>
        </w:rPr>
        <w:t xml:space="preserve"> = 15 mg/mg. By comparing the rates in D</w:t>
      </w:r>
      <w:r w:rsidRPr="009631F0">
        <w:rPr>
          <w:sz w:val="24"/>
          <w:szCs w:val="25"/>
          <w:vertAlign w:val="subscript"/>
        </w:rPr>
        <w:t xml:space="preserve">2 </w:t>
      </w:r>
      <w:r w:rsidRPr="009631F0">
        <w:rPr>
          <w:sz w:val="24"/>
          <w:szCs w:val="25"/>
        </w:rPr>
        <w:t>and D</w:t>
      </w:r>
      <w:r w:rsidRPr="009631F0">
        <w:rPr>
          <w:sz w:val="24"/>
          <w:szCs w:val="25"/>
          <w:vertAlign w:val="subscript"/>
        </w:rPr>
        <w:t>3</w:t>
      </w:r>
      <w:r w:rsidRPr="009631F0">
        <w:rPr>
          <w:sz w:val="24"/>
          <w:szCs w:val="25"/>
        </w:rPr>
        <w:t>, denitrification with industrial wastewater and a standard biodegradable compound was assessed. At the same time, nutrients N and P were added to</w:t>
      </w:r>
      <w:r>
        <w:rPr>
          <w:sz w:val="24"/>
          <w:szCs w:val="25"/>
        </w:rPr>
        <w:t xml:space="preserve"> bottles</w:t>
      </w:r>
      <w:r w:rsidRPr="009631F0">
        <w:rPr>
          <w:sz w:val="24"/>
          <w:szCs w:val="25"/>
        </w:rPr>
        <w:t xml:space="preserve"> D</w:t>
      </w:r>
      <w:r w:rsidRPr="009631F0">
        <w:rPr>
          <w:sz w:val="24"/>
          <w:szCs w:val="25"/>
          <w:vertAlign w:val="subscript"/>
        </w:rPr>
        <w:t>2</w:t>
      </w:r>
      <w:r w:rsidRPr="009631F0">
        <w:rPr>
          <w:sz w:val="24"/>
          <w:szCs w:val="25"/>
        </w:rPr>
        <w:t xml:space="preserve"> and D</w:t>
      </w:r>
      <w:r w:rsidRPr="009631F0">
        <w:rPr>
          <w:sz w:val="24"/>
          <w:szCs w:val="25"/>
          <w:vertAlign w:val="subscript"/>
        </w:rPr>
        <w:t>3</w:t>
      </w:r>
      <w:r w:rsidRPr="009631F0">
        <w:rPr>
          <w:sz w:val="24"/>
          <w:szCs w:val="25"/>
        </w:rPr>
        <w:t xml:space="preserve"> to avoid limiting the denitrification by their absence. </w:t>
      </w:r>
    </w:p>
    <w:p w14:paraId="20792965" w14:textId="596C07A1" w:rsidR="00CE1134" w:rsidRPr="00F65254" w:rsidRDefault="00CE1134" w:rsidP="00F65254">
      <w:pPr>
        <w:pStyle w:val="ZakladnyText"/>
        <w:suppressAutoHyphens/>
        <w:spacing w:line="360" w:lineRule="auto"/>
        <w:ind w:firstLine="357"/>
        <w:rPr>
          <w:sz w:val="24"/>
          <w:szCs w:val="24"/>
        </w:rPr>
      </w:pPr>
      <w:r w:rsidRPr="009631F0">
        <w:rPr>
          <w:sz w:val="24"/>
          <w:szCs w:val="25"/>
        </w:rPr>
        <w:t>During the tests, changes in pH were also monitored and their values w</w:t>
      </w:r>
      <w:r>
        <w:rPr>
          <w:sz w:val="24"/>
          <w:szCs w:val="25"/>
        </w:rPr>
        <w:t>ere</w:t>
      </w:r>
      <w:r w:rsidRPr="009631F0">
        <w:rPr>
          <w:sz w:val="24"/>
          <w:szCs w:val="25"/>
        </w:rPr>
        <w:t xml:space="preserve"> continuously adjusted to the neutral range of 6.8–7.3 (with a diluted acid or alkali). During denitrification in a closed reactor, the pH can rise, but also fall slightly</w:t>
      </w:r>
      <w:r>
        <w:rPr>
          <w:sz w:val="24"/>
          <w:szCs w:val="25"/>
        </w:rPr>
        <w:t>.</w:t>
      </w:r>
      <w:r w:rsidR="00823EC4">
        <w:rPr>
          <w:sz w:val="24"/>
          <w:szCs w:val="25"/>
          <w:vertAlign w:val="superscript"/>
        </w:rPr>
        <w:t>31</w:t>
      </w:r>
      <w:r w:rsidRPr="009631F0">
        <w:rPr>
          <w:sz w:val="24"/>
          <w:szCs w:val="25"/>
        </w:rPr>
        <w:t xml:space="preserve"> Except</w:t>
      </w:r>
      <w:r>
        <w:rPr>
          <w:sz w:val="24"/>
          <w:szCs w:val="25"/>
        </w:rPr>
        <w:t xml:space="preserve"> for</w:t>
      </w:r>
      <w:r w:rsidRPr="009631F0">
        <w:rPr>
          <w:sz w:val="24"/>
          <w:szCs w:val="25"/>
        </w:rPr>
        <w:t xml:space="preserve"> the decrease in N-NO</w:t>
      </w:r>
      <w:r w:rsidRPr="009631F0">
        <w:rPr>
          <w:sz w:val="24"/>
          <w:szCs w:val="25"/>
          <w:vertAlign w:val="subscript"/>
        </w:rPr>
        <w:t>3</w:t>
      </w:r>
      <w:r w:rsidRPr="009631F0">
        <w:rPr>
          <w:sz w:val="24"/>
          <w:szCs w:val="25"/>
        </w:rPr>
        <w:t>, the decrease in COD</w:t>
      </w:r>
      <w:r w:rsidRPr="009631F0">
        <w:rPr>
          <w:sz w:val="24"/>
          <w:szCs w:val="25"/>
          <w:vertAlign w:val="subscript"/>
        </w:rPr>
        <w:t>Cr</w:t>
      </w:r>
      <w:r w:rsidRPr="009631F0">
        <w:rPr>
          <w:sz w:val="24"/>
          <w:szCs w:val="25"/>
        </w:rPr>
        <w:t xml:space="preserve"> and the possible formation of N-NO</w:t>
      </w:r>
      <w:r w:rsidRPr="009631F0">
        <w:rPr>
          <w:sz w:val="24"/>
          <w:szCs w:val="25"/>
          <w:vertAlign w:val="subscript"/>
        </w:rPr>
        <w:t>2</w:t>
      </w:r>
      <w:r w:rsidRPr="009631F0">
        <w:rPr>
          <w:sz w:val="24"/>
          <w:szCs w:val="25"/>
        </w:rPr>
        <w:t xml:space="preserve"> as an intermediate product of incomplete denitrification were also monitored. The tests lasted 24 hours and</w:t>
      </w:r>
      <w:r>
        <w:rPr>
          <w:sz w:val="24"/>
          <w:szCs w:val="25"/>
        </w:rPr>
        <w:t xml:space="preserve"> the</w:t>
      </w:r>
      <w:r w:rsidRPr="009631F0">
        <w:rPr>
          <w:sz w:val="24"/>
          <w:szCs w:val="25"/>
        </w:rPr>
        <w:t xml:space="preserve"> samples for analysis at the beginning of the experiments were taken in 3</w:t>
      </w:r>
      <w:r>
        <w:rPr>
          <w:sz w:val="24"/>
          <w:szCs w:val="25"/>
        </w:rPr>
        <w:t xml:space="preserve"> </w:t>
      </w:r>
      <w:r w:rsidRPr="009631F0">
        <w:rPr>
          <w:sz w:val="24"/>
          <w:szCs w:val="25"/>
        </w:rPr>
        <w:t>hour intervals (during the first 9 hours</w:t>
      </w:r>
      <w:r>
        <w:rPr>
          <w:sz w:val="24"/>
          <w:szCs w:val="25"/>
        </w:rPr>
        <w:t>,</w:t>
      </w:r>
      <w:r w:rsidRPr="009631F0">
        <w:rPr>
          <w:sz w:val="24"/>
          <w:szCs w:val="25"/>
        </w:rPr>
        <w:t xml:space="preserve"> 4 samples, including taking sample at time 0); the last sample was taken after 24 hours (the significance of this sample was only a control). Denitrification rates and organic substrate consumption were evaluated according to the decline in N-NO</w:t>
      </w:r>
      <w:r w:rsidRPr="009631F0">
        <w:rPr>
          <w:sz w:val="24"/>
          <w:szCs w:val="25"/>
          <w:vertAlign w:val="subscript"/>
        </w:rPr>
        <w:t>3</w:t>
      </w:r>
      <w:r w:rsidRPr="009631F0">
        <w:rPr>
          <w:sz w:val="24"/>
          <w:szCs w:val="25"/>
        </w:rPr>
        <w:t xml:space="preserve"> and COD</w:t>
      </w:r>
      <w:r w:rsidRPr="009631F0">
        <w:rPr>
          <w:sz w:val="24"/>
          <w:szCs w:val="25"/>
          <w:vertAlign w:val="subscript"/>
        </w:rPr>
        <w:t>Cr</w:t>
      </w:r>
      <w:r w:rsidRPr="009631F0">
        <w:rPr>
          <w:sz w:val="24"/>
          <w:szCs w:val="25"/>
        </w:rPr>
        <w:t xml:space="preserve"> concentration. For the first 9 hours of the test, the denitrification rate was</w:t>
      </w:r>
      <w:r>
        <w:rPr>
          <w:sz w:val="24"/>
          <w:szCs w:val="25"/>
        </w:rPr>
        <w:t xml:space="preserve"> no</w:t>
      </w:r>
      <w:r w:rsidRPr="009631F0">
        <w:rPr>
          <w:sz w:val="24"/>
          <w:szCs w:val="25"/>
        </w:rPr>
        <w:t>t limited by the absence of organic substrate and the decline in concentrations was linear. The specific denitrification rates in mg</w:t>
      </w:r>
      <w:r w:rsidRPr="009631F0">
        <w:rPr>
          <w:sz w:val="24"/>
          <w:szCs w:val="25"/>
          <w:vertAlign w:val="subscript"/>
        </w:rPr>
        <w:t>N</w:t>
      </w:r>
      <w:r w:rsidRPr="009631F0">
        <w:rPr>
          <w:sz w:val="24"/>
          <w:szCs w:val="25"/>
        </w:rPr>
        <w:t>/g·h could thus be calculated from the slope of decrease of the concentrations divided by time and sludge concentration. The principle of such batch denitrification tests with further details is given in Bodík et al</w:t>
      </w:r>
      <w:r>
        <w:rPr>
          <w:sz w:val="24"/>
          <w:szCs w:val="25"/>
        </w:rPr>
        <w:t>.</w:t>
      </w:r>
      <w:r w:rsidR="00823EC4">
        <w:rPr>
          <w:sz w:val="24"/>
          <w:szCs w:val="25"/>
          <w:vertAlign w:val="superscript"/>
        </w:rPr>
        <w:t>30</w:t>
      </w:r>
    </w:p>
    <w:p w14:paraId="5452AB59" w14:textId="77777777" w:rsidR="00891E46" w:rsidRPr="00E612A1" w:rsidRDefault="00891E46" w:rsidP="008E3706">
      <w:pPr>
        <w:pStyle w:val="ZakladnyText"/>
        <w:suppressAutoHyphens/>
        <w:spacing w:line="360" w:lineRule="auto"/>
        <w:rPr>
          <w:i/>
          <w:iCs/>
          <w:sz w:val="24"/>
          <w:szCs w:val="25"/>
        </w:rPr>
      </w:pPr>
    </w:p>
    <w:p w14:paraId="5043AE3A" w14:textId="78582CFA" w:rsidR="00FD238A" w:rsidRDefault="00C646E8" w:rsidP="00FD238A">
      <w:pPr>
        <w:pStyle w:val="ZakladnyText"/>
        <w:suppressAutoHyphens/>
        <w:spacing w:line="360" w:lineRule="auto"/>
        <w:ind w:firstLine="357"/>
        <w:rPr>
          <w:sz w:val="24"/>
          <w:szCs w:val="25"/>
        </w:rPr>
      </w:pPr>
      <w:r w:rsidRPr="00132FB7">
        <w:rPr>
          <w:sz w:val="24"/>
          <w:szCs w:val="25"/>
        </w:rPr>
        <w:t>Respirometric determination</w:t>
      </w:r>
      <w:r w:rsidRPr="000B5448">
        <w:rPr>
          <w:sz w:val="24"/>
          <w:szCs w:val="25"/>
        </w:rPr>
        <w:t xml:space="preserve"> of biomass activity from individual reactors R</w:t>
      </w:r>
      <w:r w:rsidRPr="000B5448">
        <w:rPr>
          <w:sz w:val="24"/>
          <w:szCs w:val="25"/>
          <w:vertAlign w:val="subscript"/>
        </w:rPr>
        <w:t>1</w:t>
      </w:r>
      <w:r w:rsidRPr="000B5448">
        <w:rPr>
          <w:sz w:val="24"/>
          <w:szCs w:val="25"/>
        </w:rPr>
        <w:t>, R</w:t>
      </w:r>
      <w:r w:rsidRPr="000B5448">
        <w:rPr>
          <w:sz w:val="24"/>
          <w:szCs w:val="25"/>
          <w:vertAlign w:val="subscript"/>
        </w:rPr>
        <w:t>2</w:t>
      </w:r>
      <w:r>
        <w:rPr>
          <w:sz w:val="24"/>
          <w:szCs w:val="25"/>
        </w:rPr>
        <w:t>,</w:t>
      </w:r>
      <w:r w:rsidRPr="000B5448">
        <w:rPr>
          <w:sz w:val="24"/>
          <w:szCs w:val="25"/>
        </w:rPr>
        <w:t xml:space="preserve"> and R</w:t>
      </w:r>
      <w:r w:rsidRPr="000B5448">
        <w:rPr>
          <w:sz w:val="24"/>
          <w:szCs w:val="25"/>
          <w:vertAlign w:val="subscript"/>
        </w:rPr>
        <w:t>3</w:t>
      </w:r>
      <w:r w:rsidRPr="000B5448">
        <w:rPr>
          <w:sz w:val="24"/>
          <w:szCs w:val="25"/>
        </w:rPr>
        <w:t xml:space="preserve"> was also performed by measurin</w:t>
      </w:r>
      <w:r>
        <w:rPr>
          <w:sz w:val="24"/>
          <w:szCs w:val="25"/>
        </w:rPr>
        <w:t>g</w:t>
      </w:r>
      <w:r w:rsidRPr="000B5448">
        <w:rPr>
          <w:sz w:val="24"/>
          <w:szCs w:val="25"/>
        </w:rPr>
        <w:t xml:space="preserve"> oxygen consumption rates</w:t>
      </w:r>
      <w:r w:rsidRPr="000B5448">
        <w:rPr>
          <w:sz w:val="24"/>
          <w:szCs w:val="25"/>
          <w:vertAlign w:val="superscript"/>
        </w:rPr>
        <w:t>2</w:t>
      </w:r>
      <w:r w:rsidR="00823EC4">
        <w:rPr>
          <w:sz w:val="24"/>
          <w:szCs w:val="25"/>
          <w:vertAlign w:val="superscript"/>
        </w:rPr>
        <w:t>9</w:t>
      </w:r>
      <w:r w:rsidRPr="000B5448">
        <w:rPr>
          <w:sz w:val="24"/>
          <w:szCs w:val="25"/>
          <w:vertAlign w:val="superscript"/>
        </w:rPr>
        <w:t>,</w:t>
      </w:r>
      <w:r w:rsidR="00823EC4">
        <w:rPr>
          <w:sz w:val="24"/>
          <w:szCs w:val="25"/>
          <w:vertAlign w:val="superscript"/>
        </w:rPr>
        <w:t>3</w:t>
      </w:r>
      <w:r w:rsidR="00BE68B2">
        <w:rPr>
          <w:sz w:val="24"/>
          <w:szCs w:val="25"/>
          <w:vertAlign w:val="superscript"/>
        </w:rPr>
        <w:t>2</w:t>
      </w:r>
      <w:r w:rsidRPr="000B5448">
        <w:rPr>
          <w:sz w:val="24"/>
          <w:szCs w:val="25"/>
          <w:vertAlign w:val="superscript"/>
        </w:rPr>
        <w:t xml:space="preserve"> </w:t>
      </w:r>
      <w:r w:rsidRPr="000B5448">
        <w:rPr>
          <w:sz w:val="24"/>
          <w:szCs w:val="25"/>
        </w:rPr>
        <w:t>and comparing endogenous (r</w:t>
      </w:r>
      <w:r w:rsidRPr="000B5448">
        <w:rPr>
          <w:sz w:val="24"/>
          <w:szCs w:val="25"/>
          <w:vertAlign w:val="subscript"/>
        </w:rPr>
        <w:t>X,ox,en</w:t>
      </w:r>
      <w:r w:rsidRPr="000B5448">
        <w:rPr>
          <w:sz w:val="24"/>
          <w:szCs w:val="25"/>
        </w:rPr>
        <w:t>), total (r</w:t>
      </w:r>
      <w:r w:rsidRPr="000B5448">
        <w:rPr>
          <w:sz w:val="24"/>
          <w:szCs w:val="25"/>
          <w:vertAlign w:val="subscript"/>
        </w:rPr>
        <w:t>X,ox,t</w:t>
      </w:r>
      <w:r w:rsidRPr="000B5448">
        <w:rPr>
          <w:sz w:val="24"/>
          <w:szCs w:val="25"/>
        </w:rPr>
        <w:t>)</w:t>
      </w:r>
      <w:r>
        <w:rPr>
          <w:sz w:val="24"/>
          <w:szCs w:val="25"/>
        </w:rPr>
        <w:t>,</w:t>
      </w:r>
      <w:r w:rsidRPr="000B5448">
        <w:rPr>
          <w:sz w:val="24"/>
          <w:szCs w:val="25"/>
        </w:rPr>
        <w:t xml:space="preserve"> and substrate (exogenous) respiration rates (r</w:t>
      </w:r>
      <w:r w:rsidRPr="000B5448">
        <w:rPr>
          <w:sz w:val="24"/>
          <w:szCs w:val="25"/>
          <w:vertAlign w:val="subscript"/>
        </w:rPr>
        <w:t>X,ox</w:t>
      </w:r>
      <w:r w:rsidRPr="000B5448">
        <w:rPr>
          <w:sz w:val="24"/>
          <w:szCs w:val="25"/>
        </w:rPr>
        <w:t xml:space="preserve">) in 300 ml closed BOD bottles. The tests of anoxic biomass activity from denitrification tests were thus supplemented with information about oxic activity. </w:t>
      </w:r>
    </w:p>
    <w:p w14:paraId="4AB2AA20" w14:textId="4ACB5238" w:rsidR="00C646E8" w:rsidRPr="009631F0" w:rsidRDefault="00C646E8" w:rsidP="00FD238A">
      <w:pPr>
        <w:pStyle w:val="ZakladnyText"/>
        <w:suppressAutoHyphens/>
        <w:spacing w:line="360" w:lineRule="auto"/>
        <w:ind w:firstLine="357"/>
        <w:rPr>
          <w:sz w:val="24"/>
          <w:szCs w:val="25"/>
        </w:rPr>
      </w:pPr>
      <w:r w:rsidRPr="000B5448">
        <w:rPr>
          <w:sz w:val="24"/>
          <w:szCs w:val="25"/>
        </w:rPr>
        <w:t>Respirometric</w:t>
      </w:r>
      <w:r w:rsidRPr="009631F0">
        <w:rPr>
          <w:sz w:val="24"/>
          <w:szCs w:val="25"/>
        </w:rPr>
        <w:t xml:space="preserve"> measurements were performed on days </w:t>
      </w:r>
      <w:r>
        <w:rPr>
          <w:sz w:val="24"/>
          <w:szCs w:val="25"/>
        </w:rPr>
        <w:t>0</w:t>
      </w:r>
      <w:r w:rsidRPr="009631F0">
        <w:rPr>
          <w:sz w:val="24"/>
          <w:szCs w:val="25"/>
        </w:rPr>
        <w:t xml:space="preserve"> and 22. On day </w:t>
      </w:r>
      <w:r>
        <w:rPr>
          <w:sz w:val="24"/>
          <w:szCs w:val="25"/>
        </w:rPr>
        <w:t>0</w:t>
      </w:r>
      <w:r w:rsidRPr="009631F0">
        <w:rPr>
          <w:sz w:val="24"/>
          <w:szCs w:val="25"/>
        </w:rPr>
        <w:t>, only one respirometric measurement was performed, with the exogenous substrate glucose. The aim was to obtain information about the activity of the sludge before the addition of industrial wastewater. On day 22, three respirometric measurements with activated sludge from reactors R</w:t>
      </w:r>
      <w:r w:rsidRPr="009631F0">
        <w:rPr>
          <w:sz w:val="24"/>
          <w:szCs w:val="25"/>
          <w:vertAlign w:val="subscript"/>
        </w:rPr>
        <w:t>1</w:t>
      </w:r>
      <w:r w:rsidRPr="009631F0">
        <w:rPr>
          <w:sz w:val="24"/>
          <w:szCs w:val="25"/>
        </w:rPr>
        <w:t>, R</w:t>
      </w:r>
      <w:r w:rsidRPr="009631F0">
        <w:rPr>
          <w:sz w:val="24"/>
          <w:szCs w:val="25"/>
          <w:vertAlign w:val="subscript"/>
        </w:rPr>
        <w:t>2</w:t>
      </w:r>
      <w:r w:rsidRPr="009631F0">
        <w:rPr>
          <w:sz w:val="24"/>
          <w:szCs w:val="25"/>
        </w:rPr>
        <w:t xml:space="preserve">, </w:t>
      </w:r>
      <w:r>
        <w:rPr>
          <w:sz w:val="24"/>
          <w:szCs w:val="25"/>
        </w:rPr>
        <w:t xml:space="preserve">and </w:t>
      </w:r>
      <w:r w:rsidRPr="009631F0">
        <w:rPr>
          <w:sz w:val="24"/>
          <w:szCs w:val="25"/>
        </w:rPr>
        <w:t>R</w:t>
      </w:r>
      <w:r w:rsidRPr="009631F0">
        <w:rPr>
          <w:sz w:val="24"/>
          <w:szCs w:val="25"/>
          <w:vertAlign w:val="subscript"/>
        </w:rPr>
        <w:t>3</w:t>
      </w:r>
      <w:r w:rsidRPr="009631F0">
        <w:rPr>
          <w:sz w:val="24"/>
          <w:szCs w:val="25"/>
        </w:rPr>
        <w:t xml:space="preserve"> were performed to assess changes in oxic activity in all 3 reactors (especially in reactors R</w:t>
      </w:r>
      <w:r w:rsidRPr="009631F0">
        <w:rPr>
          <w:sz w:val="24"/>
          <w:szCs w:val="25"/>
          <w:vertAlign w:val="subscript"/>
        </w:rPr>
        <w:t>2</w:t>
      </w:r>
      <w:r w:rsidRPr="009631F0">
        <w:rPr>
          <w:sz w:val="24"/>
          <w:szCs w:val="25"/>
        </w:rPr>
        <w:t xml:space="preserve"> and R</w:t>
      </w:r>
      <w:r w:rsidRPr="009631F0">
        <w:rPr>
          <w:sz w:val="24"/>
          <w:szCs w:val="25"/>
          <w:vertAlign w:val="subscript"/>
        </w:rPr>
        <w:t>3</w:t>
      </w:r>
      <w:r w:rsidRPr="009631F0">
        <w:rPr>
          <w:sz w:val="24"/>
          <w:szCs w:val="25"/>
        </w:rPr>
        <w:t>, where the biomass was exposed for 22 days to industrial wastewater). Before the respirometric tests, sludge taken as excess sludge from reactors R</w:t>
      </w:r>
      <w:r w:rsidRPr="009631F0">
        <w:rPr>
          <w:sz w:val="24"/>
          <w:szCs w:val="25"/>
          <w:vertAlign w:val="subscript"/>
        </w:rPr>
        <w:t>1</w:t>
      </w:r>
      <w:r w:rsidRPr="009631F0">
        <w:rPr>
          <w:sz w:val="24"/>
          <w:szCs w:val="25"/>
        </w:rPr>
        <w:t>, R</w:t>
      </w:r>
      <w:r w:rsidRPr="009631F0">
        <w:rPr>
          <w:sz w:val="24"/>
          <w:szCs w:val="25"/>
          <w:vertAlign w:val="subscript"/>
        </w:rPr>
        <w:t>2</w:t>
      </w:r>
      <w:r w:rsidRPr="009631F0">
        <w:rPr>
          <w:sz w:val="24"/>
          <w:szCs w:val="25"/>
        </w:rPr>
        <w:t xml:space="preserve">, </w:t>
      </w:r>
      <w:r>
        <w:rPr>
          <w:sz w:val="24"/>
          <w:szCs w:val="25"/>
        </w:rPr>
        <w:t xml:space="preserve">and </w:t>
      </w:r>
      <w:r w:rsidRPr="009631F0">
        <w:rPr>
          <w:sz w:val="24"/>
          <w:szCs w:val="25"/>
        </w:rPr>
        <w:t>R</w:t>
      </w:r>
      <w:r w:rsidRPr="009631F0">
        <w:rPr>
          <w:sz w:val="24"/>
          <w:szCs w:val="25"/>
          <w:vertAlign w:val="subscript"/>
        </w:rPr>
        <w:t>3</w:t>
      </w:r>
      <w:r w:rsidRPr="009631F0">
        <w:rPr>
          <w:sz w:val="24"/>
          <w:szCs w:val="25"/>
        </w:rPr>
        <w:t xml:space="preserve"> was aerated for 2 hours to remove residual exogenous organic compounds. The biomass was diluted </w:t>
      </w:r>
      <w:r w:rsidRPr="009631F0">
        <w:rPr>
          <w:sz w:val="24"/>
          <w:szCs w:val="25"/>
        </w:rPr>
        <w:lastRenderedPageBreak/>
        <w:t>to 1 g/l and the allylthiourea (10 mg/l) was added to suppress oxygen consumption by nitrification. For the first 5 minutes, r</w:t>
      </w:r>
      <w:r w:rsidRPr="009631F0">
        <w:rPr>
          <w:sz w:val="24"/>
          <w:szCs w:val="25"/>
          <w:vertAlign w:val="subscript"/>
        </w:rPr>
        <w:t xml:space="preserve">X,ox,en </w:t>
      </w:r>
      <w:r w:rsidRPr="009631F0">
        <w:rPr>
          <w:sz w:val="24"/>
          <w:szCs w:val="25"/>
        </w:rPr>
        <w:t>w</w:t>
      </w:r>
      <w:r>
        <w:rPr>
          <w:sz w:val="24"/>
          <w:szCs w:val="25"/>
        </w:rPr>
        <w:t>as</w:t>
      </w:r>
      <w:r w:rsidRPr="009631F0">
        <w:rPr>
          <w:sz w:val="24"/>
          <w:szCs w:val="25"/>
        </w:rPr>
        <w:t xml:space="preserve"> measured and then, for r</w:t>
      </w:r>
      <w:r w:rsidRPr="009631F0">
        <w:rPr>
          <w:sz w:val="24"/>
          <w:szCs w:val="25"/>
          <w:vertAlign w:val="subscript"/>
        </w:rPr>
        <w:t xml:space="preserve">X,ox,t </w:t>
      </w:r>
      <w:r w:rsidRPr="009631F0">
        <w:rPr>
          <w:sz w:val="24"/>
          <w:szCs w:val="25"/>
        </w:rPr>
        <w:t xml:space="preserve">measurements, the following exogenous substrates were injected into the system: on day </w:t>
      </w:r>
      <w:r>
        <w:rPr>
          <w:sz w:val="24"/>
          <w:szCs w:val="25"/>
        </w:rPr>
        <w:t>0</w:t>
      </w:r>
      <w:r w:rsidRPr="009631F0">
        <w:rPr>
          <w:sz w:val="24"/>
          <w:szCs w:val="25"/>
        </w:rPr>
        <w:t>, glucose was added to the sludge; on day 22, glucose was used for the biomass from reactor R</w:t>
      </w:r>
      <w:r w:rsidRPr="009631F0">
        <w:rPr>
          <w:sz w:val="24"/>
          <w:szCs w:val="25"/>
          <w:vertAlign w:val="subscript"/>
        </w:rPr>
        <w:t>1</w:t>
      </w:r>
      <w:r w:rsidRPr="009631F0">
        <w:rPr>
          <w:sz w:val="24"/>
          <w:szCs w:val="25"/>
        </w:rPr>
        <w:t>, glucose and industrial wastewater in the ratio COD</w:t>
      </w:r>
      <w:r w:rsidRPr="009631F0">
        <w:rPr>
          <w:sz w:val="24"/>
          <w:szCs w:val="25"/>
          <w:vertAlign w:val="subscript"/>
        </w:rPr>
        <w:t>Cr</w:t>
      </w:r>
      <w:r w:rsidRPr="009631F0">
        <w:rPr>
          <w:sz w:val="24"/>
          <w:szCs w:val="25"/>
        </w:rPr>
        <w:t xml:space="preserve"> = 1:1 for biomass from reactor R</w:t>
      </w:r>
      <w:r w:rsidRPr="009631F0">
        <w:rPr>
          <w:sz w:val="24"/>
          <w:szCs w:val="25"/>
          <w:vertAlign w:val="subscript"/>
        </w:rPr>
        <w:t>2</w:t>
      </w:r>
      <w:r w:rsidRPr="009631F0">
        <w:rPr>
          <w:sz w:val="24"/>
          <w:szCs w:val="25"/>
        </w:rPr>
        <w:t xml:space="preserve"> and only industrial wastewater for biomass from reactor R</w:t>
      </w:r>
      <w:r w:rsidRPr="009631F0">
        <w:rPr>
          <w:sz w:val="24"/>
          <w:szCs w:val="25"/>
          <w:vertAlign w:val="subscript"/>
        </w:rPr>
        <w:t>3</w:t>
      </w:r>
      <w:r w:rsidRPr="009631F0">
        <w:rPr>
          <w:sz w:val="24"/>
          <w:szCs w:val="25"/>
        </w:rPr>
        <w:t>. The concentration of exogenous COD</w:t>
      </w:r>
      <w:r w:rsidRPr="009631F0">
        <w:rPr>
          <w:sz w:val="24"/>
          <w:szCs w:val="25"/>
          <w:vertAlign w:val="subscript"/>
        </w:rPr>
        <w:t>Cr</w:t>
      </w:r>
      <w:r w:rsidRPr="009631F0">
        <w:rPr>
          <w:sz w:val="24"/>
          <w:szCs w:val="25"/>
        </w:rPr>
        <w:t xml:space="preserve"> in the BOD bottles after substrate dosing in all three cases was 17 mg/l. By evaluating the respirometric measurements, respirograms were created, from which the respiration rates r</w:t>
      </w:r>
      <w:r w:rsidRPr="009631F0">
        <w:rPr>
          <w:sz w:val="24"/>
          <w:szCs w:val="25"/>
          <w:vertAlign w:val="subscript"/>
        </w:rPr>
        <w:t>X,ox,en</w:t>
      </w:r>
      <w:r w:rsidRPr="009631F0">
        <w:rPr>
          <w:sz w:val="24"/>
          <w:szCs w:val="25"/>
        </w:rPr>
        <w:t>, r</w:t>
      </w:r>
      <w:r w:rsidRPr="009631F0">
        <w:rPr>
          <w:sz w:val="24"/>
          <w:szCs w:val="25"/>
          <w:vertAlign w:val="subscript"/>
        </w:rPr>
        <w:t>X,ox,t</w:t>
      </w:r>
      <w:r w:rsidRPr="009631F0">
        <w:rPr>
          <w:sz w:val="24"/>
          <w:szCs w:val="25"/>
        </w:rPr>
        <w:t>,</w:t>
      </w:r>
      <w:r>
        <w:rPr>
          <w:sz w:val="24"/>
          <w:szCs w:val="25"/>
        </w:rPr>
        <w:t xml:space="preserve"> </w:t>
      </w:r>
      <w:r w:rsidRPr="009631F0">
        <w:rPr>
          <w:sz w:val="24"/>
          <w:szCs w:val="25"/>
        </w:rPr>
        <w:t>r</w:t>
      </w:r>
      <w:r w:rsidRPr="009631F0">
        <w:rPr>
          <w:sz w:val="24"/>
          <w:szCs w:val="25"/>
          <w:vertAlign w:val="subscript"/>
        </w:rPr>
        <w:t xml:space="preserve">X,ox </w:t>
      </w:r>
      <w:r w:rsidRPr="009631F0">
        <w:rPr>
          <w:sz w:val="24"/>
          <w:szCs w:val="25"/>
        </w:rPr>
        <w:t>in mg</w:t>
      </w:r>
      <w:r w:rsidRPr="009631F0">
        <w:rPr>
          <w:sz w:val="24"/>
          <w:szCs w:val="25"/>
          <w:vertAlign w:val="subscript"/>
        </w:rPr>
        <w:t>O2</w:t>
      </w:r>
      <w:r w:rsidRPr="009631F0">
        <w:rPr>
          <w:sz w:val="24"/>
          <w:szCs w:val="25"/>
        </w:rPr>
        <w:t>/g·h</w:t>
      </w:r>
      <w:r>
        <w:rPr>
          <w:sz w:val="24"/>
          <w:szCs w:val="25"/>
        </w:rPr>
        <w:t>,</w:t>
      </w:r>
      <w:r w:rsidRPr="009631F0">
        <w:rPr>
          <w:sz w:val="24"/>
          <w:szCs w:val="25"/>
        </w:rPr>
        <w:t xml:space="preserve"> and substrate consumption rate r</w:t>
      </w:r>
      <w:r w:rsidRPr="009631F0">
        <w:rPr>
          <w:sz w:val="24"/>
          <w:szCs w:val="25"/>
          <w:vertAlign w:val="subscript"/>
        </w:rPr>
        <w:t>x</w:t>
      </w:r>
      <w:r w:rsidRPr="009631F0">
        <w:rPr>
          <w:sz w:val="24"/>
          <w:szCs w:val="25"/>
        </w:rPr>
        <w:t xml:space="preserve"> in mg</w:t>
      </w:r>
      <w:r w:rsidRPr="009631F0">
        <w:rPr>
          <w:sz w:val="24"/>
          <w:szCs w:val="25"/>
          <w:vertAlign w:val="subscript"/>
        </w:rPr>
        <w:t>CHSKCr</w:t>
      </w:r>
      <w:r w:rsidRPr="009631F0">
        <w:rPr>
          <w:sz w:val="24"/>
          <w:szCs w:val="25"/>
        </w:rPr>
        <w:t>/g·h were calculated according to Bodík et al</w:t>
      </w:r>
      <w:r w:rsidR="006953C7">
        <w:rPr>
          <w:sz w:val="24"/>
          <w:szCs w:val="25"/>
        </w:rPr>
        <w:t>.</w:t>
      </w:r>
      <w:r w:rsidR="00823EC4">
        <w:rPr>
          <w:sz w:val="24"/>
          <w:szCs w:val="25"/>
          <w:vertAlign w:val="superscript"/>
        </w:rPr>
        <w:t>30</w:t>
      </w:r>
    </w:p>
    <w:p w14:paraId="4F1E09B8" w14:textId="77777777" w:rsidR="001E0688" w:rsidRPr="00E612A1" w:rsidRDefault="001E0688" w:rsidP="008E3706">
      <w:pPr>
        <w:pStyle w:val="ZakladnyText"/>
        <w:spacing w:line="360" w:lineRule="auto"/>
      </w:pPr>
    </w:p>
    <w:p w14:paraId="765C2446" w14:textId="09163CE7" w:rsidR="009E4070" w:rsidRPr="00456F8A" w:rsidRDefault="009E4070" w:rsidP="004316B5">
      <w:pPr>
        <w:pStyle w:val="ZakladnyText"/>
        <w:numPr>
          <w:ilvl w:val="0"/>
          <w:numId w:val="32"/>
        </w:numPr>
        <w:suppressAutoHyphens/>
        <w:spacing w:after="240" w:line="360" w:lineRule="auto"/>
        <w:jc w:val="center"/>
        <w:rPr>
          <w:rFonts w:cs="Times New Roman"/>
          <w:b/>
          <w:bCs/>
          <w:sz w:val="24"/>
          <w:szCs w:val="24"/>
        </w:rPr>
      </w:pPr>
      <w:r w:rsidRPr="00456F8A">
        <w:rPr>
          <w:rFonts w:cs="Times New Roman"/>
          <w:b/>
          <w:bCs/>
          <w:sz w:val="24"/>
          <w:szCs w:val="24"/>
        </w:rPr>
        <w:t xml:space="preserve">Results and </w:t>
      </w:r>
      <w:r w:rsidR="00BB0A3A" w:rsidRPr="00456F8A">
        <w:rPr>
          <w:rFonts w:cs="Times New Roman"/>
          <w:b/>
          <w:bCs/>
          <w:sz w:val="24"/>
          <w:szCs w:val="24"/>
        </w:rPr>
        <w:t>D</w:t>
      </w:r>
      <w:r w:rsidRPr="00456F8A">
        <w:rPr>
          <w:rFonts w:cs="Times New Roman"/>
          <w:b/>
          <w:bCs/>
          <w:sz w:val="24"/>
          <w:szCs w:val="24"/>
        </w:rPr>
        <w:t>iscussion</w:t>
      </w:r>
    </w:p>
    <w:p w14:paraId="61FED895" w14:textId="6B95C626" w:rsidR="007D1A1B" w:rsidRPr="00E612A1" w:rsidRDefault="00C417E3" w:rsidP="00C455A3">
      <w:pPr>
        <w:spacing w:line="360" w:lineRule="auto"/>
        <w:ind w:firstLine="357"/>
        <w:jc w:val="both"/>
        <w:rPr>
          <w:szCs w:val="28"/>
          <w:lang w:val="en-GB"/>
        </w:rPr>
      </w:pPr>
      <w:r w:rsidRPr="009631F0">
        <w:rPr>
          <w:szCs w:val="28"/>
          <w:lang w:val="en-GB"/>
        </w:rPr>
        <w:t xml:space="preserve">The sample of industrial wastewater (from </w:t>
      </w:r>
      <w:r>
        <w:rPr>
          <w:szCs w:val="28"/>
          <w:lang w:val="en-GB"/>
        </w:rPr>
        <w:t xml:space="preserve">the </w:t>
      </w:r>
      <w:r w:rsidRPr="009631F0">
        <w:rPr>
          <w:szCs w:val="28"/>
          <w:lang w:val="en-GB"/>
        </w:rPr>
        <w:t>automotive industry) was partially turbid, grey in colour</w:t>
      </w:r>
      <w:r>
        <w:rPr>
          <w:szCs w:val="28"/>
          <w:lang w:val="en-GB"/>
        </w:rPr>
        <w:t>,</w:t>
      </w:r>
      <w:r w:rsidRPr="009631F0">
        <w:rPr>
          <w:szCs w:val="28"/>
          <w:lang w:val="en-GB"/>
        </w:rPr>
        <w:t xml:space="preserve"> and had a faint odour in concentrated form. The tested sample had concentrations of </w:t>
      </w:r>
      <w:r w:rsidRPr="009631F0">
        <w:rPr>
          <w:bCs/>
          <w:szCs w:val="28"/>
          <w:lang w:val="en-GB"/>
        </w:rPr>
        <w:t>COD</w:t>
      </w:r>
      <w:r w:rsidRPr="009631F0">
        <w:rPr>
          <w:bCs/>
          <w:szCs w:val="28"/>
          <w:vertAlign w:val="subscript"/>
          <w:lang w:val="en-GB"/>
        </w:rPr>
        <w:t>Cr</w:t>
      </w:r>
      <w:r w:rsidRPr="009631F0">
        <w:rPr>
          <w:bCs/>
          <w:szCs w:val="28"/>
          <w:lang w:val="en-GB"/>
        </w:rPr>
        <w:t xml:space="preserve"> = 40.3 </w:t>
      </w:r>
      <w:r w:rsidRPr="009631F0">
        <w:rPr>
          <w:szCs w:val="28"/>
          <w:lang w:val="en-GB"/>
        </w:rPr>
        <w:t xml:space="preserve">g/l, </w:t>
      </w:r>
      <w:r w:rsidRPr="009631F0">
        <w:rPr>
          <w:bCs/>
          <w:szCs w:val="28"/>
          <w:lang w:val="en-GB"/>
        </w:rPr>
        <w:t>N-NH</w:t>
      </w:r>
      <w:r w:rsidRPr="009631F0">
        <w:rPr>
          <w:bCs/>
          <w:szCs w:val="28"/>
          <w:vertAlign w:val="subscript"/>
          <w:lang w:val="en-GB"/>
        </w:rPr>
        <w:t>4</w:t>
      </w:r>
      <w:r w:rsidRPr="009631F0">
        <w:rPr>
          <w:bCs/>
          <w:szCs w:val="28"/>
          <w:lang w:val="en-GB"/>
        </w:rPr>
        <w:t xml:space="preserve"> = 16 mg/l, N-NO</w:t>
      </w:r>
      <w:r w:rsidRPr="009631F0">
        <w:rPr>
          <w:bCs/>
          <w:szCs w:val="28"/>
          <w:vertAlign w:val="subscript"/>
          <w:lang w:val="en-GB"/>
        </w:rPr>
        <w:t>3</w:t>
      </w:r>
      <w:r w:rsidRPr="009631F0">
        <w:rPr>
          <w:bCs/>
          <w:szCs w:val="28"/>
          <w:lang w:val="en-GB"/>
        </w:rPr>
        <w:t xml:space="preserve"> = 11 mg/l, P-PO</w:t>
      </w:r>
      <w:r w:rsidRPr="009631F0">
        <w:rPr>
          <w:bCs/>
          <w:szCs w:val="28"/>
          <w:vertAlign w:val="subscript"/>
          <w:lang w:val="en-GB"/>
        </w:rPr>
        <w:t>4</w:t>
      </w:r>
      <w:r w:rsidRPr="009631F0">
        <w:rPr>
          <w:bCs/>
          <w:szCs w:val="28"/>
          <w:lang w:val="en-GB"/>
        </w:rPr>
        <w:t xml:space="preserve"> = 21 mg/l,</w:t>
      </w:r>
      <w:r w:rsidRPr="009631F0">
        <w:rPr>
          <w:szCs w:val="28"/>
          <w:lang w:val="en-GB"/>
        </w:rPr>
        <w:t xml:space="preserve"> TS (105 °C) = 41.5 g/l, TSS (105 °C) = 2.1 g/l, VS (550 °C) = 68 %</w:t>
      </w:r>
      <w:r>
        <w:rPr>
          <w:szCs w:val="28"/>
          <w:lang w:val="en-GB"/>
        </w:rPr>
        <w:t>,</w:t>
      </w:r>
      <w:r w:rsidRPr="009631F0">
        <w:rPr>
          <w:szCs w:val="28"/>
          <w:lang w:val="en-GB"/>
        </w:rPr>
        <w:t xml:space="preserve"> and pH 6.2. The relatively small difference between the concentration of TS and COD</w:t>
      </w:r>
      <w:r w:rsidRPr="009631F0">
        <w:rPr>
          <w:szCs w:val="28"/>
          <w:vertAlign w:val="subscript"/>
          <w:lang w:val="en-GB"/>
        </w:rPr>
        <w:t>Cr</w:t>
      </w:r>
      <w:r w:rsidRPr="009631F0">
        <w:rPr>
          <w:szCs w:val="28"/>
          <w:lang w:val="en-GB"/>
        </w:rPr>
        <w:t xml:space="preserve"> was probably caused by evaporating some </w:t>
      </w:r>
      <w:r>
        <w:rPr>
          <w:szCs w:val="28"/>
          <w:lang w:val="en-GB"/>
        </w:rPr>
        <w:t xml:space="preserve">of the </w:t>
      </w:r>
      <w:r w:rsidRPr="009631F0">
        <w:rPr>
          <w:szCs w:val="28"/>
          <w:lang w:val="en-GB"/>
        </w:rPr>
        <w:t>organic compounds during drying at 105 °C. The concentration of heavy metals is in Table 2, focusing on the metals included in the Act on the application of sewage sludge to soil</w:t>
      </w:r>
      <w:r>
        <w:rPr>
          <w:szCs w:val="28"/>
          <w:lang w:val="en-GB"/>
        </w:rPr>
        <w:t xml:space="preserve"> </w:t>
      </w:r>
      <w:r w:rsidRPr="00E612A1">
        <w:rPr>
          <w:szCs w:val="28"/>
          <w:lang w:val="en-GB"/>
        </w:rPr>
        <w:t>no. 188/2003</w:t>
      </w:r>
      <w:r w:rsidRPr="009B77B5">
        <w:rPr>
          <w:szCs w:val="28"/>
          <w:vertAlign w:val="superscript"/>
          <w:lang w:val="en-GB"/>
        </w:rPr>
        <w:t>3</w:t>
      </w:r>
      <w:r w:rsidR="00823EC4">
        <w:rPr>
          <w:szCs w:val="28"/>
          <w:vertAlign w:val="superscript"/>
          <w:lang w:val="en-GB"/>
        </w:rPr>
        <w:t>3</w:t>
      </w:r>
      <w:r>
        <w:rPr>
          <w:szCs w:val="28"/>
          <w:lang w:val="en-GB"/>
        </w:rPr>
        <w:t xml:space="preserve">, </w:t>
      </w:r>
      <w:r w:rsidRPr="009631F0">
        <w:rPr>
          <w:szCs w:val="28"/>
          <w:lang w:val="en-GB"/>
        </w:rPr>
        <w:t xml:space="preserve">as there is an assumption that the metals present in the wastewater </w:t>
      </w:r>
      <w:r w:rsidR="00962E00" w:rsidRPr="00E612A1">
        <w:rPr>
          <w:szCs w:val="28"/>
          <w:lang w:val="en-GB"/>
        </w:rPr>
        <w:t xml:space="preserve">will </w:t>
      </w:r>
      <w:r w:rsidRPr="009631F0">
        <w:rPr>
          <w:szCs w:val="28"/>
          <w:lang w:val="en-GB"/>
        </w:rPr>
        <w:t>be</w:t>
      </w:r>
      <w:r w:rsidR="00BE6552">
        <w:rPr>
          <w:szCs w:val="28"/>
          <w:lang w:val="en-GB"/>
        </w:rPr>
        <w:t xml:space="preserve"> </w:t>
      </w:r>
      <w:r w:rsidR="00834D17">
        <w:rPr>
          <w:szCs w:val="28"/>
          <w:lang w:val="en-GB"/>
        </w:rPr>
        <w:t>ad</w:t>
      </w:r>
      <w:r w:rsidRPr="009631F0">
        <w:rPr>
          <w:szCs w:val="28"/>
          <w:lang w:val="en-GB"/>
        </w:rPr>
        <w:t xml:space="preserve">sorbed into activated sludge and can thus influence its treatment and handling. </w:t>
      </w:r>
      <w:r w:rsidR="00B6428D" w:rsidRPr="00456F8A">
        <w:rPr>
          <w:color w:val="auto"/>
          <w:szCs w:val="28"/>
          <w:lang w:val="en-GB"/>
        </w:rPr>
        <w:t>According to their toxicity and bioaccumulation tendency, high concentrations of metals in sewage sludge can be even an obstacle to its reuse.</w:t>
      </w:r>
      <w:r w:rsidR="00502162" w:rsidRPr="00456F8A">
        <w:rPr>
          <w:color w:val="auto"/>
          <w:szCs w:val="28"/>
          <w:vertAlign w:val="superscript"/>
          <w:lang w:val="en-GB"/>
        </w:rPr>
        <w:t>3</w:t>
      </w:r>
      <w:r w:rsidR="00823EC4">
        <w:rPr>
          <w:color w:val="auto"/>
          <w:szCs w:val="28"/>
          <w:vertAlign w:val="superscript"/>
          <w:lang w:val="en-GB"/>
        </w:rPr>
        <w:t>4</w:t>
      </w:r>
      <w:r w:rsidR="00B6428D" w:rsidRPr="00456F8A">
        <w:rPr>
          <w:color w:val="auto"/>
          <w:szCs w:val="28"/>
          <w:vertAlign w:val="superscript"/>
          <w:lang w:val="en-GB"/>
        </w:rPr>
        <w:t>,3</w:t>
      </w:r>
      <w:r w:rsidR="00823EC4">
        <w:rPr>
          <w:color w:val="auto"/>
          <w:szCs w:val="28"/>
          <w:vertAlign w:val="superscript"/>
          <w:lang w:val="en-GB"/>
        </w:rPr>
        <w:t>5</w:t>
      </w:r>
      <w:r w:rsidR="00502162" w:rsidRPr="00502162">
        <w:rPr>
          <w:color w:val="FF0000"/>
          <w:szCs w:val="28"/>
          <w:lang w:val="en-GB"/>
        </w:rPr>
        <w:t xml:space="preserve"> </w:t>
      </w:r>
      <w:r w:rsidRPr="009631F0">
        <w:rPr>
          <w:szCs w:val="28"/>
          <w:lang w:val="en-GB"/>
        </w:rPr>
        <w:t xml:space="preserve">The other metals listed in </w:t>
      </w:r>
      <w:r>
        <w:rPr>
          <w:szCs w:val="28"/>
          <w:lang w:val="en-GB"/>
        </w:rPr>
        <w:t xml:space="preserve">the </w:t>
      </w:r>
      <w:r w:rsidRPr="009631F0">
        <w:rPr>
          <w:szCs w:val="28"/>
          <w:lang w:val="en-GB"/>
        </w:rPr>
        <w:t xml:space="preserve">Act of Slovak Republic </w:t>
      </w:r>
      <w:r>
        <w:rPr>
          <w:szCs w:val="28"/>
          <w:lang w:val="en-GB"/>
        </w:rPr>
        <w:t>(</w:t>
      </w:r>
      <w:r w:rsidRPr="009631F0">
        <w:rPr>
          <w:szCs w:val="28"/>
          <w:lang w:val="en-GB"/>
        </w:rPr>
        <w:t>no. 188/2003</w:t>
      </w:r>
      <w:r>
        <w:rPr>
          <w:szCs w:val="28"/>
          <w:lang w:val="en-GB"/>
        </w:rPr>
        <w:t>)</w:t>
      </w:r>
      <w:r w:rsidRPr="009B77B5">
        <w:rPr>
          <w:szCs w:val="28"/>
          <w:vertAlign w:val="superscript"/>
          <w:lang w:val="en-GB"/>
        </w:rPr>
        <w:t>3</w:t>
      </w:r>
      <w:r w:rsidR="00823EC4">
        <w:rPr>
          <w:szCs w:val="28"/>
          <w:vertAlign w:val="superscript"/>
          <w:lang w:val="en-GB"/>
        </w:rPr>
        <w:t>3</w:t>
      </w:r>
      <w:r w:rsidRPr="009631F0">
        <w:rPr>
          <w:szCs w:val="28"/>
          <w:lang w:val="en-GB"/>
        </w:rPr>
        <w:t xml:space="preserve"> (As, Hg) were not determined; their occurrence in industrial wastewater according to its producer can be neglected. Table 2 also shows the real concentrations of metals in sludge from Slovak municipal WWTPs (average values valid for Slovak WWTPs according to Kozáková et al.</w:t>
      </w:r>
      <w:r w:rsidRPr="00412046">
        <w:rPr>
          <w:szCs w:val="28"/>
          <w:vertAlign w:val="superscript"/>
          <w:lang w:val="en-GB"/>
        </w:rPr>
        <w:t>3</w:t>
      </w:r>
      <w:r w:rsidR="00823EC4">
        <w:rPr>
          <w:szCs w:val="28"/>
          <w:vertAlign w:val="superscript"/>
          <w:lang w:val="en-GB"/>
        </w:rPr>
        <w:t>6</w:t>
      </w:r>
      <w:r w:rsidRPr="009631F0">
        <w:rPr>
          <w:szCs w:val="28"/>
          <w:lang w:val="en-GB"/>
        </w:rPr>
        <w:t>). These concentrations were used in the calculations to assess the acceptable amount of industrial wastewater imported to the WWTP as an external denitrification substrate.</w:t>
      </w:r>
    </w:p>
    <w:p w14:paraId="58088774" w14:textId="24EDC010" w:rsidR="00C9198E" w:rsidRPr="00456F8A" w:rsidRDefault="00C9198E" w:rsidP="00422F0A">
      <w:pPr>
        <w:pStyle w:val="TextNadTabulku"/>
        <w:suppressAutoHyphens/>
        <w:spacing w:line="360" w:lineRule="auto"/>
        <w:ind w:left="0" w:hanging="11"/>
        <w:rPr>
          <w:sz w:val="16"/>
          <w:szCs w:val="16"/>
        </w:rPr>
      </w:pPr>
      <w:r w:rsidRPr="00456F8A">
        <w:rPr>
          <w:b/>
          <w:sz w:val="24"/>
          <w:szCs w:val="24"/>
        </w:rPr>
        <w:lastRenderedPageBreak/>
        <w:t>Tab</w:t>
      </w:r>
      <w:r w:rsidR="009631F0" w:rsidRPr="00456F8A">
        <w:rPr>
          <w:b/>
          <w:sz w:val="24"/>
          <w:szCs w:val="24"/>
        </w:rPr>
        <w:t>le</w:t>
      </w:r>
      <w:r w:rsidRPr="00456F8A">
        <w:rPr>
          <w:b/>
          <w:sz w:val="24"/>
          <w:szCs w:val="24"/>
        </w:rPr>
        <w:t xml:space="preserve"> </w:t>
      </w:r>
      <w:r w:rsidR="00B71061" w:rsidRPr="00456F8A">
        <w:rPr>
          <w:b/>
          <w:sz w:val="24"/>
          <w:szCs w:val="24"/>
        </w:rPr>
        <w:t>2</w:t>
      </w:r>
      <w:r w:rsidRPr="00456F8A">
        <w:rPr>
          <w:b/>
          <w:sz w:val="24"/>
          <w:szCs w:val="24"/>
        </w:rPr>
        <w:t>.</w:t>
      </w:r>
      <w:r w:rsidR="00753A1B" w:rsidRPr="00456F8A">
        <w:rPr>
          <w:sz w:val="24"/>
          <w:szCs w:val="24"/>
        </w:rPr>
        <w:t xml:space="preserve"> </w:t>
      </w:r>
      <w:r w:rsidR="00962E00" w:rsidRPr="00456F8A">
        <w:rPr>
          <w:sz w:val="24"/>
          <w:szCs w:val="24"/>
        </w:rPr>
        <w:t xml:space="preserve">The concentrations of heavy metals in industrial wastewater, </w:t>
      </w:r>
      <w:r w:rsidR="00755480" w:rsidRPr="00456F8A">
        <w:rPr>
          <w:sz w:val="24"/>
          <w:szCs w:val="24"/>
        </w:rPr>
        <w:t>average</w:t>
      </w:r>
      <w:r w:rsidR="00962E00" w:rsidRPr="00456F8A">
        <w:rPr>
          <w:sz w:val="24"/>
          <w:szCs w:val="24"/>
        </w:rPr>
        <w:t xml:space="preserve"> concentrations of metals in Slovak WWTP sludge</w:t>
      </w:r>
      <w:r w:rsidR="009B77B5" w:rsidRPr="00456F8A">
        <w:rPr>
          <w:sz w:val="24"/>
          <w:szCs w:val="24"/>
          <w:vertAlign w:val="superscript"/>
        </w:rPr>
        <w:t>3</w:t>
      </w:r>
      <w:r w:rsidR="00823EC4">
        <w:rPr>
          <w:sz w:val="24"/>
          <w:szCs w:val="24"/>
          <w:vertAlign w:val="superscript"/>
        </w:rPr>
        <w:t>6</w:t>
      </w:r>
      <w:r w:rsidR="00C417E3" w:rsidRPr="00456F8A">
        <w:rPr>
          <w:sz w:val="24"/>
          <w:szCs w:val="24"/>
        </w:rPr>
        <w:t>,</w:t>
      </w:r>
      <w:r w:rsidR="00962E00" w:rsidRPr="00456F8A">
        <w:rPr>
          <w:sz w:val="24"/>
          <w:szCs w:val="24"/>
        </w:rPr>
        <w:t xml:space="preserve"> and limit concentrations of metals in sludge from WWTP applied to soil</w:t>
      </w:r>
      <w:r w:rsidR="009B77B5" w:rsidRPr="00456F8A">
        <w:rPr>
          <w:sz w:val="24"/>
          <w:szCs w:val="24"/>
        </w:rPr>
        <w:t>.</w:t>
      </w:r>
      <w:r w:rsidR="009B77B5" w:rsidRPr="00456F8A">
        <w:rPr>
          <w:sz w:val="24"/>
          <w:szCs w:val="24"/>
          <w:vertAlign w:val="superscript"/>
        </w:rPr>
        <w:t>3</w:t>
      </w:r>
      <w:r w:rsidR="00823EC4">
        <w:rPr>
          <w:sz w:val="24"/>
          <w:szCs w:val="24"/>
          <w:vertAlign w:val="superscript"/>
        </w:rPr>
        <w:t>3</w:t>
      </w:r>
    </w:p>
    <w:tbl>
      <w:tblPr>
        <w:tblStyle w:val="Mriekatabuky"/>
        <w:tblW w:w="7182" w:type="dxa"/>
        <w:tblBorders>
          <w:left w:val="none" w:sz="0" w:space="0" w:color="auto"/>
          <w:right w:val="none" w:sz="0" w:space="0" w:color="auto"/>
          <w:insideV w:val="none" w:sz="0" w:space="0" w:color="auto"/>
        </w:tblBorders>
        <w:tblLook w:val="04A0" w:firstRow="1" w:lastRow="0" w:firstColumn="1" w:lastColumn="0" w:noHBand="0" w:noVBand="1"/>
      </w:tblPr>
      <w:tblGrid>
        <w:gridCol w:w="1535"/>
        <w:gridCol w:w="1376"/>
        <w:gridCol w:w="2198"/>
        <w:gridCol w:w="2073"/>
      </w:tblGrid>
      <w:tr w:rsidR="00E16A9C" w:rsidRPr="00E612A1" w14:paraId="7FEF551C" w14:textId="77777777" w:rsidTr="00FD238A">
        <w:trPr>
          <w:trHeight w:val="708"/>
        </w:trPr>
        <w:tc>
          <w:tcPr>
            <w:tcW w:w="1535" w:type="dxa"/>
            <w:tcBorders>
              <w:bottom w:val="single" w:sz="4" w:space="0" w:color="000000"/>
            </w:tcBorders>
            <w:vAlign w:val="center"/>
            <w:hideMark/>
          </w:tcPr>
          <w:p w14:paraId="3DD34037" w14:textId="64284269" w:rsidR="00E16A9C" w:rsidRPr="00E612A1" w:rsidRDefault="00E16A9C" w:rsidP="00DB3AEE">
            <w:pPr>
              <w:spacing w:line="360" w:lineRule="auto"/>
              <w:jc w:val="center"/>
              <w:rPr>
                <w:b/>
                <w:bCs/>
                <w:lang w:val="en-GB"/>
              </w:rPr>
            </w:pPr>
            <w:r w:rsidRPr="00E612A1">
              <w:rPr>
                <w:b/>
                <w:bCs/>
                <w:lang w:val="en-GB"/>
              </w:rPr>
              <w:t>Parameter</w:t>
            </w:r>
          </w:p>
        </w:tc>
        <w:tc>
          <w:tcPr>
            <w:tcW w:w="1376" w:type="dxa"/>
            <w:tcBorders>
              <w:bottom w:val="single" w:sz="4" w:space="0" w:color="000000"/>
            </w:tcBorders>
            <w:vAlign w:val="center"/>
            <w:hideMark/>
          </w:tcPr>
          <w:p w14:paraId="6C5358CB" w14:textId="7788A9C1" w:rsidR="00E16A9C" w:rsidRPr="00E612A1" w:rsidRDefault="00E16A9C" w:rsidP="00DB3AEE">
            <w:pPr>
              <w:spacing w:line="360" w:lineRule="auto"/>
              <w:jc w:val="center"/>
              <w:rPr>
                <w:b/>
                <w:bCs/>
                <w:lang w:val="en-GB"/>
              </w:rPr>
            </w:pPr>
            <w:r w:rsidRPr="00E612A1">
              <w:rPr>
                <w:b/>
                <w:bCs/>
                <w:lang w:val="en-GB"/>
              </w:rPr>
              <w:t>Industrial wastewater</w:t>
            </w:r>
          </w:p>
          <w:p w14:paraId="54824347" w14:textId="77777777" w:rsidR="00E16A9C" w:rsidRPr="00E612A1" w:rsidRDefault="00E16A9C" w:rsidP="00DB3AEE">
            <w:pPr>
              <w:spacing w:line="360" w:lineRule="auto"/>
              <w:jc w:val="center"/>
              <w:rPr>
                <w:b/>
                <w:bCs/>
                <w:lang w:val="en-GB"/>
              </w:rPr>
            </w:pPr>
            <w:r w:rsidRPr="00E612A1">
              <w:rPr>
                <w:b/>
                <w:lang w:val="en-GB"/>
              </w:rPr>
              <w:t>(mg/l)</w:t>
            </w:r>
          </w:p>
        </w:tc>
        <w:tc>
          <w:tcPr>
            <w:tcW w:w="2198" w:type="dxa"/>
            <w:tcBorders>
              <w:bottom w:val="single" w:sz="4" w:space="0" w:color="000000"/>
            </w:tcBorders>
            <w:vAlign w:val="center"/>
          </w:tcPr>
          <w:p w14:paraId="245BEB6A" w14:textId="50E55BBB" w:rsidR="00E16A9C" w:rsidRPr="00E612A1" w:rsidRDefault="00E16A9C" w:rsidP="00DB3AEE">
            <w:pPr>
              <w:spacing w:line="360" w:lineRule="auto"/>
              <w:jc w:val="center"/>
              <w:rPr>
                <w:b/>
                <w:bCs/>
                <w:lang w:val="en-GB"/>
              </w:rPr>
            </w:pPr>
            <w:r w:rsidRPr="00E612A1">
              <w:rPr>
                <w:b/>
                <w:bCs/>
                <w:lang w:val="en-GB"/>
              </w:rPr>
              <w:t>Real concentrations</w:t>
            </w:r>
          </w:p>
          <w:p w14:paraId="7562F535" w14:textId="77777777" w:rsidR="00E16A9C" w:rsidRPr="00E612A1" w:rsidRDefault="00E16A9C" w:rsidP="00DB3AEE">
            <w:pPr>
              <w:spacing w:line="360" w:lineRule="auto"/>
              <w:jc w:val="center"/>
              <w:rPr>
                <w:b/>
                <w:bCs/>
                <w:lang w:val="en-GB"/>
              </w:rPr>
            </w:pPr>
            <w:r w:rsidRPr="00E612A1">
              <w:rPr>
                <w:b/>
                <w:bCs/>
                <w:lang w:val="en-GB"/>
              </w:rPr>
              <w:t>of metals in sludge</w:t>
            </w:r>
          </w:p>
          <w:p w14:paraId="7065D8D4" w14:textId="09FCF046" w:rsidR="00E16A9C" w:rsidRPr="00E612A1" w:rsidRDefault="00E16A9C" w:rsidP="00DB3AEE">
            <w:pPr>
              <w:spacing w:line="360" w:lineRule="auto"/>
              <w:jc w:val="center"/>
              <w:rPr>
                <w:b/>
                <w:bCs/>
                <w:lang w:val="en-GB"/>
              </w:rPr>
            </w:pPr>
            <w:r w:rsidRPr="00E612A1">
              <w:rPr>
                <w:b/>
                <w:bCs/>
                <w:lang w:val="en-GB"/>
              </w:rPr>
              <w:t>(mg/kg sludge dry matter)</w:t>
            </w:r>
          </w:p>
        </w:tc>
        <w:tc>
          <w:tcPr>
            <w:tcW w:w="2073" w:type="dxa"/>
            <w:tcBorders>
              <w:bottom w:val="single" w:sz="4" w:space="0" w:color="000000"/>
            </w:tcBorders>
          </w:tcPr>
          <w:p w14:paraId="0E3C307C" w14:textId="77777777" w:rsidR="00E16A9C" w:rsidRPr="00E612A1" w:rsidRDefault="00E16A9C" w:rsidP="00DB3AEE">
            <w:pPr>
              <w:spacing w:line="360" w:lineRule="auto"/>
              <w:jc w:val="center"/>
              <w:rPr>
                <w:b/>
                <w:bCs/>
                <w:lang w:val="en-GB"/>
              </w:rPr>
            </w:pPr>
            <w:r w:rsidRPr="00E612A1">
              <w:rPr>
                <w:b/>
                <w:bCs/>
                <w:lang w:val="en-GB"/>
              </w:rPr>
              <w:t>Limit concentrations</w:t>
            </w:r>
          </w:p>
          <w:p w14:paraId="361CB514" w14:textId="08C7C3F1" w:rsidR="00E16A9C" w:rsidRPr="00E612A1" w:rsidRDefault="00E16A9C" w:rsidP="00DB3AEE">
            <w:pPr>
              <w:spacing w:line="360" w:lineRule="auto"/>
              <w:jc w:val="center"/>
              <w:rPr>
                <w:b/>
                <w:bCs/>
                <w:lang w:val="en-GB"/>
              </w:rPr>
            </w:pPr>
            <w:r w:rsidRPr="00E612A1">
              <w:rPr>
                <w:b/>
                <w:bCs/>
                <w:lang w:val="en-GB"/>
              </w:rPr>
              <w:t>of metals in sludge</w:t>
            </w:r>
          </w:p>
          <w:p w14:paraId="065B844E" w14:textId="77777777" w:rsidR="00E16A9C" w:rsidRPr="00E612A1" w:rsidRDefault="00E16A9C" w:rsidP="00DB3AEE">
            <w:pPr>
              <w:spacing w:line="360" w:lineRule="auto"/>
              <w:jc w:val="center"/>
              <w:rPr>
                <w:b/>
                <w:bCs/>
                <w:lang w:val="en-GB"/>
              </w:rPr>
            </w:pPr>
            <w:r w:rsidRPr="00E612A1">
              <w:rPr>
                <w:b/>
                <w:bCs/>
                <w:lang w:val="en-GB"/>
              </w:rPr>
              <w:t>(mg/kg sludge dry matter)</w:t>
            </w:r>
          </w:p>
        </w:tc>
      </w:tr>
      <w:tr w:rsidR="00E16A9C" w:rsidRPr="00E612A1" w14:paraId="6A04386A" w14:textId="77777777" w:rsidTr="00FD238A">
        <w:trPr>
          <w:trHeight w:val="162"/>
        </w:trPr>
        <w:tc>
          <w:tcPr>
            <w:tcW w:w="1535" w:type="dxa"/>
            <w:tcBorders>
              <w:bottom w:val="nil"/>
            </w:tcBorders>
            <w:noWrap/>
            <w:vAlign w:val="center"/>
            <w:hideMark/>
          </w:tcPr>
          <w:p w14:paraId="1BA11CE5" w14:textId="146FA484" w:rsidR="00E16A9C" w:rsidRPr="00E612A1" w:rsidRDefault="00E16A9C" w:rsidP="00DB3AEE">
            <w:pPr>
              <w:spacing w:line="360" w:lineRule="auto"/>
              <w:jc w:val="center"/>
              <w:rPr>
                <w:bCs/>
                <w:lang w:val="en-GB"/>
              </w:rPr>
            </w:pPr>
            <w:r w:rsidRPr="00E612A1">
              <w:rPr>
                <w:lang w:val="en-GB"/>
              </w:rPr>
              <w:t>Cd</w:t>
            </w:r>
          </w:p>
        </w:tc>
        <w:tc>
          <w:tcPr>
            <w:tcW w:w="1376" w:type="dxa"/>
            <w:tcBorders>
              <w:bottom w:val="nil"/>
            </w:tcBorders>
            <w:noWrap/>
            <w:vAlign w:val="center"/>
          </w:tcPr>
          <w:p w14:paraId="0EDE2B47" w14:textId="77777777" w:rsidR="00E16A9C" w:rsidRPr="00E612A1" w:rsidRDefault="00E16A9C" w:rsidP="00DB3AEE">
            <w:pPr>
              <w:spacing w:line="360" w:lineRule="auto"/>
              <w:jc w:val="center"/>
              <w:rPr>
                <w:bCs/>
                <w:lang w:val="en-GB"/>
              </w:rPr>
            </w:pPr>
            <w:r w:rsidRPr="00E612A1">
              <w:rPr>
                <w:bCs/>
                <w:lang w:val="en-GB"/>
              </w:rPr>
              <w:t>≤ 0.1</w:t>
            </w:r>
          </w:p>
        </w:tc>
        <w:tc>
          <w:tcPr>
            <w:tcW w:w="2198" w:type="dxa"/>
            <w:tcBorders>
              <w:bottom w:val="nil"/>
            </w:tcBorders>
          </w:tcPr>
          <w:p w14:paraId="7C2EEB1A" w14:textId="77777777" w:rsidR="00E16A9C" w:rsidRPr="00E612A1" w:rsidRDefault="00E16A9C" w:rsidP="00DB3AEE">
            <w:pPr>
              <w:spacing w:line="360" w:lineRule="auto"/>
              <w:jc w:val="center"/>
              <w:rPr>
                <w:bCs/>
                <w:lang w:val="en-GB"/>
              </w:rPr>
            </w:pPr>
            <w:r w:rsidRPr="00E612A1">
              <w:rPr>
                <w:bCs/>
                <w:lang w:val="en-GB"/>
              </w:rPr>
              <w:t>0.8</w:t>
            </w:r>
          </w:p>
        </w:tc>
        <w:tc>
          <w:tcPr>
            <w:tcW w:w="2073" w:type="dxa"/>
            <w:tcBorders>
              <w:bottom w:val="nil"/>
            </w:tcBorders>
            <w:vAlign w:val="center"/>
          </w:tcPr>
          <w:p w14:paraId="2EFE3A02" w14:textId="77777777" w:rsidR="00E16A9C" w:rsidRPr="00E612A1" w:rsidRDefault="00E16A9C" w:rsidP="00DB3AEE">
            <w:pPr>
              <w:spacing w:line="360" w:lineRule="auto"/>
              <w:jc w:val="center"/>
              <w:rPr>
                <w:bCs/>
                <w:lang w:val="en-GB"/>
              </w:rPr>
            </w:pPr>
            <w:r w:rsidRPr="00E612A1">
              <w:rPr>
                <w:bCs/>
                <w:lang w:val="en-GB"/>
              </w:rPr>
              <w:t>10</w:t>
            </w:r>
          </w:p>
        </w:tc>
      </w:tr>
      <w:tr w:rsidR="00E16A9C" w:rsidRPr="00E612A1" w14:paraId="4F90496E" w14:textId="77777777" w:rsidTr="00FD238A">
        <w:trPr>
          <w:trHeight w:val="162"/>
        </w:trPr>
        <w:tc>
          <w:tcPr>
            <w:tcW w:w="1535" w:type="dxa"/>
            <w:tcBorders>
              <w:top w:val="nil"/>
              <w:bottom w:val="nil"/>
            </w:tcBorders>
            <w:noWrap/>
            <w:vAlign w:val="center"/>
          </w:tcPr>
          <w:p w14:paraId="3EF5249B" w14:textId="1A071C8B" w:rsidR="00E16A9C" w:rsidRPr="00E612A1" w:rsidRDefault="00E16A9C" w:rsidP="00DB3AEE">
            <w:pPr>
              <w:spacing w:line="360" w:lineRule="auto"/>
              <w:jc w:val="center"/>
              <w:rPr>
                <w:lang w:val="en-GB"/>
              </w:rPr>
            </w:pPr>
            <w:r w:rsidRPr="00E612A1">
              <w:rPr>
                <w:lang w:val="en-GB"/>
              </w:rPr>
              <w:t>Cr</w:t>
            </w:r>
          </w:p>
        </w:tc>
        <w:tc>
          <w:tcPr>
            <w:tcW w:w="1376" w:type="dxa"/>
            <w:tcBorders>
              <w:top w:val="nil"/>
              <w:bottom w:val="nil"/>
            </w:tcBorders>
            <w:noWrap/>
            <w:vAlign w:val="center"/>
          </w:tcPr>
          <w:p w14:paraId="5D8A2FF0" w14:textId="77777777" w:rsidR="00E16A9C" w:rsidRPr="00E612A1" w:rsidRDefault="00E16A9C" w:rsidP="00DB3AEE">
            <w:pPr>
              <w:spacing w:line="360" w:lineRule="auto"/>
              <w:jc w:val="center"/>
              <w:rPr>
                <w:bCs/>
                <w:lang w:val="en-GB"/>
              </w:rPr>
            </w:pPr>
            <w:r w:rsidRPr="00E612A1">
              <w:rPr>
                <w:bCs/>
                <w:lang w:val="en-GB"/>
              </w:rPr>
              <w:t>0.4</w:t>
            </w:r>
          </w:p>
        </w:tc>
        <w:tc>
          <w:tcPr>
            <w:tcW w:w="2198" w:type="dxa"/>
            <w:tcBorders>
              <w:top w:val="nil"/>
              <w:bottom w:val="nil"/>
            </w:tcBorders>
          </w:tcPr>
          <w:p w14:paraId="195DFE08" w14:textId="77777777" w:rsidR="00E16A9C" w:rsidRPr="00E612A1" w:rsidRDefault="00E16A9C" w:rsidP="00DB3AEE">
            <w:pPr>
              <w:spacing w:line="360" w:lineRule="auto"/>
              <w:jc w:val="center"/>
              <w:rPr>
                <w:bCs/>
                <w:lang w:val="en-GB"/>
              </w:rPr>
            </w:pPr>
            <w:r w:rsidRPr="00E612A1">
              <w:rPr>
                <w:bCs/>
                <w:lang w:val="en-GB"/>
              </w:rPr>
              <w:t>41</w:t>
            </w:r>
          </w:p>
        </w:tc>
        <w:tc>
          <w:tcPr>
            <w:tcW w:w="2073" w:type="dxa"/>
            <w:tcBorders>
              <w:top w:val="nil"/>
              <w:bottom w:val="nil"/>
            </w:tcBorders>
            <w:vAlign w:val="center"/>
          </w:tcPr>
          <w:p w14:paraId="45E72557" w14:textId="6712E1F0" w:rsidR="00E16A9C" w:rsidRPr="00E612A1" w:rsidRDefault="00E16A9C" w:rsidP="00DB3AEE">
            <w:pPr>
              <w:spacing w:line="360" w:lineRule="auto"/>
              <w:jc w:val="center"/>
              <w:rPr>
                <w:bCs/>
                <w:lang w:val="en-GB"/>
              </w:rPr>
            </w:pPr>
            <w:r w:rsidRPr="00E612A1">
              <w:rPr>
                <w:bCs/>
                <w:lang w:val="en-GB"/>
              </w:rPr>
              <w:t>1</w:t>
            </w:r>
            <w:r w:rsidR="009C29F2">
              <w:rPr>
                <w:bCs/>
                <w:lang w:val="en-GB"/>
              </w:rPr>
              <w:t>,</w:t>
            </w:r>
            <w:r w:rsidRPr="00E612A1">
              <w:rPr>
                <w:bCs/>
                <w:lang w:val="en-GB"/>
              </w:rPr>
              <w:t>000</w:t>
            </w:r>
          </w:p>
        </w:tc>
      </w:tr>
      <w:tr w:rsidR="00E16A9C" w:rsidRPr="00E612A1" w14:paraId="254E4315" w14:textId="77777777" w:rsidTr="00FD238A">
        <w:trPr>
          <w:trHeight w:val="162"/>
        </w:trPr>
        <w:tc>
          <w:tcPr>
            <w:tcW w:w="1535" w:type="dxa"/>
            <w:tcBorders>
              <w:top w:val="nil"/>
              <w:bottom w:val="nil"/>
            </w:tcBorders>
            <w:noWrap/>
            <w:vAlign w:val="center"/>
          </w:tcPr>
          <w:p w14:paraId="6D5DDE18" w14:textId="1DDECA01" w:rsidR="00E16A9C" w:rsidRPr="00E612A1" w:rsidRDefault="00E16A9C" w:rsidP="00DB3AEE">
            <w:pPr>
              <w:spacing w:line="360" w:lineRule="auto"/>
              <w:jc w:val="center"/>
              <w:rPr>
                <w:bCs/>
                <w:lang w:val="en-GB"/>
              </w:rPr>
            </w:pPr>
            <w:r w:rsidRPr="00E612A1">
              <w:rPr>
                <w:lang w:val="en-GB"/>
              </w:rPr>
              <w:t>Cu</w:t>
            </w:r>
          </w:p>
        </w:tc>
        <w:tc>
          <w:tcPr>
            <w:tcW w:w="1376" w:type="dxa"/>
            <w:tcBorders>
              <w:top w:val="nil"/>
              <w:bottom w:val="nil"/>
            </w:tcBorders>
            <w:noWrap/>
            <w:vAlign w:val="center"/>
          </w:tcPr>
          <w:p w14:paraId="451E3674" w14:textId="77777777" w:rsidR="00E16A9C" w:rsidRPr="00E612A1" w:rsidRDefault="00E16A9C" w:rsidP="00DB3AEE">
            <w:pPr>
              <w:spacing w:line="360" w:lineRule="auto"/>
              <w:jc w:val="center"/>
              <w:rPr>
                <w:bCs/>
                <w:lang w:val="en-GB"/>
              </w:rPr>
            </w:pPr>
            <w:r w:rsidRPr="00E612A1">
              <w:rPr>
                <w:bCs/>
                <w:lang w:val="en-GB"/>
              </w:rPr>
              <w:t>0.2</w:t>
            </w:r>
          </w:p>
        </w:tc>
        <w:tc>
          <w:tcPr>
            <w:tcW w:w="2198" w:type="dxa"/>
            <w:tcBorders>
              <w:top w:val="nil"/>
              <w:bottom w:val="nil"/>
            </w:tcBorders>
          </w:tcPr>
          <w:p w14:paraId="331BE42C" w14:textId="77777777" w:rsidR="00E16A9C" w:rsidRPr="00E612A1" w:rsidRDefault="00E16A9C" w:rsidP="00DB3AEE">
            <w:pPr>
              <w:spacing w:line="360" w:lineRule="auto"/>
              <w:jc w:val="center"/>
              <w:rPr>
                <w:bCs/>
                <w:lang w:val="en-GB"/>
              </w:rPr>
            </w:pPr>
            <w:r w:rsidRPr="00E612A1">
              <w:rPr>
                <w:bCs/>
                <w:lang w:val="en-GB"/>
              </w:rPr>
              <w:t>168</w:t>
            </w:r>
          </w:p>
        </w:tc>
        <w:tc>
          <w:tcPr>
            <w:tcW w:w="2073" w:type="dxa"/>
            <w:tcBorders>
              <w:top w:val="nil"/>
              <w:bottom w:val="nil"/>
            </w:tcBorders>
            <w:vAlign w:val="center"/>
          </w:tcPr>
          <w:p w14:paraId="500D3244" w14:textId="5A7291D9" w:rsidR="00E16A9C" w:rsidRPr="00E612A1" w:rsidRDefault="00E16A9C" w:rsidP="00DB3AEE">
            <w:pPr>
              <w:spacing w:line="360" w:lineRule="auto"/>
              <w:jc w:val="center"/>
              <w:rPr>
                <w:bCs/>
                <w:lang w:val="en-GB"/>
              </w:rPr>
            </w:pPr>
            <w:r w:rsidRPr="00E612A1">
              <w:rPr>
                <w:bCs/>
                <w:lang w:val="en-GB"/>
              </w:rPr>
              <w:t>1</w:t>
            </w:r>
            <w:r w:rsidR="009C29F2">
              <w:rPr>
                <w:bCs/>
                <w:lang w:val="en-GB"/>
              </w:rPr>
              <w:t>,</w:t>
            </w:r>
            <w:r w:rsidRPr="00E612A1">
              <w:rPr>
                <w:bCs/>
                <w:lang w:val="en-GB"/>
              </w:rPr>
              <w:t>000</w:t>
            </w:r>
          </w:p>
        </w:tc>
      </w:tr>
      <w:tr w:rsidR="00E16A9C" w:rsidRPr="00E612A1" w14:paraId="3451619D" w14:textId="77777777" w:rsidTr="00FD238A">
        <w:trPr>
          <w:trHeight w:val="162"/>
        </w:trPr>
        <w:tc>
          <w:tcPr>
            <w:tcW w:w="1535" w:type="dxa"/>
            <w:tcBorders>
              <w:top w:val="nil"/>
              <w:bottom w:val="nil"/>
            </w:tcBorders>
            <w:noWrap/>
            <w:vAlign w:val="center"/>
          </w:tcPr>
          <w:p w14:paraId="46703114" w14:textId="06F8431C" w:rsidR="00E16A9C" w:rsidRPr="00E612A1" w:rsidRDefault="00E16A9C" w:rsidP="00DB3AEE">
            <w:pPr>
              <w:spacing w:line="360" w:lineRule="auto"/>
              <w:jc w:val="center"/>
              <w:rPr>
                <w:lang w:val="en-GB"/>
              </w:rPr>
            </w:pPr>
            <w:r w:rsidRPr="00E612A1">
              <w:rPr>
                <w:lang w:val="en-GB"/>
              </w:rPr>
              <w:t>Ni</w:t>
            </w:r>
          </w:p>
        </w:tc>
        <w:tc>
          <w:tcPr>
            <w:tcW w:w="1376" w:type="dxa"/>
            <w:tcBorders>
              <w:top w:val="nil"/>
              <w:bottom w:val="nil"/>
            </w:tcBorders>
            <w:noWrap/>
            <w:vAlign w:val="center"/>
          </w:tcPr>
          <w:p w14:paraId="5917ABCC" w14:textId="77777777" w:rsidR="00E16A9C" w:rsidRPr="00E612A1" w:rsidRDefault="00E16A9C" w:rsidP="00DB3AEE">
            <w:pPr>
              <w:spacing w:line="360" w:lineRule="auto"/>
              <w:jc w:val="center"/>
              <w:rPr>
                <w:bCs/>
                <w:lang w:val="en-GB"/>
              </w:rPr>
            </w:pPr>
            <w:r w:rsidRPr="00E612A1">
              <w:rPr>
                <w:bCs/>
                <w:lang w:val="en-GB"/>
              </w:rPr>
              <w:t>1.8</w:t>
            </w:r>
          </w:p>
        </w:tc>
        <w:tc>
          <w:tcPr>
            <w:tcW w:w="2198" w:type="dxa"/>
            <w:tcBorders>
              <w:top w:val="nil"/>
              <w:bottom w:val="nil"/>
            </w:tcBorders>
          </w:tcPr>
          <w:p w14:paraId="7C26A1A6" w14:textId="77777777" w:rsidR="00E16A9C" w:rsidRPr="00E612A1" w:rsidRDefault="00E16A9C" w:rsidP="00DB3AEE">
            <w:pPr>
              <w:spacing w:line="360" w:lineRule="auto"/>
              <w:jc w:val="center"/>
              <w:rPr>
                <w:bCs/>
                <w:lang w:val="en-GB"/>
              </w:rPr>
            </w:pPr>
            <w:r w:rsidRPr="00E612A1">
              <w:rPr>
                <w:bCs/>
                <w:lang w:val="en-GB"/>
              </w:rPr>
              <w:t>25</w:t>
            </w:r>
          </w:p>
        </w:tc>
        <w:tc>
          <w:tcPr>
            <w:tcW w:w="2073" w:type="dxa"/>
            <w:tcBorders>
              <w:top w:val="nil"/>
              <w:bottom w:val="nil"/>
            </w:tcBorders>
            <w:vAlign w:val="center"/>
          </w:tcPr>
          <w:p w14:paraId="711456C3" w14:textId="77777777" w:rsidR="00E16A9C" w:rsidRPr="00E612A1" w:rsidRDefault="00E16A9C" w:rsidP="00DB3AEE">
            <w:pPr>
              <w:spacing w:line="360" w:lineRule="auto"/>
              <w:jc w:val="center"/>
              <w:rPr>
                <w:bCs/>
                <w:lang w:val="en-GB"/>
              </w:rPr>
            </w:pPr>
            <w:r w:rsidRPr="00E612A1">
              <w:rPr>
                <w:bCs/>
                <w:lang w:val="en-GB"/>
              </w:rPr>
              <w:t>300</w:t>
            </w:r>
          </w:p>
        </w:tc>
      </w:tr>
      <w:tr w:rsidR="00E16A9C" w:rsidRPr="00E612A1" w14:paraId="790F5650" w14:textId="77777777" w:rsidTr="00FD238A">
        <w:trPr>
          <w:trHeight w:val="162"/>
        </w:trPr>
        <w:tc>
          <w:tcPr>
            <w:tcW w:w="1535" w:type="dxa"/>
            <w:tcBorders>
              <w:top w:val="nil"/>
              <w:bottom w:val="nil"/>
            </w:tcBorders>
            <w:noWrap/>
            <w:vAlign w:val="center"/>
          </w:tcPr>
          <w:p w14:paraId="311A97BB" w14:textId="7D334C3B" w:rsidR="00E16A9C" w:rsidRPr="00E612A1" w:rsidRDefault="00E16A9C" w:rsidP="00DB3AEE">
            <w:pPr>
              <w:spacing w:line="360" w:lineRule="auto"/>
              <w:jc w:val="center"/>
              <w:rPr>
                <w:lang w:val="en-GB"/>
              </w:rPr>
            </w:pPr>
            <w:r w:rsidRPr="00E612A1">
              <w:rPr>
                <w:lang w:val="en-GB"/>
              </w:rPr>
              <w:t>Pb</w:t>
            </w:r>
          </w:p>
        </w:tc>
        <w:tc>
          <w:tcPr>
            <w:tcW w:w="1376" w:type="dxa"/>
            <w:tcBorders>
              <w:top w:val="nil"/>
              <w:bottom w:val="nil"/>
            </w:tcBorders>
            <w:noWrap/>
            <w:vAlign w:val="center"/>
          </w:tcPr>
          <w:p w14:paraId="643BB6A6" w14:textId="77777777" w:rsidR="00E16A9C" w:rsidRPr="00E612A1" w:rsidRDefault="00E16A9C" w:rsidP="00DB3AEE">
            <w:pPr>
              <w:spacing w:line="360" w:lineRule="auto"/>
              <w:jc w:val="center"/>
              <w:rPr>
                <w:bCs/>
                <w:lang w:val="en-GB"/>
              </w:rPr>
            </w:pPr>
            <w:r w:rsidRPr="00E612A1">
              <w:rPr>
                <w:bCs/>
                <w:lang w:val="en-GB"/>
              </w:rPr>
              <w:t>≤ 0.1</w:t>
            </w:r>
          </w:p>
        </w:tc>
        <w:tc>
          <w:tcPr>
            <w:tcW w:w="2198" w:type="dxa"/>
            <w:tcBorders>
              <w:top w:val="nil"/>
              <w:bottom w:val="nil"/>
            </w:tcBorders>
          </w:tcPr>
          <w:p w14:paraId="61DAF6B6" w14:textId="77777777" w:rsidR="00E16A9C" w:rsidRPr="00E612A1" w:rsidRDefault="00E16A9C" w:rsidP="00DB3AEE">
            <w:pPr>
              <w:spacing w:line="360" w:lineRule="auto"/>
              <w:jc w:val="center"/>
              <w:rPr>
                <w:bCs/>
                <w:lang w:val="en-GB"/>
              </w:rPr>
            </w:pPr>
            <w:r w:rsidRPr="00E612A1">
              <w:rPr>
                <w:bCs/>
                <w:lang w:val="en-GB"/>
              </w:rPr>
              <w:t>38</w:t>
            </w:r>
          </w:p>
        </w:tc>
        <w:tc>
          <w:tcPr>
            <w:tcW w:w="2073" w:type="dxa"/>
            <w:tcBorders>
              <w:top w:val="nil"/>
              <w:bottom w:val="nil"/>
            </w:tcBorders>
            <w:vAlign w:val="center"/>
          </w:tcPr>
          <w:p w14:paraId="2837A05A" w14:textId="77777777" w:rsidR="00E16A9C" w:rsidRPr="00E612A1" w:rsidRDefault="00E16A9C" w:rsidP="00DB3AEE">
            <w:pPr>
              <w:spacing w:line="360" w:lineRule="auto"/>
              <w:jc w:val="center"/>
              <w:rPr>
                <w:bCs/>
                <w:lang w:val="en-GB"/>
              </w:rPr>
            </w:pPr>
            <w:r w:rsidRPr="00E612A1">
              <w:rPr>
                <w:bCs/>
                <w:lang w:val="en-GB"/>
              </w:rPr>
              <w:t>750</w:t>
            </w:r>
          </w:p>
        </w:tc>
      </w:tr>
      <w:tr w:rsidR="00E16A9C" w:rsidRPr="00E612A1" w14:paraId="0A12EC12" w14:textId="77777777" w:rsidTr="00FD238A">
        <w:trPr>
          <w:trHeight w:val="162"/>
        </w:trPr>
        <w:tc>
          <w:tcPr>
            <w:tcW w:w="1535" w:type="dxa"/>
            <w:tcBorders>
              <w:top w:val="nil"/>
            </w:tcBorders>
            <w:noWrap/>
            <w:vAlign w:val="center"/>
          </w:tcPr>
          <w:p w14:paraId="5C6F2F0D" w14:textId="34006314" w:rsidR="00E16A9C" w:rsidRPr="00E612A1" w:rsidRDefault="00E16A9C" w:rsidP="00DB3AEE">
            <w:pPr>
              <w:spacing w:line="360" w:lineRule="auto"/>
              <w:jc w:val="center"/>
              <w:rPr>
                <w:lang w:val="en-GB"/>
              </w:rPr>
            </w:pPr>
            <w:r w:rsidRPr="00E612A1">
              <w:rPr>
                <w:lang w:val="en-GB"/>
              </w:rPr>
              <w:t>Zn</w:t>
            </w:r>
          </w:p>
        </w:tc>
        <w:tc>
          <w:tcPr>
            <w:tcW w:w="1376" w:type="dxa"/>
            <w:tcBorders>
              <w:top w:val="nil"/>
            </w:tcBorders>
            <w:noWrap/>
            <w:vAlign w:val="center"/>
          </w:tcPr>
          <w:p w14:paraId="306CE675" w14:textId="77777777" w:rsidR="00E16A9C" w:rsidRPr="00E612A1" w:rsidRDefault="00E16A9C" w:rsidP="00DB3AEE">
            <w:pPr>
              <w:spacing w:line="360" w:lineRule="auto"/>
              <w:jc w:val="center"/>
              <w:rPr>
                <w:bCs/>
                <w:lang w:val="en-GB"/>
              </w:rPr>
            </w:pPr>
            <w:r w:rsidRPr="00E612A1">
              <w:rPr>
                <w:bCs/>
                <w:lang w:val="en-GB"/>
              </w:rPr>
              <w:t>38.1</w:t>
            </w:r>
          </w:p>
        </w:tc>
        <w:tc>
          <w:tcPr>
            <w:tcW w:w="2198" w:type="dxa"/>
            <w:tcBorders>
              <w:top w:val="nil"/>
            </w:tcBorders>
          </w:tcPr>
          <w:p w14:paraId="5CD1DD16" w14:textId="77777777" w:rsidR="00E16A9C" w:rsidRPr="00E612A1" w:rsidRDefault="00E16A9C" w:rsidP="00DB3AEE">
            <w:pPr>
              <w:spacing w:line="360" w:lineRule="auto"/>
              <w:jc w:val="center"/>
              <w:rPr>
                <w:bCs/>
                <w:lang w:val="en-GB"/>
              </w:rPr>
            </w:pPr>
            <w:r w:rsidRPr="00E612A1">
              <w:rPr>
                <w:bCs/>
                <w:lang w:val="en-GB"/>
              </w:rPr>
              <w:t>979</w:t>
            </w:r>
          </w:p>
        </w:tc>
        <w:tc>
          <w:tcPr>
            <w:tcW w:w="2073" w:type="dxa"/>
            <w:tcBorders>
              <w:top w:val="nil"/>
            </w:tcBorders>
            <w:vAlign w:val="center"/>
          </w:tcPr>
          <w:p w14:paraId="7A1B72E0" w14:textId="78520D9E" w:rsidR="00E16A9C" w:rsidRPr="00E612A1" w:rsidRDefault="00E16A9C" w:rsidP="00DB3AEE">
            <w:pPr>
              <w:spacing w:line="360" w:lineRule="auto"/>
              <w:jc w:val="center"/>
              <w:rPr>
                <w:bCs/>
                <w:lang w:val="en-GB"/>
              </w:rPr>
            </w:pPr>
            <w:r w:rsidRPr="00E612A1">
              <w:rPr>
                <w:bCs/>
                <w:lang w:val="en-GB"/>
              </w:rPr>
              <w:t>2</w:t>
            </w:r>
            <w:r w:rsidR="009C29F2">
              <w:rPr>
                <w:bCs/>
                <w:lang w:val="en-GB"/>
              </w:rPr>
              <w:t>,</w:t>
            </w:r>
            <w:r w:rsidRPr="00E612A1">
              <w:rPr>
                <w:bCs/>
                <w:lang w:val="en-GB"/>
              </w:rPr>
              <w:t>500</w:t>
            </w:r>
          </w:p>
        </w:tc>
      </w:tr>
    </w:tbl>
    <w:p w14:paraId="634571C1" w14:textId="77777777" w:rsidR="00C455A3" w:rsidRDefault="00C455A3" w:rsidP="00C455A3">
      <w:pPr>
        <w:pStyle w:val="Titulok3"/>
        <w:spacing w:before="0" w:line="360" w:lineRule="auto"/>
        <w:ind w:firstLine="357"/>
        <w:jc w:val="both"/>
        <w:rPr>
          <w:bCs w:val="0"/>
          <w:i w:val="0"/>
          <w:iCs w:val="0"/>
          <w:sz w:val="24"/>
          <w:szCs w:val="24"/>
        </w:rPr>
      </w:pPr>
    </w:p>
    <w:p w14:paraId="780B276B" w14:textId="4CEA7215" w:rsidR="00FD238A" w:rsidRDefault="00FD238A" w:rsidP="00C455A3">
      <w:pPr>
        <w:pStyle w:val="Titulok3"/>
        <w:spacing w:before="0" w:line="360" w:lineRule="auto"/>
        <w:ind w:firstLine="357"/>
        <w:jc w:val="both"/>
        <w:rPr>
          <w:bCs w:val="0"/>
          <w:i w:val="0"/>
          <w:iCs w:val="0"/>
          <w:sz w:val="24"/>
          <w:szCs w:val="24"/>
        </w:rPr>
      </w:pPr>
      <w:r w:rsidRPr="009631F0">
        <w:rPr>
          <w:bCs w:val="0"/>
          <w:i w:val="0"/>
          <w:iCs w:val="0"/>
          <w:sz w:val="24"/>
          <w:szCs w:val="24"/>
        </w:rPr>
        <w:t xml:space="preserve">The results of </w:t>
      </w:r>
      <w:r>
        <w:rPr>
          <w:bCs w:val="0"/>
          <w:i w:val="0"/>
          <w:iCs w:val="0"/>
          <w:sz w:val="24"/>
          <w:szCs w:val="24"/>
        </w:rPr>
        <w:t xml:space="preserve">the </w:t>
      </w:r>
      <w:r w:rsidRPr="009631F0">
        <w:rPr>
          <w:bCs w:val="0"/>
          <w:i w:val="0"/>
          <w:iCs w:val="0"/>
          <w:sz w:val="24"/>
          <w:szCs w:val="24"/>
        </w:rPr>
        <w:t xml:space="preserve">denitrification tests are shown in Fig. 1. Day 0 assays inform about immediate response of </w:t>
      </w:r>
      <w:r>
        <w:rPr>
          <w:bCs w:val="0"/>
          <w:i w:val="0"/>
          <w:iCs w:val="0"/>
          <w:sz w:val="24"/>
          <w:szCs w:val="24"/>
        </w:rPr>
        <w:t>non-</w:t>
      </w:r>
      <w:r w:rsidRPr="009631F0">
        <w:rPr>
          <w:bCs w:val="0"/>
          <w:i w:val="0"/>
          <w:iCs w:val="0"/>
          <w:sz w:val="24"/>
          <w:szCs w:val="24"/>
        </w:rPr>
        <w:t>ad</w:t>
      </w:r>
      <w:r>
        <w:rPr>
          <w:bCs w:val="0"/>
          <w:i w:val="0"/>
          <w:iCs w:val="0"/>
          <w:sz w:val="24"/>
          <w:szCs w:val="24"/>
        </w:rPr>
        <w:t>a</w:t>
      </w:r>
      <w:r w:rsidRPr="009631F0">
        <w:rPr>
          <w:bCs w:val="0"/>
          <w:i w:val="0"/>
          <w:iCs w:val="0"/>
          <w:sz w:val="24"/>
          <w:szCs w:val="24"/>
        </w:rPr>
        <w:t>pted biomass to the addition of industrial wastewater (i.e.</w:t>
      </w:r>
      <w:r>
        <w:rPr>
          <w:bCs w:val="0"/>
          <w:i w:val="0"/>
          <w:iCs w:val="0"/>
          <w:sz w:val="24"/>
          <w:szCs w:val="24"/>
        </w:rPr>
        <w:t>,</w:t>
      </w:r>
      <w:r w:rsidRPr="009631F0">
        <w:rPr>
          <w:bCs w:val="0"/>
          <w:i w:val="0"/>
          <w:iCs w:val="0"/>
          <w:sz w:val="24"/>
          <w:szCs w:val="24"/>
        </w:rPr>
        <w:t xml:space="preserve"> biomass that has been previously fed only with glucose, peptone, and starch). Subsequently, these tests were repeated on days 7 and 22 to see how the characteristics and parameters of biomass change after long-term exposure to industrial wastewater. The comparison of values measured on day 0 (r</w:t>
      </w:r>
      <w:r w:rsidRPr="009631F0">
        <w:rPr>
          <w:bCs w:val="0"/>
          <w:i w:val="0"/>
          <w:iCs w:val="0"/>
          <w:sz w:val="24"/>
          <w:szCs w:val="24"/>
          <w:vertAlign w:val="subscript"/>
        </w:rPr>
        <w:t xml:space="preserve">x,D,endo </w:t>
      </w:r>
      <w:r w:rsidRPr="009631F0">
        <w:rPr>
          <w:bCs w:val="0"/>
          <w:i w:val="0"/>
          <w:iCs w:val="0"/>
          <w:sz w:val="24"/>
          <w:szCs w:val="24"/>
        </w:rPr>
        <w:t>= 0.27 mg</w:t>
      </w:r>
      <w:r w:rsidRPr="009631F0">
        <w:rPr>
          <w:bCs w:val="0"/>
          <w:i w:val="0"/>
          <w:iCs w:val="0"/>
          <w:sz w:val="24"/>
          <w:szCs w:val="24"/>
          <w:vertAlign w:val="subscript"/>
        </w:rPr>
        <w:t>N</w:t>
      </w:r>
      <w:r w:rsidRPr="009631F0">
        <w:rPr>
          <w:bCs w:val="0"/>
          <w:i w:val="0"/>
          <w:iCs w:val="0"/>
          <w:sz w:val="24"/>
          <w:szCs w:val="24"/>
        </w:rPr>
        <w:t>/g·h; r</w:t>
      </w:r>
      <w:r w:rsidRPr="009631F0">
        <w:rPr>
          <w:bCs w:val="0"/>
          <w:i w:val="0"/>
          <w:iCs w:val="0"/>
          <w:sz w:val="24"/>
          <w:szCs w:val="24"/>
          <w:vertAlign w:val="subscript"/>
        </w:rPr>
        <w:t xml:space="preserve">x,D,total,industrial wastewater </w:t>
      </w:r>
      <w:r w:rsidRPr="009631F0">
        <w:rPr>
          <w:bCs w:val="0"/>
          <w:i w:val="0"/>
          <w:iCs w:val="0"/>
          <w:sz w:val="24"/>
          <w:szCs w:val="24"/>
        </w:rPr>
        <w:t>= 1.6 mg</w:t>
      </w:r>
      <w:r w:rsidRPr="009631F0">
        <w:rPr>
          <w:bCs w:val="0"/>
          <w:i w:val="0"/>
          <w:iCs w:val="0"/>
          <w:sz w:val="24"/>
          <w:szCs w:val="24"/>
          <w:vertAlign w:val="subscript"/>
        </w:rPr>
        <w:t>N</w:t>
      </w:r>
      <w:r w:rsidRPr="009631F0">
        <w:rPr>
          <w:bCs w:val="0"/>
          <w:i w:val="0"/>
          <w:iCs w:val="0"/>
          <w:sz w:val="24"/>
          <w:szCs w:val="24"/>
        </w:rPr>
        <w:t>/g·h) shows the immediate biological degradation of organic substances and no need for special adaptation of the biomass. Denitrification tests measured on day 7 and 22 show</w:t>
      </w:r>
      <w:r>
        <w:rPr>
          <w:bCs w:val="0"/>
          <w:i w:val="0"/>
          <w:iCs w:val="0"/>
          <w:sz w:val="24"/>
          <w:szCs w:val="24"/>
        </w:rPr>
        <w:t xml:space="preserve"> </w:t>
      </w:r>
      <w:r w:rsidRPr="009631F0">
        <w:rPr>
          <w:bCs w:val="0"/>
          <w:i w:val="0"/>
          <w:iCs w:val="0"/>
          <w:sz w:val="24"/>
          <w:szCs w:val="24"/>
        </w:rPr>
        <w:t>that industrial wastewater remains degradable for denitrification purposes even after long-term exposure (rates r</w:t>
      </w:r>
      <w:r w:rsidRPr="009631F0">
        <w:rPr>
          <w:bCs w:val="0"/>
          <w:i w:val="0"/>
          <w:iCs w:val="0"/>
          <w:sz w:val="24"/>
          <w:szCs w:val="24"/>
          <w:vertAlign w:val="subscript"/>
        </w:rPr>
        <w:t xml:space="preserve">X,D,endo </w:t>
      </w:r>
      <w:r w:rsidRPr="009631F0">
        <w:rPr>
          <w:bCs w:val="0"/>
          <w:i w:val="0"/>
          <w:iCs w:val="0"/>
          <w:sz w:val="24"/>
          <w:szCs w:val="24"/>
        </w:rPr>
        <w:t>= 0.17</w:t>
      </w:r>
      <w:r w:rsidR="00512945">
        <w:rPr>
          <w:bCs w:val="0"/>
          <w:i w:val="0"/>
          <w:iCs w:val="0"/>
          <w:sz w:val="24"/>
          <w:szCs w:val="24"/>
        </w:rPr>
        <w:t> </w:t>
      </w:r>
      <w:r w:rsidRPr="009631F0">
        <w:rPr>
          <w:bCs w:val="0"/>
          <w:i w:val="0"/>
          <w:iCs w:val="0"/>
          <w:sz w:val="24"/>
          <w:szCs w:val="24"/>
        </w:rPr>
        <w:t>mg</w:t>
      </w:r>
      <w:r w:rsidRPr="009631F0">
        <w:rPr>
          <w:bCs w:val="0"/>
          <w:i w:val="0"/>
          <w:iCs w:val="0"/>
          <w:sz w:val="24"/>
          <w:szCs w:val="24"/>
          <w:vertAlign w:val="subscript"/>
        </w:rPr>
        <w:t>N</w:t>
      </w:r>
      <w:r w:rsidRPr="009631F0">
        <w:rPr>
          <w:bCs w:val="0"/>
          <w:i w:val="0"/>
          <w:iCs w:val="0"/>
          <w:sz w:val="24"/>
          <w:szCs w:val="24"/>
        </w:rPr>
        <w:t>/g·h</w:t>
      </w:r>
      <w:r w:rsidRPr="009631F0" w:rsidDel="006B1774">
        <w:rPr>
          <w:bCs w:val="0"/>
          <w:i w:val="0"/>
          <w:iCs w:val="0"/>
          <w:sz w:val="24"/>
          <w:szCs w:val="24"/>
        </w:rPr>
        <w:t xml:space="preserve"> </w:t>
      </w:r>
      <w:r w:rsidRPr="009631F0">
        <w:rPr>
          <w:bCs w:val="0"/>
          <w:i w:val="0"/>
          <w:iCs w:val="0"/>
          <w:sz w:val="24"/>
          <w:szCs w:val="24"/>
        </w:rPr>
        <w:t>vs. r</w:t>
      </w:r>
      <w:r w:rsidRPr="009631F0">
        <w:rPr>
          <w:bCs w:val="0"/>
          <w:i w:val="0"/>
          <w:iCs w:val="0"/>
          <w:sz w:val="24"/>
          <w:szCs w:val="24"/>
          <w:vertAlign w:val="subscript"/>
        </w:rPr>
        <w:t xml:space="preserve">x,D,total,industrial wastewater </w:t>
      </w:r>
      <w:r w:rsidRPr="009631F0">
        <w:rPr>
          <w:bCs w:val="0"/>
          <w:i w:val="0"/>
          <w:iCs w:val="0"/>
          <w:sz w:val="24"/>
          <w:szCs w:val="24"/>
        </w:rPr>
        <w:t>= 1.9 mg</w:t>
      </w:r>
      <w:r w:rsidRPr="009631F0">
        <w:rPr>
          <w:bCs w:val="0"/>
          <w:i w:val="0"/>
          <w:iCs w:val="0"/>
          <w:sz w:val="24"/>
          <w:szCs w:val="24"/>
          <w:vertAlign w:val="subscript"/>
        </w:rPr>
        <w:t>N</w:t>
      </w:r>
      <w:r w:rsidRPr="009631F0">
        <w:rPr>
          <w:bCs w:val="0"/>
          <w:i w:val="0"/>
          <w:iCs w:val="0"/>
          <w:sz w:val="24"/>
          <w:szCs w:val="24"/>
        </w:rPr>
        <w:t>/g·h</w:t>
      </w:r>
      <w:r w:rsidRPr="009631F0" w:rsidDel="006B1774">
        <w:rPr>
          <w:bCs w:val="0"/>
          <w:i w:val="0"/>
          <w:iCs w:val="0"/>
          <w:sz w:val="24"/>
          <w:szCs w:val="24"/>
        </w:rPr>
        <w:t xml:space="preserve"> </w:t>
      </w:r>
      <w:r w:rsidRPr="009631F0">
        <w:rPr>
          <w:bCs w:val="0"/>
          <w:i w:val="0"/>
          <w:iCs w:val="0"/>
          <w:sz w:val="24"/>
          <w:szCs w:val="24"/>
        </w:rPr>
        <w:t>and r</w:t>
      </w:r>
      <w:r w:rsidRPr="009631F0">
        <w:rPr>
          <w:bCs w:val="0"/>
          <w:i w:val="0"/>
          <w:iCs w:val="0"/>
          <w:sz w:val="24"/>
          <w:szCs w:val="24"/>
          <w:vertAlign w:val="subscript"/>
        </w:rPr>
        <w:t xml:space="preserve">X,D,endo </w:t>
      </w:r>
      <w:r w:rsidRPr="009631F0">
        <w:rPr>
          <w:bCs w:val="0"/>
          <w:i w:val="0"/>
          <w:iCs w:val="0"/>
          <w:sz w:val="24"/>
          <w:szCs w:val="24"/>
        </w:rPr>
        <w:t>= 0.25 mg</w:t>
      </w:r>
      <w:r w:rsidRPr="009631F0">
        <w:rPr>
          <w:bCs w:val="0"/>
          <w:i w:val="0"/>
          <w:iCs w:val="0"/>
          <w:sz w:val="24"/>
          <w:szCs w:val="24"/>
          <w:vertAlign w:val="subscript"/>
        </w:rPr>
        <w:t>N</w:t>
      </w:r>
      <w:r w:rsidRPr="009631F0">
        <w:rPr>
          <w:bCs w:val="0"/>
          <w:i w:val="0"/>
          <w:iCs w:val="0"/>
          <w:sz w:val="24"/>
          <w:szCs w:val="24"/>
        </w:rPr>
        <w:t>/g·h</w:t>
      </w:r>
      <w:r w:rsidRPr="009631F0" w:rsidDel="006B1774">
        <w:rPr>
          <w:bCs w:val="0"/>
          <w:i w:val="0"/>
          <w:iCs w:val="0"/>
          <w:sz w:val="24"/>
          <w:szCs w:val="24"/>
        </w:rPr>
        <w:t xml:space="preserve"> </w:t>
      </w:r>
      <w:r w:rsidRPr="009631F0">
        <w:rPr>
          <w:bCs w:val="0"/>
          <w:i w:val="0"/>
          <w:iCs w:val="0"/>
          <w:sz w:val="24"/>
          <w:szCs w:val="24"/>
        </w:rPr>
        <w:t>vs. r</w:t>
      </w:r>
      <w:r w:rsidRPr="009631F0">
        <w:rPr>
          <w:bCs w:val="0"/>
          <w:i w:val="0"/>
          <w:iCs w:val="0"/>
          <w:sz w:val="24"/>
          <w:szCs w:val="24"/>
          <w:vertAlign w:val="subscript"/>
        </w:rPr>
        <w:t xml:space="preserve">x,D,total,industrial wastewater </w:t>
      </w:r>
      <w:r w:rsidRPr="009631F0">
        <w:rPr>
          <w:bCs w:val="0"/>
          <w:i w:val="0"/>
          <w:iCs w:val="0"/>
          <w:sz w:val="24"/>
          <w:szCs w:val="24"/>
        </w:rPr>
        <w:t>= 1.6</w:t>
      </w:r>
      <w:r>
        <w:rPr>
          <w:bCs w:val="0"/>
          <w:i w:val="0"/>
          <w:iCs w:val="0"/>
          <w:sz w:val="24"/>
          <w:szCs w:val="24"/>
        </w:rPr>
        <w:t> </w:t>
      </w:r>
      <w:r w:rsidRPr="009631F0">
        <w:rPr>
          <w:bCs w:val="0"/>
          <w:i w:val="0"/>
          <w:iCs w:val="0"/>
          <w:sz w:val="24"/>
          <w:szCs w:val="24"/>
        </w:rPr>
        <w:t>mg</w:t>
      </w:r>
      <w:r w:rsidRPr="009631F0">
        <w:rPr>
          <w:bCs w:val="0"/>
          <w:i w:val="0"/>
          <w:iCs w:val="0"/>
          <w:sz w:val="24"/>
          <w:szCs w:val="24"/>
          <w:vertAlign w:val="subscript"/>
        </w:rPr>
        <w:t>N</w:t>
      </w:r>
      <w:r w:rsidRPr="009631F0">
        <w:rPr>
          <w:bCs w:val="0"/>
          <w:i w:val="0"/>
          <w:iCs w:val="0"/>
          <w:sz w:val="24"/>
          <w:szCs w:val="24"/>
        </w:rPr>
        <w:t>/g·h). Industrial wastewater did not deactivate the biomass. Denitrification rates measured with industrial wastewater were lower than the rates measured with glucose as a standard organic substrate (r</w:t>
      </w:r>
      <w:r w:rsidRPr="009631F0">
        <w:rPr>
          <w:bCs w:val="0"/>
          <w:i w:val="0"/>
          <w:iCs w:val="0"/>
          <w:sz w:val="24"/>
          <w:szCs w:val="24"/>
          <w:vertAlign w:val="subscript"/>
        </w:rPr>
        <w:t xml:space="preserve">x,D,total,industrial wastewater </w:t>
      </w:r>
      <w:r w:rsidRPr="009631F0">
        <w:rPr>
          <w:bCs w:val="0"/>
          <w:i w:val="0"/>
          <w:iCs w:val="0"/>
          <w:sz w:val="24"/>
          <w:szCs w:val="24"/>
        </w:rPr>
        <w:t>= 1.6–1.9 mg</w:t>
      </w:r>
      <w:r w:rsidRPr="009631F0">
        <w:rPr>
          <w:bCs w:val="0"/>
          <w:i w:val="0"/>
          <w:iCs w:val="0"/>
          <w:sz w:val="24"/>
          <w:szCs w:val="24"/>
          <w:vertAlign w:val="subscript"/>
        </w:rPr>
        <w:t>N</w:t>
      </w:r>
      <w:r w:rsidRPr="009631F0">
        <w:rPr>
          <w:bCs w:val="0"/>
          <w:i w:val="0"/>
          <w:iCs w:val="0"/>
          <w:sz w:val="24"/>
          <w:szCs w:val="24"/>
        </w:rPr>
        <w:t>/g·h vs. r</w:t>
      </w:r>
      <w:r w:rsidRPr="009631F0">
        <w:rPr>
          <w:bCs w:val="0"/>
          <w:i w:val="0"/>
          <w:iCs w:val="0"/>
          <w:sz w:val="24"/>
          <w:szCs w:val="24"/>
          <w:vertAlign w:val="subscript"/>
        </w:rPr>
        <w:t xml:space="preserve">x,D,total,glucose </w:t>
      </w:r>
      <w:r w:rsidRPr="009631F0">
        <w:rPr>
          <w:bCs w:val="0"/>
          <w:i w:val="0"/>
          <w:iCs w:val="0"/>
          <w:sz w:val="24"/>
          <w:szCs w:val="24"/>
        </w:rPr>
        <w:t>= 3.1–4.7</w:t>
      </w:r>
      <w:r>
        <w:rPr>
          <w:bCs w:val="0"/>
          <w:i w:val="0"/>
          <w:iCs w:val="0"/>
          <w:sz w:val="24"/>
          <w:szCs w:val="24"/>
        </w:rPr>
        <w:t> </w:t>
      </w:r>
      <w:r w:rsidRPr="009631F0">
        <w:rPr>
          <w:bCs w:val="0"/>
          <w:i w:val="0"/>
          <w:iCs w:val="0"/>
          <w:sz w:val="24"/>
          <w:szCs w:val="24"/>
        </w:rPr>
        <w:t>mg</w:t>
      </w:r>
      <w:r w:rsidRPr="009631F0">
        <w:rPr>
          <w:bCs w:val="0"/>
          <w:i w:val="0"/>
          <w:iCs w:val="0"/>
          <w:sz w:val="24"/>
          <w:szCs w:val="24"/>
          <w:vertAlign w:val="subscript"/>
        </w:rPr>
        <w:t>N</w:t>
      </w:r>
      <w:r w:rsidRPr="009631F0">
        <w:rPr>
          <w:bCs w:val="0"/>
          <w:i w:val="0"/>
          <w:iCs w:val="0"/>
          <w:sz w:val="24"/>
          <w:szCs w:val="24"/>
        </w:rPr>
        <w:t>/g·h). Nevertheless, industrial wastewater can be used as external organic substrate for denitrification at WWTP. The intermediate N-NO</w:t>
      </w:r>
      <w:r w:rsidRPr="009631F0">
        <w:rPr>
          <w:bCs w:val="0"/>
          <w:i w:val="0"/>
          <w:iCs w:val="0"/>
          <w:sz w:val="24"/>
          <w:szCs w:val="24"/>
          <w:vertAlign w:val="subscript"/>
        </w:rPr>
        <w:t>2</w:t>
      </w:r>
      <w:r w:rsidRPr="009631F0">
        <w:rPr>
          <w:bCs w:val="0"/>
          <w:i w:val="0"/>
          <w:iCs w:val="0"/>
          <w:sz w:val="24"/>
          <w:szCs w:val="24"/>
        </w:rPr>
        <w:t xml:space="preserve"> and its undissociated form HNO</w:t>
      </w:r>
      <w:r w:rsidRPr="009631F0">
        <w:rPr>
          <w:bCs w:val="0"/>
          <w:i w:val="0"/>
          <w:iCs w:val="0"/>
          <w:sz w:val="24"/>
          <w:szCs w:val="24"/>
          <w:vertAlign w:val="subscript"/>
        </w:rPr>
        <w:t>2</w:t>
      </w:r>
      <w:r w:rsidRPr="009631F0">
        <w:rPr>
          <w:bCs w:val="0"/>
          <w:i w:val="0"/>
          <w:iCs w:val="0"/>
          <w:sz w:val="24"/>
          <w:szCs w:val="24"/>
        </w:rPr>
        <w:t xml:space="preserve"> were not formed in any of the denitrification tests with industrial wastewater. The COD</w:t>
      </w:r>
      <w:r w:rsidRPr="009631F0">
        <w:rPr>
          <w:bCs w:val="0"/>
          <w:i w:val="0"/>
          <w:iCs w:val="0"/>
          <w:sz w:val="24"/>
          <w:szCs w:val="24"/>
          <w:vertAlign w:val="subscript"/>
        </w:rPr>
        <w:t xml:space="preserve">Cr </w:t>
      </w:r>
      <w:r w:rsidRPr="009631F0">
        <w:rPr>
          <w:bCs w:val="0"/>
          <w:i w:val="0"/>
          <w:iCs w:val="0"/>
          <w:sz w:val="24"/>
          <w:szCs w:val="24"/>
        </w:rPr>
        <w:t>: N-NO</w:t>
      </w:r>
      <w:r w:rsidRPr="009631F0">
        <w:rPr>
          <w:bCs w:val="0"/>
          <w:i w:val="0"/>
          <w:iCs w:val="0"/>
          <w:sz w:val="24"/>
          <w:szCs w:val="24"/>
          <w:vertAlign w:val="subscript"/>
        </w:rPr>
        <w:t>3</w:t>
      </w:r>
      <w:r w:rsidRPr="009631F0">
        <w:rPr>
          <w:bCs w:val="0"/>
          <w:i w:val="0"/>
          <w:iCs w:val="0"/>
          <w:sz w:val="24"/>
          <w:szCs w:val="24"/>
        </w:rPr>
        <w:t xml:space="preserve"> ratio (ratio of mg COD</w:t>
      </w:r>
      <w:r w:rsidRPr="009631F0">
        <w:rPr>
          <w:bCs w:val="0"/>
          <w:i w:val="0"/>
          <w:iCs w:val="0"/>
          <w:sz w:val="24"/>
          <w:szCs w:val="24"/>
          <w:vertAlign w:val="subscript"/>
        </w:rPr>
        <w:t>Cr</w:t>
      </w:r>
      <w:r w:rsidRPr="009631F0">
        <w:rPr>
          <w:bCs w:val="0"/>
          <w:i w:val="0"/>
          <w:iCs w:val="0"/>
          <w:sz w:val="24"/>
          <w:szCs w:val="24"/>
        </w:rPr>
        <w:t xml:space="preserve"> in industrial wastewater consumed in denitrification </w:t>
      </w:r>
      <w:r w:rsidRPr="009631F0">
        <w:rPr>
          <w:bCs w:val="0"/>
          <w:i w:val="0"/>
          <w:iCs w:val="0"/>
          <w:sz w:val="24"/>
          <w:szCs w:val="24"/>
        </w:rPr>
        <w:lastRenderedPageBreak/>
        <w:t>of 1 mg N-NO</w:t>
      </w:r>
      <w:r w:rsidRPr="009631F0">
        <w:rPr>
          <w:bCs w:val="0"/>
          <w:i w:val="0"/>
          <w:iCs w:val="0"/>
          <w:sz w:val="24"/>
          <w:szCs w:val="24"/>
          <w:vertAlign w:val="subscript"/>
        </w:rPr>
        <w:t>3</w:t>
      </w:r>
      <w:r w:rsidRPr="009631F0">
        <w:rPr>
          <w:bCs w:val="0"/>
          <w:i w:val="0"/>
          <w:iCs w:val="0"/>
          <w:sz w:val="24"/>
          <w:szCs w:val="24"/>
        </w:rPr>
        <w:t>) was 9. According to stoichiometry of denitrification reaction involving both dissimilation and assimilation, standard ratios are in the range of 5–8</w:t>
      </w:r>
      <w:r>
        <w:rPr>
          <w:bCs w:val="0"/>
          <w:i w:val="0"/>
          <w:iCs w:val="0"/>
          <w:sz w:val="24"/>
          <w:szCs w:val="24"/>
        </w:rPr>
        <w:t>.</w:t>
      </w:r>
      <w:r w:rsidR="00871553">
        <w:rPr>
          <w:bCs w:val="0"/>
          <w:i w:val="0"/>
          <w:iCs w:val="0"/>
          <w:sz w:val="24"/>
          <w:szCs w:val="24"/>
          <w:vertAlign w:val="superscript"/>
        </w:rPr>
        <w:t>4</w:t>
      </w:r>
      <w:r w:rsidRPr="004A0115">
        <w:rPr>
          <w:bCs w:val="0"/>
          <w:i w:val="0"/>
          <w:iCs w:val="0"/>
          <w:sz w:val="24"/>
          <w:szCs w:val="24"/>
          <w:vertAlign w:val="superscript"/>
        </w:rPr>
        <w:t>,</w:t>
      </w:r>
      <w:r w:rsidR="00871553">
        <w:rPr>
          <w:bCs w:val="0"/>
          <w:i w:val="0"/>
          <w:iCs w:val="0"/>
          <w:sz w:val="24"/>
          <w:szCs w:val="24"/>
          <w:vertAlign w:val="superscript"/>
        </w:rPr>
        <w:t>11</w:t>
      </w:r>
      <w:r>
        <w:rPr>
          <w:bCs w:val="0"/>
          <w:i w:val="0"/>
          <w:iCs w:val="0"/>
          <w:sz w:val="24"/>
          <w:szCs w:val="24"/>
        </w:rPr>
        <w:t xml:space="preserve"> </w:t>
      </w:r>
      <w:r w:rsidRPr="009631F0">
        <w:rPr>
          <w:bCs w:val="0"/>
          <w:i w:val="0"/>
          <w:iCs w:val="0"/>
          <w:sz w:val="24"/>
          <w:szCs w:val="24"/>
        </w:rPr>
        <w:t xml:space="preserve">The higher value may be caused by the evaporation of some organic substances from industrial wastewater. </w:t>
      </w:r>
    </w:p>
    <w:p w14:paraId="5264B588" w14:textId="1BDA6D01" w:rsidR="00E16A9C" w:rsidRPr="00E612A1" w:rsidRDefault="007C47A8" w:rsidP="003E1CBB">
      <w:pPr>
        <w:pStyle w:val="Titulok3"/>
        <w:spacing w:line="360" w:lineRule="auto"/>
        <w:rPr>
          <w:rFonts w:cs="Times New Roman"/>
          <w:b/>
        </w:rPr>
      </w:pPr>
      <w:r>
        <w:rPr>
          <w:noProof/>
        </w:rPr>
        <w:drawing>
          <wp:inline distT="0" distB="0" distL="0" distR="0" wp14:anchorId="259489FE" wp14:editId="7284497E">
            <wp:extent cx="2880000" cy="2825750"/>
            <wp:effectExtent l="0" t="0" r="0" b="0"/>
            <wp:docPr id="1" name="Graf 1">
              <a:extLst xmlns:a="http://schemas.openxmlformats.org/drawingml/2006/main">
                <a:ext uri="{FF2B5EF4-FFF2-40B4-BE49-F238E27FC236}">
                  <a16:creationId xmlns:a16="http://schemas.microsoft.com/office/drawing/2014/main" id="{134B3801-048D-45CF-A511-416137BE93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1E01671" w14:textId="6F265817" w:rsidR="00BD4D63" w:rsidRPr="00456F8A" w:rsidRDefault="00BD4D63" w:rsidP="00422F0A">
      <w:pPr>
        <w:tabs>
          <w:tab w:val="left" w:pos="709"/>
        </w:tabs>
        <w:spacing w:before="240" w:line="360" w:lineRule="auto"/>
        <w:jc w:val="both"/>
        <w:rPr>
          <w:iCs/>
          <w:lang w:val="en-GB"/>
        </w:rPr>
      </w:pPr>
      <w:r w:rsidRPr="00456F8A">
        <w:rPr>
          <w:b/>
          <w:bCs/>
          <w:lang w:val="en-GB"/>
        </w:rPr>
        <w:t>Fig</w:t>
      </w:r>
      <w:r w:rsidR="007C30F6" w:rsidRPr="00456F8A">
        <w:rPr>
          <w:b/>
          <w:bCs/>
          <w:lang w:val="en-GB"/>
        </w:rPr>
        <w:t>ure</w:t>
      </w:r>
      <w:r w:rsidRPr="00456F8A">
        <w:rPr>
          <w:b/>
          <w:bCs/>
          <w:lang w:val="en-GB"/>
        </w:rPr>
        <w:t xml:space="preserve"> 1.</w:t>
      </w:r>
      <w:r w:rsidRPr="00456F8A">
        <w:rPr>
          <w:lang w:val="en-GB"/>
        </w:rPr>
        <w:t xml:space="preserve"> Rates of endogenous denitrification r</w:t>
      </w:r>
      <w:r w:rsidRPr="00456F8A">
        <w:rPr>
          <w:vertAlign w:val="subscript"/>
          <w:lang w:val="en-GB"/>
        </w:rPr>
        <w:t xml:space="preserve">X,D,endo </w:t>
      </w:r>
      <w:r w:rsidRPr="00456F8A">
        <w:rPr>
          <w:lang w:val="en-GB"/>
        </w:rPr>
        <w:t>(test D</w:t>
      </w:r>
      <w:r w:rsidR="00B97CD1" w:rsidRPr="00456F8A">
        <w:rPr>
          <w:vertAlign w:val="subscript"/>
          <w:lang w:val="en-GB"/>
        </w:rPr>
        <w:t>1</w:t>
      </w:r>
      <w:r w:rsidRPr="00456F8A">
        <w:rPr>
          <w:lang w:val="en-GB"/>
        </w:rPr>
        <w:t>), total denitrification r</w:t>
      </w:r>
      <w:r w:rsidRPr="00456F8A">
        <w:rPr>
          <w:vertAlign w:val="subscript"/>
          <w:lang w:val="en-GB"/>
        </w:rPr>
        <w:t xml:space="preserve">X,D,total,glucose </w:t>
      </w:r>
      <w:r w:rsidRPr="00456F8A">
        <w:rPr>
          <w:lang w:val="en-GB"/>
        </w:rPr>
        <w:t xml:space="preserve">with glucose as organic substrate (test </w:t>
      </w:r>
      <w:r w:rsidR="00B97CD1" w:rsidRPr="00456F8A">
        <w:rPr>
          <w:lang w:val="en-GB"/>
        </w:rPr>
        <w:t>D</w:t>
      </w:r>
      <w:r w:rsidR="00B97CD1" w:rsidRPr="00456F8A">
        <w:rPr>
          <w:vertAlign w:val="subscript"/>
          <w:lang w:val="en-GB"/>
        </w:rPr>
        <w:t>2</w:t>
      </w:r>
      <w:r w:rsidRPr="00456F8A">
        <w:rPr>
          <w:lang w:val="en-GB"/>
        </w:rPr>
        <w:t xml:space="preserve">), </w:t>
      </w:r>
      <w:r w:rsidR="00FD238A" w:rsidRPr="00456F8A">
        <w:rPr>
          <w:lang w:val="en-GB"/>
        </w:rPr>
        <w:t xml:space="preserve">and </w:t>
      </w:r>
      <w:r w:rsidRPr="00456F8A">
        <w:rPr>
          <w:lang w:val="en-GB"/>
        </w:rPr>
        <w:t>total denitrification r</w:t>
      </w:r>
      <w:r w:rsidRPr="00456F8A">
        <w:rPr>
          <w:vertAlign w:val="subscript"/>
          <w:lang w:val="en-GB"/>
        </w:rPr>
        <w:t xml:space="preserve">X,D,total,industrial wastewater </w:t>
      </w:r>
      <w:r w:rsidRPr="00456F8A">
        <w:rPr>
          <w:lang w:val="en-GB"/>
        </w:rPr>
        <w:t xml:space="preserve">with industrial wastewater as organic substrate (test </w:t>
      </w:r>
      <w:r w:rsidR="00B97CD1" w:rsidRPr="00456F8A">
        <w:rPr>
          <w:lang w:val="en-GB"/>
        </w:rPr>
        <w:t>D</w:t>
      </w:r>
      <w:r w:rsidR="00B97CD1" w:rsidRPr="00456F8A">
        <w:rPr>
          <w:vertAlign w:val="subscript"/>
          <w:lang w:val="en-GB"/>
        </w:rPr>
        <w:t>3</w:t>
      </w:r>
      <w:r w:rsidRPr="00456F8A">
        <w:rPr>
          <w:lang w:val="en-GB"/>
        </w:rPr>
        <w:t>)</w:t>
      </w:r>
      <w:r w:rsidR="00FD238A" w:rsidRPr="00456F8A">
        <w:rPr>
          <w:lang w:val="en-GB"/>
        </w:rPr>
        <w:t>.</w:t>
      </w:r>
    </w:p>
    <w:p w14:paraId="3EAB1713" w14:textId="77777777" w:rsidR="00C455A3" w:rsidRDefault="00C455A3" w:rsidP="00C455A3">
      <w:pPr>
        <w:pStyle w:val="Titulok3"/>
        <w:spacing w:before="0" w:line="360" w:lineRule="auto"/>
        <w:ind w:firstLine="357"/>
        <w:jc w:val="both"/>
        <w:rPr>
          <w:bCs w:val="0"/>
          <w:i w:val="0"/>
          <w:iCs w:val="0"/>
          <w:sz w:val="24"/>
          <w:szCs w:val="24"/>
        </w:rPr>
      </w:pPr>
    </w:p>
    <w:p w14:paraId="7D01C1A6" w14:textId="58B1BFDA" w:rsidR="00945988" w:rsidRPr="009631F0" w:rsidRDefault="00945988" w:rsidP="00C455A3">
      <w:pPr>
        <w:pStyle w:val="Titulok3"/>
        <w:spacing w:before="0" w:line="360" w:lineRule="auto"/>
        <w:ind w:firstLine="357"/>
        <w:jc w:val="both"/>
        <w:rPr>
          <w:bCs w:val="0"/>
          <w:i w:val="0"/>
          <w:iCs w:val="0"/>
          <w:sz w:val="24"/>
          <w:szCs w:val="24"/>
        </w:rPr>
      </w:pPr>
      <w:r w:rsidRPr="009631F0">
        <w:rPr>
          <w:bCs w:val="0"/>
          <w:i w:val="0"/>
          <w:iCs w:val="0"/>
          <w:sz w:val="24"/>
          <w:szCs w:val="24"/>
        </w:rPr>
        <w:t xml:space="preserve">The long-term impact of industrial wastewater on activated sludge and biomass adaptation was </w:t>
      </w:r>
      <w:r>
        <w:rPr>
          <w:bCs w:val="0"/>
          <w:i w:val="0"/>
          <w:iCs w:val="0"/>
          <w:sz w:val="24"/>
          <w:szCs w:val="24"/>
        </w:rPr>
        <w:t xml:space="preserve">also </w:t>
      </w:r>
      <w:r w:rsidRPr="009631F0">
        <w:rPr>
          <w:bCs w:val="0"/>
          <w:i w:val="0"/>
          <w:iCs w:val="0"/>
          <w:sz w:val="24"/>
          <w:szCs w:val="24"/>
        </w:rPr>
        <w:t>evaluated from the concentrations of N-NH</w:t>
      </w:r>
      <w:r w:rsidRPr="009631F0">
        <w:rPr>
          <w:bCs w:val="0"/>
          <w:i w:val="0"/>
          <w:iCs w:val="0"/>
          <w:sz w:val="24"/>
          <w:szCs w:val="24"/>
          <w:vertAlign w:val="subscript"/>
        </w:rPr>
        <w:t>4</w:t>
      </w:r>
      <w:r w:rsidRPr="009631F0">
        <w:rPr>
          <w:bCs w:val="0"/>
          <w:i w:val="0"/>
          <w:iCs w:val="0"/>
          <w:sz w:val="24"/>
          <w:szCs w:val="24"/>
        </w:rPr>
        <w:t xml:space="preserve"> and COD</w:t>
      </w:r>
      <w:r w:rsidRPr="009631F0">
        <w:rPr>
          <w:bCs w:val="0"/>
          <w:i w:val="0"/>
          <w:iCs w:val="0"/>
          <w:sz w:val="24"/>
          <w:szCs w:val="24"/>
          <w:vertAlign w:val="subscript"/>
        </w:rPr>
        <w:t>Cr</w:t>
      </w:r>
      <w:r w:rsidRPr="009631F0">
        <w:rPr>
          <w:bCs w:val="0"/>
          <w:i w:val="0"/>
          <w:iCs w:val="0"/>
          <w:sz w:val="24"/>
          <w:szCs w:val="24"/>
        </w:rPr>
        <w:t xml:space="preserve"> in the effluent of models R</w:t>
      </w:r>
      <w:r w:rsidRPr="009631F0">
        <w:rPr>
          <w:bCs w:val="0"/>
          <w:i w:val="0"/>
          <w:iCs w:val="0"/>
          <w:sz w:val="24"/>
          <w:szCs w:val="24"/>
          <w:vertAlign w:val="subscript"/>
        </w:rPr>
        <w:t>1</w:t>
      </w:r>
      <w:r w:rsidRPr="009631F0">
        <w:rPr>
          <w:bCs w:val="0"/>
          <w:i w:val="0"/>
          <w:iCs w:val="0"/>
          <w:sz w:val="24"/>
          <w:szCs w:val="24"/>
        </w:rPr>
        <w:t>, R</w:t>
      </w:r>
      <w:r w:rsidRPr="009631F0">
        <w:rPr>
          <w:bCs w:val="0"/>
          <w:i w:val="0"/>
          <w:iCs w:val="0"/>
          <w:sz w:val="24"/>
          <w:szCs w:val="24"/>
          <w:vertAlign w:val="subscript"/>
        </w:rPr>
        <w:t>2</w:t>
      </w:r>
      <w:r w:rsidRPr="009631F0">
        <w:rPr>
          <w:bCs w:val="0"/>
          <w:i w:val="0"/>
          <w:iCs w:val="0"/>
          <w:sz w:val="24"/>
          <w:szCs w:val="24"/>
        </w:rPr>
        <w:t>,</w:t>
      </w:r>
      <w:r>
        <w:rPr>
          <w:bCs w:val="0"/>
          <w:i w:val="0"/>
          <w:iCs w:val="0"/>
          <w:sz w:val="24"/>
          <w:szCs w:val="24"/>
        </w:rPr>
        <w:t xml:space="preserve"> and</w:t>
      </w:r>
      <w:r w:rsidRPr="009631F0">
        <w:rPr>
          <w:bCs w:val="0"/>
          <w:i w:val="0"/>
          <w:iCs w:val="0"/>
          <w:sz w:val="24"/>
          <w:szCs w:val="24"/>
        </w:rPr>
        <w:t xml:space="preserve"> R</w:t>
      </w:r>
      <w:r w:rsidRPr="009631F0">
        <w:rPr>
          <w:bCs w:val="0"/>
          <w:i w:val="0"/>
          <w:iCs w:val="0"/>
          <w:sz w:val="24"/>
          <w:szCs w:val="24"/>
          <w:vertAlign w:val="subscript"/>
        </w:rPr>
        <w:t>3</w:t>
      </w:r>
      <w:r w:rsidRPr="009631F0">
        <w:rPr>
          <w:bCs w:val="0"/>
          <w:i w:val="0"/>
          <w:iCs w:val="0"/>
          <w:sz w:val="24"/>
          <w:szCs w:val="24"/>
        </w:rPr>
        <w:t xml:space="preserve">. These indicators were used to monitor the influence on nitrification and the concentration of residual and non-biodegradable organic matter from industrial wastewater (Table 3). At the same time, the values of </w:t>
      </w:r>
      <w:r w:rsidRPr="00945988">
        <w:rPr>
          <w:bCs w:val="0"/>
          <w:i w:val="0"/>
          <w:iCs w:val="0"/>
          <w:sz w:val="24"/>
          <w:szCs w:val="24"/>
        </w:rPr>
        <w:t>volatile suspended solids</w:t>
      </w:r>
      <w:r>
        <w:rPr>
          <w:bCs w:val="0"/>
          <w:i w:val="0"/>
          <w:iCs w:val="0"/>
          <w:sz w:val="24"/>
          <w:szCs w:val="24"/>
          <w:lang w:val="cs-CZ"/>
        </w:rPr>
        <w:t xml:space="preserve"> (</w:t>
      </w:r>
      <w:r w:rsidRPr="009631F0">
        <w:rPr>
          <w:bCs w:val="0"/>
          <w:i w:val="0"/>
          <w:iCs w:val="0"/>
          <w:sz w:val="24"/>
          <w:szCs w:val="24"/>
        </w:rPr>
        <w:t>VSS</w:t>
      </w:r>
      <w:r>
        <w:rPr>
          <w:bCs w:val="0"/>
          <w:i w:val="0"/>
          <w:iCs w:val="0"/>
          <w:sz w:val="24"/>
          <w:szCs w:val="24"/>
        </w:rPr>
        <w:t>)</w:t>
      </w:r>
      <w:r w:rsidRPr="009631F0">
        <w:rPr>
          <w:bCs w:val="0"/>
          <w:i w:val="0"/>
          <w:iCs w:val="0"/>
          <w:sz w:val="24"/>
          <w:szCs w:val="24"/>
        </w:rPr>
        <w:t xml:space="preserve"> (as a share of organic matter in activated sludge) and sludge volume index </w:t>
      </w:r>
      <w:r w:rsidR="00C455A3">
        <w:rPr>
          <w:bCs w:val="0"/>
          <w:i w:val="0"/>
          <w:iCs w:val="0"/>
          <w:sz w:val="24"/>
          <w:szCs w:val="24"/>
        </w:rPr>
        <w:t xml:space="preserve">(SVI) </w:t>
      </w:r>
      <w:r w:rsidRPr="009631F0">
        <w:rPr>
          <w:bCs w:val="0"/>
          <w:i w:val="0"/>
          <w:iCs w:val="0"/>
          <w:sz w:val="24"/>
          <w:szCs w:val="24"/>
        </w:rPr>
        <w:t>were evaluated (Table 3). All these parameters are important for WWTPs as they decide on a possible deterioration of the effluent from the WWTP, where industrial wastewater would be considered as an external denitrification substrate. Nitrification was efficient throughout the whole experiment, as confirmed by N-NH</w:t>
      </w:r>
      <w:r w:rsidRPr="009631F0">
        <w:rPr>
          <w:bCs w:val="0"/>
          <w:i w:val="0"/>
          <w:iCs w:val="0"/>
          <w:sz w:val="24"/>
          <w:szCs w:val="24"/>
          <w:vertAlign w:val="subscript"/>
        </w:rPr>
        <w:t>4</w:t>
      </w:r>
      <w:r w:rsidRPr="009631F0">
        <w:rPr>
          <w:bCs w:val="0"/>
          <w:i w:val="0"/>
          <w:iCs w:val="0"/>
          <w:sz w:val="24"/>
          <w:szCs w:val="24"/>
        </w:rPr>
        <w:t xml:space="preserve"> concentrations in the effluents from all 3 models (differences of 1.9 to 3.7 mg/l can be neglected). An important parameter in terms of fees for treated wastewater</w:t>
      </w:r>
      <w:r w:rsidRPr="004A0115">
        <w:rPr>
          <w:bCs w:val="0"/>
          <w:i w:val="0"/>
          <w:iCs w:val="0"/>
          <w:sz w:val="24"/>
          <w:szCs w:val="24"/>
          <w:vertAlign w:val="superscript"/>
        </w:rPr>
        <w:t>2</w:t>
      </w:r>
      <w:r w:rsidR="00871553">
        <w:rPr>
          <w:bCs w:val="0"/>
          <w:i w:val="0"/>
          <w:iCs w:val="0"/>
          <w:sz w:val="24"/>
          <w:szCs w:val="24"/>
          <w:vertAlign w:val="superscript"/>
        </w:rPr>
        <w:t>8</w:t>
      </w:r>
      <w:r>
        <w:rPr>
          <w:bCs w:val="0"/>
          <w:i w:val="0"/>
          <w:iCs w:val="0"/>
          <w:sz w:val="24"/>
          <w:szCs w:val="24"/>
        </w:rPr>
        <w:t xml:space="preserve"> </w:t>
      </w:r>
      <w:r w:rsidRPr="009631F0">
        <w:rPr>
          <w:bCs w:val="0"/>
          <w:i w:val="0"/>
          <w:iCs w:val="0"/>
          <w:sz w:val="24"/>
          <w:szCs w:val="24"/>
        </w:rPr>
        <w:t>is the residual COD</w:t>
      </w:r>
      <w:r w:rsidRPr="009631F0">
        <w:rPr>
          <w:bCs w:val="0"/>
          <w:i w:val="0"/>
          <w:iCs w:val="0"/>
          <w:sz w:val="24"/>
          <w:szCs w:val="24"/>
          <w:vertAlign w:val="subscript"/>
        </w:rPr>
        <w:t>Cr</w:t>
      </w:r>
      <w:r w:rsidRPr="009631F0">
        <w:rPr>
          <w:bCs w:val="0"/>
          <w:i w:val="0"/>
          <w:iCs w:val="0"/>
          <w:sz w:val="24"/>
          <w:szCs w:val="24"/>
        </w:rPr>
        <w:t>. If the industrial wastewater contains some non-biodegradable organic compounds, it is necessary to quantify the possible increase of COD</w:t>
      </w:r>
      <w:r w:rsidRPr="009631F0">
        <w:rPr>
          <w:bCs w:val="0"/>
          <w:i w:val="0"/>
          <w:iCs w:val="0"/>
          <w:sz w:val="24"/>
          <w:szCs w:val="24"/>
          <w:vertAlign w:val="subscript"/>
        </w:rPr>
        <w:t>Cr</w:t>
      </w:r>
      <w:r w:rsidRPr="009631F0">
        <w:rPr>
          <w:bCs w:val="0"/>
          <w:i w:val="0"/>
          <w:iCs w:val="0"/>
          <w:sz w:val="24"/>
          <w:szCs w:val="24"/>
        </w:rPr>
        <w:t xml:space="preserve"> concentration in the effluent from the WWTP. The increase of COD</w:t>
      </w:r>
      <w:r w:rsidRPr="009631F0">
        <w:rPr>
          <w:bCs w:val="0"/>
          <w:i w:val="0"/>
          <w:iCs w:val="0"/>
          <w:sz w:val="24"/>
          <w:szCs w:val="24"/>
          <w:vertAlign w:val="subscript"/>
        </w:rPr>
        <w:t xml:space="preserve">Cr </w:t>
      </w:r>
      <w:r w:rsidRPr="009631F0">
        <w:rPr>
          <w:bCs w:val="0"/>
          <w:i w:val="0"/>
          <w:iCs w:val="0"/>
          <w:sz w:val="24"/>
          <w:szCs w:val="24"/>
        </w:rPr>
        <w:t>concentration occurred in models R</w:t>
      </w:r>
      <w:r w:rsidRPr="009631F0">
        <w:rPr>
          <w:bCs w:val="0"/>
          <w:i w:val="0"/>
          <w:iCs w:val="0"/>
          <w:sz w:val="24"/>
          <w:szCs w:val="24"/>
          <w:vertAlign w:val="subscript"/>
        </w:rPr>
        <w:t>2</w:t>
      </w:r>
      <w:r w:rsidRPr="009631F0">
        <w:rPr>
          <w:bCs w:val="0"/>
          <w:i w:val="0"/>
          <w:iCs w:val="0"/>
          <w:sz w:val="24"/>
          <w:szCs w:val="24"/>
        </w:rPr>
        <w:t xml:space="preserve"> and R</w:t>
      </w:r>
      <w:r w:rsidRPr="009631F0">
        <w:rPr>
          <w:bCs w:val="0"/>
          <w:i w:val="0"/>
          <w:iCs w:val="0"/>
          <w:sz w:val="24"/>
          <w:szCs w:val="24"/>
          <w:vertAlign w:val="subscript"/>
        </w:rPr>
        <w:t>3</w:t>
      </w:r>
      <w:r w:rsidRPr="009631F0">
        <w:rPr>
          <w:bCs w:val="0"/>
          <w:i w:val="0"/>
          <w:iCs w:val="0"/>
          <w:sz w:val="24"/>
          <w:szCs w:val="24"/>
        </w:rPr>
        <w:t xml:space="preserve"> with dosed in</w:t>
      </w:r>
      <w:r w:rsidRPr="009631F0">
        <w:rPr>
          <w:bCs w:val="0"/>
          <w:i w:val="0"/>
          <w:iCs w:val="0"/>
          <w:sz w:val="24"/>
          <w:szCs w:val="24"/>
        </w:rPr>
        <w:lastRenderedPageBreak/>
        <w:t>dustrial wastewater, where the average concentration increased from 59 mg/l to 129 and 145 mg/l. If we balance the average values of COD</w:t>
      </w:r>
      <w:r w:rsidRPr="009631F0">
        <w:rPr>
          <w:bCs w:val="0"/>
          <w:i w:val="0"/>
          <w:iCs w:val="0"/>
          <w:sz w:val="24"/>
          <w:szCs w:val="24"/>
          <w:vertAlign w:val="subscript"/>
        </w:rPr>
        <w:t>Cr</w:t>
      </w:r>
      <w:r w:rsidRPr="009631F0">
        <w:rPr>
          <w:bCs w:val="0"/>
          <w:i w:val="0"/>
          <w:iCs w:val="0"/>
          <w:sz w:val="24"/>
          <w:szCs w:val="24"/>
        </w:rPr>
        <w:t xml:space="preserve"> from industrial wastewater in the influent to models R</w:t>
      </w:r>
      <w:r w:rsidRPr="009631F0">
        <w:rPr>
          <w:bCs w:val="0"/>
          <w:i w:val="0"/>
          <w:iCs w:val="0"/>
          <w:sz w:val="24"/>
          <w:szCs w:val="24"/>
          <w:vertAlign w:val="subscript"/>
        </w:rPr>
        <w:t>2</w:t>
      </w:r>
      <w:r w:rsidRPr="009631F0">
        <w:rPr>
          <w:bCs w:val="0"/>
          <w:i w:val="0"/>
          <w:iCs w:val="0"/>
          <w:sz w:val="24"/>
          <w:szCs w:val="24"/>
        </w:rPr>
        <w:t xml:space="preserve"> and R</w:t>
      </w:r>
      <w:r w:rsidRPr="009631F0">
        <w:rPr>
          <w:bCs w:val="0"/>
          <w:i w:val="0"/>
          <w:iCs w:val="0"/>
          <w:sz w:val="24"/>
          <w:szCs w:val="24"/>
          <w:vertAlign w:val="subscript"/>
        </w:rPr>
        <w:t>3</w:t>
      </w:r>
      <w:r w:rsidRPr="009631F0">
        <w:rPr>
          <w:bCs w:val="0"/>
          <w:i w:val="0"/>
          <w:iCs w:val="0"/>
          <w:sz w:val="24"/>
          <w:szCs w:val="24"/>
        </w:rPr>
        <w:t xml:space="preserve"> (800 mg/l in model R</w:t>
      </w:r>
      <w:r w:rsidRPr="009631F0">
        <w:rPr>
          <w:bCs w:val="0"/>
          <w:i w:val="0"/>
          <w:iCs w:val="0"/>
          <w:sz w:val="24"/>
          <w:szCs w:val="24"/>
          <w:vertAlign w:val="subscript"/>
        </w:rPr>
        <w:t>2</w:t>
      </w:r>
      <w:r w:rsidRPr="009631F0">
        <w:rPr>
          <w:bCs w:val="0"/>
          <w:i w:val="0"/>
          <w:iCs w:val="0"/>
          <w:sz w:val="24"/>
          <w:szCs w:val="24"/>
        </w:rPr>
        <w:t xml:space="preserve"> and 1</w:t>
      </w:r>
      <w:r w:rsidR="009C29F2">
        <w:rPr>
          <w:bCs w:val="0"/>
          <w:i w:val="0"/>
          <w:iCs w:val="0"/>
          <w:sz w:val="24"/>
          <w:szCs w:val="24"/>
        </w:rPr>
        <w:t>,</w:t>
      </w:r>
      <w:r w:rsidRPr="009631F0">
        <w:rPr>
          <w:bCs w:val="0"/>
          <w:i w:val="0"/>
          <w:iCs w:val="0"/>
          <w:sz w:val="24"/>
          <w:szCs w:val="24"/>
        </w:rPr>
        <w:t>600 mg/l in model R</w:t>
      </w:r>
      <w:r w:rsidRPr="009631F0">
        <w:rPr>
          <w:bCs w:val="0"/>
          <w:i w:val="0"/>
          <w:iCs w:val="0"/>
          <w:sz w:val="24"/>
          <w:szCs w:val="24"/>
          <w:vertAlign w:val="subscript"/>
        </w:rPr>
        <w:t>3</w:t>
      </w:r>
      <w:r w:rsidRPr="009631F0">
        <w:rPr>
          <w:bCs w:val="0"/>
          <w:i w:val="0"/>
          <w:iCs w:val="0"/>
          <w:sz w:val="24"/>
          <w:szCs w:val="24"/>
        </w:rPr>
        <w:t>) and COD</w:t>
      </w:r>
      <w:r w:rsidRPr="009631F0">
        <w:rPr>
          <w:bCs w:val="0"/>
          <w:i w:val="0"/>
          <w:iCs w:val="0"/>
          <w:sz w:val="24"/>
          <w:szCs w:val="24"/>
          <w:vertAlign w:val="subscript"/>
        </w:rPr>
        <w:t>Cr</w:t>
      </w:r>
      <w:r w:rsidRPr="009631F0">
        <w:rPr>
          <w:bCs w:val="0"/>
          <w:i w:val="0"/>
          <w:iCs w:val="0"/>
          <w:sz w:val="24"/>
          <w:szCs w:val="24"/>
        </w:rPr>
        <w:t xml:space="preserve"> increase in the effluent from these models, the impact is as follows: </w:t>
      </w:r>
    </w:p>
    <w:p w14:paraId="476EF318" w14:textId="6D8FDF4C" w:rsidR="00945988" w:rsidRPr="009631F0" w:rsidRDefault="00945988" w:rsidP="00945988">
      <w:pPr>
        <w:pStyle w:val="Titulok3"/>
        <w:spacing w:line="360" w:lineRule="auto"/>
        <w:jc w:val="both"/>
        <w:rPr>
          <w:bCs w:val="0"/>
          <w:i w:val="0"/>
          <w:iCs w:val="0"/>
          <w:sz w:val="24"/>
          <w:szCs w:val="24"/>
        </w:rPr>
      </w:pPr>
      <w:r w:rsidRPr="009631F0">
        <w:rPr>
          <w:bCs w:val="0"/>
          <w:i w:val="0"/>
          <w:iCs w:val="0"/>
          <w:sz w:val="24"/>
          <w:szCs w:val="24"/>
        </w:rPr>
        <w:t xml:space="preserve">- </w:t>
      </w:r>
      <w:r>
        <w:rPr>
          <w:bCs w:val="0"/>
          <w:i w:val="0"/>
          <w:iCs w:val="0"/>
          <w:sz w:val="24"/>
          <w:szCs w:val="24"/>
        </w:rPr>
        <w:t>I</w:t>
      </w:r>
      <w:r w:rsidRPr="009631F0">
        <w:rPr>
          <w:bCs w:val="0"/>
          <w:i w:val="0"/>
          <w:iCs w:val="0"/>
          <w:sz w:val="24"/>
          <w:szCs w:val="24"/>
        </w:rPr>
        <w:t>n model R</w:t>
      </w:r>
      <w:r w:rsidRPr="009631F0">
        <w:rPr>
          <w:bCs w:val="0"/>
          <w:i w:val="0"/>
          <w:iCs w:val="0"/>
          <w:sz w:val="24"/>
          <w:szCs w:val="24"/>
          <w:vertAlign w:val="subscript"/>
        </w:rPr>
        <w:t>2</w:t>
      </w:r>
      <w:r>
        <w:rPr>
          <w:bCs w:val="0"/>
          <w:i w:val="0"/>
          <w:iCs w:val="0"/>
          <w:sz w:val="24"/>
          <w:szCs w:val="24"/>
        </w:rPr>
        <w:t>,</w:t>
      </w:r>
      <w:r w:rsidRPr="009631F0">
        <w:rPr>
          <w:bCs w:val="0"/>
          <w:i w:val="0"/>
          <w:iCs w:val="0"/>
          <w:sz w:val="24"/>
          <w:szCs w:val="24"/>
        </w:rPr>
        <w:t xml:space="preserve"> every 100 mg/l of COD</w:t>
      </w:r>
      <w:r w:rsidRPr="009631F0">
        <w:rPr>
          <w:bCs w:val="0"/>
          <w:i w:val="0"/>
          <w:iCs w:val="0"/>
          <w:sz w:val="24"/>
          <w:szCs w:val="24"/>
          <w:vertAlign w:val="subscript"/>
        </w:rPr>
        <w:t>Cr</w:t>
      </w:r>
      <w:r w:rsidRPr="009631F0">
        <w:rPr>
          <w:bCs w:val="0"/>
          <w:i w:val="0"/>
          <w:iCs w:val="0"/>
          <w:sz w:val="24"/>
          <w:szCs w:val="24"/>
        </w:rPr>
        <w:t xml:space="preserve"> from industrial wastewater added to the activated sludge reactor increased the concentration of effluent COD</w:t>
      </w:r>
      <w:r w:rsidRPr="009631F0">
        <w:rPr>
          <w:bCs w:val="0"/>
          <w:i w:val="0"/>
          <w:iCs w:val="0"/>
          <w:sz w:val="24"/>
          <w:szCs w:val="24"/>
          <w:vertAlign w:val="subscript"/>
        </w:rPr>
        <w:t>Cr</w:t>
      </w:r>
      <w:r w:rsidRPr="009631F0">
        <w:rPr>
          <w:bCs w:val="0"/>
          <w:i w:val="0"/>
          <w:iCs w:val="0"/>
          <w:sz w:val="24"/>
          <w:szCs w:val="24"/>
        </w:rPr>
        <w:t xml:space="preserve"> by 8.8 mg/l (calculated as (129</w:t>
      </w:r>
      <w:r w:rsidR="00512945">
        <w:rPr>
          <w:bCs w:val="0"/>
          <w:i w:val="0"/>
          <w:iCs w:val="0"/>
          <w:sz w:val="24"/>
          <w:szCs w:val="24"/>
        </w:rPr>
        <w:t> </w:t>
      </w:r>
      <w:r w:rsidRPr="009631F0">
        <w:rPr>
          <w:bCs w:val="0"/>
          <w:i w:val="0"/>
          <w:iCs w:val="0"/>
          <w:sz w:val="24"/>
          <w:szCs w:val="24"/>
        </w:rPr>
        <w:t xml:space="preserve">mg/l–58 mg/l) / 800 mg/l / 100 mg/l) </w:t>
      </w:r>
    </w:p>
    <w:p w14:paraId="0670A7E1" w14:textId="331A524C" w:rsidR="00945988" w:rsidRPr="009631F0" w:rsidRDefault="00945988" w:rsidP="00945988">
      <w:pPr>
        <w:pStyle w:val="Titulok3"/>
        <w:spacing w:line="360" w:lineRule="auto"/>
        <w:jc w:val="both"/>
        <w:rPr>
          <w:bCs w:val="0"/>
          <w:i w:val="0"/>
          <w:iCs w:val="0"/>
          <w:sz w:val="24"/>
          <w:szCs w:val="24"/>
        </w:rPr>
      </w:pPr>
      <w:r w:rsidRPr="009631F0">
        <w:rPr>
          <w:bCs w:val="0"/>
          <w:i w:val="0"/>
          <w:iCs w:val="0"/>
          <w:sz w:val="24"/>
          <w:szCs w:val="24"/>
        </w:rPr>
        <w:t xml:space="preserve">- </w:t>
      </w:r>
      <w:r>
        <w:rPr>
          <w:bCs w:val="0"/>
          <w:i w:val="0"/>
          <w:iCs w:val="0"/>
          <w:sz w:val="24"/>
          <w:szCs w:val="24"/>
        </w:rPr>
        <w:t>I</w:t>
      </w:r>
      <w:r w:rsidRPr="009631F0">
        <w:rPr>
          <w:bCs w:val="0"/>
          <w:i w:val="0"/>
          <w:iCs w:val="0"/>
          <w:sz w:val="24"/>
          <w:szCs w:val="24"/>
        </w:rPr>
        <w:t>n model R</w:t>
      </w:r>
      <w:r w:rsidRPr="009631F0">
        <w:rPr>
          <w:bCs w:val="0"/>
          <w:i w:val="0"/>
          <w:iCs w:val="0"/>
          <w:sz w:val="24"/>
          <w:szCs w:val="24"/>
          <w:vertAlign w:val="subscript"/>
        </w:rPr>
        <w:t>3</w:t>
      </w:r>
      <w:r>
        <w:rPr>
          <w:bCs w:val="0"/>
          <w:i w:val="0"/>
          <w:iCs w:val="0"/>
          <w:sz w:val="24"/>
          <w:szCs w:val="24"/>
        </w:rPr>
        <w:t>,</w:t>
      </w:r>
      <w:r w:rsidRPr="009631F0">
        <w:rPr>
          <w:bCs w:val="0"/>
          <w:i w:val="0"/>
          <w:iCs w:val="0"/>
          <w:sz w:val="24"/>
          <w:szCs w:val="24"/>
        </w:rPr>
        <w:t xml:space="preserve"> every 100 mg/l of COD</w:t>
      </w:r>
      <w:r w:rsidRPr="009631F0">
        <w:rPr>
          <w:bCs w:val="0"/>
          <w:i w:val="0"/>
          <w:iCs w:val="0"/>
          <w:sz w:val="24"/>
          <w:szCs w:val="24"/>
          <w:vertAlign w:val="subscript"/>
        </w:rPr>
        <w:t>Cr</w:t>
      </w:r>
      <w:r w:rsidRPr="009631F0">
        <w:rPr>
          <w:bCs w:val="0"/>
          <w:i w:val="0"/>
          <w:iCs w:val="0"/>
          <w:sz w:val="24"/>
          <w:szCs w:val="24"/>
        </w:rPr>
        <w:t xml:space="preserve"> of liquid waste added to the activated sludge reactor increased the concentration of effluent COD</w:t>
      </w:r>
      <w:r w:rsidRPr="009631F0">
        <w:rPr>
          <w:bCs w:val="0"/>
          <w:i w:val="0"/>
          <w:iCs w:val="0"/>
          <w:sz w:val="24"/>
          <w:szCs w:val="24"/>
          <w:vertAlign w:val="subscript"/>
        </w:rPr>
        <w:t>Cr</w:t>
      </w:r>
      <w:r w:rsidRPr="009631F0">
        <w:rPr>
          <w:bCs w:val="0"/>
          <w:i w:val="0"/>
          <w:iCs w:val="0"/>
          <w:sz w:val="24"/>
          <w:szCs w:val="24"/>
        </w:rPr>
        <w:t xml:space="preserve"> by 5.4 mg/l (calculated as (145 mg/l–58 mg/l) / 1</w:t>
      </w:r>
      <w:r w:rsidR="009C29F2">
        <w:rPr>
          <w:bCs w:val="0"/>
          <w:i w:val="0"/>
          <w:iCs w:val="0"/>
          <w:sz w:val="24"/>
          <w:szCs w:val="24"/>
        </w:rPr>
        <w:t>,</w:t>
      </w:r>
      <w:r w:rsidRPr="009631F0">
        <w:rPr>
          <w:bCs w:val="0"/>
          <w:i w:val="0"/>
          <w:iCs w:val="0"/>
          <w:sz w:val="24"/>
          <w:szCs w:val="24"/>
        </w:rPr>
        <w:t>600 mg/l / 100 mg/l)</w:t>
      </w:r>
    </w:p>
    <w:p w14:paraId="44DA90AC" w14:textId="11B23BF9" w:rsidR="00C455A3" w:rsidRDefault="00945988" w:rsidP="00945988">
      <w:pPr>
        <w:pStyle w:val="Titulok3"/>
        <w:spacing w:line="360" w:lineRule="auto"/>
        <w:jc w:val="both"/>
        <w:rPr>
          <w:bCs w:val="0"/>
          <w:i w:val="0"/>
          <w:iCs w:val="0"/>
          <w:sz w:val="24"/>
          <w:szCs w:val="24"/>
        </w:rPr>
      </w:pPr>
      <w:r w:rsidRPr="009631F0">
        <w:rPr>
          <w:bCs w:val="0"/>
          <w:i w:val="0"/>
          <w:iCs w:val="0"/>
          <w:sz w:val="24"/>
          <w:szCs w:val="24"/>
        </w:rPr>
        <w:t xml:space="preserve">- </w:t>
      </w:r>
      <w:r>
        <w:rPr>
          <w:bCs w:val="0"/>
          <w:i w:val="0"/>
          <w:iCs w:val="0"/>
          <w:sz w:val="24"/>
          <w:szCs w:val="24"/>
        </w:rPr>
        <w:t>I</w:t>
      </w:r>
      <w:r w:rsidRPr="009631F0">
        <w:rPr>
          <w:bCs w:val="0"/>
          <w:i w:val="0"/>
          <w:iCs w:val="0"/>
          <w:sz w:val="24"/>
          <w:szCs w:val="24"/>
        </w:rPr>
        <w:t>f we assume, that for denitrification of 10 mg/l N-NO</w:t>
      </w:r>
      <w:r w:rsidRPr="009631F0">
        <w:rPr>
          <w:bCs w:val="0"/>
          <w:i w:val="0"/>
          <w:iCs w:val="0"/>
          <w:sz w:val="24"/>
          <w:szCs w:val="24"/>
          <w:vertAlign w:val="subscript"/>
        </w:rPr>
        <w:t>3</w:t>
      </w:r>
      <w:r>
        <w:rPr>
          <w:bCs w:val="0"/>
          <w:i w:val="0"/>
          <w:iCs w:val="0"/>
          <w:sz w:val="24"/>
          <w:szCs w:val="24"/>
        </w:rPr>
        <w:t>,</w:t>
      </w:r>
      <w:r w:rsidRPr="009631F0">
        <w:rPr>
          <w:bCs w:val="0"/>
          <w:i w:val="0"/>
          <w:iCs w:val="0"/>
          <w:sz w:val="24"/>
          <w:szCs w:val="24"/>
          <w:vertAlign w:val="subscript"/>
        </w:rPr>
        <w:t xml:space="preserve"> </w:t>
      </w:r>
      <w:r w:rsidRPr="009631F0">
        <w:rPr>
          <w:bCs w:val="0"/>
          <w:i w:val="0"/>
          <w:iCs w:val="0"/>
          <w:sz w:val="24"/>
          <w:szCs w:val="24"/>
        </w:rPr>
        <w:t>it is</w:t>
      </w:r>
      <w:r w:rsidRPr="009631F0">
        <w:rPr>
          <w:bCs w:val="0"/>
          <w:i w:val="0"/>
          <w:iCs w:val="0"/>
          <w:sz w:val="24"/>
          <w:szCs w:val="24"/>
          <w:vertAlign w:val="subscript"/>
        </w:rPr>
        <w:t xml:space="preserve"> </w:t>
      </w:r>
      <w:r w:rsidRPr="009631F0">
        <w:rPr>
          <w:bCs w:val="0"/>
          <w:i w:val="0"/>
          <w:iCs w:val="0"/>
          <w:sz w:val="24"/>
          <w:szCs w:val="24"/>
        </w:rPr>
        <w:t>necessary to add industrial wastewater with COD</w:t>
      </w:r>
      <w:r w:rsidRPr="009631F0">
        <w:rPr>
          <w:bCs w:val="0"/>
          <w:i w:val="0"/>
          <w:iCs w:val="0"/>
          <w:sz w:val="24"/>
          <w:szCs w:val="24"/>
          <w:vertAlign w:val="subscript"/>
        </w:rPr>
        <w:t>Cr</w:t>
      </w:r>
      <w:r w:rsidRPr="009631F0">
        <w:rPr>
          <w:bCs w:val="0"/>
          <w:i w:val="0"/>
          <w:iCs w:val="0"/>
          <w:sz w:val="24"/>
          <w:szCs w:val="24"/>
        </w:rPr>
        <w:t xml:space="preserve"> of 90 mg/l (ratio COD</w:t>
      </w:r>
      <w:r w:rsidRPr="009631F0">
        <w:rPr>
          <w:bCs w:val="0"/>
          <w:i w:val="0"/>
          <w:iCs w:val="0"/>
          <w:sz w:val="24"/>
          <w:szCs w:val="24"/>
          <w:vertAlign w:val="subscript"/>
        </w:rPr>
        <w:t>Cr</w:t>
      </w:r>
      <w:r w:rsidRPr="009631F0">
        <w:rPr>
          <w:bCs w:val="0"/>
          <w:i w:val="0"/>
          <w:iCs w:val="0"/>
          <w:sz w:val="24"/>
          <w:szCs w:val="24"/>
        </w:rPr>
        <w:t xml:space="preserve"> : N-NO</w:t>
      </w:r>
      <w:r w:rsidRPr="009631F0">
        <w:rPr>
          <w:bCs w:val="0"/>
          <w:i w:val="0"/>
          <w:iCs w:val="0"/>
          <w:sz w:val="24"/>
          <w:szCs w:val="24"/>
          <w:vertAlign w:val="subscript"/>
        </w:rPr>
        <w:t>3</w:t>
      </w:r>
      <w:r w:rsidRPr="009631F0">
        <w:rPr>
          <w:bCs w:val="0"/>
          <w:i w:val="0"/>
          <w:iCs w:val="0"/>
          <w:sz w:val="24"/>
          <w:szCs w:val="24"/>
        </w:rPr>
        <w:t xml:space="preserve"> = 9 measured in denitrification tests D</w:t>
      </w:r>
      <w:r w:rsidRPr="009631F0">
        <w:rPr>
          <w:bCs w:val="0"/>
          <w:i w:val="0"/>
          <w:iCs w:val="0"/>
          <w:sz w:val="24"/>
          <w:szCs w:val="24"/>
          <w:vertAlign w:val="subscript"/>
        </w:rPr>
        <w:t>3</w:t>
      </w:r>
      <w:r w:rsidRPr="009631F0">
        <w:rPr>
          <w:bCs w:val="0"/>
          <w:i w:val="0"/>
          <w:iCs w:val="0"/>
          <w:sz w:val="24"/>
          <w:szCs w:val="24"/>
        </w:rPr>
        <w:t>), then reduction of 10 mg/l N-NO</w:t>
      </w:r>
      <w:r w:rsidRPr="009631F0">
        <w:rPr>
          <w:bCs w:val="0"/>
          <w:i w:val="0"/>
          <w:iCs w:val="0"/>
          <w:sz w:val="24"/>
          <w:szCs w:val="24"/>
          <w:vertAlign w:val="subscript"/>
        </w:rPr>
        <w:t xml:space="preserve">3 </w:t>
      </w:r>
      <w:r w:rsidRPr="009631F0">
        <w:rPr>
          <w:bCs w:val="0"/>
          <w:i w:val="0"/>
          <w:iCs w:val="0"/>
          <w:sz w:val="24"/>
          <w:szCs w:val="24"/>
        </w:rPr>
        <w:t>in the effluent from WWTP is connected with COD</w:t>
      </w:r>
      <w:r w:rsidRPr="009631F0">
        <w:rPr>
          <w:bCs w:val="0"/>
          <w:i w:val="0"/>
          <w:iCs w:val="0"/>
          <w:sz w:val="24"/>
          <w:szCs w:val="24"/>
          <w:vertAlign w:val="subscript"/>
        </w:rPr>
        <w:t>Cr</w:t>
      </w:r>
      <w:r w:rsidRPr="009631F0">
        <w:rPr>
          <w:bCs w:val="0"/>
          <w:i w:val="0"/>
          <w:iCs w:val="0"/>
          <w:sz w:val="24"/>
          <w:szCs w:val="24"/>
        </w:rPr>
        <w:t xml:space="preserve"> increase 4.9–7.9 mg/l (5.4 mg/l · 90 mg/l / 100 mg/l; 8.8 mg/l · 90 mg/l / 100 mg/l).</w:t>
      </w:r>
    </w:p>
    <w:p w14:paraId="7DB36C8F" w14:textId="77777777" w:rsidR="00C455A3" w:rsidRPr="009631F0" w:rsidRDefault="00C455A3" w:rsidP="00C455A3">
      <w:pPr>
        <w:pStyle w:val="Titulok3"/>
        <w:spacing w:before="0" w:line="360" w:lineRule="auto"/>
        <w:jc w:val="both"/>
        <w:rPr>
          <w:bCs w:val="0"/>
          <w:i w:val="0"/>
          <w:iCs w:val="0"/>
          <w:sz w:val="24"/>
          <w:szCs w:val="24"/>
        </w:rPr>
      </w:pPr>
    </w:p>
    <w:p w14:paraId="02113F90" w14:textId="3E5CC0F7" w:rsidR="00C455A3" w:rsidRDefault="00C455A3" w:rsidP="008572C6">
      <w:pPr>
        <w:pStyle w:val="Titulok3"/>
        <w:spacing w:before="0" w:line="360" w:lineRule="auto"/>
        <w:ind w:firstLine="357"/>
        <w:jc w:val="both"/>
        <w:rPr>
          <w:bCs w:val="0"/>
          <w:i w:val="0"/>
          <w:iCs w:val="0"/>
          <w:sz w:val="24"/>
          <w:szCs w:val="24"/>
        </w:rPr>
      </w:pPr>
      <w:r w:rsidRPr="009631F0">
        <w:rPr>
          <w:bCs w:val="0"/>
          <w:i w:val="0"/>
          <w:iCs w:val="0"/>
          <w:sz w:val="24"/>
          <w:szCs w:val="24"/>
        </w:rPr>
        <w:t>The impact of industrial wastewater on biomass was also monitored using the parameters VSS and SVI. The differences between models R</w:t>
      </w:r>
      <w:r w:rsidRPr="009631F0">
        <w:rPr>
          <w:bCs w:val="0"/>
          <w:i w:val="0"/>
          <w:iCs w:val="0"/>
          <w:sz w:val="24"/>
          <w:szCs w:val="24"/>
          <w:vertAlign w:val="subscript"/>
        </w:rPr>
        <w:t>1</w:t>
      </w:r>
      <w:r>
        <w:rPr>
          <w:bCs w:val="0"/>
          <w:i w:val="0"/>
          <w:iCs w:val="0"/>
          <w:sz w:val="24"/>
          <w:szCs w:val="24"/>
        </w:rPr>
        <w:t xml:space="preserve">, </w:t>
      </w:r>
      <w:r w:rsidRPr="009631F0">
        <w:rPr>
          <w:bCs w:val="0"/>
          <w:i w:val="0"/>
          <w:iCs w:val="0"/>
          <w:sz w:val="24"/>
          <w:szCs w:val="24"/>
        </w:rPr>
        <w:t>R</w:t>
      </w:r>
      <w:r w:rsidRPr="009631F0">
        <w:rPr>
          <w:bCs w:val="0"/>
          <w:i w:val="0"/>
          <w:iCs w:val="0"/>
          <w:sz w:val="24"/>
          <w:szCs w:val="24"/>
          <w:vertAlign w:val="subscript"/>
        </w:rPr>
        <w:t>2</w:t>
      </w:r>
      <w:r w:rsidRPr="009631F0">
        <w:rPr>
          <w:bCs w:val="0"/>
          <w:i w:val="0"/>
          <w:iCs w:val="0"/>
          <w:sz w:val="24"/>
          <w:szCs w:val="24"/>
        </w:rPr>
        <w:t>,</w:t>
      </w:r>
      <w:r w:rsidRPr="009631F0">
        <w:rPr>
          <w:bCs w:val="0"/>
          <w:i w:val="0"/>
          <w:iCs w:val="0"/>
          <w:sz w:val="24"/>
          <w:szCs w:val="24"/>
          <w:vertAlign w:val="subscript"/>
        </w:rPr>
        <w:t xml:space="preserve"> </w:t>
      </w:r>
      <w:r>
        <w:rPr>
          <w:bCs w:val="0"/>
          <w:i w:val="0"/>
          <w:iCs w:val="0"/>
          <w:sz w:val="24"/>
          <w:szCs w:val="24"/>
        </w:rPr>
        <w:t xml:space="preserve">and </w:t>
      </w:r>
      <w:r w:rsidRPr="009631F0">
        <w:rPr>
          <w:bCs w:val="0"/>
          <w:i w:val="0"/>
          <w:iCs w:val="0"/>
          <w:sz w:val="24"/>
          <w:szCs w:val="24"/>
        </w:rPr>
        <w:t>R</w:t>
      </w:r>
      <w:r w:rsidRPr="009631F0">
        <w:rPr>
          <w:bCs w:val="0"/>
          <w:i w:val="0"/>
          <w:iCs w:val="0"/>
          <w:sz w:val="24"/>
          <w:szCs w:val="24"/>
          <w:vertAlign w:val="subscript"/>
        </w:rPr>
        <w:t xml:space="preserve">3 </w:t>
      </w:r>
      <w:r w:rsidRPr="009631F0">
        <w:rPr>
          <w:bCs w:val="0"/>
          <w:i w:val="0"/>
          <w:iCs w:val="0"/>
          <w:sz w:val="24"/>
          <w:szCs w:val="24"/>
        </w:rPr>
        <w:t xml:space="preserve">are insignificant (negligible accumulation of inorganic compounds and activated sludge retained the formation of compact flocs with good sedimentation properties). </w:t>
      </w:r>
    </w:p>
    <w:p w14:paraId="6D942881" w14:textId="5C3EA444" w:rsidR="00BD4D63" w:rsidRPr="00456F8A" w:rsidRDefault="00BD4D63" w:rsidP="00DB3AEE">
      <w:pPr>
        <w:pStyle w:val="Titulok3"/>
        <w:tabs>
          <w:tab w:val="left" w:pos="0"/>
        </w:tabs>
        <w:spacing w:after="240" w:line="360" w:lineRule="auto"/>
        <w:jc w:val="both"/>
        <w:rPr>
          <w:bCs w:val="0"/>
          <w:i w:val="0"/>
          <w:iCs w:val="0"/>
          <w:sz w:val="24"/>
          <w:szCs w:val="24"/>
        </w:rPr>
      </w:pPr>
      <w:r w:rsidRPr="00456F8A">
        <w:rPr>
          <w:b/>
          <w:i w:val="0"/>
          <w:iCs w:val="0"/>
          <w:sz w:val="24"/>
          <w:szCs w:val="24"/>
        </w:rPr>
        <w:t>Tab</w:t>
      </w:r>
      <w:r w:rsidR="004316B5" w:rsidRPr="00456F8A">
        <w:rPr>
          <w:b/>
          <w:i w:val="0"/>
          <w:iCs w:val="0"/>
          <w:sz w:val="24"/>
          <w:szCs w:val="24"/>
        </w:rPr>
        <w:t>le</w:t>
      </w:r>
      <w:r w:rsidRPr="00456F8A">
        <w:rPr>
          <w:b/>
          <w:i w:val="0"/>
          <w:iCs w:val="0"/>
          <w:sz w:val="24"/>
          <w:szCs w:val="24"/>
        </w:rPr>
        <w:t xml:space="preserve"> 3.</w:t>
      </w:r>
      <w:r w:rsidR="00753A1B" w:rsidRPr="00456F8A">
        <w:rPr>
          <w:bCs w:val="0"/>
          <w:i w:val="0"/>
          <w:iCs w:val="0"/>
          <w:sz w:val="24"/>
          <w:szCs w:val="24"/>
        </w:rPr>
        <w:t xml:space="preserve"> </w:t>
      </w:r>
      <w:r w:rsidRPr="00456F8A">
        <w:rPr>
          <w:bCs w:val="0"/>
          <w:i w:val="0"/>
          <w:iCs w:val="0"/>
          <w:sz w:val="24"/>
          <w:szCs w:val="24"/>
        </w:rPr>
        <w:t>Average effluent concentrations and their range for reference model R</w:t>
      </w:r>
      <w:r w:rsidRPr="00456F8A">
        <w:rPr>
          <w:bCs w:val="0"/>
          <w:i w:val="0"/>
          <w:iCs w:val="0"/>
          <w:sz w:val="24"/>
          <w:szCs w:val="24"/>
          <w:vertAlign w:val="subscript"/>
        </w:rPr>
        <w:t>1</w:t>
      </w:r>
      <w:r w:rsidRPr="00456F8A">
        <w:rPr>
          <w:bCs w:val="0"/>
          <w:i w:val="0"/>
          <w:iCs w:val="0"/>
          <w:sz w:val="24"/>
          <w:szCs w:val="24"/>
        </w:rPr>
        <w:t>, model R</w:t>
      </w:r>
      <w:r w:rsidRPr="00456F8A">
        <w:rPr>
          <w:bCs w:val="0"/>
          <w:i w:val="0"/>
          <w:iCs w:val="0"/>
          <w:sz w:val="24"/>
          <w:szCs w:val="24"/>
          <w:vertAlign w:val="subscript"/>
        </w:rPr>
        <w:t>2</w:t>
      </w:r>
      <w:r w:rsidRPr="00456F8A">
        <w:rPr>
          <w:bCs w:val="0"/>
          <w:i w:val="0"/>
          <w:iCs w:val="0"/>
          <w:sz w:val="24"/>
          <w:szCs w:val="24"/>
        </w:rPr>
        <w:t xml:space="preserve"> with glucose and industrial wastewater</w:t>
      </w:r>
      <w:r w:rsidR="00C455A3" w:rsidRPr="00456F8A">
        <w:rPr>
          <w:bCs w:val="0"/>
          <w:i w:val="0"/>
          <w:iCs w:val="0"/>
          <w:sz w:val="24"/>
          <w:szCs w:val="24"/>
        </w:rPr>
        <w:t>,</w:t>
      </w:r>
      <w:r w:rsidRPr="00456F8A">
        <w:rPr>
          <w:bCs w:val="0"/>
          <w:i w:val="0"/>
          <w:iCs w:val="0"/>
          <w:sz w:val="24"/>
          <w:szCs w:val="24"/>
        </w:rPr>
        <w:t xml:space="preserve"> and model R</w:t>
      </w:r>
      <w:r w:rsidRPr="00456F8A">
        <w:rPr>
          <w:bCs w:val="0"/>
          <w:i w:val="0"/>
          <w:iCs w:val="0"/>
          <w:sz w:val="24"/>
          <w:szCs w:val="24"/>
          <w:vertAlign w:val="subscript"/>
        </w:rPr>
        <w:t>3</w:t>
      </w:r>
      <w:r w:rsidRPr="00456F8A">
        <w:rPr>
          <w:bCs w:val="0"/>
          <w:i w:val="0"/>
          <w:iCs w:val="0"/>
          <w:sz w:val="24"/>
          <w:szCs w:val="24"/>
        </w:rPr>
        <w:t xml:space="preserve"> with </w:t>
      </w:r>
      <w:r w:rsidR="008A557F" w:rsidRPr="00456F8A">
        <w:rPr>
          <w:bCs w:val="0"/>
          <w:i w:val="0"/>
          <w:iCs w:val="0"/>
          <w:sz w:val="24"/>
          <w:szCs w:val="24"/>
        </w:rPr>
        <w:t>only</w:t>
      </w:r>
      <w:r w:rsidRPr="00456F8A">
        <w:rPr>
          <w:bCs w:val="0"/>
          <w:i w:val="0"/>
          <w:iCs w:val="0"/>
          <w:sz w:val="24"/>
          <w:szCs w:val="24"/>
        </w:rPr>
        <w:t xml:space="preserve"> industrial wastewater dosing</w:t>
      </w:r>
      <w:r w:rsidR="004316B5" w:rsidRPr="00456F8A">
        <w:rPr>
          <w:bCs w:val="0"/>
          <w:i w:val="0"/>
          <w:iCs w:val="0"/>
          <w:sz w:val="24"/>
          <w:szCs w:val="24"/>
        </w:rPr>
        <w:t>.</w:t>
      </w:r>
    </w:p>
    <w:tbl>
      <w:tblPr>
        <w:tblStyle w:val="Mriekatabuky"/>
        <w:tblW w:w="586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559"/>
        <w:gridCol w:w="1311"/>
        <w:gridCol w:w="1323"/>
      </w:tblGrid>
      <w:tr w:rsidR="00BD4D63" w:rsidRPr="00E612A1" w14:paraId="63F5EE40" w14:textId="77777777" w:rsidTr="00705987">
        <w:trPr>
          <w:trHeight w:val="232"/>
        </w:trPr>
        <w:tc>
          <w:tcPr>
            <w:tcW w:w="1668" w:type="dxa"/>
            <w:tcBorders>
              <w:top w:val="single" w:sz="4" w:space="0" w:color="000000"/>
              <w:bottom w:val="single" w:sz="4" w:space="0" w:color="000000"/>
            </w:tcBorders>
            <w:vAlign w:val="center"/>
          </w:tcPr>
          <w:p w14:paraId="0E34BB65" w14:textId="0EC2EB0E" w:rsidR="00BD4D63" w:rsidRPr="00E612A1" w:rsidRDefault="00DB3AEE" w:rsidP="00DB3AEE">
            <w:pPr>
              <w:spacing w:line="360" w:lineRule="auto"/>
              <w:ind w:right="-253"/>
              <w:jc w:val="center"/>
              <w:rPr>
                <w:b/>
                <w:bCs/>
                <w:lang w:val="en-GB"/>
              </w:rPr>
            </w:pPr>
            <w:r>
              <w:rPr>
                <w:b/>
                <w:bCs/>
                <w:lang w:val="en-GB"/>
              </w:rPr>
              <w:t>Parameter</w:t>
            </w:r>
          </w:p>
        </w:tc>
        <w:tc>
          <w:tcPr>
            <w:tcW w:w="1559" w:type="dxa"/>
            <w:tcBorders>
              <w:top w:val="single" w:sz="4" w:space="0" w:color="000000"/>
              <w:bottom w:val="single" w:sz="4" w:space="0" w:color="000000"/>
            </w:tcBorders>
            <w:vAlign w:val="center"/>
          </w:tcPr>
          <w:p w14:paraId="1805C578" w14:textId="6BBC4B86" w:rsidR="00BD4D63" w:rsidRPr="00E612A1" w:rsidRDefault="00BD4D63" w:rsidP="00512945">
            <w:pPr>
              <w:tabs>
                <w:tab w:val="left" w:pos="456"/>
              </w:tabs>
              <w:spacing w:line="360" w:lineRule="auto"/>
              <w:ind w:right="-253"/>
              <w:jc w:val="center"/>
              <w:rPr>
                <w:b/>
                <w:bCs/>
                <w:vertAlign w:val="subscript"/>
                <w:lang w:val="en-GB"/>
              </w:rPr>
            </w:pPr>
            <w:r w:rsidRPr="00E612A1">
              <w:rPr>
                <w:b/>
                <w:bCs/>
                <w:lang w:val="en-GB"/>
              </w:rPr>
              <w:t>R</w:t>
            </w:r>
            <w:r w:rsidRPr="00E612A1">
              <w:rPr>
                <w:b/>
                <w:bCs/>
                <w:vertAlign w:val="subscript"/>
                <w:lang w:val="en-GB"/>
              </w:rPr>
              <w:t>1</w:t>
            </w:r>
          </w:p>
        </w:tc>
        <w:tc>
          <w:tcPr>
            <w:tcW w:w="1311" w:type="dxa"/>
            <w:tcBorders>
              <w:top w:val="single" w:sz="4" w:space="0" w:color="000000"/>
              <w:bottom w:val="single" w:sz="4" w:space="0" w:color="000000"/>
            </w:tcBorders>
            <w:vAlign w:val="center"/>
          </w:tcPr>
          <w:p w14:paraId="307553C7" w14:textId="16DCB34A" w:rsidR="00BD4D63" w:rsidRPr="00E612A1" w:rsidRDefault="00BD4D63" w:rsidP="00DB3AEE">
            <w:pPr>
              <w:spacing w:line="360" w:lineRule="auto"/>
              <w:ind w:right="-253"/>
              <w:jc w:val="center"/>
              <w:rPr>
                <w:b/>
                <w:bCs/>
                <w:lang w:val="en-GB"/>
              </w:rPr>
            </w:pPr>
            <w:r w:rsidRPr="00E612A1">
              <w:rPr>
                <w:b/>
                <w:bCs/>
                <w:lang w:val="en-GB"/>
              </w:rPr>
              <w:t>R</w:t>
            </w:r>
            <w:r w:rsidRPr="00E612A1">
              <w:rPr>
                <w:b/>
                <w:bCs/>
                <w:vertAlign w:val="subscript"/>
                <w:lang w:val="en-GB"/>
              </w:rPr>
              <w:t>2</w:t>
            </w:r>
          </w:p>
        </w:tc>
        <w:tc>
          <w:tcPr>
            <w:tcW w:w="1323" w:type="dxa"/>
            <w:tcBorders>
              <w:top w:val="single" w:sz="4" w:space="0" w:color="000000"/>
              <w:bottom w:val="single" w:sz="4" w:space="0" w:color="000000"/>
            </w:tcBorders>
            <w:vAlign w:val="center"/>
          </w:tcPr>
          <w:p w14:paraId="201BC233" w14:textId="4C291603" w:rsidR="00BD4D63" w:rsidRPr="00E612A1" w:rsidRDefault="00BD4D63" w:rsidP="00DB3AEE">
            <w:pPr>
              <w:spacing w:line="360" w:lineRule="auto"/>
              <w:ind w:right="-253"/>
              <w:jc w:val="center"/>
              <w:rPr>
                <w:b/>
                <w:bCs/>
                <w:lang w:val="en-GB"/>
              </w:rPr>
            </w:pPr>
            <w:r w:rsidRPr="00E612A1">
              <w:rPr>
                <w:b/>
                <w:bCs/>
                <w:lang w:val="en-GB"/>
              </w:rPr>
              <w:t>R</w:t>
            </w:r>
            <w:r w:rsidRPr="00E612A1">
              <w:rPr>
                <w:b/>
                <w:bCs/>
                <w:vertAlign w:val="subscript"/>
                <w:lang w:val="en-GB"/>
              </w:rPr>
              <w:t>3</w:t>
            </w:r>
          </w:p>
        </w:tc>
      </w:tr>
      <w:tr w:rsidR="00BD4D63" w:rsidRPr="00E612A1" w14:paraId="47C89EA6" w14:textId="77777777" w:rsidTr="00705987">
        <w:trPr>
          <w:trHeight w:val="232"/>
        </w:trPr>
        <w:tc>
          <w:tcPr>
            <w:tcW w:w="1668" w:type="dxa"/>
            <w:vMerge w:val="restart"/>
            <w:tcBorders>
              <w:top w:val="single" w:sz="4" w:space="0" w:color="000000"/>
            </w:tcBorders>
            <w:vAlign w:val="center"/>
          </w:tcPr>
          <w:p w14:paraId="6CC1F147" w14:textId="6609040C" w:rsidR="00BD4D63" w:rsidRPr="00E612A1" w:rsidRDefault="00BD4D63" w:rsidP="00705987">
            <w:pPr>
              <w:spacing w:line="360" w:lineRule="auto"/>
              <w:jc w:val="center"/>
              <w:rPr>
                <w:lang w:val="en-GB"/>
              </w:rPr>
            </w:pPr>
            <w:r w:rsidRPr="00E612A1">
              <w:rPr>
                <w:lang w:val="en-GB"/>
              </w:rPr>
              <w:t>N-NH</w:t>
            </w:r>
            <w:r w:rsidRPr="00E612A1">
              <w:rPr>
                <w:vertAlign w:val="subscript"/>
                <w:lang w:val="en-GB"/>
              </w:rPr>
              <w:t>4</w:t>
            </w:r>
            <w:r w:rsidRPr="00E612A1">
              <w:rPr>
                <w:lang w:val="en-GB"/>
              </w:rPr>
              <w:t xml:space="preserve"> (mg/l)</w:t>
            </w:r>
          </w:p>
        </w:tc>
        <w:tc>
          <w:tcPr>
            <w:tcW w:w="1559" w:type="dxa"/>
            <w:tcBorders>
              <w:top w:val="single" w:sz="4" w:space="0" w:color="000000"/>
            </w:tcBorders>
            <w:vAlign w:val="center"/>
          </w:tcPr>
          <w:p w14:paraId="54403A36" w14:textId="77777777" w:rsidR="00BD4D63" w:rsidRPr="00E612A1" w:rsidRDefault="00BD4D63" w:rsidP="00705987">
            <w:pPr>
              <w:spacing w:line="360" w:lineRule="auto"/>
              <w:jc w:val="center"/>
              <w:rPr>
                <w:i/>
                <w:iCs/>
                <w:lang w:val="en-GB"/>
              </w:rPr>
            </w:pPr>
            <w:r w:rsidRPr="00E612A1">
              <w:rPr>
                <w:lang w:val="en-GB"/>
              </w:rPr>
              <w:t>1.9</w:t>
            </w:r>
          </w:p>
        </w:tc>
        <w:tc>
          <w:tcPr>
            <w:tcW w:w="1311" w:type="dxa"/>
            <w:tcBorders>
              <w:top w:val="single" w:sz="4" w:space="0" w:color="000000"/>
            </w:tcBorders>
            <w:vAlign w:val="center"/>
          </w:tcPr>
          <w:p w14:paraId="66FB7770" w14:textId="77777777" w:rsidR="00BD4D63" w:rsidRPr="00E612A1" w:rsidRDefault="00BD4D63" w:rsidP="00705987">
            <w:pPr>
              <w:spacing w:line="360" w:lineRule="auto"/>
              <w:jc w:val="center"/>
              <w:rPr>
                <w:i/>
                <w:iCs/>
                <w:lang w:val="en-GB"/>
              </w:rPr>
            </w:pPr>
            <w:r w:rsidRPr="00E612A1">
              <w:rPr>
                <w:lang w:val="en-GB"/>
              </w:rPr>
              <w:t>3.5</w:t>
            </w:r>
          </w:p>
        </w:tc>
        <w:tc>
          <w:tcPr>
            <w:tcW w:w="1323" w:type="dxa"/>
            <w:tcBorders>
              <w:top w:val="single" w:sz="4" w:space="0" w:color="000000"/>
            </w:tcBorders>
            <w:vAlign w:val="center"/>
          </w:tcPr>
          <w:p w14:paraId="29C00D3D" w14:textId="77777777" w:rsidR="00BD4D63" w:rsidRPr="00E612A1" w:rsidRDefault="00BD4D63" w:rsidP="00705987">
            <w:pPr>
              <w:spacing w:line="360" w:lineRule="auto"/>
              <w:jc w:val="center"/>
              <w:rPr>
                <w:i/>
                <w:iCs/>
                <w:lang w:val="en-GB"/>
              </w:rPr>
            </w:pPr>
            <w:r w:rsidRPr="00E612A1">
              <w:rPr>
                <w:lang w:val="en-GB"/>
              </w:rPr>
              <w:t>3.7</w:t>
            </w:r>
          </w:p>
        </w:tc>
      </w:tr>
      <w:tr w:rsidR="00BD4D63" w:rsidRPr="00E612A1" w14:paraId="30C14F49" w14:textId="77777777" w:rsidTr="00705987">
        <w:trPr>
          <w:trHeight w:val="232"/>
        </w:trPr>
        <w:tc>
          <w:tcPr>
            <w:tcW w:w="1668" w:type="dxa"/>
            <w:vMerge/>
            <w:vAlign w:val="center"/>
          </w:tcPr>
          <w:p w14:paraId="767B16B3" w14:textId="77777777" w:rsidR="00BD4D63" w:rsidRPr="00E612A1" w:rsidRDefault="00BD4D63" w:rsidP="00705987">
            <w:pPr>
              <w:spacing w:line="360" w:lineRule="auto"/>
              <w:jc w:val="center"/>
              <w:rPr>
                <w:lang w:val="en-GB"/>
              </w:rPr>
            </w:pPr>
          </w:p>
        </w:tc>
        <w:tc>
          <w:tcPr>
            <w:tcW w:w="1559" w:type="dxa"/>
            <w:vAlign w:val="center"/>
          </w:tcPr>
          <w:p w14:paraId="6B22CD68" w14:textId="77777777" w:rsidR="00BD4D63" w:rsidRPr="00E612A1" w:rsidRDefault="00BD4D63" w:rsidP="00705987">
            <w:pPr>
              <w:spacing w:line="360" w:lineRule="auto"/>
              <w:jc w:val="center"/>
              <w:rPr>
                <w:lang w:val="en-GB"/>
              </w:rPr>
            </w:pPr>
            <w:r w:rsidRPr="00E612A1">
              <w:rPr>
                <w:lang w:val="en-GB"/>
              </w:rPr>
              <w:t>0.2−6</w:t>
            </w:r>
          </w:p>
        </w:tc>
        <w:tc>
          <w:tcPr>
            <w:tcW w:w="1311" w:type="dxa"/>
            <w:vAlign w:val="center"/>
          </w:tcPr>
          <w:p w14:paraId="312EFCB4" w14:textId="77777777" w:rsidR="00BD4D63" w:rsidRPr="00E612A1" w:rsidRDefault="00BD4D63" w:rsidP="00705987">
            <w:pPr>
              <w:spacing w:line="360" w:lineRule="auto"/>
              <w:jc w:val="center"/>
              <w:rPr>
                <w:lang w:val="en-GB"/>
              </w:rPr>
            </w:pPr>
            <w:r w:rsidRPr="00E612A1">
              <w:rPr>
                <w:lang w:val="en-GB"/>
              </w:rPr>
              <w:t>0.4−6</w:t>
            </w:r>
          </w:p>
        </w:tc>
        <w:tc>
          <w:tcPr>
            <w:tcW w:w="1323" w:type="dxa"/>
            <w:vAlign w:val="center"/>
          </w:tcPr>
          <w:p w14:paraId="72A14AD9" w14:textId="77777777" w:rsidR="00BD4D63" w:rsidRPr="00E612A1" w:rsidRDefault="00BD4D63" w:rsidP="00705987">
            <w:pPr>
              <w:spacing w:line="360" w:lineRule="auto"/>
              <w:jc w:val="center"/>
              <w:rPr>
                <w:lang w:val="en-GB"/>
              </w:rPr>
            </w:pPr>
            <w:r w:rsidRPr="00E612A1">
              <w:rPr>
                <w:lang w:val="en-GB"/>
              </w:rPr>
              <w:t>1.6−5.3</w:t>
            </w:r>
          </w:p>
        </w:tc>
      </w:tr>
      <w:tr w:rsidR="00BD4D63" w:rsidRPr="00E612A1" w14:paraId="4C2737BC" w14:textId="77777777" w:rsidTr="00705987">
        <w:trPr>
          <w:trHeight w:val="232"/>
        </w:trPr>
        <w:tc>
          <w:tcPr>
            <w:tcW w:w="1668" w:type="dxa"/>
            <w:vMerge w:val="restart"/>
            <w:vAlign w:val="center"/>
          </w:tcPr>
          <w:p w14:paraId="030B5F17" w14:textId="72961F3E" w:rsidR="00BD4D63" w:rsidRPr="00E612A1" w:rsidRDefault="00BD4D63" w:rsidP="00705987">
            <w:pPr>
              <w:spacing w:line="360" w:lineRule="auto"/>
              <w:jc w:val="center"/>
              <w:rPr>
                <w:lang w:val="en-GB"/>
              </w:rPr>
            </w:pPr>
            <w:r w:rsidRPr="00E612A1">
              <w:rPr>
                <w:lang w:val="en-GB"/>
              </w:rPr>
              <w:t>COD</w:t>
            </w:r>
            <w:r w:rsidRPr="00E612A1">
              <w:rPr>
                <w:vertAlign w:val="subscript"/>
                <w:lang w:val="en-GB"/>
              </w:rPr>
              <w:t>Cr</w:t>
            </w:r>
            <w:r w:rsidR="00454FD0">
              <w:rPr>
                <w:lang w:val="en-GB"/>
              </w:rPr>
              <w:t xml:space="preserve"> </w:t>
            </w:r>
            <w:r w:rsidRPr="00E612A1">
              <w:rPr>
                <w:lang w:val="en-GB"/>
              </w:rPr>
              <w:t>(mg/l)</w:t>
            </w:r>
          </w:p>
        </w:tc>
        <w:tc>
          <w:tcPr>
            <w:tcW w:w="1559" w:type="dxa"/>
            <w:vAlign w:val="center"/>
          </w:tcPr>
          <w:p w14:paraId="01EBCA49" w14:textId="77777777" w:rsidR="00BD4D63" w:rsidRPr="00E612A1" w:rsidRDefault="00BD4D63" w:rsidP="00705987">
            <w:pPr>
              <w:spacing w:line="360" w:lineRule="auto"/>
              <w:jc w:val="center"/>
              <w:rPr>
                <w:i/>
                <w:iCs/>
                <w:lang w:val="en-GB"/>
              </w:rPr>
            </w:pPr>
            <w:r w:rsidRPr="00E612A1">
              <w:rPr>
                <w:lang w:val="en-GB"/>
              </w:rPr>
              <w:t>59</w:t>
            </w:r>
          </w:p>
        </w:tc>
        <w:tc>
          <w:tcPr>
            <w:tcW w:w="1311" w:type="dxa"/>
            <w:vAlign w:val="center"/>
          </w:tcPr>
          <w:p w14:paraId="43444208" w14:textId="77777777" w:rsidR="00BD4D63" w:rsidRPr="00E612A1" w:rsidRDefault="00BD4D63" w:rsidP="00705987">
            <w:pPr>
              <w:spacing w:line="360" w:lineRule="auto"/>
              <w:jc w:val="center"/>
              <w:rPr>
                <w:i/>
                <w:iCs/>
                <w:lang w:val="en-GB"/>
              </w:rPr>
            </w:pPr>
            <w:r w:rsidRPr="00E612A1">
              <w:rPr>
                <w:lang w:val="en-GB"/>
              </w:rPr>
              <w:t>129</w:t>
            </w:r>
          </w:p>
        </w:tc>
        <w:tc>
          <w:tcPr>
            <w:tcW w:w="1323" w:type="dxa"/>
            <w:vAlign w:val="center"/>
          </w:tcPr>
          <w:p w14:paraId="79D06E5F" w14:textId="77777777" w:rsidR="00BD4D63" w:rsidRPr="00E612A1" w:rsidRDefault="00BD4D63" w:rsidP="00705987">
            <w:pPr>
              <w:spacing w:line="360" w:lineRule="auto"/>
              <w:jc w:val="center"/>
              <w:rPr>
                <w:i/>
                <w:iCs/>
                <w:lang w:val="en-GB"/>
              </w:rPr>
            </w:pPr>
            <w:r w:rsidRPr="00E612A1">
              <w:rPr>
                <w:lang w:val="en-GB"/>
              </w:rPr>
              <w:t>145</w:t>
            </w:r>
          </w:p>
        </w:tc>
      </w:tr>
      <w:tr w:rsidR="00BD4D63" w:rsidRPr="00E612A1" w14:paraId="164B7DE5" w14:textId="77777777" w:rsidTr="00705987">
        <w:trPr>
          <w:trHeight w:val="232"/>
        </w:trPr>
        <w:tc>
          <w:tcPr>
            <w:tcW w:w="1668" w:type="dxa"/>
            <w:vMerge/>
            <w:vAlign w:val="center"/>
          </w:tcPr>
          <w:p w14:paraId="1791FFA4" w14:textId="77777777" w:rsidR="00BD4D63" w:rsidRPr="00E612A1" w:rsidRDefault="00BD4D63" w:rsidP="00705987">
            <w:pPr>
              <w:spacing w:line="360" w:lineRule="auto"/>
              <w:jc w:val="center"/>
              <w:rPr>
                <w:lang w:val="en-GB"/>
              </w:rPr>
            </w:pPr>
          </w:p>
        </w:tc>
        <w:tc>
          <w:tcPr>
            <w:tcW w:w="1559" w:type="dxa"/>
            <w:vAlign w:val="center"/>
          </w:tcPr>
          <w:p w14:paraId="5708EFF9" w14:textId="77777777" w:rsidR="00BD4D63" w:rsidRPr="00E612A1" w:rsidRDefault="00BD4D63" w:rsidP="00705987">
            <w:pPr>
              <w:spacing w:line="360" w:lineRule="auto"/>
              <w:jc w:val="center"/>
              <w:rPr>
                <w:lang w:val="en-GB"/>
              </w:rPr>
            </w:pPr>
            <w:r w:rsidRPr="00E612A1">
              <w:rPr>
                <w:lang w:val="en-GB"/>
              </w:rPr>
              <w:t>49−97</w:t>
            </w:r>
          </w:p>
        </w:tc>
        <w:tc>
          <w:tcPr>
            <w:tcW w:w="1311" w:type="dxa"/>
            <w:vAlign w:val="center"/>
          </w:tcPr>
          <w:p w14:paraId="0CEB028B" w14:textId="77777777" w:rsidR="00BD4D63" w:rsidRPr="00E612A1" w:rsidRDefault="00BD4D63" w:rsidP="00705987">
            <w:pPr>
              <w:spacing w:line="360" w:lineRule="auto"/>
              <w:jc w:val="center"/>
              <w:rPr>
                <w:lang w:val="en-GB"/>
              </w:rPr>
            </w:pPr>
            <w:r w:rsidRPr="00E612A1">
              <w:rPr>
                <w:lang w:val="en-GB"/>
              </w:rPr>
              <w:t>87−169</w:t>
            </w:r>
          </w:p>
        </w:tc>
        <w:tc>
          <w:tcPr>
            <w:tcW w:w="1323" w:type="dxa"/>
            <w:vAlign w:val="center"/>
          </w:tcPr>
          <w:p w14:paraId="2ECD553B" w14:textId="77777777" w:rsidR="00BD4D63" w:rsidRPr="00E612A1" w:rsidRDefault="00BD4D63" w:rsidP="00705987">
            <w:pPr>
              <w:spacing w:line="360" w:lineRule="auto"/>
              <w:jc w:val="center"/>
              <w:rPr>
                <w:lang w:val="en-GB"/>
              </w:rPr>
            </w:pPr>
            <w:r w:rsidRPr="00E612A1">
              <w:rPr>
                <w:lang w:val="en-GB"/>
              </w:rPr>
              <w:t>61−167</w:t>
            </w:r>
          </w:p>
        </w:tc>
      </w:tr>
      <w:tr w:rsidR="00BD4D63" w:rsidRPr="00E612A1" w14:paraId="289EA971" w14:textId="77777777" w:rsidTr="00705987">
        <w:trPr>
          <w:trHeight w:val="232"/>
        </w:trPr>
        <w:tc>
          <w:tcPr>
            <w:tcW w:w="1668" w:type="dxa"/>
            <w:vMerge w:val="restart"/>
            <w:vAlign w:val="center"/>
          </w:tcPr>
          <w:p w14:paraId="69297C47" w14:textId="77777777" w:rsidR="00BD4D63" w:rsidRPr="00E612A1" w:rsidRDefault="00BD4D63" w:rsidP="00705987">
            <w:pPr>
              <w:spacing w:line="360" w:lineRule="auto"/>
              <w:jc w:val="center"/>
              <w:rPr>
                <w:lang w:val="en-GB"/>
              </w:rPr>
            </w:pPr>
            <w:r w:rsidRPr="00E612A1">
              <w:rPr>
                <w:lang w:val="en-GB"/>
              </w:rPr>
              <w:t>VSS (%)</w:t>
            </w:r>
          </w:p>
        </w:tc>
        <w:tc>
          <w:tcPr>
            <w:tcW w:w="1559" w:type="dxa"/>
            <w:vAlign w:val="center"/>
          </w:tcPr>
          <w:p w14:paraId="268A8FD1" w14:textId="77777777" w:rsidR="00BD4D63" w:rsidRPr="00E612A1" w:rsidRDefault="00BD4D63" w:rsidP="00705987">
            <w:pPr>
              <w:spacing w:line="360" w:lineRule="auto"/>
              <w:jc w:val="center"/>
              <w:rPr>
                <w:i/>
                <w:iCs/>
                <w:lang w:val="en-GB"/>
              </w:rPr>
            </w:pPr>
            <w:r w:rsidRPr="00E612A1">
              <w:rPr>
                <w:lang w:val="en-GB"/>
              </w:rPr>
              <w:t>79</w:t>
            </w:r>
          </w:p>
        </w:tc>
        <w:tc>
          <w:tcPr>
            <w:tcW w:w="1311" w:type="dxa"/>
            <w:vAlign w:val="center"/>
          </w:tcPr>
          <w:p w14:paraId="45AAB142" w14:textId="77777777" w:rsidR="00BD4D63" w:rsidRPr="00E612A1" w:rsidRDefault="00BD4D63" w:rsidP="00705987">
            <w:pPr>
              <w:spacing w:line="360" w:lineRule="auto"/>
              <w:jc w:val="center"/>
              <w:rPr>
                <w:i/>
                <w:iCs/>
                <w:lang w:val="en-GB"/>
              </w:rPr>
            </w:pPr>
            <w:r w:rsidRPr="00E612A1">
              <w:rPr>
                <w:lang w:val="en-GB"/>
              </w:rPr>
              <w:t>75</w:t>
            </w:r>
          </w:p>
        </w:tc>
        <w:tc>
          <w:tcPr>
            <w:tcW w:w="1323" w:type="dxa"/>
            <w:vAlign w:val="center"/>
          </w:tcPr>
          <w:p w14:paraId="189F0C11" w14:textId="77777777" w:rsidR="00BD4D63" w:rsidRPr="00E612A1" w:rsidRDefault="00BD4D63" w:rsidP="00705987">
            <w:pPr>
              <w:spacing w:line="360" w:lineRule="auto"/>
              <w:jc w:val="center"/>
              <w:rPr>
                <w:i/>
                <w:iCs/>
                <w:lang w:val="en-GB"/>
              </w:rPr>
            </w:pPr>
            <w:r w:rsidRPr="00E612A1">
              <w:rPr>
                <w:lang w:val="en-GB"/>
              </w:rPr>
              <w:t>75</w:t>
            </w:r>
          </w:p>
        </w:tc>
      </w:tr>
      <w:tr w:rsidR="00BD4D63" w:rsidRPr="00E612A1" w14:paraId="2E82C966" w14:textId="77777777" w:rsidTr="00705987">
        <w:trPr>
          <w:trHeight w:val="232"/>
        </w:trPr>
        <w:tc>
          <w:tcPr>
            <w:tcW w:w="1668" w:type="dxa"/>
            <w:vMerge/>
            <w:vAlign w:val="center"/>
          </w:tcPr>
          <w:p w14:paraId="69D70F8B" w14:textId="77777777" w:rsidR="00BD4D63" w:rsidRPr="00E612A1" w:rsidRDefault="00BD4D63" w:rsidP="00705987">
            <w:pPr>
              <w:spacing w:line="360" w:lineRule="auto"/>
              <w:jc w:val="center"/>
              <w:rPr>
                <w:lang w:val="en-GB"/>
              </w:rPr>
            </w:pPr>
          </w:p>
        </w:tc>
        <w:tc>
          <w:tcPr>
            <w:tcW w:w="1559" w:type="dxa"/>
            <w:vAlign w:val="center"/>
          </w:tcPr>
          <w:p w14:paraId="7A7C29E0" w14:textId="77777777" w:rsidR="00BD4D63" w:rsidRPr="00E612A1" w:rsidRDefault="00BD4D63" w:rsidP="00705987">
            <w:pPr>
              <w:spacing w:line="360" w:lineRule="auto"/>
              <w:jc w:val="center"/>
              <w:rPr>
                <w:lang w:val="en-GB"/>
              </w:rPr>
            </w:pPr>
            <w:r w:rsidRPr="00E612A1">
              <w:rPr>
                <w:lang w:val="en-GB"/>
              </w:rPr>
              <w:t>81−82</w:t>
            </w:r>
          </w:p>
        </w:tc>
        <w:tc>
          <w:tcPr>
            <w:tcW w:w="1311" w:type="dxa"/>
            <w:vAlign w:val="center"/>
          </w:tcPr>
          <w:p w14:paraId="085F632D" w14:textId="77777777" w:rsidR="00BD4D63" w:rsidRPr="00E612A1" w:rsidRDefault="00BD4D63" w:rsidP="00705987">
            <w:pPr>
              <w:spacing w:line="360" w:lineRule="auto"/>
              <w:jc w:val="center"/>
              <w:rPr>
                <w:lang w:val="en-GB"/>
              </w:rPr>
            </w:pPr>
            <w:r w:rsidRPr="00E612A1">
              <w:rPr>
                <w:lang w:val="en-GB"/>
              </w:rPr>
              <w:t>71−86</w:t>
            </w:r>
          </w:p>
        </w:tc>
        <w:tc>
          <w:tcPr>
            <w:tcW w:w="1323" w:type="dxa"/>
            <w:vAlign w:val="center"/>
          </w:tcPr>
          <w:p w14:paraId="4E6C5EEF" w14:textId="77777777" w:rsidR="00BD4D63" w:rsidRPr="00E612A1" w:rsidRDefault="00BD4D63" w:rsidP="00705987">
            <w:pPr>
              <w:spacing w:line="360" w:lineRule="auto"/>
              <w:jc w:val="center"/>
              <w:rPr>
                <w:lang w:val="en-GB"/>
              </w:rPr>
            </w:pPr>
            <w:r w:rsidRPr="00E612A1">
              <w:rPr>
                <w:lang w:val="en-GB"/>
              </w:rPr>
              <w:t>70−82</w:t>
            </w:r>
          </w:p>
        </w:tc>
      </w:tr>
      <w:tr w:rsidR="00BD4D63" w:rsidRPr="00E612A1" w14:paraId="74465CF2" w14:textId="77777777" w:rsidTr="00705987">
        <w:trPr>
          <w:trHeight w:val="232"/>
        </w:trPr>
        <w:tc>
          <w:tcPr>
            <w:tcW w:w="1668" w:type="dxa"/>
            <w:vMerge w:val="restart"/>
            <w:vAlign w:val="center"/>
          </w:tcPr>
          <w:p w14:paraId="6A7507F9" w14:textId="77777777" w:rsidR="00BD4D63" w:rsidRPr="00E612A1" w:rsidRDefault="00BD4D63" w:rsidP="00705987">
            <w:pPr>
              <w:spacing w:line="360" w:lineRule="auto"/>
              <w:jc w:val="center"/>
              <w:rPr>
                <w:lang w:val="en-GB"/>
              </w:rPr>
            </w:pPr>
            <w:r w:rsidRPr="00E612A1">
              <w:rPr>
                <w:lang w:val="en-GB"/>
              </w:rPr>
              <w:t>SVI (ml/g)</w:t>
            </w:r>
          </w:p>
        </w:tc>
        <w:tc>
          <w:tcPr>
            <w:tcW w:w="1559" w:type="dxa"/>
            <w:vAlign w:val="center"/>
          </w:tcPr>
          <w:p w14:paraId="25F3BB41" w14:textId="77777777" w:rsidR="00BD4D63" w:rsidRPr="00E612A1" w:rsidRDefault="00BD4D63" w:rsidP="00705987">
            <w:pPr>
              <w:spacing w:line="360" w:lineRule="auto"/>
              <w:jc w:val="center"/>
              <w:rPr>
                <w:i/>
                <w:iCs/>
                <w:lang w:val="en-GB"/>
              </w:rPr>
            </w:pPr>
            <w:r w:rsidRPr="00E612A1">
              <w:rPr>
                <w:lang w:val="en-GB"/>
              </w:rPr>
              <w:t>52</w:t>
            </w:r>
          </w:p>
        </w:tc>
        <w:tc>
          <w:tcPr>
            <w:tcW w:w="1311" w:type="dxa"/>
            <w:vAlign w:val="center"/>
          </w:tcPr>
          <w:p w14:paraId="0C80A077" w14:textId="77777777" w:rsidR="00BD4D63" w:rsidRPr="00E612A1" w:rsidRDefault="00BD4D63" w:rsidP="00705987">
            <w:pPr>
              <w:spacing w:line="360" w:lineRule="auto"/>
              <w:jc w:val="center"/>
              <w:rPr>
                <w:i/>
                <w:iCs/>
                <w:lang w:val="en-GB"/>
              </w:rPr>
            </w:pPr>
            <w:r w:rsidRPr="00E612A1">
              <w:rPr>
                <w:lang w:val="en-GB"/>
              </w:rPr>
              <w:t>48</w:t>
            </w:r>
          </w:p>
        </w:tc>
        <w:tc>
          <w:tcPr>
            <w:tcW w:w="1323" w:type="dxa"/>
            <w:vAlign w:val="center"/>
          </w:tcPr>
          <w:p w14:paraId="271F3BD0" w14:textId="77777777" w:rsidR="00BD4D63" w:rsidRPr="00E612A1" w:rsidRDefault="00BD4D63" w:rsidP="00705987">
            <w:pPr>
              <w:spacing w:line="360" w:lineRule="auto"/>
              <w:jc w:val="center"/>
              <w:rPr>
                <w:i/>
                <w:iCs/>
                <w:lang w:val="en-GB"/>
              </w:rPr>
            </w:pPr>
            <w:r w:rsidRPr="00E612A1">
              <w:rPr>
                <w:lang w:val="en-GB"/>
              </w:rPr>
              <w:t>51</w:t>
            </w:r>
          </w:p>
        </w:tc>
      </w:tr>
      <w:tr w:rsidR="00BD4D63" w:rsidRPr="00E612A1" w14:paraId="0357DEDA" w14:textId="77777777" w:rsidTr="00705987">
        <w:trPr>
          <w:trHeight w:val="232"/>
        </w:trPr>
        <w:tc>
          <w:tcPr>
            <w:tcW w:w="1668" w:type="dxa"/>
            <w:vMerge/>
            <w:vAlign w:val="center"/>
          </w:tcPr>
          <w:p w14:paraId="4A68AD92" w14:textId="77777777" w:rsidR="00BD4D63" w:rsidRPr="00E612A1" w:rsidRDefault="00BD4D63" w:rsidP="00705987">
            <w:pPr>
              <w:spacing w:line="360" w:lineRule="auto"/>
              <w:jc w:val="center"/>
              <w:rPr>
                <w:b/>
                <w:bCs/>
                <w:lang w:val="en-GB"/>
              </w:rPr>
            </w:pPr>
          </w:p>
        </w:tc>
        <w:tc>
          <w:tcPr>
            <w:tcW w:w="1559" w:type="dxa"/>
            <w:vAlign w:val="center"/>
          </w:tcPr>
          <w:p w14:paraId="2CD7850B" w14:textId="77777777" w:rsidR="00BD4D63" w:rsidRPr="00E612A1" w:rsidRDefault="00BD4D63" w:rsidP="00705987">
            <w:pPr>
              <w:spacing w:line="360" w:lineRule="auto"/>
              <w:jc w:val="center"/>
              <w:rPr>
                <w:lang w:val="en-GB"/>
              </w:rPr>
            </w:pPr>
            <w:r w:rsidRPr="00E612A1">
              <w:rPr>
                <w:lang w:val="en-GB"/>
              </w:rPr>
              <w:t>45−60</w:t>
            </w:r>
          </w:p>
        </w:tc>
        <w:tc>
          <w:tcPr>
            <w:tcW w:w="1311" w:type="dxa"/>
            <w:vAlign w:val="center"/>
          </w:tcPr>
          <w:p w14:paraId="6317CA04" w14:textId="77777777" w:rsidR="00BD4D63" w:rsidRPr="00E612A1" w:rsidRDefault="00BD4D63" w:rsidP="00705987">
            <w:pPr>
              <w:spacing w:line="360" w:lineRule="auto"/>
              <w:jc w:val="center"/>
              <w:rPr>
                <w:lang w:val="en-GB"/>
              </w:rPr>
            </w:pPr>
            <w:r w:rsidRPr="00E612A1">
              <w:rPr>
                <w:lang w:val="en-GB"/>
              </w:rPr>
              <w:t>43−49</w:t>
            </w:r>
          </w:p>
        </w:tc>
        <w:tc>
          <w:tcPr>
            <w:tcW w:w="1323" w:type="dxa"/>
            <w:vAlign w:val="center"/>
          </w:tcPr>
          <w:p w14:paraId="22ADDF2F" w14:textId="77777777" w:rsidR="00BD4D63" w:rsidRPr="00E612A1" w:rsidRDefault="00BD4D63" w:rsidP="00705987">
            <w:pPr>
              <w:spacing w:line="360" w:lineRule="auto"/>
              <w:jc w:val="center"/>
              <w:rPr>
                <w:lang w:val="en-GB"/>
              </w:rPr>
            </w:pPr>
            <w:r w:rsidRPr="00E612A1">
              <w:rPr>
                <w:lang w:val="en-GB"/>
              </w:rPr>
              <w:t>45−64</w:t>
            </w:r>
          </w:p>
        </w:tc>
      </w:tr>
    </w:tbl>
    <w:p w14:paraId="6BC01F06" w14:textId="77777777" w:rsidR="00422F0A" w:rsidRDefault="00422F0A" w:rsidP="009E72C5">
      <w:pPr>
        <w:pStyle w:val="Titulok3"/>
        <w:spacing w:before="0" w:line="360" w:lineRule="auto"/>
        <w:ind w:firstLine="357"/>
        <w:jc w:val="both"/>
        <w:rPr>
          <w:rFonts w:cs="Times New Roman"/>
          <w:bCs w:val="0"/>
          <w:i w:val="0"/>
          <w:iCs w:val="0"/>
          <w:sz w:val="24"/>
          <w:szCs w:val="24"/>
        </w:rPr>
      </w:pPr>
    </w:p>
    <w:p w14:paraId="72A85E53" w14:textId="0B77FACE" w:rsidR="005114B8" w:rsidRPr="00E612A1" w:rsidRDefault="009E72C5" w:rsidP="009E72C5">
      <w:pPr>
        <w:pStyle w:val="Titulok3"/>
        <w:spacing w:before="0" w:line="360" w:lineRule="auto"/>
        <w:ind w:firstLine="357"/>
        <w:jc w:val="both"/>
        <w:rPr>
          <w:rFonts w:cs="Times New Roman"/>
          <w:bCs w:val="0"/>
          <w:i w:val="0"/>
          <w:iCs w:val="0"/>
          <w:sz w:val="24"/>
          <w:szCs w:val="24"/>
        </w:rPr>
      </w:pPr>
      <w:r w:rsidRPr="009631F0">
        <w:rPr>
          <w:rFonts w:cs="Times New Roman"/>
          <w:bCs w:val="0"/>
          <w:i w:val="0"/>
          <w:iCs w:val="0"/>
          <w:sz w:val="24"/>
          <w:szCs w:val="24"/>
        </w:rPr>
        <w:lastRenderedPageBreak/>
        <w:t xml:space="preserve">Results from respirometric measurements obtained while testing industrial wastewater are shown in Table 4. The results confirm that oxic respiration activity </w:t>
      </w:r>
      <w:r>
        <w:rPr>
          <w:rFonts w:cs="Times New Roman"/>
          <w:bCs w:val="0"/>
          <w:i w:val="0"/>
          <w:iCs w:val="0"/>
          <w:sz w:val="24"/>
          <w:szCs w:val="24"/>
        </w:rPr>
        <w:t>(</w:t>
      </w:r>
      <w:r w:rsidRPr="009631F0">
        <w:rPr>
          <w:rFonts w:cs="Times New Roman"/>
          <w:bCs w:val="0"/>
          <w:i w:val="0"/>
          <w:iCs w:val="0"/>
          <w:sz w:val="24"/>
          <w:szCs w:val="24"/>
        </w:rPr>
        <w:t>i.e., ability to remove glucose as a reference substrate and industrial wastewater</w:t>
      </w:r>
      <w:r>
        <w:rPr>
          <w:rFonts w:cs="Times New Roman"/>
          <w:bCs w:val="0"/>
          <w:i w:val="0"/>
          <w:iCs w:val="0"/>
          <w:sz w:val="24"/>
          <w:szCs w:val="24"/>
        </w:rPr>
        <w:t>)</w:t>
      </w:r>
      <w:r w:rsidRPr="009631F0">
        <w:rPr>
          <w:rFonts w:cs="Times New Roman"/>
          <w:bCs w:val="0"/>
          <w:i w:val="0"/>
          <w:iCs w:val="0"/>
          <w:sz w:val="24"/>
          <w:szCs w:val="24"/>
        </w:rPr>
        <w:t xml:space="preserve"> has changed minimally during the operation of models R</w:t>
      </w:r>
      <w:r w:rsidRPr="009631F0">
        <w:rPr>
          <w:rFonts w:cs="Times New Roman"/>
          <w:bCs w:val="0"/>
          <w:i w:val="0"/>
          <w:iCs w:val="0"/>
          <w:sz w:val="24"/>
          <w:szCs w:val="24"/>
          <w:vertAlign w:val="subscript"/>
        </w:rPr>
        <w:t>1</w:t>
      </w:r>
      <w:r w:rsidRPr="009631F0">
        <w:rPr>
          <w:rFonts w:cs="Times New Roman"/>
          <w:bCs w:val="0"/>
          <w:i w:val="0"/>
          <w:iCs w:val="0"/>
          <w:sz w:val="24"/>
          <w:szCs w:val="24"/>
        </w:rPr>
        <w:t>, R</w:t>
      </w:r>
      <w:r w:rsidRPr="009631F0">
        <w:rPr>
          <w:rFonts w:cs="Times New Roman"/>
          <w:bCs w:val="0"/>
          <w:i w:val="0"/>
          <w:iCs w:val="0"/>
          <w:sz w:val="24"/>
          <w:szCs w:val="24"/>
          <w:vertAlign w:val="subscript"/>
        </w:rPr>
        <w:t>2</w:t>
      </w:r>
      <w:r w:rsidRPr="009631F0">
        <w:rPr>
          <w:rFonts w:cs="Times New Roman"/>
          <w:bCs w:val="0"/>
          <w:i w:val="0"/>
          <w:iCs w:val="0"/>
          <w:sz w:val="24"/>
          <w:szCs w:val="24"/>
        </w:rPr>
        <w:t>,</w:t>
      </w:r>
      <w:r w:rsidRPr="009631F0">
        <w:rPr>
          <w:rFonts w:cs="Times New Roman"/>
          <w:bCs w:val="0"/>
          <w:i w:val="0"/>
          <w:iCs w:val="0"/>
          <w:sz w:val="24"/>
          <w:szCs w:val="24"/>
          <w:vertAlign w:val="subscript"/>
        </w:rPr>
        <w:t xml:space="preserve"> </w:t>
      </w:r>
      <w:r>
        <w:rPr>
          <w:rFonts w:cs="Times New Roman"/>
          <w:bCs w:val="0"/>
          <w:i w:val="0"/>
          <w:iCs w:val="0"/>
          <w:sz w:val="24"/>
          <w:szCs w:val="24"/>
        </w:rPr>
        <w:t xml:space="preserve">and </w:t>
      </w:r>
      <w:r w:rsidRPr="009631F0">
        <w:rPr>
          <w:rFonts w:cs="Times New Roman"/>
          <w:bCs w:val="0"/>
          <w:i w:val="0"/>
          <w:iCs w:val="0"/>
          <w:sz w:val="24"/>
          <w:szCs w:val="24"/>
        </w:rPr>
        <w:t>R</w:t>
      </w:r>
      <w:r w:rsidRPr="009631F0">
        <w:rPr>
          <w:rFonts w:cs="Times New Roman"/>
          <w:bCs w:val="0"/>
          <w:i w:val="0"/>
          <w:iCs w:val="0"/>
          <w:sz w:val="24"/>
          <w:szCs w:val="24"/>
          <w:vertAlign w:val="subscript"/>
        </w:rPr>
        <w:t>3</w:t>
      </w:r>
      <w:r w:rsidRPr="009631F0">
        <w:rPr>
          <w:rFonts w:cs="Times New Roman"/>
          <w:bCs w:val="0"/>
          <w:i w:val="0"/>
          <w:iCs w:val="0"/>
          <w:sz w:val="24"/>
          <w:szCs w:val="24"/>
        </w:rPr>
        <w:t>. The main conclusion is that industrial wastewater was not toxic to the biomass. The measured respiration rates in Table 4 are also compared with the recommended rates and even though they are at the lower end of the typical values from literature</w:t>
      </w:r>
      <w:r w:rsidR="00871553">
        <w:rPr>
          <w:rFonts w:cs="Times New Roman"/>
          <w:bCs w:val="0"/>
          <w:i w:val="0"/>
          <w:iCs w:val="0"/>
          <w:sz w:val="24"/>
          <w:szCs w:val="24"/>
          <w:vertAlign w:val="superscript"/>
        </w:rPr>
        <w:t>30</w:t>
      </w:r>
      <w:r>
        <w:rPr>
          <w:rFonts w:cs="Times New Roman"/>
          <w:bCs w:val="0"/>
          <w:i w:val="0"/>
          <w:iCs w:val="0"/>
          <w:sz w:val="24"/>
          <w:szCs w:val="24"/>
        </w:rPr>
        <w:t>,</w:t>
      </w:r>
      <w:r>
        <w:rPr>
          <w:rFonts w:cs="Times New Roman"/>
          <w:bCs w:val="0"/>
          <w:i w:val="0"/>
          <w:iCs w:val="0"/>
          <w:sz w:val="24"/>
          <w:szCs w:val="24"/>
          <w:vertAlign w:val="superscript"/>
        </w:rPr>
        <w:t xml:space="preserve"> </w:t>
      </w:r>
      <w:r w:rsidRPr="009631F0">
        <w:rPr>
          <w:rFonts w:cs="Times New Roman"/>
          <w:bCs w:val="0"/>
          <w:i w:val="0"/>
          <w:iCs w:val="0"/>
          <w:sz w:val="24"/>
          <w:szCs w:val="24"/>
        </w:rPr>
        <w:t>they are still acceptable and do not affect the previous statement.</w:t>
      </w:r>
    </w:p>
    <w:p w14:paraId="4047F61D" w14:textId="765406E7" w:rsidR="005114B8" w:rsidRPr="00456F8A" w:rsidRDefault="005114B8" w:rsidP="009E5D26">
      <w:pPr>
        <w:pStyle w:val="TextNadTabulku"/>
        <w:spacing w:line="360" w:lineRule="auto"/>
        <w:rPr>
          <w:sz w:val="24"/>
          <w:szCs w:val="24"/>
        </w:rPr>
      </w:pPr>
      <w:r w:rsidRPr="00456F8A">
        <w:rPr>
          <w:b/>
          <w:sz w:val="24"/>
          <w:szCs w:val="24"/>
        </w:rPr>
        <w:t>Tab</w:t>
      </w:r>
      <w:r w:rsidR="004316B5" w:rsidRPr="00456F8A">
        <w:rPr>
          <w:b/>
          <w:sz w:val="24"/>
          <w:szCs w:val="24"/>
        </w:rPr>
        <w:t>le</w:t>
      </w:r>
      <w:r w:rsidRPr="00456F8A">
        <w:rPr>
          <w:b/>
          <w:sz w:val="24"/>
          <w:szCs w:val="24"/>
        </w:rPr>
        <w:t xml:space="preserve"> 4.</w:t>
      </w:r>
      <w:r w:rsidR="00C77F8D" w:rsidRPr="00456F8A">
        <w:rPr>
          <w:sz w:val="24"/>
          <w:szCs w:val="24"/>
        </w:rPr>
        <w:t xml:space="preserve"> </w:t>
      </w:r>
      <w:r w:rsidRPr="00456F8A">
        <w:rPr>
          <w:rFonts w:cs="Times New Roman"/>
          <w:sz w:val="24"/>
          <w:szCs w:val="24"/>
        </w:rPr>
        <w:t>Results of respirometric measurements</w:t>
      </w:r>
      <w:r w:rsidR="004316B5" w:rsidRPr="00456F8A">
        <w:rPr>
          <w:rFonts w:cs="Times New Roman"/>
          <w:sz w:val="24"/>
          <w:szCs w:val="24"/>
        </w:rPr>
        <w:t>.</w:t>
      </w:r>
    </w:p>
    <w:tbl>
      <w:tblPr>
        <w:tblStyle w:val="Mriekatabuky"/>
        <w:tblW w:w="979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73"/>
        <w:gridCol w:w="1788"/>
        <w:gridCol w:w="1134"/>
        <w:gridCol w:w="1334"/>
        <w:gridCol w:w="1409"/>
        <w:gridCol w:w="1559"/>
      </w:tblGrid>
      <w:tr w:rsidR="005114B8" w:rsidRPr="00E612A1" w14:paraId="21EAD9A3" w14:textId="77777777" w:rsidTr="004A0115">
        <w:trPr>
          <w:trHeight w:val="532"/>
        </w:trPr>
        <w:tc>
          <w:tcPr>
            <w:tcW w:w="2573" w:type="dxa"/>
            <w:tcBorders>
              <w:top w:val="single" w:sz="4" w:space="0" w:color="000000"/>
              <w:bottom w:val="single" w:sz="4" w:space="0" w:color="000000"/>
            </w:tcBorders>
            <w:vAlign w:val="center"/>
          </w:tcPr>
          <w:p w14:paraId="23B99ACB" w14:textId="77777777" w:rsidR="005114B8" w:rsidRPr="00E612A1" w:rsidRDefault="005114B8" w:rsidP="009E5D26">
            <w:pPr>
              <w:spacing w:line="360" w:lineRule="auto"/>
              <w:jc w:val="center"/>
              <w:rPr>
                <w:b/>
                <w:lang w:val="en-GB"/>
              </w:rPr>
            </w:pPr>
            <w:r w:rsidRPr="00E612A1">
              <w:rPr>
                <w:b/>
                <w:lang w:val="en-GB"/>
              </w:rPr>
              <w:t>Respirometric rates</w:t>
            </w:r>
          </w:p>
        </w:tc>
        <w:tc>
          <w:tcPr>
            <w:tcW w:w="1788" w:type="dxa"/>
            <w:tcBorders>
              <w:top w:val="single" w:sz="4" w:space="0" w:color="000000"/>
              <w:bottom w:val="single" w:sz="4" w:space="0" w:color="000000"/>
            </w:tcBorders>
            <w:vAlign w:val="center"/>
          </w:tcPr>
          <w:p w14:paraId="22741293" w14:textId="53B91858" w:rsidR="005114B8" w:rsidRPr="00E612A1" w:rsidRDefault="005114B8" w:rsidP="009E5D26">
            <w:pPr>
              <w:spacing w:line="360" w:lineRule="auto"/>
              <w:jc w:val="center"/>
              <w:rPr>
                <w:b/>
                <w:bCs/>
                <w:lang w:val="en-GB"/>
              </w:rPr>
            </w:pPr>
            <w:r w:rsidRPr="00E612A1">
              <w:rPr>
                <w:b/>
                <w:lang w:val="en-GB"/>
              </w:rPr>
              <w:t>Typical values according to Bodík et al.</w:t>
            </w:r>
            <w:r w:rsidR="00871553" w:rsidRPr="00871553">
              <w:rPr>
                <w:b/>
                <w:vertAlign w:val="superscript"/>
                <w:lang w:val="en-GB"/>
              </w:rPr>
              <w:t>30</w:t>
            </w:r>
          </w:p>
        </w:tc>
        <w:tc>
          <w:tcPr>
            <w:tcW w:w="1134" w:type="dxa"/>
            <w:tcBorders>
              <w:top w:val="single" w:sz="4" w:space="0" w:color="000000"/>
              <w:bottom w:val="single" w:sz="4" w:space="0" w:color="000000"/>
            </w:tcBorders>
            <w:vAlign w:val="center"/>
          </w:tcPr>
          <w:p w14:paraId="59F9470D" w14:textId="7F3952F4" w:rsidR="005114B8" w:rsidRPr="00E612A1" w:rsidRDefault="005114B8" w:rsidP="009E5D26">
            <w:pPr>
              <w:spacing w:line="360" w:lineRule="auto"/>
              <w:jc w:val="center"/>
              <w:rPr>
                <w:b/>
                <w:bCs/>
                <w:lang w:val="en-GB"/>
              </w:rPr>
            </w:pPr>
            <w:r w:rsidRPr="00E612A1">
              <w:rPr>
                <w:b/>
                <w:bCs/>
                <w:lang w:val="en-GB"/>
              </w:rPr>
              <w:t>Day 0</w:t>
            </w:r>
            <w:r w:rsidR="004A0115" w:rsidRPr="00E612A1">
              <w:rPr>
                <w:b/>
                <w:bCs/>
                <w:vertAlign w:val="superscript"/>
                <w:lang w:val="en-GB"/>
              </w:rPr>
              <w:t>a</w:t>
            </w:r>
            <w:r w:rsidRPr="00E612A1">
              <w:rPr>
                <w:b/>
                <w:bCs/>
                <w:vertAlign w:val="superscript"/>
                <w:lang w:val="en-GB"/>
              </w:rPr>
              <w:t>)</w:t>
            </w:r>
          </w:p>
        </w:tc>
        <w:tc>
          <w:tcPr>
            <w:tcW w:w="1334" w:type="dxa"/>
            <w:tcBorders>
              <w:top w:val="single" w:sz="4" w:space="0" w:color="000000"/>
              <w:bottom w:val="single" w:sz="4" w:space="0" w:color="000000"/>
            </w:tcBorders>
            <w:vAlign w:val="center"/>
          </w:tcPr>
          <w:p w14:paraId="4B2799A9" w14:textId="77777777" w:rsidR="005114B8" w:rsidRPr="00E612A1" w:rsidRDefault="005114B8" w:rsidP="009E5D26">
            <w:pPr>
              <w:pBdr>
                <w:between w:val="single" w:sz="4" w:space="0" w:color="000000"/>
              </w:pBdr>
              <w:spacing w:line="360" w:lineRule="auto"/>
              <w:jc w:val="center"/>
              <w:rPr>
                <w:b/>
                <w:lang w:val="en-GB"/>
              </w:rPr>
            </w:pPr>
          </w:p>
          <w:p w14:paraId="493EBD5D" w14:textId="77777777" w:rsidR="005114B8" w:rsidRPr="00E612A1" w:rsidRDefault="005114B8" w:rsidP="009E5D26">
            <w:pPr>
              <w:pBdr>
                <w:between w:val="single" w:sz="4" w:space="0" w:color="000000"/>
              </w:pBdr>
              <w:spacing w:line="360" w:lineRule="auto"/>
              <w:jc w:val="center"/>
              <w:rPr>
                <w:b/>
                <w:lang w:val="en-GB"/>
              </w:rPr>
            </w:pPr>
            <w:r w:rsidRPr="00E612A1">
              <w:rPr>
                <w:b/>
                <w:lang w:val="en-GB"/>
              </w:rPr>
              <w:t>(Model R</w:t>
            </w:r>
            <w:r w:rsidRPr="00E612A1">
              <w:rPr>
                <w:b/>
                <w:vertAlign w:val="subscript"/>
                <w:lang w:val="en-GB"/>
              </w:rPr>
              <w:t>1</w:t>
            </w:r>
            <w:r w:rsidRPr="00E612A1">
              <w:rPr>
                <w:b/>
                <w:lang w:val="en-GB"/>
              </w:rPr>
              <w:t>)</w:t>
            </w:r>
          </w:p>
        </w:tc>
        <w:tc>
          <w:tcPr>
            <w:tcW w:w="1409" w:type="dxa"/>
            <w:tcBorders>
              <w:top w:val="single" w:sz="4" w:space="0" w:color="000000"/>
              <w:bottom w:val="single" w:sz="4" w:space="0" w:color="000000"/>
            </w:tcBorders>
            <w:vAlign w:val="center"/>
          </w:tcPr>
          <w:p w14:paraId="06F371E1" w14:textId="0CB63C01" w:rsidR="005114B8" w:rsidRPr="00E612A1" w:rsidRDefault="005114B8" w:rsidP="009E5D26">
            <w:pPr>
              <w:pBdr>
                <w:between w:val="single" w:sz="4" w:space="0" w:color="000000"/>
              </w:pBdr>
              <w:spacing w:line="360" w:lineRule="auto"/>
              <w:jc w:val="center"/>
              <w:rPr>
                <w:b/>
                <w:lang w:val="en-GB"/>
              </w:rPr>
            </w:pPr>
            <w:r w:rsidRPr="00E612A1">
              <w:rPr>
                <w:b/>
                <w:lang w:val="en-GB"/>
              </w:rPr>
              <w:t>Day 22</w:t>
            </w:r>
            <w:r w:rsidR="004A0115" w:rsidRPr="00E612A1">
              <w:rPr>
                <w:b/>
                <w:vertAlign w:val="superscript"/>
                <w:lang w:val="en-GB"/>
              </w:rPr>
              <w:t>b</w:t>
            </w:r>
            <w:r w:rsidRPr="00E612A1">
              <w:rPr>
                <w:b/>
                <w:vertAlign w:val="superscript"/>
                <w:lang w:val="en-GB"/>
              </w:rPr>
              <w:t>)</w:t>
            </w:r>
          </w:p>
          <w:p w14:paraId="44647717" w14:textId="77777777" w:rsidR="005114B8" w:rsidRPr="00E612A1" w:rsidRDefault="005114B8" w:rsidP="009E5D26">
            <w:pPr>
              <w:pBdr>
                <w:between w:val="single" w:sz="4" w:space="0" w:color="000000"/>
              </w:pBdr>
              <w:spacing w:line="360" w:lineRule="auto"/>
              <w:jc w:val="center"/>
              <w:rPr>
                <w:b/>
                <w:lang w:val="en-GB"/>
              </w:rPr>
            </w:pPr>
            <w:r w:rsidRPr="00E612A1">
              <w:rPr>
                <w:b/>
                <w:lang w:val="en-GB"/>
              </w:rPr>
              <w:t>(Model R</w:t>
            </w:r>
            <w:r w:rsidRPr="00E612A1">
              <w:rPr>
                <w:b/>
                <w:vertAlign w:val="subscript"/>
                <w:lang w:val="en-GB"/>
              </w:rPr>
              <w:t>2</w:t>
            </w:r>
            <w:r w:rsidRPr="00E612A1">
              <w:rPr>
                <w:b/>
                <w:lang w:val="en-GB"/>
              </w:rPr>
              <w:t>)</w:t>
            </w:r>
          </w:p>
        </w:tc>
        <w:tc>
          <w:tcPr>
            <w:tcW w:w="1559" w:type="dxa"/>
            <w:tcBorders>
              <w:top w:val="single" w:sz="4" w:space="0" w:color="000000"/>
              <w:bottom w:val="single" w:sz="4" w:space="0" w:color="000000"/>
            </w:tcBorders>
            <w:vAlign w:val="center"/>
          </w:tcPr>
          <w:p w14:paraId="5D398997" w14:textId="77777777" w:rsidR="005114B8" w:rsidRPr="00E612A1" w:rsidRDefault="005114B8" w:rsidP="009E5D26">
            <w:pPr>
              <w:pBdr>
                <w:between w:val="single" w:sz="4" w:space="0" w:color="000000"/>
              </w:pBdr>
              <w:spacing w:line="360" w:lineRule="auto"/>
              <w:jc w:val="center"/>
              <w:rPr>
                <w:b/>
                <w:lang w:val="en-GB"/>
              </w:rPr>
            </w:pPr>
          </w:p>
          <w:p w14:paraId="036056B4" w14:textId="4628AA1C" w:rsidR="005114B8" w:rsidRPr="00E612A1" w:rsidRDefault="005114B8" w:rsidP="009E5D26">
            <w:pPr>
              <w:pBdr>
                <w:between w:val="single" w:sz="4" w:space="0" w:color="000000"/>
              </w:pBdr>
              <w:spacing w:line="360" w:lineRule="auto"/>
              <w:jc w:val="center"/>
              <w:rPr>
                <w:b/>
                <w:lang w:val="en-GB"/>
              </w:rPr>
            </w:pPr>
            <w:r w:rsidRPr="00E612A1">
              <w:rPr>
                <w:b/>
                <w:lang w:val="en-GB"/>
              </w:rPr>
              <w:t>(Model R</w:t>
            </w:r>
            <w:r w:rsidRPr="00E612A1">
              <w:rPr>
                <w:b/>
                <w:vertAlign w:val="subscript"/>
                <w:lang w:val="en-GB"/>
              </w:rPr>
              <w:t>3</w:t>
            </w:r>
            <w:r w:rsidRPr="00E612A1">
              <w:rPr>
                <w:b/>
                <w:lang w:val="en-GB"/>
              </w:rPr>
              <w:t>)</w:t>
            </w:r>
          </w:p>
        </w:tc>
      </w:tr>
      <w:tr w:rsidR="005114B8" w:rsidRPr="00E612A1" w14:paraId="2D9A974E" w14:textId="77777777" w:rsidTr="004A0115">
        <w:trPr>
          <w:trHeight w:val="176"/>
        </w:trPr>
        <w:tc>
          <w:tcPr>
            <w:tcW w:w="2573" w:type="dxa"/>
            <w:tcBorders>
              <w:top w:val="single" w:sz="4" w:space="0" w:color="000000"/>
            </w:tcBorders>
            <w:vAlign w:val="center"/>
          </w:tcPr>
          <w:p w14:paraId="49ABF611" w14:textId="77777777" w:rsidR="005114B8" w:rsidRPr="00E612A1" w:rsidRDefault="005114B8" w:rsidP="009E5D26">
            <w:pPr>
              <w:spacing w:line="360" w:lineRule="auto"/>
              <w:jc w:val="center"/>
              <w:rPr>
                <w:lang w:val="en-GB"/>
              </w:rPr>
            </w:pPr>
            <w:r w:rsidRPr="00E612A1">
              <w:rPr>
                <w:lang w:val="en-GB"/>
              </w:rPr>
              <w:t>r</w:t>
            </w:r>
            <w:r w:rsidRPr="00E612A1">
              <w:rPr>
                <w:vertAlign w:val="subscript"/>
                <w:lang w:val="en-GB"/>
              </w:rPr>
              <w:t>X,ox,en</w:t>
            </w:r>
            <w:r w:rsidRPr="00E612A1">
              <w:rPr>
                <w:lang w:val="en-GB"/>
              </w:rPr>
              <w:t xml:space="preserve"> (mg</w:t>
            </w:r>
            <w:r w:rsidRPr="00E612A1">
              <w:rPr>
                <w:vertAlign w:val="subscript"/>
                <w:lang w:val="en-GB"/>
              </w:rPr>
              <w:t>O2</w:t>
            </w:r>
            <w:r w:rsidRPr="00E612A1">
              <w:rPr>
                <w:lang w:val="en-GB"/>
              </w:rPr>
              <w:t>/g·h)</w:t>
            </w:r>
          </w:p>
        </w:tc>
        <w:tc>
          <w:tcPr>
            <w:tcW w:w="1788" w:type="dxa"/>
            <w:tcBorders>
              <w:top w:val="single" w:sz="4" w:space="0" w:color="000000"/>
            </w:tcBorders>
            <w:vAlign w:val="center"/>
          </w:tcPr>
          <w:p w14:paraId="650BB853" w14:textId="77777777" w:rsidR="005114B8" w:rsidRPr="00E612A1" w:rsidRDefault="005114B8" w:rsidP="009E5D26">
            <w:pPr>
              <w:spacing w:line="360" w:lineRule="auto"/>
              <w:jc w:val="center"/>
              <w:rPr>
                <w:lang w:val="en-GB"/>
              </w:rPr>
            </w:pPr>
            <w:r w:rsidRPr="00E612A1">
              <w:rPr>
                <w:lang w:val="en-GB"/>
              </w:rPr>
              <w:t>1−10</w:t>
            </w:r>
          </w:p>
        </w:tc>
        <w:tc>
          <w:tcPr>
            <w:tcW w:w="1134" w:type="dxa"/>
            <w:tcBorders>
              <w:top w:val="single" w:sz="4" w:space="0" w:color="000000"/>
            </w:tcBorders>
            <w:vAlign w:val="center"/>
          </w:tcPr>
          <w:p w14:paraId="0DAB334E" w14:textId="77777777" w:rsidR="005114B8" w:rsidRPr="00E612A1" w:rsidRDefault="005114B8" w:rsidP="009E5D26">
            <w:pPr>
              <w:spacing w:line="360" w:lineRule="auto"/>
              <w:jc w:val="center"/>
              <w:rPr>
                <w:lang w:val="en-GB"/>
              </w:rPr>
            </w:pPr>
            <w:r w:rsidRPr="00E612A1">
              <w:rPr>
                <w:lang w:val="en-GB"/>
              </w:rPr>
              <w:t>3</w:t>
            </w:r>
          </w:p>
        </w:tc>
        <w:tc>
          <w:tcPr>
            <w:tcW w:w="1334" w:type="dxa"/>
            <w:tcBorders>
              <w:top w:val="single" w:sz="4" w:space="0" w:color="000000"/>
            </w:tcBorders>
            <w:vAlign w:val="center"/>
          </w:tcPr>
          <w:p w14:paraId="7BDBE111" w14:textId="77777777" w:rsidR="005114B8" w:rsidRPr="00E612A1" w:rsidRDefault="005114B8" w:rsidP="009E5D26">
            <w:pPr>
              <w:spacing w:line="360" w:lineRule="auto"/>
              <w:jc w:val="center"/>
              <w:rPr>
                <w:lang w:val="en-GB"/>
              </w:rPr>
            </w:pPr>
            <w:r w:rsidRPr="00E612A1">
              <w:rPr>
                <w:lang w:val="en-GB"/>
              </w:rPr>
              <w:t>4</w:t>
            </w:r>
          </w:p>
        </w:tc>
        <w:tc>
          <w:tcPr>
            <w:tcW w:w="1409" w:type="dxa"/>
            <w:tcBorders>
              <w:top w:val="single" w:sz="4" w:space="0" w:color="000000"/>
            </w:tcBorders>
            <w:vAlign w:val="center"/>
          </w:tcPr>
          <w:p w14:paraId="3D56500C" w14:textId="77777777" w:rsidR="005114B8" w:rsidRPr="00E612A1" w:rsidRDefault="005114B8" w:rsidP="009E5D26">
            <w:pPr>
              <w:spacing w:line="360" w:lineRule="auto"/>
              <w:jc w:val="center"/>
              <w:rPr>
                <w:lang w:val="en-GB"/>
              </w:rPr>
            </w:pPr>
            <w:r w:rsidRPr="00E612A1">
              <w:rPr>
                <w:lang w:val="en-GB"/>
              </w:rPr>
              <w:t>3</w:t>
            </w:r>
          </w:p>
        </w:tc>
        <w:tc>
          <w:tcPr>
            <w:tcW w:w="1559" w:type="dxa"/>
            <w:tcBorders>
              <w:top w:val="single" w:sz="4" w:space="0" w:color="000000"/>
            </w:tcBorders>
            <w:vAlign w:val="center"/>
          </w:tcPr>
          <w:p w14:paraId="3349B467" w14:textId="77777777" w:rsidR="005114B8" w:rsidRPr="00E612A1" w:rsidRDefault="005114B8" w:rsidP="009E5D26">
            <w:pPr>
              <w:spacing w:line="360" w:lineRule="auto"/>
              <w:jc w:val="center"/>
              <w:rPr>
                <w:lang w:val="en-GB"/>
              </w:rPr>
            </w:pPr>
            <w:r w:rsidRPr="00E612A1">
              <w:rPr>
                <w:lang w:val="en-GB"/>
              </w:rPr>
              <w:t>4</w:t>
            </w:r>
          </w:p>
        </w:tc>
      </w:tr>
      <w:tr w:rsidR="005114B8" w:rsidRPr="00E612A1" w14:paraId="1D29B739" w14:textId="77777777" w:rsidTr="004A0115">
        <w:trPr>
          <w:trHeight w:val="176"/>
        </w:trPr>
        <w:tc>
          <w:tcPr>
            <w:tcW w:w="2573" w:type="dxa"/>
            <w:vAlign w:val="center"/>
          </w:tcPr>
          <w:p w14:paraId="1EAB548B" w14:textId="77777777" w:rsidR="005114B8" w:rsidRPr="00E612A1" w:rsidRDefault="005114B8" w:rsidP="009E5D26">
            <w:pPr>
              <w:spacing w:line="360" w:lineRule="auto"/>
              <w:jc w:val="center"/>
              <w:rPr>
                <w:lang w:val="en-GB"/>
              </w:rPr>
            </w:pPr>
            <w:r w:rsidRPr="00E612A1">
              <w:rPr>
                <w:lang w:val="en-GB"/>
              </w:rPr>
              <w:t>r</w:t>
            </w:r>
            <w:r w:rsidRPr="00E612A1">
              <w:rPr>
                <w:vertAlign w:val="subscript"/>
                <w:lang w:val="en-GB"/>
              </w:rPr>
              <w:t xml:space="preserve">X,ox </w:t>
            </w:r>
            <w:r w:rsidRPr="00E612A1">
              <w:rPr>
                <w:lang w:val="en-GB"/>
              </w:rPr>
              <w:t>(mg</w:t>
            </w:r>
            <w:r w:rsidRPr="00E612A1">
              <w:rPr>
                <w:vertAlign w:val="subscript"/>
                <w:lang w:val="en-GB"/>
              </w:rPr>
              <w:t>O2</w:t>
            </w:r>
            <w:r w:rsidRPr="00E612A1">
              <w:rPr>
                <w:lang w:val="en-GB"/>
              </w:rPr>
              <w:t>/g·h)</w:t>
            </w:r>
          </w:p>
        </w:tc>
        <w:tc>
          <w:tcPr>
            <w:tcW w:w="1788" w:type="dxa"/>
            <w:vAlign w:val="center"/>
          </w:tcPr>
          <w:p w14:paraId="2DD71DBB" w14:textId="77777777" w:rsidR="005114B8" w:rsidRPr="00E612A1" w:rsidRDefault="005114B8" w:rsidP="009E5D26">
            <w:pPr>
              <w:spacing w:line="360" w:lineRule="auto"/>
              <w:jc w:val="center"/>
              <w:rPr>
                <w:lang w:val="en-GB"/>
              </w:rPr>
            </w:pPr>
            <w:r w:rsidRPr="00E612A1">
              <w:rPr>
                <w:lang w:val="en-GB"/>
              </w:rPr>
              <w:t>10−100</w:t>
            </w:r>
          </w:p>
        </w:tc>
        <w:tc>
          <w:tcPr>
            <w:tcW w:w="1134" w:type="dxa"/>
            <w:vAlign w:val="center"/>
          </w:tcPr>
          <w:p w14:paraId="309C627B" w14:textId="77777777" w:rsidR="005114B8" w:rsidRPr="00E612A1" w:rsidRDefault="005114B8" w:rsidP="009E5D26">
            <w:pPr>
              <w:spacing w:line="360" w:lineRule="auto"/>
              <w:jc w:val="center"/>
              <w:rPr>
                <w:lang w:val="en-GB"/>
              </w:rPr>
            </w:pPr>
            <w:r w:rsidRPr="00E612A1">
              <w:rPr>
                <w:lang w:val="en-GB"/>
              </w:rPr>
              <w:t>20</w:t>
            </w:r>
          </w:p>
        </w:tc>
        <w:tc>
          <w:tcPr>
            <w:tcW w:w="1334" w:type="dxa"/>
            <w:vAlign w:val="center"/>
          </w:tcPr>
          <w:p w14:paraId="7A7AD076" w14:textId="77777777" w:rsidR="005114B8" w:rsidRPr="00E612A1" w:rsidRDefault="005114B8" w:rsidP="009E5D26">
            <w:pPr>
              <w:spacing w:line="360" w:lineRule="auto"/>
              <w:jc w:val="center"/>
              <w:rPr>
                <w:lang w:val="en-GB"/>
              </w:rPr>
            </w:pPr>
            <w:r w:rsidRPr="00E612A1">
              <w:rPr>
                <w:lang w:val="en-GB"/>
              </w:rPr>
              <w:t>22</w:t>
            </w:r>
          </w:p>
        </w:tc>
        <w:tc>
          <w:tcPr>
            <w:tcW w:w="1409" w:type="dxa"/>
            <w:vAlign w:val="center"/>
          </w:tcPr>
          <w:p w14:paraId="549C3F85" w14:textId="77777777" w:rsidR="005114B8" w:rsidRPr="00E612A1" w:rsidRDefault="005114B8" w:rsidP="009E5D26">
            <w:pPr>
              <w:spacing w:line="360" w:lineRule="auto"/>
              <w:jc w:val="center"/>
              <w:rPr>
                <w:lang w:val="en-GB"/>
              </w:rPr>
            </w:pPr>
            <w:r w:rsidRPr="00E612A1">
              <w:rPr>
                <w:lang w:val="en-GB"/>
              </w:rPr>
              <w:t>22</w:t>
            </w:r>
          </w:p>
        </w:tc>
        <w:tc>
          <w:tcPr>
            <w:tcW w:w="1559" w:type="dxa"/>
            <w:vAlign w:val="center"/>
          </w:tcPr>
          <w:p w14:paraId="093DA683" w14:textId="77777777" w:rsidR="005114B8" w:rsidRPr="00E612A1" w:rsidRDefault="005114B8" w:rsidP="009E5D26">
            <w:pPr>
              <w:spacing w:line="360" w:lineRule="auto"/>
              <w:jc w:val="center"/>
              <w:rPr>
                <w:lang w:val="en-GB"/>
              </w:rPr>
            </w:pPr>
            <w:r w:rsidRPr="00E612A1">
              <w:rPr>
                <w:lang w:val="en-GB"/>
              </w:rPr>
              <w:t>20</w:t>
            </w:r>
          </w:p>
        </w:tc>
      </w:tr>
      <w:tr w:rsidR="005114B8" w:rsidRPr="00E612A1" w14:paraId="38A5811E" w14:textId="77777777" w:rsidTr="004A0115">
        <w:trPr>
          <w:trHeight w:val="353"/>
        </w:trPr>
        <w:tc>
          <w:tcPr>
            <w:tcW w:w="2573" w:type="dxa"/>
            <w:vAlign w:val="center"/>
          </w:tcPr>
          <w:p w14:paraId="6466D20F" w14:textId="77777777" w:rsidR="005114B8" w:rsidRPr="00E612A1" w:rsidRDefault="005114B8" w:rsidP="009E5D26">
            <w:pPr>
              <w:spacing w:line="360" w:lineRule="auto"/>
              <w:jc w:val="center"/>
              <w:rPr>
                <w:lang w:val="en-GB"/>
              </w:rPr>
            </w:pPr>
            <w:r w:rsidRPr="00E612A1">
              <w:rPr>
                <w:lang w:val="en-GB"/>
              </w:rPr>
              <w:t>r</w:t>
            </w:r>
            <w:r w:rsidRPr="00E612A1">
              <w:rPr>
                <w:vertAlign w:val="subscript"/>
                <w:lang w:val="en-GB"/>
              </w:rPr>
              <w:t xml:space="preserve">X,max </w:t>
            </w:r>
            <w:r w:rsidRPr="00E612A1">
              <w:rPr>
                <w:lang w:val="en-GB"/>
              </w:rPr>
              <w:t>(mg</w:t>
            </w:r>
            <w:r w:rsidRPr="00E612A1">
              <w:rPr>
                <w:vertAlign w:val="subscript"/>
                <w:lang w:val="en-GB"/>
              </w:rPr>
              <w:t>COD</w:t>
            </w:r>
            <w:r w:rsidRPr="00E612A1">
              <w:rPr>
                <w:lang w:val="en-GB"/>
              </w:rPr>
              <w:t>/g·h)</w:t>
            </w:r>
          </w:p>
        </w:tc>
        <w:tc>
          <w:tcPr>
            <w:tcW w:w="1788" w:type="dxa"/>
            <w:vAlign w:val="center"/>
          </w:tcPr>
          <w:p w14:paraId="579566CF" w14:textId="77777777" w:rsidR="005114B8" w:rsidRPr="00E612A1" w:rsidRDefault="005114B8" w:rsidP="009E5D26">
            <w:pPr>
              <w:spacing w:line="360" w:lineRule="auto"/>
              <w:jc w:val="center"/>
              <w:rPr>
                <w:lang w:val="en-GB"/>
              </w:rPr>
            </w:pPr>
            <w:r w:rsidRPr="00E612A1">
              <w:rPr>
                <w:lang w:val="en-GB"/>
              </w:rPr>
              <w:t>30−200</w:t>
            </w:r>
          </w:p>
        </w:tc>
        <w:tc>
          <w:tcPr>
            <w:tcW w:w="1134" w:type="dxa"/>
            <w:vAlign w:val="center"/>
          </w:tcPr>
          <w:p w14:paraId="1995F97B" w14:textId="77777777" w:rsidR="005114B8" w:rsidRPr="00E612A1" w:rsidRDefault="005114B8" w:rsidP="009E5D26">
            <w:pPr>
              <w:spacing w:line="360" w:lineRule="auto"/>
              <w:jc w:val="center"/>
              <w:rPr>
                <w:lang w:val="en-GB"/>
              </w:rPr>
            </w:pPr>
            <w:r w:rsidRPr="00E612A1">
              <w:rPr>
                <w:lang w:val="en-GB"/>
              </w:rPr>
              <w:t>71</w:t>
            </w:r>
          </w:p>
        </w:tc>
        <w:tc>
          <w:tcPr>
            <w:tcW w:w="1334" w:type="dxa"/>
            <w:vAlign w:val="center"/>
          </w:tcPr>
          <w:p w14:paraId="299094D7" w14:textId="77777777" w:rsidR="005114B8" w:rsidRPr="00E612A1" w:rsidRDefault="005114B8" w:rsidP="009E5D26">
            <w:pPr>
              <w:spacing w:line="360" w:lineRule="auto"/>
              <w:jc w:val="center"/>
              <w:rPr>
                <w:lang w:val="en-GB"/>
              </w:rPr>
            </w:pPr>
            <w:r w:rsidRPr="00E612A1">
              <w:rPr>
                <w:lang w:val="en-GB"/>
              </w:rPr>
              <w:t>68</w:t>
            </w:r>
          </w:p>
        </w:tc>
        <w:tc>
          <w:tcPr>
            <w:tcW w:w="1409" w:type="dxa"/>
            <w:vAlign w:val="center"/>
          </w:tcPr>
          <w:p w14:paraId="2AAAB594" w14:textId="77777777" w:rsidR="005114B8" w:rsidRPr="00E612A1" w:rsidRDefault="005114B8" w:rsidP="009E5D26">
            <w:pPr>
              <w:spacing w:line="360" w:lineRule="auto"/>
              <w:jc w:val="center"/>
              <w:rPr>
                <w:lang w:val="en-GB"/>
              </w:rPr>
            </w:pPr>
            <w:r w:rsidRPr="00E612A1">
              <w:rPr>
                <w:lang w:val="en-GB"/>
              </w:rPr>
              <w:t>65</w:t>
            </w:r>
          </w:p>
        </w:tc>
        <w:tc>
          <w:tcPr>
            <w:tcW w:w="1559" w:type="dxa"/>
            <w:vAlign w:val="center"/>
          </w:tcPr>
          <w:p w14:paraId="7204AE74" w14:textId="77777777" w:rsidR="005114B8" w:rsidRPr="00E612A1" w:rsidRDefault="005114B8" w:rsidP="009E5D26">
            <w:pPr>
              <w:spacing w:line="360" w:lineRule="auto"/>
              <w:jc w:val="center"/>
              <w:rPr>
                <w:lang w:val="en-GB"/>
              </w:rPr>
            </w:pPr>
            <w:r w:rsidRPr="00E612A1">
              <w:rPr>
                <w:lang w:val="en-GB"/>
              </w:rPr>
              <w:t>61</w:t>
            </w:r>
          </w:p>
        </w:tc>
      </w:tr>
    </w:tbl>
    <w:p w14:paraId="37B08244" w14:textId="02A77B3D" w:rsidR="009E72C5" w:rsidRPr="009631F0" w:rsidRDefault="004A0115" w:rsidP="009E72C5">
      <w:pPr>
        <w:pStyle w:val="Titulok3"/>
        <w:spacing w:before="0" w:line="360" w:lineRule="auto"/>
        <w:ind w:left="142" w:hanging="142"/>
        <w:jc w:val="both"/>
        <w:rPr>
          <w:rFonts w:cs="Times New Roman"/>
          <w:bCs w:val="0"/>
          <w:i w:val="0"/>
          <w:iCs w:val="0"/>
          <w:sz w:val="24"/>
          <w:szCs w:val="24"/>
        </w:rPr>
      </w:pPr>
      <w:r w:rsidRPr="00E612A1">
        <w:rPr>
          <w:rFonts w:cs="Times New Roman"/>
          <w:bCs w:val="0"/>
          <w:i w:val="0"/>
          <w:iCs w:val="0"/>
          <w:sz w:val="24"/>
          <w:szCs w:val="24"/>
          <w:vertAlign w:val="superscript"/>
        </w:rPr>
        <w:t>a</w:t>
      </w:r>
      <w:r w:rsidR="009E72C5" w:rsidRPr="009E72C5">
        <w:rPr>
          <w:rFonts w:cs="Times New Roman"/>
          <w:bCs w:val="0"/>
          <w:i w:val="0"/>
          <w:iCs w:val="0"/>
          <w:sz w:val="24"/>
          <w:szCs w:val="24"/>
        </w:rPr>
        <w:t xml:space="preserve"> </w:t>
      </w:r>
      <w:r w:rsidR="009E72C5">
        <w:rPr>
          <w:rFonts w:cs="Times New Roman"/>
          <w:bCs w:val="0"/>
          <w:i w:val="0"/>
          <w:iCs w:val="0"/>
          <w:sz w:val="24"/>
          <w:szCs w:val="24"/>
        </w:rPr>
        <w:t>R</w:t>
      </w:r>
      <w:r w:rsidR="009E72C5" w:rsidRPr="009631F0">
        <w:rPr>
          <w:rFonts w:cs="Times New Roman"/>
          <w:bCs w:val="0"/>
          <w:i w:val="0"/>
          <w:iCs w:val="0"/>
          <w:sz w:val="24"/>
          <w:szCs w:val="24"/>
        </w:rPr>
        <w:t>eference measurement with glucose as an exogenous substrate; measured with biomass used as a common inoculum for models R</w:t>
      </w:r>
      <w:r w:rsidR="009E72C5" w:rsidRPr="009631F0">
        <w:rPr>
          <w:rFonts w:cs="Times New Roman"/>
          <w:bCs w:val="0"/>
          <w:i w:val="0"/>
          <w:iCs w:val="0"/>
          <w:sz w:val="24"/>
          <w:szCs w:val="24"/>
          <w:vertAlign w:val="subscript"/>
        </w:rPr>
        <w:t>1</w:t>
      </w:r>
      <w:r w:rsidR="009E72C5" w:rsidRPr="009631F0">
        <w:rPr>
          <w:rFonts w:cs="Times New Roman"/>
          <w:bCs w:val="0"/>
          <w:i w:val="0"/>
          <w:iCs w:val="0"/>
          <w:sz w:val="24"/>
          <w:szCs w:val="24"/>
        </w:rPr>
        <w:t>,</w:t>
      </w:r>
      <w:r w:rsidR="009E72C5">
        <w:rPr>
          <w:rFonts w:cs="Times New Roman"/>
          <w:bCs w:val="0"/>
          <w:i w:val="0"/>
          <w:iCs w:val="0"/>
          <w:sz w:val="24"/>
          <w:szCs w:val="24"/>
        </w:rPr>
        <w:t xml:space="preserve"> </w:t>
      </w:r>
      <w:r w:rsidR="009E72C5" w:rsidRPr="009631F0">
        <w:rPr>
          <w:rFonts w:cs="Times New Roman"/>
          <w:bCs w:val="0"/>
          <w:i w:val="0"/>
          <w:iCs w:val="0"/>
          <w:sz w:val="24"/>
          <w:szCs w:val="24"/>
        </w:rPr>
        <w:t>R</w:t>
      </w:r>
      <w:r w:rsidR="009E72C5" w:rsidRPr="009631F0">
        <w:rPr>
          <w:rFonts w:cs="Times New Roman"/>
          <w:bCs w:val="0"/>
          <w:i w:val="0"/>
          <w:iCs w:val="0"/>
          <w:sz w:val="24"/>
          <w:szCs w:val="24"/>
          <w:vertAlign w:val="subscript"/>
        </w:rPr>
        <w:t>2</w:t>
      </w:r>
      <w:r w:rsidR="009E72C5" w:rsidRPr="009631F0">
        <w:rPr>
          <w:rFonts w:cs="Times New Roman"/>
          <w:bCs w:val="0"/>
          <w:i w:val="0"/>
          <w:iCs w:val="0"/>
          <w:sz w:val="24"/>
          <w:szCs w:val="24"/>
        </w:rPr>
        <w:t>,</w:t>
      </w:r>
      <w:r w:rsidR="009E72C5" w:rsidRPr="009631F0">
        <w:rPr>
          <w:rFonts w:cs="Times New Roman"/>
          <w:bCs w:val="0"/>
          <w:i w:val="0"/>
          <w:iCs w:val="0"/>
          <w:sz w:val="24"/>
          <w:szCs w:val="24"/>
          <w:vertAlign w:val="subscript"/>
        </w:rPr>
        <w:t xml:space="preserve"> </w:t>
      </w:r>
      <w:r w:rsidR="009E72C5">
        <w:rPr>
          <w:rFonts w:cs="Times New Roman"/>
          <w:bCs w:val="0"/>
          <w:i w:val="0"/>
          <w:iCs w:val="0"/>
          <w:sz w:val="24"/>
          <w:szCs w:val="24"/>
        </w:rPr>
        <w:t xml:space="preserve">and </w:t>
      </w:r>
      <w:r w:rsidR="009E72C5" w:rsidRPr="009631F0">
        <w:rPr>
          <w:rFonts w:cs="Times New Roman"/>
          <w:bCs w:val="0"/>
          <w:i w:val="0"/>
          <w:iCs w:val="0"/>
          <w:sz w:val="24"/>
          <w:szCs w:val="24"/>
        </w:rPr>
        <w:t>R</w:t>
      </w:r>
      <w:r w:rsidR="009E72C5" w:rsidRPr="009631F0">
        <w:rPr>
          <w:rFonts w:cs="Times New Roman"/>
          <w:bCs w:val="0"/>
          <w:i w:val="0"/>
          <w:iCs w:val="0"/>
          <w:sz w:val="24"/>
          <w:szCs w:val="24"/>
          <w:vertAlign w:val="subscript"/>
        </w:rPr>
        <w:t>3</w:t>
      </w:r>
    </w:p>
    <w:p w14:paraId="098234BC" w14:textId="0529819F" w:rsidR="009E72C5" w:rsidRPr="009631F0" w:rsidRDefault="009E72C5" w:rsidP="009E72C5">
      <w:pPr>
        <w:pStyle w:val="Titulok3"/>
        <w:spacing w:before="0" w:line="360" w:lineRule="auto"/>
        <w:ind w:left="142" w:hanging="142"/>
        <w:jc w:val="both"/>
        <w:rPr>
          <w:rFonts w:cs="Times New Roman"/>
          <w:bCs w:val="0"/>
          <w:i w:val="0"/>
          <w:iCs w:val="0"/>
          <w:sz w:val="24"/>
          <w:szCs w:val="24"/>
        </w:rPr>
      </w:pPr>
      <w:r w:rsidRPr="009E72C5">
        <w:rPr>
          <w:rFonts w:cs="Times New Roman"/>
          <w:bCs w:val="0"/>
          <w:i w:val="0"/>
          <w:iCs w:val="0"/>
          <w:sz w:val="24"/>
          <w:szCs w:val="24"/>
          <w:vertAlign w:val="superscript"/>
        </w:rPr>
        <w:t>b</w:t>
      </w:r>
      <w:r>
        <w:rPr>
          <w:rFonts w:cs="Times New Roman"/>
          <w:bCs w:val="0"/>
          <w:i w:val="0"/>
          <w:iCs w:val="0"/>
          <w:sz w:val="24"/>
          <w:szCs w:val="24"/>
          <w:vertAlign w:val="superscript"/>
        </w:rPr>
        <w:t xml:space="preserve"> </w:t>
      </w:r>
      <w:r>
        <w:rPr>
          <w:rFonts w:cs="Times New Roman"/>
          <w:bCs w:val="0"/>
          <w:i w:val="0"/>
          <w:iCs w:val="0"/>
          <w:sz w:val="24"/>
          <w:szCs w:val="24"/>
        </w:rPr>
        <w:t>E</w:t>
      </w:r>
      <w:r w:rsidRPr="009631F0">
        <w:rPr>
          <w:rFonts w:cs="Times New Roman"/>
          <w:bCs w:val="0"/>
          <w:i w:val="0"/>
          <w:iCs w:val="0"/>
          <w:sz w:val="24"/>
          <w:szCs w:val="24"/>
        </w:rPr>
        <w:t>xogenous substrates: glucose for activated sludge from model R</w:t>
      </w:r>
      <w:r w:rsidRPr="009631F0">
        <w:rPr>
          <w:rFonts w:cs="Times New Roman"/>
          <w:bCs w:val="0"/>
          <w:i w:val="0"/>
          <w:iCs w:val="0"/>
          <w:sz w:val="24"/>
          <w:szCs w:val="24"/>
          <w:vertAlign w:val="subscript"/>
        </w:rPr>
        <w:t>1</w:t>
      </w:r>
      <w:r w:rsidRPr="009631F0">
        <w:rPr>
          <w:rFonts w:cs="Times New Roman"/>
          <w:bCs w:val="0"/>
          <w:i w:val="0"/>
          <w:iCs w:val="0"/>
          <w:sz w:val="24"/>
          <w:szCs w:val="24"/>
        </w:rPr>
        <w:t>, glucose + industrial wastewater (1:1) for activated sludge from model R</w:t>
      </w:r>
      <w:r w:rsidRPr="009631F0">
        <w:rPr>
          <w:rFonts w:cs="Times New Roman"/>
          <w:bCs w:val="0"/>
          <w:i w:val="0"/>
          <w:iCs w:val="0"/>
          <w:sz w:val="24"/>
          <w:szCs w:val="24"/>
          <w:vertAlign w:val="subscript"/>
        </w:rPr>
        <w:t>2</w:t>
      </w:r>
      <w:r w:rsidRPr="009631F0">
        <w:rPr>
          <w:rFonts w:cs="Times New Roman"/>
          <w:bCs w:val="0"/>
          <w:i w:val="0"/>
          <w:iCs w:val="0"/>
          <w:sz w:val="24"/>
          <w:szCs w:val="24"/>
        </w:rPr>
        <w:t>, industrial wastewater for activated sludge from model R</w:t>
      </w:r>
      <w:r w:rsidRPr="009631F0">
        <w:rPr>
          <w:rFonts w:cs="Times New Roman"/>
          <w:bCs w:val="0"/>
          <w:i w:val="0"/>
          <w:iCs w:val="0"/>
          <w:sz w:val="24"/>
          <w:szCs w:val="24"/>
          <w:vertAlign w:val="subscript"/>
        </w:rPr>
        <w:t>3</w:t>
      </w:r>
    </w:p>
    <w:p w14:paraId="1BF8E1F8" w14:textId="632DD574" w:rsidR="00A1155F" w:rsidRPr="00E612A1" w:rsidRDefault="00A1155F" w:rsidP="009E72C5">
      <w:pPr>
        <w:pStyle w:val="Titulok3"/>
        <w:spacing w:before="0" w:line="360" w:lineRule="auto"/>
        <w:ind w:left="142" w:hanging="142"/>
        <w:jc w:val="both"/>
        <w:rPr>
          <w:rFonts w:cs="Times New Roman"/>
          <w:bCs w:val="0"/>
          <w:i w:val="0"/>
          <w:iCs w:val="0"/>
          <w:sz w:val="24"/>
          <w:szCs w:val="24"/>
        </w:rPr>
      </w:pPr>
    </w:p>
    <w:p w14:paraId="2EA930DE" w14:textId="0B93907D" w:rsidR="00900F60" w:rsidRPr="009631F0" w:rsidRDefault="00900F60" w:rsidP="00900F60">
      <w:pPr>
        <w:pStyle w:val="Titulok3"/>
        <w:spacing w:before="0" w:line="360" w:lineRule="auto"/>
        <w:ind w:firstLine="357"/>
        <w:jc w:val="both"/>
        <w:rPr>
          <w:rFonts w:cs="Times New Roman"/>
          <w:bCs w:val="0"/>
          <w:i w:val="0"/>
          <w:iCs w:val="0"/>
          <w:sz w:val="24"/>
          <w:szCs w:val="24"/>
        </w:rPr>
      </w:pPr>
      <w:bookmarkStart w:id="1" w:name="_Hlk99662689"/>
      <w:r w:rsidRPr="009631F0">
        <w:rPr>
          <w:rFonts w:cs="Times New Roman"/>
          <w:bCs w:val="0"/>
          <w:i w:val="0"/>
          <w:iCs w:val="0"/>
          <w:sz w:val="24"/>
          <w:szCs w:val="24"/>
        </w:rPr>
        <w:t>In the case of addition</w:t>
      </w:r>
      <w:r>
        <w:rPr>
          <w:rFonts w:cs="Times New Roman"/>
          <w:bCs w:val="0"/>
          <w:i w:val="0"/>
          <w:iCs w:val="0"/>
          <w:sz w:val="24"/>
          <w:szCs w:val="24"/>
        </w:rPr>
        <w:t xml:space="preserve">al </w:t>
      </w:r>
      <w:r w:rsidRPr="009631F0">
        <w:rPr>
          <w:rFonts w:cs="Times New Roman"/>
          <w:bCs w:val="0"/>
          <w:i w:val="0"/>
          <w:iCs w:val="0"/>
          <w:sz w:val="24"/>
          <w:szCs w:val="24"/>
        </w:rPr>
        <w:t>industrial wastewater to the denitrification reactor, it is also important to assess how many m</w:t>
      </w:r>
      <w:r w:rsidRPr="009631F0">
        <w:rPr>
          <w:rFonts w:cs="Times New Roman"/>
          <w:bCs w:val="0"/>
          <w:i w:val="0"/>
          <w:iCs w:val="0"/>
          <w:sz w:val="24"/>
          <w:szCs w:val="24"/>
          <w:vertAlign w:val="superscript"/>
        </w:rPr>
        <w:t>3</w:t>
      </w:r>
      <w:r w:rsidRPr="009631F0">
        <w:rPr>
          <w:rFonts w:cs="Times New Roman"/>
          <w:bCs w:val="0"/>
          <w:i w:val="0"/>
          <w:iCs w:val="0"/>
          <w:sz w:val="24"/>
          <w:szCs w:val="24"/>
        </w:rPr>
        <w:t xml:space="preserve"> can be imported to the WWTP so that the permitted concentration limits of heavy metals in sludge are not exceeded. Heavy metals in the wastewater are at the WWTPs mostly adsorbed into the primary and activated sludge, and subsequently</w:t>
      </w:r>
      <w:r>
        <w:rPr>
          <w:rFonts w:cs="Times New Roman"/>
          <w:bCs w:val="0"/>
          <w:i w:val="0"/>
          <w:iCs w:val="0"/>
          <w:sz w:val="24"/>
          <w:szCs w:val="24"/>
        </w:rPr>
        <w:t>,</w:t>
      </w:r>
      <w:r w:rsidRPr="009631F0">
        <w:rPr>
          <w:rFonts w:cs="Times New Roman"/>
          <w:bCs w:val="0"/>
          <w:i w:val="0"/>
          <w:iCs w:val="0"/>
          <w:sz w:val="24"/>
          <w:szCs w:val="24"/>
        </w:rPr>
        <w:t xml:space="preserve"> remain in the digested sludge removed from the WWTPs. The legislation defines these concentrations for cases where the sludge from WWTP is applied to the soil</w:t>
      </w:r>
      <w:r w:rsidRPr="004A0115">
        <w:rPr>
          <w:rFonts w:cs="Times New Roman"/>
          <w:bCs w:val="0"/>
          <w:i w:val="0"/>
          <w:iCs w:val="0"/>
          <w:sz w:val="24"/>
          <w:szCs w:val="24"/>
          <w:vertAlign w:val="superscript"/>
        </w:rPr>
        <w:t>3</w:t>
      </w:r>
      <w:r w:rsidR="00871553">
        <w:rPr>
          <w:rFonts w:cs="Times New Roman"/>
          <w:bCs w:val="0"/>
          <w:i w:val="0"/>
          <w:iCs w:val="0"/>
          <w:sz w:val="24"/>
          <w:szCs w:val="24"/>
          <w:vertAlign w:val="superscript"/>
        </w:rPr>
        <w:t>3</w:t>
      </w:r>
      <w:r>
        <w:rPr>
          <w:rFonts w:cs="Times New Roman"/>
          <w:bCs w:val="0"/>
          <w:i w:val="0"/>
          <w:iCs w:val="0"/>
          <w:sz w:val="24"/>
          <w:szCs w:val="24"/>
        </w:rPr>
        <w:t xml:space="preserve">. </w:t>
      </w:r>
      <w:r w:rsidRPr="009631F0">
        <w:rPr>
          <w:rFonts w:cs="Times New Roman"/>
          <w:bCs w:val="0"/>
          <w:i w:val="0"/>
          <w:iCs w:val="0"/>
          <w:sz w:val="24"/>
          <w:szCs w:val="24"/>
        </w:rPr>
        <w:t>Application to the soil, either directly or as a compost from composting plants</w:t>
      </w:r>
      <w:r>
        <w:rPr>
          <w:rFonts w:cs="Times New Roman"/>
          <w:bCs w:val="0"/>
          <w:i w:val="0"/>
          <w:iCs w:val="0"/>
          <w:sz w:val="24"/>
          <w:szCs w:val="24"/>
        </w:rPr>
        <w:t>,</w:t>
      </w:r>
      <w:r w:rsidRPr="009631F0">
        <w:rPr>
          <w:rFonts w:cs="Times New Roman"/>
          <w:bCs w:val="0"/>
          <w:i w:val="0"/>
          <w:iCs w:val="0"/>
          <w:sz w:val="24"/>
          <w:szCs w:val="24"/>
        </w:rPr>
        <w:t xml:space="preserve"> is currently still the most common method of sludge management in Slovakia</w:t>
      </w:r>
      <w:r w:rsidRPr="009B77B5">
        <w:rPr>
          <w:rFonts w:cs="Times New Roman"/>
          <w:bCs w:val="0"/>
          <w:i w:val="0"/>
          <w:iCs w:val="0"/>
          <w:sz w:val="24"/>
          <w:szCs w:val="24"/>
        </w:rPr>
        <w:t>.</w:t>
      </w:r>
      <w:r w:rsidRPr="009B77B5">
        <w:rPr>
          <w:i w:val="0"/>
          <w:iCs w:val="0"/>
          <w:sz w:val="24"/>
          <w:szCs w:val="24"/>
          <w:vertAlign w:val="superscript"/>
        </w:rPr>
        <w:t>3</w:t>
      </w:r>
      <w:r w:rsidR="00871553">
        <w:rPr>
          <w:i w:val="0"/>
          <w:iCs w:val="0"/>
          <w:sz w:val="24"/>
          <w:szCs w:val="24"/>
          <w:vertAlign w:val="superscript"/>
        </w:rPr>
        <w:t>6</w:t>
      </w:r>
      <w:r w:rsidRPr="009B77B5">
        <w:rPr>
          <w:rFonts w:cs="Times New Roman"/>
          <w:bCs w:val="0"/>
          <w:i w:val="0"/>
          <w:iCs w:val="0"/>
          <w:sz w:val="28"/>
          <w:szCs w:val="28"/>
        </w:rPr>
        <w:t xml:space="preserve"> </w:t>
      </w:r>
      <w:r w:rsidRPr="009631F0">
        <w:rPr>
          <w:rFonts w:cs="Times New Roman"/>
          <w:bCs w:val="0"/>
          <w:i w:val="0"/>
          <w:iCs w:val="0"/>
          <w:sz w:val="24"/>
          <w:szCs w:val="24"/>
        </w:rPr>
        <w:t xml:space="preserve">The following calculation shows an example of how to evaluate such balance for specific heavy metals and specific WWTP. The calculation </w:t>
      </w:r>
      <w:bookmarkStart w:id="2" w:name="_Hlk99663154"/>
      <w:bookmarkEnd w:id="1"/>
      <w:r w:rsidRPr="009631F0">
        <w:rPr>
          <w:rFonts w:cs="Times New Roman"/>
          <w:bCs w:val="0"/>
          <w:i w:val="0"/>
          <w:iCs w:val="0"/>
          <w:sz w:val="24"/>
          <w:szCs w:val="24"/>
        </w:rPr>
        <w:t xml:space="preserve">assumes Cr in industrial wastewater, import of wastewater to WWTP with a capacity of </w:t>
      </w:r>
      <w:r>
        <w:rPr>
          <w:rFonts w:cs="Times New Roman"/>
          <w:bCs w:val="0"/>
          <w:i w:val="0"/>
          <w:iCs w:val="0"/>
          <w:sz w:val="24"/>
          <w:szCs w:val="24"/>
        </w:rPr>
        <w:t>approximately</w:t>
      </w:r>
      <w:r w:rsidRPr="009631F0">
        <w:rPr>
          <w:rFonts w:cs="Times New Roman"/>
          <w:bCs w:val="0"/>
          <w:i w:val="0"/>
          <w:iCs w:val="0"/>
          <w:sz w:val="24"/>
          <w:szCs w:val="24"/>
        </w:rPr>
        <w:t xml:space="preserve"> 10</w:t>
      </w:r>
      <w:r>
        <w:rPr>
          <w:rFonts w:cs="Times New Roman"/>
          <w:bCs w:val="0"/>
          <w:i w:val="0"/>
          <w:iCs w:val="0"/>
          <w:sz w:val="24"/>
          <w:szCs w:val="24"/>
        </w:rPr>
        <w:t>,</w:t>
      </w:r>
      <w:r w:rsidRPr="009631F0">
        <w:rPr>
          <w:rFonts w:cs="Times New Roman"/>
          <w:bCs w:val="0"/>
          <w:i w:val="0"/>
          <w:iCs w:val="0"/>
          <w:sz w:val="24"/>
          <w:szCs w:val="24"/>
        </w:rPr>
        <w:t>000 inhabitants, inflow of 150 l/d per capita, specific production of sludge dry matter of 40</w:t>
      </w:r>
      <w:r>
        <w:rPr>
          <w:rFonts w:cs="Times New Roman"/>
          <w:bCs w:val="0"/>
          <w:i w:val="0"/>
          <w:iCs w:val="0"/>
          <w:sz w:val="24"/>
          <w:szCs w:val="24"/>
        </w:rPr>
        <w:t> </w:t>
      </w:r>
      <w:r w:rsidRPr="009631F0">
        <w:rPr>
          <w:rFonts w:cs="Times New Roman"/>
          <w:bCs w:val="0"/>
          <w:i w:val="0"/>
          <w:iCs w:val="0"/>
          <w:sz w:val="24"/>
          <w:szCs w:val="24"/>
        </w:rPr>
        <w:t>g/d per capita</w:t>
      </w:r>
      <w:r w:rsidR="00871553">
        <w:rPr>
          <w:rFonts w:cs="Times New Roman"/>
          <w:bCs w:val="0"/>
          <w:i w:val="0"/>
          <w:iCs w:val="0"/>
          <w:sz w:val="24"/>
          <w:szCs w:val="24"/>
          <w:vertAlign w:val="superscript"/>
        </w:rPr>
        <w:t>11</w:t>
      </w:r>
      <w:r>
        <w:rPr>
          <w:rFonts w:cs="Times New Roman"/>
          <w:bCs w:val="0"/>
          <w:i w:val="0"/>
          <w:iCs w:val="0"/>
          <w:sz w:val="24"/>
          <w:szCs w:val="24"/>
        </w:rPr>
        <w:t xml:space="preserve">, </w:t>
      </w:r>
      <w:r w:rsidRPr="009631F0">
        <w:rPr>
          <w:rFonts w:cs="Times New Roman"/>
          <w:bCs w:val="0"/>
          <w:i w:val="0"/>
          <w:iCs w:val="0"/>
          <w:sz w:val="24"/>
          <w:szCs w:val="24"/>
        </w:rPr>
        <w:t xml:space="preserve">and concentrations of metals </w:t>
      </w:r>
      <w:r>
        <w:rPr>
          <w:rFonts w:cs="Times New Roman"/>
          <w:bCs w:val="0"/>
          <w:i w:val="0"/>
          <w:iCs w:val="0"/>
          <w:sz w:val="24"/>
          <w:szCs w:val="24"/>
        </w:rPr>
        <w:t xml:space="preserve">(see </w:t>
      </w:r>
      <w:r w:rsidRPr="009631F0">
        <w:rPr>
          <w:rFonts w:cs="Times New Roman"/>
          <w:bCs w:val="0"/>
          <w:i w:val="0"/>
          <w:iCs w:val="0"/>
          <w:sz w:val="24"/>
          <w:szCs w:val="24"/>
        </w:rPr>
        <w:t>Table 2</w:t>
      </w:r>
      <w:r>
        <w:rPr>
          <w:rFonts w:cs="Times New Roman"/>
          <w:bCs w:val="0"/>
          <w:i w:val="0"/>
          <w:iCs w:val="0"/>
          <w:sz w:val="24"/>
          <w:szCs w:val="24"/>
        </w:rPr>
        <w:t>):</w:t>
      </w:r>
    </w:p>
    <w:p w14:paraId="2BC49229" w14:textId="449C3FC2"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WWTP inflow = 10</w:t>
      </w:r>
      <w:r>
        <w:rPr>
          <w:rFonts w:cs="Times New Roman"/>
          <w:bCs w:val="0"/>
          <w:i w:val="0"/>
          <w:iCs w:val="0"/>
          <w:sz w:val="24"/>
          <w:szCs w:val="24"/>
        </w:rPr>
        <w:t>,</w:t>
      </w:r>
      <w:r w:rsidRPr="009631F0">
        <w:rPr>
          <w:rFonts w:cs="Times New Roman"/>
          <w:bCs w:val="0"/>
          <w:i w:val="0"/>
          <w:iCs w:val="0"/>
          <w:sz w:val="24"/>
          <w:szCs w:val="24"/>
        </w:rPr>
        <w:t>000 inhabitants · 150 l/d</w:t>
      </w:r>
      <w:r w:rsidRPr="009631F0" w:rsidDel="00BF60ED">
        <w:rPr>
          <w:rFonts w:cs="Times New Roman"/>
          <w:bCs w:val="0"/>
          <w:i w:val="0"/>
          <w:iCs w:val="0"/>
          <w:sz w:val="24"/>
          <w:szCs w:val="24"/>
        </w:rPr>
        <w:t xml:space="preserve"> </w:t>
      </w:r>
      <w:r w:rsidRPr="009631F0">
        <w:rPr>
          <w:rFonts w:cs="Times New Roman"/>
          <w:bCs w:val="0"/>
          <w:i w:val="0"/>
          <w:iCs w:val="0"/>
          <w:sz w:val="24"/>
          <w:szCs w:val="24"/>
        </w:rPr>
        <w:t>= 1</w:t>
      </w:r>
      <w:r>
        <w:rPr>
          <w:rFonts w:cs="Times New Roman"/>
          <w:bCs w:val="0"/>
          <w:i w:val="0"/>
          <w:iCs w:val="0"/>
          <w:sz w:val="24"/>
          <w:szCs w:val="24"/>
        </w:rPr>
        <w:t>,</w:t>
      </w:r>
      <w:r w:rsidRPr="009631F0">
        <w:rPr>
          <w:rFonts w:cs="Times New Roman"/>
          <w:bCs w:val="0"/>
          <w:i w:val="0"/>
          <w:iCs w:val="0"/>
          <w:sz w:val="24"/>
          <w:szCs w:val="24"/>
        </w:rPr>
        <w:t>500 m</w:t>
      </w:r>
      <w:r w:rsidRPr="009631F0">
        <w:rPr>
          <w:rFonts w:cs="Times New Roman"/>
          <w:bCs w:val="0"/>
          <w:i w:val="0"/>
          <w:iCs w:val="0"/>
          <w:sz w:val="24"/>
          <w:szCs w:val="24"/>
          <w:vertAlign w:val="superscript"/>
        </w:rPr>
        <w:t>3</w:t>
      </w:r>
      <w:r w:rsidRPr="009631F0">
        <w:rPr>
          <w:rFonts w:cs="Times New Roman"/>
          <w:bCs w:val="0"/>
          <w:i w:val="0"/>
          <w:iCs w:val="0"/>
          <w:sz w:val="24"/>
          <w:szCs w:val="24"/>
        </w:rPr>
        <w:t xml:space="preserve">/d </w:t>
      </w:r>
    </w:p>
    <w:p w14:paraId="2F27FCBF" w14:textId="6D863CD8"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lastRenderedPageBreak/>
        <w:t xml:space="preserve">- </w:t>
      </w:r>
      <w:r>
        <w:rPr>
          <w:rFonts w:cs="Times New Roman"/>
          <w:bCs w:val="0"/>
          <w:i w:val="0"/>
          <w:iCs w:val="0"/>
          <w:sz w:val="24"/>
          <w:szCs w:val="24"/>
        </w:rPr>
        <w:t>D</w:t>
      </w:r>
      <w:r w:rsidRPr="009631F0">
        <w:rPr>
          <w:rFonts w:cs="Times New Roman"/>
          <w:bCs w:val="0"/>
          <w:i w:val="0"/>
          <w:iCs w:val="0"/>
          <w:sz w:val="24"/>
          <w:szCs w:val="24"/>
        </w:rPr>
        <w:t>aily sludge production = 10</w:t>
      </w:r>
      <w:r>
        <w:rPr>
          <w:rFonts w:cs="Times New Roman"/>
          <w:bCs w:val="0"/>
          <w:i w:val="0"/>
          <w:iCs w:val="0"/>
          <w:sz w:val="24"/>
          <w:szCs w:val="24"/>
        </w:rPr>
        <w:t>,</w:t>
      </w:r>
      <w:r w:rsidRPr="009631F0">
        <w:rPr>
          <w:rFonts w:cs="Times New Roman"/>
          <w:bCs w:val="0"/>
          <w:i w:val="0"/>
          <w:iCs w:val="0"/>
          <w:sz w:val="24"/>
          <w:szCs w:val="24"/>
        </w:rPr>
        <w:t>000 inhabitants · 40 g/d</w:t>
      </w:r>
      <w:r w:rsidRPr="009631F0" w:rsidDel="00BF60ED">
        <w:rPr>
          <w:rFonts w:cs="Times New Roman"/>
          <w:bCs w:val="0"/>
          <w:i w:val="0"/>
          <w:iCs w:val="0"/>
          <w:sz w:val="24"/>
          <w:szCs w:val="24"/>
        </w:rPr>
        <w:t xml:space="preserve"> </w:t>
      </w:r>
      <w:r w:rsidRPr="009631F0">
        <w:rPr>
          <w:rFonts w:cs="Times New Roman"/>
          <w:bCs w:val="0"/>
          <w:i w:val="0"/>
          <w:iCs w:val="0"/>
          <w:sz w:val="24"/>
          <w:szCs w:val="24"/>
        </w:rPr>
        <w:t>= 400 kg/d</w:t>
      </w:r>
      <w:r w:rsidRPr="009631F0">
        <w:rPr>
          <w:rFonts w:cs="Times New Roman"/>
          <w:bCs w:val="0"/>
          <w:i w:val="0"/>
          <w:iCs w:val="0"/>
          <w:sz w:val="24"/>
          <w:szCs w:val="24"/>
          <w:vertAlign w:val="superscript"/>
        </w:rPr>
        <w:t xml:space="preserve"> </w:t>
      </w:r>
    </w:p>
    <w:p w14:paraId="2C17FAAA" w14:textId="3946D5D6"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xml:space="preserve">- </w:t>
      </w:r>
      <w:r>
        <w:rPr>
          <w:rFonts w:cs="Times New Roman"/>
          <w:bCs w:val="0"/>
          <w:i w:val="0"/>
          <w:iCs w:val="0"/>
          <w:sz w:val="24"/>
          <w:szCs w:val="24"/>
        </w:rPr>
        <w:t>L</w:t>
      </w:r>
      <w:r w:rsidRPr="009631F0">
        <w:rPr>
          <w:rFonts w:cs="Times New Roman"/>
          <w:bCs w:val="0"/>
          <w:i w:val="0"/>
          <w:iCs w:val="0"/>
          <w:sz w:val="24"/>
          <w:szCs w:val="24"/>
        </w:rPr>
        <w:t>imit concentration of Cr in sewage sludge defined by Slovak legislation = 1</w:t>
      </w:r>
      <w:r>
        <w:rPr>
          <w:rFonts w:cs="Times New Roman"/>
          <w:bCs w:val="0"/>
          <w:i w:val="0"/>
          <w:iCs w:val="0"/>
          <w:sz w:val="24"/>
          <w:szCs w:val="24"/>
        </w:rPr>
        <w:t>,</w:t>
      </w:r>
      <w:r w:rsidRPr="009631F0">
        <w:rPr>
          <w:rFonts w:cs="Times New Roman"/>
          <w:bCs w:val="0"/>
          <w:i w:val="0"/>
          <w:iCs w:val="0"/>
          <w:sz w:val="24"/>
          <w:szCs w:val="24"/>
        </w:rPr>
        <w:t>000 mg/kg</w:t>
      </w:r>
      <w:r>
        <w:rPr>
          <w:rFonts w:cs="Times New Roman"/>
          <w:bCs w:val="0"/>
          <w:i w:val="0"/>
          <w:iCs w:val="0"/>
          <w:sz w:val="24"/>
          <w:szCs w:val="24"/>
        </w:rPr>
        <w:t xml:space="preserve"> </w:t>
      </w:r>
    </w:p>
    <w:p w14:paraId="2EF805FA" w14:textId="77777777"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xml:space="preserve">- </w:t>
      </w:r>
      <w:r>
        <w:rPr>
          <w:rFonts w:cs="Times New Roman"/>
          <w:bCs w:val="0"/>
          <w:i w:val="0"/>
          <w:iCs w:val="0"/>
          <w:sz w:val="24"/>
          <w:szCs w:val="24"/>
        </w:rPr>
        <w:t>A</w:t>
      </w:r>
      <w:r w:rsidRPr="009631F0">
        <w:rPr>
          <w:rFonts w:cs="Times New Roman"/>
          <w:bCs w:val="0"/>
          <w:i w:val="0"/>
          <w:iCs w:val="0"/>
          <w:sz w:val="24"/>
          <w:szCs w:val="24"/>
        </w:rPr>
        <w:t xml:space="preserve">verage background concentration of Cr in sludge at Slovak WWTPs: 41 mg/kg </w:t>
      </w:r>
    </w:p>
    <w:p w14:paraId="7C0A26D3" w14:textId="77777777"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xml:space="preserve">- </w:t>
      </w:r>
      <w:r>
        <w:rPr>
          <w:rFonts w:cs="Times New Roman"/>
          <w:bCs w:val="0"/>
          <w:i w:val="0"/>
          <w:iCs w:val="0"/>
          <w:sz w:val="24"/>
          <w:szCs w:val="24"/>
        </w:rPr>
        <w:t>C</w:t>
      </w:r>
      <w:r w:rsidRPr="009631F0">
        <w:rPr>
          <w:rFonts w:cs="Times New Roman"/>
          <w:bCs w:val="0"/>
          <w:i w:val="0"/>
          <w:iCs w:val="0"/>
          <w:sz w:val="24"/>
          <w:szCs w:val="24"/>
        </w:rPr>
        <w:t xml:space="preserve">apacity of sludge to adsorb Cr (the limit concentration defined by legislation is not </w:t>
      </w:r>
      <w:r>
        <w:rPr>
          <w:rFonts w:cs="Times New Roman"/>
          <w:bCs w:val="0"/>
          <w:i w:val="0"/>
          <w:iCs w:val="0"/>
          <w:sz w:val="24"/>
          <w:szCs w:val="24"/>
        </w:rPr>
        <w:t xml:space="preserve">to </w:t>
      </w:r>
      <w:r w:rsidRPr="009631F0">
        <w:rPr>
          <w:rFonts w:cs="Times New Roman"/>
          <w:bCs w:val="0"/>
          <w:i w:val="0"/>
          <w:iCs w:val="0"/>
          <w:sz w:val="24"/>
          <w:szCs w:val="24"/>
        </w:rPr>
        <w:t>exceeded) = 1</w:t>
      </w:r>
      <w:r>
        <w:rPr>
          <w:rFonts w:cs="Times New Roman"/>
          <w:bCs w:val="0"/>
          <w:i w:val="0"/>
          <w:iCs w:val="0"/>
          <w:sz w:val="24"/>
          <w:szCs w:val="24"/>
        </w:rPr>
        <w:t>,</w:t>
      </w:r>
      <w:r w:rsidRPr="009631F0">
        <w:rPr>
          <w:rFonts w:cs="Times New Roman"/>
          <w:bCs w:val="0"/>
          <w:i w:val="0"/>
          <w:iCs w:val="0"/>
          <w:sz w:val="24"/>
          <w:szCs w:val="24"/>
        </w:rPr>
        <w:t>000 mg/kg–41 mg/kg</w:t>
      </w:r>
      <w:r w:rsidRPr="009631F0" w:rsidDel="000F2497">
        <w:rPr>
          <w:rFonts w:cs="Times New Roman"/>
          <w:bCs w:val="0"/>
          <w:i w:val="0"/>
          <w:iCs w:val="0"/>
          <w:sz w:val="24"/>
          <w:szCs w:val="24"/>
        </w:rPr>
        <w:t xml:space="preserve"> </w:t>
      </w:r>
      <w:r w:rsidRPr="009631F0">
        <w:rPr>
          <w:rFonts w:cs="Times New Roman"/>
          <w:bCs w:val="0"/>
          <w:i w:val="0"/>
          <w:iCs w:val="0"/>
          <w:sz w:val="24"/>
          <w:szCs w:val="24"/>
        </w:rPr>
        <w:t>= 959 mg/kg</w:t>
      </w:r>
    </w:p>
    <w:p w14:paraId="2C807925" w14:textId="77777777"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xml:space="preserve">- </w:t>
      </w:r>
      <w:r>
        <w:rPr>
          <w:rFonts w:cs="Times New Roman"/>
          <w:bCs w:val="0"/>
          <w:i w:val="0"/>
          <w:iCs w:val="0"/>
          <w:sz w:val="24"/>
          <w:szCs w:val="24"/>
        </w:rPr>
        <w:t>P</w:t>
      </w:r>
      <w:r w:rsidRPr="009631F0">
        <w:rPr>
          <w:rFonts w:cs="Times New Roman"/>
          <w:bCs w:val="0"/>
          <w:i w:val="0"/>
          <w:iCs w:val="0"/>
          <w:sz w:val="24"/>
          <w:szCs w:val="24"/>
        </w:rPr>
        <w:t>ossibility to import Cr in industrial wastewater to the WWTP = 400 kg/d</w:t>
      </w:r>
      <w:r w:rsidRPr="009631F0" w:rsidDel="000F2497">
        <w:rPr>
          <w:rFonts w:cs="Times New Roman"/>
          <w:bCs w:val="0"/>
          <w:i w:val="0"/>
          <w:iCs w:val="0"/>
          <w:sz w:val="24"/>
          <w:szCs w:val="24"/>
        </w:rPr>
        <w:t xml:space="preserve"> </w:t>
      </w:r>
      <w:r w:rsidRPr="009631F0">
        <w:rPr>
          <w:rFonts w:cs="Times New Roman"/>
          <w:bCs w:val="0"/>
          <w:i w:val="0"/>
          <w:iCs w:val="0"/>
          <w:sz w:val="24"/>
          <w:szCs w:val="24"/>
        </w:rPr>
        <w:t>· 959 mg/kg = 383</w:t>
      </w:r>
      <w:r>
        <w:rPr>
          <w:rFonts w:cs="Times New Roman"/>
          <w:bCs w:val="0"/>
          <w:i w:val="0"/>
          <w:iCs w:val="0"/>
          <w:sz w:val="24"/>
          <w:szCs w:val="24"/>
        </w:rPr>
        <w:t>,</w:t>
      </w:r>
      <w:r w:rsidRPr="009631F0">
        <w:rPr>
          <w:rFonts w:cs="Times New Roman"/>
          <w:bCs w:val="0"/>
          <w:i w:val="0"/>
          <w:iCs w:val="0"/>
          <w:sz w:val="24"/>
          <w:szCs w:val="24"/>
        </w:rPr>
        <w:t xml:space="preserve">600 mg/d = 3.84 kg/d </w:t>
      </w:r>
    </w:p>
    <w:p w14:paraId="57B44A18" w14:textId="77777777"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xml:space="preserve">- </w:t>
      </w:r>
      <w:r>
        <w:rPr>
          <w:rFonts w:cs="Times New Roman"/>
          <w:bCs w:val="0"/>
          <w:i w:val="0"/>
          <w:iCs w:val="0"/>
          <w:sz w:val="24"/>
          <w:szCs w:val="24"/>
        </w:rPr>
        <w:t>C</w:t>
      </w:r>
      <w:r w:rsidRPr="009631F0">
        <w:rPr>
          <w:rFonts w:cs="Times New Roman"/>
          <w:bCs w:val="0"/>
          <w:i w:val="0"/>
          <w:iCs w:val="0"/>
          <w:sz w:val="24"/>
          <w:szCs w:val="24"/>
        </w:rPr>
        <w:t>oncentration of Cr in industrial wastewater = 0.4 mg/l</w:t>
      </w:r>
    </w:p>
    <w:p w14:paraId="3A8B69C3" w14:textId="77777777"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xml:space="preserve">- </w:t>
      </w:r>
      <w:r>
        <w:rPr>
          <w:rFonts w:cs="Times New Roman"/>
          <w:bCs w:val="0"/>
          <w:i w:val="0"/>
          <w:iCs w:val="0"/>
          <w:sz w:val="24"/>
          <w:szCs w:val="24"/>
        </w:rPr>
        <w:t>V</w:t>
      </w:r>
      <w:r w:rsidRPr="009631F0">
        <w:rPr>
          <w:rFonts w:cs="Times New Roman"/>
          <w:bCs w:val="0"/>
          <w:i w:val="0"/>
          <w:iCs w:val="0"/>
          <w:sz w:val="24"/>
          <w:szCs w:val="24"/>
        </w:rPr>
        <w:t>olume of industrial wastewater with 383</w:t>
      </w:r>
      <w:r>
        <w:rPr>
          <w:rFonts w:cs="Times New Roman"/>
          <w:bCs w:val="0"/>
          <w:i w:val="0"/>
          <w:iCs w:val="0"/>
          <w:sz w:val="24"/>
          <w:szCs w:val="24"/>
        </w:rPr>
        <w:t>,</w:t>
      </w:r>
      <w:r w:rsidRPr="009631F0">
        <w:rPr>
          <w:rFonts w:cs="Times New Roman"/>
          <w:bCs w:val="0"/>
          <w:i w:val="0"/>
          <w:iCs w:val="0"/>
          <w:sz w:val="24"/>
          <w:szCs w:val="24"/>
        </w:rPr>
        <w:t>600 mg/d of Cr = 383</w:t>
      </w:r>
      <w:r>
        <w:rPr>
          <w:rFonts w:cs="Times New Roman"/>
          <w:bCs w:val="0"/>
          <w:i w:val="0"/>
          <w:iCs w:val="0"/>
          <w:sz w:val="24"/>
          <w:szCs w:val="24"/>
        </w:rPr>
        <w:t>,</w:t>
      </w:r>
      <w:r w:rsidRPr="009631F0">
        <w:rPr>
          <w:rFonts w:cs="Times New Roman"/>
          <w:bCs w:val="0"/>
          <w:i w:val="0"/>
          <w:iCs w:val="0"/>
          <w:sz w:val="24"/>
          <w:szCs w:val="24"/>
        </w:rPr>
        <w:t>600 mg/d</w:t>
      </w:r>
      <w:r>
        <w:rPr>
          <w:rFonts w:cs="Times New Roman"/>
          <w:bCs w:val="0"/>
          <w:i w:val="0"/>
          <w:iCs w:val="0"/>
          <w:sz w:val="24"/>
          <w:szCs w:val="24"/>
        </w:rPr>
        <w:t xml:space="preserve"> </w:t>
      </w:r>
      <w:r w:rsidRPr="009631F0">
        <w:rPr>
          <w:rFonts w:cs="Times New Roman"/>
          <w:bCs w:val="0"/>
          <w:i w:val="0"/>
          <w:iCs w:val="0"/>
          <w:sz w:val="24"/>
          <w:szCs w:val="24"/>
        </w:rPr>
        <w:t>/</w:t>
      </w:r>
      <w:r>
        <w:rPr>
          <w:rFonts w:cs="Times New Roman"/>
          <w:bCs w:val="0"/>
          <w:i w:val="0"/>
          <w:iCs w:val="0"/>
          <w:sz w:val="24"/>
          <w:szCs w:val="24"/>
        </w:rPr>
        <w:t xml:space="preserve"> </w:t>
      </w:r>
      <w:r w:rsidRPr="009631F0">
        <w:rPr>
          <w:rFonts w:cs="Times New Roman"/>
          <w:bCs w:val="0"/>
          <w:i w:val="0"/>
          <w:iCs w:val="0"/>
          <w:sz w:val="24"/>
          <w:szCs w:val="24"/>
        </w:rPr>
        <w:t>0.4 mg/l = 959</w:t>
      </w:r>
      <w:r>
        <w:rPr>
          <w:rFonts w:cs="Times New Roman"/>
          <w:bCs w:val="0"/>
          <w:i w:val="0"/>
          <w:iCs w:val="0"/>
          <w:sz w:val="24"/>
          <w:szCs w:val="24"/>
        </w:rPr>
        <w:t>,</w:t>
      </w:r>
      <w:r w:rsidRPr="009631F0">
        <w:rPr>
          <w:rFonts w:cs="Times New Roman"/>
          <w:bCs w:val="0"/>
          <w:i w:val="0"/>
          <w:iCs w:val="0"/>
          <w:sz w:val="24"/>
          <w:szCs w:val="24"/>
        </w:rPr>
        <w:t>000</w:t>
      </w:r>
      <w:r>
        <w:rPr>
          <w:rFonts w:cs="Times New Roman"/>
          <w:bCs w:val="0"/>
          <w:i w:val="0"/>
          <w:iCs w:val="0"/>
          <w:sz w:val="24"/>
          <w:szCs w:val="24"/>
        </w:rPr>
        <w:t> </w:t>
      </w:r>
      <w:r w:rsidRPr="009631F0">
        <w:rPr>
          <w:rFonts w:cs="Times New Roman"/>
          <w:bCs w:val="0"/>
          <w:i w:val="0"/>
          <w:iCs w:val="0"/>
          <w:sz w:val="24"/>
          <w:szCs w:val="24"/>
        </w:rPr>
        <w:t>l/d = 959 m</w:t>
      </w:r>
      <w:r w:rsidRPr="009631F0">
        <w:rPr>
          <w:rFonts w:cs="Times New Roman"/>
          <w:bCs w:val="0"/>
          <w:i w:val="0"/>
          <w:iCs w:val="0"/>
          <w:sz w:val="24"/>
          <w:szCs w:val="24"/>
          <w:vertAlign w:val="superscript"/>
        </w:rPr>
        <w:t>3</w:t>
      </w:r>
      <w:r w:rsidRPr="009631F0">
        <w:rPr>
          <w:rFonts w:cs="Times New Roman"/>
          <w:bCs w:val="0"/>
          <w:i w:val="0"/>
          <w:iCs w:val="0"/>
          <w:sz w:val="24"/>
          <w:szCs w:val="24"/>
        </w:rPr>
        <w:t xml:space="preserve">/d </w:t>
      </w:r>
    </w:p>
    <w:p w14:paraId="11653F06" w14:textId="35AE7515" w:rsidR="00900F60" w:rsidRPr="009631F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 xml:space="preserve">- </w:t>
      </w:r>
      <w:r>
        <w:rPr>
          <w:rFonts w:cs="Times New Roman"/>
          <w:bCs w:val="0"/>
          <w:i w:val="0"/>
          <w:iCs w:val="0"/>
          <w:sz w:val="24"/>
          <w:szCs w:val="24"/>
        </w:rPr>
        <w:t>C</w:t>
      </w:r>
      <w:r w:rsidRPr="009631F0">
        <w:rPr>
          <w:rFonts w:cs="Times New Roman"/>
          <w:bCs w:val="0"/>
          <w:i w:val="0"/>
          <w:iCs w:val="0"/>
          <w:sz w:val="24"/>
          <w:szCs w:val="24"/>
        </w:rPr>
        <w:t>onclusion of the example calculation for Cr: at a WWTP with a capacity of 10</w:t>
      </w:r>
      <w:r>
        <w:rPr>
          <w:rFonts w:cs="Times New Roman"/>
          <w:bCs w:val="0"/>
          <w:i w:val="0"/>
          <w:iCs w:val="0"/>
          <w:sz w:val="24"/>
          <w:szCs w:val="24"/>
        </w:rPr>
        <w:t>,</w:t>
      </w:r>
      <w:r w:rsidRPr="009631F0">
        <w:rPr>
          <w:rFonts w:cs="Times New Roman"/>
          <w:bCs w:val="0"/>
          <w:i w:val="0"/>
          <w:iCs w:val="0"/>
          <w:sz w:val="24"/>
          <w:szCs w:val="24"/>
        </w:rPr>
        <w:t>000 inhabitants</w:t>
      </w:r>
      <w:r>
        <w:rPr>
          <w:rFonts w:cs="Times New Roman"/>
          <w:bCs w:val="0"/>
          <w:i w:val="0"/>
          <w:iCs w:val="0"/>
          <w:sz w:val="24"/>
          <w:szCs w:val="24"/>
        </w:rPr>
        <w:t>,</w:t>
      </w:r>
      <w:r w:rsidRPr="009631F0">
        <w:rPr>
          <w:rFonts w:cs="Times New Roman"/>
          <w:bCs w:val="0"/>
          <w:i w:val="0"/>
          <w:iCs w:val="0"/>
          <w:sz w:val="24"/>
          <w:szCs w:val="24"/>
        </w:rPr>
        <w:t xml:space="preserve"> 959 m</w:t>
      </w:r>
      <w:r w:rsidRPr="009631F0">
        <w:rPr>
          <w:rFonts w:cs="Times New Roman"/>
          <w:bCs w:val="0"/>
          <w:i w:val="0"/>
          <w:iCs w:val="0"/>
          <w:sz w:val="24"/>
          <w:szCs w:val="24"/>
          <w:vertAlign w:val="superscript"/>
        </w:rPr>
        <w:t>3</w:t>
      </w:r>
      <w:r w:rsidRPr="009631F0">
        <w:rPr>
          <w:rFonts w:cs="Times New Roman"/>
          <w:bCs w:val="0"/>
          <w:i w:val="0"/>
          <w:iCs w:val="0"/>
          <w:sz w:val="24"/>
          <w:szCs w:val="24"/>
        </w:rPr>
        <w:t>/d of industrial wastewater can be imported as an external denitrification substrate and the Cr concentration in sludge will not exceed the limit of 1</w:t>
      </w:r>
      <w:r>
        <w:rPr>
          <w:rFonts w:cs="Times New Roman"/>
          <w:bCs w:val="0"/>
          <w:i w:val="0"/>
          <w:iCs w:val="0"/>
          <w:sz w:val="24"/>
          <w:szCs w:val="24"/>
        </w:rPr>
        <w:t>,</w:t>
      </w:r>
      <w:r w:rsidRPr="009631F0">
        <w:rPr>
          <w:rFonts w:cs="Times New Roman"/>
          <w:bCs w:val="0"/>
          <w:i w:val="0"/>
          <w:iCs w:val="0"/>
          <w:sz w:val="24"/>
          <w:szCs w:val="24"/>
        </w:rPr>
        <w:t>000 mg/kg. This consideration includes simplification that Cr from industrial wastewater is completely absorbed to the sludge. The volume of industrial water (959 m</w:t>
      </w:r>
      <w:r w:rsidRPr="009631F0">
        <w:rPr>
          <w:rFonts w:cs="Times New Roman"/>
          <w:bCs w:val="0"/>
          <w:i w:val="0"/>
          <w:iCs w:val="0"/>
          <w:sz w:val="24"/>
          <w:szCs w:val="24"/>
          <w:vertAlign w:val="superscript"/>
        </w:rPr>
        <w:t>3</w:t>
      </w:r>
      <w:r w:rsidRPr="009631F0">
        <w:rPr>
          <w:rFonts w:cs="Times New Roman"/>
          <w:bCs w:val="0"/>
          <w:i w:val="0"/>
          <w:iCs w:val="0"/>
          <w:sz w:val="24"/>
          <w:szCs w:val="24"/>
        </w:rPr>
        <w:t>/d) represents 6</w:t>
      </w:r>
      <w:r>
        <w:rPr>
          <w:rFonts w:cs="Times New Roman"/>
          <w:bCs w:val="0"/>
          <w:i w:val="0"/>
          <w:iCs w:val="0"/>
          <w:sz w:val="24"/>
          <w:szCs w:val="24"/>
        </w:rPr>
        <w:t>4</w:t>
      </w:r>
      <w:r w:rsidRPr="009631F0">
        <w:rPr>
          <w:rFonts w:cs="Times New Roman"/>
          <w:bCs w:val="0"/>
          <w:i w:val="0"/>
          <w:iCs w:val="0"/>
          <w:sz w:val="24"/>
          <w:szCs w:val="24"/>
        </w:rPr>
        <w:t>% of the WWTP inflow (1</w:t>
      </w:r>
      <w:r w:rsidR="00A35403">
        <w:rPr>
          <w:rFonts w:cs="Times New Roman"/>
          <w:bCs w:val="0"/>
          <w:i w:val="0"/>
          <w:iCs w:val="0"/>
          <w:sz w:val="24"/>
          <w:szCs w:val="24"/>
        </w:rPr>
        <w:t>,</w:t>
      </w:r>
      <w:r w:rsidRPr="009631F0">
        <w:rPr>
          <w:rFonts w:cs="Times New Roman"/>
          <w:bCs w:val="0"/>
          <w:i w:val="0"/>
          <w:iCs w:val="0"/>
          <w:sz w:val="24"/>
          <w:szCs w:val="24"/>
        </w:rPr>
        <w:t>500 m</w:t>
      </w:r>
      <w:r w:rsidRPr="009631F0">
        <w:rPr>
          <w:rFonts w:cs="Times New Roman"/>
          <w:bCs w:val="0"/>
          <w:i w:val="0"/>
          <w:iCs w:val="0"/>
          <w:sz w:val="24"/>
          <w:szCs w:val="24"/>
          <w:vertAlign w:val="superscript"/>
        </w:rPr>
        <w:t>3</w:t>
      </w:r>
      <w:r w:rsidRPr="009631F0">
        <w:rPr>
          <w:rFonts w:cs="Times New Roman"/>
          <w:bCs w:val="0"/>
          <w:i w:val="0"/>
          <w:iCs w:val="0"/>
          <w:sz w:val="24"/>
          <w:szCs w:val="24"/>
        </w:rPr>
        <w:t>/d).</w:t>
      </w:r>
    </w:p>
    <w:p w14:paraId="742F9335" w14:textId="77777777" w:rsidR="00900F60" w:rsidRDefault="00900F60" w:rsidP="00900F60">
      <w:pPr>
        <w:pStyle w:val="Titulok3"/>
        <w:spacing w:before="0" w:line="360" w:lineRule="auto"/>
        <w:jc w:val="both"/>
        <w:rPr>
          <w:rFonts w:cs="Times New Roman"/>
          <w:bCs w:val="0"/>
          <w:i w:val="0"/>
          <w:iCs w:val="0"/>
          <w:sz w:val="24"/>
          <w:szCs w:val="24"/>
        </w:rPr>
      </w:pPr>
      <w:r w:rsidRPr="009631F0">
        <w:rPr>
          <w:rFonts w:cs="Times New Roman"/>
          <w:bCs w:val="0"/>
          <w:i w:val="0"/>
          <w:iCs w:val="0"/>
          <w:sz w:val="24"/>
          <w:szCs w:val="24"/>
        </w:rPr>
        <w:t>The percentage of industrial wastewater imported to the WWTP with a capacity of 10</w:t>
      </w:r>
      <w:r>
        <w:rPr>
          <w:rFonts w:cs="Times New Roman"/>
          <w:bCs w:val="0"/>
          <w:i w:val="0"/>
          <w:iCs w:val="0"/>
          <w:sz w:val="24"/>
          <w:szCs w:val="24"/>
        </w:rPr>
        <w:t>,</w:t>
      </w:r>
      <w:r w:rsidRPr="009631F0">
        <w:rPr>
          <w:rFonts w:cs="Times New Roman"/>
          <w:bCs w:val="0"/>
          <w:i w:val="0"/>
          <w:iCs w:val="0"/>
          <w:sz w:val="24"/>
          <w:szCs w:val="24"/>
        </w:rPr>
        <w:t>000 inhabitants calculated for other heavy metals from Table 2 are given in Table 5.</w:t>
      </w:r>
    </w:p>
    <w:bookmarkEnd w:id="2"/>
    <w:p w14:paraId="47F286FA" w14:textId="6ED62654" w:rsidR="00A1155F" w:rsidRPr="00456F8A" w:rsidRDefault="00A1155F" w:rsidP="009E5D26">
      <w:pPr>
        <w:pStyle w:val="TextNadTabulku"/>
        <w:tabs>
          <w:tab w:val="left" w:pos="4962"/>
        </w:tabs>
        <w:suppressAutoHyphens/>
        <w:spacing w:line="360" w:lineRule="auto"/>
        <w:ind w:left="0" w:firstLine="0"/>
        <w:rPr>
          <w:sz w:val="24"/>
          <w:szCs w:val="24"/>
        </w:rPr>
      </w:pPr>
      <w:r w:rsidRPr="00456F8A">
        <w:rPr>
          <w:b/>
          <w:sz w:val="24"/>
          <w:szCs w:val="24"/>
        </w:rPr>
        <w:t>Tab</w:t>
      </w:r>
      <w:r w:rsidR="004316B5" w:rsidRPr="00456F8A">
        <w:rPr>
          <w:b/>
          <w:sz w:val="24"/>
          <w:szCs w:val="24"/>
        </w:rPr>
        <w:t>le</w:t>
      </w:r>
      <w:r w:rsidRPr="00456F8A">
        <w:rPr>
          <w:b/>
          <w:sz w:val="24"/>
          <w:szCs w:val="24"/>
        </w:rPr>
        <w:t xml:space="preserve"> 5.</w:t>
      </w:r>
      <w:r w:rsidR="00C77F8D" w:rsidRPr="00456F8A">
        <w:rPr>
          <w:sz w:val="24"/>
          <w:szCs w:val="24"/>
        </w:rPr>
        <w:t xml:space="preserve"> </w:t>
      </w:r>
      <w:r w:rsidRPr="00456F8A">
        <w:rPr>
          <w:rFonts w:cs="Times New Roman"/>
          <w:sz w:val="24"/>
          <w:szCs w:val="24"/>
        </w:rPr>
        <w:t>The percentage of industrial wastewater to the WWTP (with a capacity of 10</w:t>
      </w:r>
      <w:r w:rsidR="00630B1B" w:rsidRPr="00456F8A">
        <w:rPr>
          <w:rFonts w:cs="Times New Roman"/>
          <w:sz w:val="24"/>
          <w:szCs w:val="24"/>
        </w:rPr>
        <w:t>,</w:t>
      </w:r>
      <w:r w:rsidRPr="00456F8A">
        <w:rPr>
          <w:rFonts w:cs="Times New Roman"/>
          <w:sz w:val="24"/>
          <w:szCs w:val="24"/>
        </w:rPr>
        <w:t>000 inhabitants) for selected heavy metals</w:t>
      </w:r>
      <w:r w:rsidR="004316B5" w:rsidRPr="00456F8A">
        <w:rPr>
          <w:rFonts w:cs="Times New Roman"/>
          <w:sz w:val="24"/>
          <w:szCs w:val="24"/>
        </w:rPr>
        <w:t>.</w:t>
      </w:r>
    </w:p>
    <w:tbl>
      <w:tblPr>
        <w:tblStyle w:val="Mriekatabuky"/>
        <w:tblW w:w="6706" w:type="dxa"/>
        <w:tblBorders>
          <w:left w:val="none" w:sz="0" w:space="0" w:color="auto"/>
          <w:right w:val="none" w:sz="0" w:space="0" w:color="auto"/>
          <w:insideV w:val="none" w:sz="0" w:space="0" w:color="auto"/>
        </w:tblBorders>
        <w:tblLook w:val="04A0" w:firstRow="1" w:lastRow="0" w:firstColumn="1" w:lastColumn="0" w:noHBand="0" w:noVBand="1"/>
      </w:tblPr>
      <w:tblGrid>
        <w:gridCol w:w="1535"/>
        <w:gridCol w:w="1692"/>
        <w:gridCol w:w="3243"/>
        <w:gridCol w:w="236"/>
      </w:tblGrid>
      <w:tr w:rsidR="00A1155F" w:rsidRPr="00E612A1" w14:paraId="1F9E62AD" w14:textId="77777777" w:rsidTr="009A6DA1">
        <w:trPr>
          <w:trHeight w:val="708"/>
        </w:trPr>
        <w:tc>
          <w:tcPr>
            <w:tcW w:w="1535" w:type="dxa"/>
            <w:tcBorders>
              <w:bottom w:val="single" w:sz="4" w:space="0" w:color="000000"/>
            </w:tcBorders>
            <w:vAlign w:val="center"/>
            <w:hideMark/>
          </w:tcPr>
          <w:p w14:paraId="3E30F48B" w14:textId="77777777" w:rsidR="00A1155F" w:rsidRPr="00E612A1" w:rsidRDefault="00A1155F" w:rsidP="009E5D26">
            <w:pPr>
              <w:spacing w:line="360" w:lineRule="auto"/>
              <w:jc w:val="center"/>
              <w:rPr>
                <w:b/>
                <w:bCs/>
                <w:lang w:val="en-GB"/>
              </w:rPr>
            </w:pPr>
            <w:r w:rsidRPr="00E612A1">
              <w:rPr>
                <w:b/>
                <w:bCs/>
                <w:lang w:val="en-GB"/>
              </w:rPr>
              <w:t>Heavy metal</w:t>
            </w:r>
          </w:p>
        </w:tc>
        <w:tc>
          <w:tcPr>
            <w:tcW w:w="1692" w:type="dxa"/>
            <w:tcBorders>
              <w:bottom w:val="single" w:sz="4" w:space="0" w:color="000000"/>
            </w:tcBorders>
            <w:vAlign w:val="center"/>
          </w:tcPr>
          <w:p w14:paraId="77225C86" w14:textId="77777777" w:rsidR="00A1155F" w:rsidRPr="00E612A1" w:rsidRDefault="00A1155F" w:rsidP="009E5D26">
            <w:pPr>
              <w:spacing w:line="360" w:lineRule="auto"/>
              <w:jc w:val="center"/>
              <w:rPr>
                <w:b/>
                <w:bCs/>
                <w:lang w:val="en-GB"/>
              </w:rPr>
            </w:pPr>
            <w:r w:rsidRPr="00E612A1">
              <w:rPr>
                <w:b/>
                <w:bCs/>
                <w:lang w:val="en-GB"/>
              </w:rPr>
              <w:t>Volume of liquid waste (m</w:t>
            </w:r>
            <w:r w:rsidRPr="00E612A1">
              <w:rPr>
                <w:b/>
                <w:bCs/>
                <w:vertAlign w:val="superscript"/>
                <w:lang w:val="en-GB"/>
              </w:rPr>
              <w:t>3</w:t>
            </w:r>
            <w:r w:rsidRPr="00E612A1">
              <w:rPr>
                <w:b/>
                <w:bCs/>
                <w:lang w:val="en-GB"/>
              </w:rPr>
              <w:t>/d)</w:t>
            </w:r>
          </w:p>
        </w:tc>
        <w:tc>
          <w:tcPr>
            <w:tcW w:w="3243" w:type="dxa"/>
            <w:tcBorders>
              <w:bottom w:val="single" w:sz="4" w:space="0" w:color="000000"/>
            </w:tcBorders>
            <w:vAlign w:val="center"/>
          </w:tcPr>
          <w:p w14:paraId="7C446D53" w14:textId="77777777" w:rsidR="00A1155F" w:rsidRPr="00E612A1" w:rsidRDefault="00A1155F" w:rsidP="009E5D26">
            <w:pPr>
              <w:spacing w:line="360" w:lineRule="auto"/>
              <w:jc w:val="center"/>
              <w:rPr>
                <w:b/>
                <w:bCs/>
                <w:lang w:val="en-GB"/>
              </w:rPr>
            </w:pPr>
            <w:r w:rsidRPr="00E612A1">
              <w:rPr>
                <w:b/>
                <w:bCs/>
                <w:lang w:val="en-GB"/>
              </w:rPr>
              <w:t>Percentage of liquid waste according to WWTP inflow (%)</w:t>
            </w:r>
          </w:p>
        </w:tc>
        <w:tc>
          <w:tcPr>
            <w:tcW w:w="236" w:type="dxa"/>
            <w:tcBorders>
              <w:bottom w:val="single" w:sz="4" w:space="0" w:color="000000"/>
            </w:tcBorders>
          </w:tcPr>
          <w:p w14:paraId="6822F1AD" w14:textId="77777777" w:rsidR="00A1155F" w:rsidRPr="00E612A1" w:rsidRDefault="00A1155F" w:rsidP="008E3706">
            <w:pPr>
              <w:spacing w:line="360" w:lineRule="auto"/>
              <w:ind w:left="173" w:right="855" w:hanging="173"/>
              <w:jc w:val="center"/>
              <w:rPr>
                <w:b/>
                <w:bCs/>
                <w:lang w:val="en-GB"/>
              </w:rPr>
            </w:pPr>
          </w:p>
        </w:tc>
      </w:tr>
      <w:tr w:rsidR="00A1155F" w:rsidRPr="00E612A1" w14:paraId="09E8F44F" w14:textId="77777777" w:rsidTr="009A6DA1">
        <w:trPr>
          <w:trHeight w:val="162"/>
        </w:trPr>
        <w:tc>
          <w:tcPr>
            <w:tcW w:w="1535" w:type="dxa"/>
            <w:tcBorders>
              <w:bottom w:val="nil"/>
            </w:tcBorders>
            <w:noWrap/>
            <w:vAlign w:val="center"/>
            <w:hideMark/>
          </w:tcPr>
          <w:p w14:paraId="1A3C3EBF" w14:textId="31811F18" w:rsidR="00A1155F" w:rsidRPr="00E612A1" w:rsidRDefault="00A1155F" w:rsidP="009E5D26">
            <w:pPr>
              <w:spacing w:line="360" w:lineRule="auto"/>
              <w:jc w:val="center"/>
              <w:rPr>
                <w:bCs/>
                <w:lang w:val="en-GB"/>
              </w:rPr>
            </w:pPr>
            <w:r w:rsidRPr="00E612A1">
              <w:rPr>
                <w:lang w:val="en-GB"/>
              </w:rPr>
              <w:t>Cr</w:t>
            </w:r>
          </w:p>
        </w:tc>
        <w:tc>
          <w:tcPr>
            <w:tcW w:w="1692" w:type="dxa"/>
            <w:tcBorders>
              <w:bottom w:val="nil"/>
            </w:tcBorders>
            <w:noWrap/>
            <w:vAlign w:val="center"/>
          </w:tcPr>
          <w:p w14:paraId="143FEC32" w14:textId="77777777" w:rsidR="00A1155F" w:rsidRPr="00E612A1" w:rsidRDefault="00A1155F" w:rsidP="009E5D26">
            <w:pPr>
              <w:spacing w:line="360" w:lineRule="auto"/>
              <w:jc w:val="center"/>
              <w:rPr>
                <w:bCs/>
                <w:lang w:val="en-GB"/>
              </w:rPr>
            </w:pPr>
            <w:r w:rsidRPr="00E612A1">
              <w:rPr>
                <w:bCs/>
                <w:lang w:val="en-GB"/>
              </w:rPr>
              <w:t>959</w:t>
            </w:r>
          </w:p>
        </w:tc>
        <w:tc>
          <w:tcPr>
            <w:tcW w:w="3243" w:type="dxa"/>
            <w:tcBorders>
              <w:bottom w:val="nil"/>
            </w:tcBorders>
          </w:tcPr>
          <w:p w14:paraId="73550697" w14:textId="77777777" w:rsidR="00A1155F" w:rsidRPr="00E612A1" w:rsidRDefault="00A1155F" w:rsidP="009E5D26">
            <w:pPr>
              <w:spacing w:line="360" w:lineRule="auto"/>
              <w:jc w:val="center"/>
              <w:rPr>
                <w:bCs/>
                <w:lang w:val="en-GB"/>
              </w:rPr>
            </w:pPr>
            <w:r w:rsidRPr="00E612A1">
              <w:rPr>
                <w:bCs/>
                <w:lang w:val="en-GB"/>
              </w:rPr>
              <w:t>64</w:t>
            </w:r>
          </w:p>
        </w:tc>
        <w:tc>
          <w:tcPr>
            <w:tcW w:w="236" w:type="dxa"/>
            <w:tcBorders>
              <w:bottom w:val="nil"/>
            </w:tcBorders>
            <w:vAlign w:val="center"/>
          </w:tcPr>
          <w:p w14:paraId="1FEAB330" w14:textId="77777777" w:rsidR="00A1155F" w:rsidRPr="00E612A1" w:rsidRDefault="00A1155F" w:rsidP="008E3706">
            <w:pPr>
              <w:spacing w:line="360" w:lineRule="auto"/>
              <w:jc w:val="center"/>
              <w:rPr>
                <w:bCs/>
                <w:lang w:val="en-GB"/>
              </w:rPr>
            </w:pPr>
          </w:p>
        </w:tc>
      </w:tr>
      <w:tr w:rsidR="00A1155F" w:rsidRPr="00E612A1" w14:paraId="07077A2A" w14:textId="77777777" w:rsidTr="009A6DA1">
        <w:trPr>
          <w:trHeight w:val="162"/>
        </w:trPr>
        <w:tc>
          <w:tcPr>
            <w:tcW w:w="1535" w:type="dxa"/>
            <w:tcBorders>
              <w:top w:val="nil"/>
              <w:bottom w:val="nil"/>
            </w:tcBorders>
            <w:noWrap/>
            <w:vAlign w:val="center"/>
          </w:tcPr>
          <w:p w14:paraId="48F13332" w14:textId="77777777" w:rsidR="00A1155F" w:rsidRPr="00E612A1" w:rsidRDefault="00A1155F" w:rsidP="009E5D26">
            <w:pPr>
              <w:spacing w:line="360" w:lineRule="auto"/>
              <w:jc w:val="center"/>
              <w:rPr>
                <w:lang w:val="en-GB"/>
              </w:rPr>
            </w:pPr>
            <w:r w:rsidRPr="00E612A1">
              <w:rPr>
                <w:lang w:val="en-GB"/>
              </w:rPr>
              <w:t>Cd</w:t>
            </w:r>
          </w:p>
        </w:tc>
        <w:tc>
          <w:tcPr>
            <w:tcW w:w="1692" w:type="dxa"/>
            <w:tcBorders>
              <w:top w:val="nil"/>
              <w:bottom w:val="nil"/>
            </w:tcBorders>
            <w:noWrap/>
            <w:vAlign w:val="center"/>
          </w:tcPr>
          <w:p w14:paraId="6845DD5A" w14:textId="77777777" w:rsidR="00A1155F" w:rsidRPr="00E612A1" w:rsidRDefault="00A1155F" w:rsidP="009E5D26">
            <w:pPr>
              <w:spacing w:line="360" w:lineRule="auto"/>
              <w:jc w:val="center"/>
              <w:rPr>
                <w:bCs/>
                <w:lang w:val="en-GB"/>
              </w:rPr>
            </w:pPr>
            <w:r w:rsidRPr="00E612A1">
              <w:rPr>
                <w:bCs/>
                <w:lang w:val="en-GB"/>
              </w:rPr>
              <w:t>36.8</w:t>
            </w:r>
          </w:p>
        </w:tc>
        <w:tc>
          <w:tcPr>
            <w:tcW w:w="3243" w:type="dxa"/>
            <w:tcBorders>
              <w:top w:val="nil"/>
              <w:bottom w:val="nil"/>
            </w:tcBorders>
          </w:tcPr>
          <w:p w14:paraId="5B49BDE1" w14:textId="77777777" w:rsidR="00A1155F" w:rsidRPr="00E612A1" w:rsidRDefault="00A1155F" w:rsidP="009E5D26">
            <w:pPr>
              <w:spacing w:line="360" w:lineRule="auto"/>
              <w:jc w:val="center"/>
              <w:rPr>
                <w:bCs/>
                <w:lang w:val="en-GB"/>
              </w:rPr>
            </w:pPr>
            <w:r w:rsidRPr="00E612A1">
              <w:rPr>
                <w:bCs/>
                <w:lang w:val="en-GB"/>
              </w:rPr>
              <w:t>2</w:t>
            </w:r>
          </w:p>
        </w:tc>
        <w:tc>
          <w:tcPr>
            <w:tcW w:w="236" w:type="dxa"/>
            <w:tcBorders>
              <w:top w:val="nil"/>
              <w:bottom w:val="nil"/>
            </w:tcBorders>
            <w:vAlign w:val="center"/>
          </w:tcPr>
          <w:p w14:paraId="37064811" w14:textId="77777777" w:rsidR="00A1155F" w:rsidRPr="00E612A1" w:rsidRDefault="00A1155F" w:rsidP="008E3706">
            <w:pPr>
              <w:spacing w:line="360" w:lineRule="auto"/>
              <w:jc w:val="center"/>
              <w:rPr>
                <w:bCs/>
                <w:lang w:val="en-GB"/>
              </w:rPr>
            </w:pPr>
          </w:p>
        </w:tc>
      </w:tr>
      <w:tr w:rsidR="00A1155F" w:rsidRPr="00E612A1" w14:paraId="04821C81" w14:textId="77777777" w:rsidTr="009A6DA1">
        <w:trPr>
          <w:trHeight w:val="162"/>
        </w:trPr>
        <w:tc>
          <w:tcPr>
            <w:tcW w:w="1535" w:type="dxa"/>
            <w:tcBorders>
              <w:top w:val="nil"/>
              <w:bottom w:val="nil"/>
            </w:tcBorders>
            <w:noWrap/>
            <w:vAlign w:val="center"/>
          </w:tcPr>
          <w:p w14:paraId="44E64365" w14:textId="4192B39C" w:rsidR="00A1155F" w:rsidRPr="00E612A1" w:rsidRDefault="00A1155F" w:rsidP="009E5D26">
            <w:pPr>
              <w:spacing w:line="360" w:lineRule="auto"/>
              <w:jc w:val="center"/>
              <w:rPr>
                <w:bCs/>
                <w:lang w:val="en-GB"/>
              </w:rPr>
            </w:pPr>
            <w:r w:rsidRPr="00E612A1">
              <w:rPr>
                <w:lang w:val="en-GB"/>
              </w:rPr>
              <w:t>Cu</w:t>
            </w:r>
          </w:p>
        </w:tc>
        <w:tc>
          <w:tcPr>
            <w:tcW w:w="1692" w:type="dxa"/>
            <w:tcBorders>
              <w:top w:val="nil"/>
              <w:bottom w:val="nil"/>
            </w:tcBorders>
            <w:noWrap/>
            <w:vAlign w:val="center"/>
          </w:tcPr>
          <w:p w14:paraId="50B464FD" w14:textId="00CE8019" w:rsidR="00A1155F" w:rsidRPr="00E612A1" w:rsidRDefault="00A1155F" w:rsidP="009E5D26">
            <w:pPr>
              <w:spacing w:line="360" w:lineRule="auto"/>
              <w:jc w:val="center"/>
              <w:rPr>
                <w:bCs/>
                <w:lang w:val="en-GB"/>
              </w:rPr>
            </w:pPr>
            <w:r w:rsidRPr="00E612A1">
              <w:rPr>
                <w:bCs/>
                <w:lang w:val="en-GB"/>
              </w:rPr>
              <w:t>1</w:t>
            </w:r>
            <w:r w:rsidR="00A35403">
              <w:rPr>
                <w:bCs/>
                <w:lang w:val="en-GB"/>
              </w:rPr>
              <w:t>,</w:t>
            </w:r>
            <w:r w:rsidRPr="00E612A1">
              <w:rPr>
                <w:bCs/>
                <w:lang w:val="en-GB"/>
              </w:rPr>
              <w:t>664</w:t>
            </w:r>
          </w:p>
        </w:tc>
        <w:tc>
          <w:tcPr>
            <w:tcW w:w="3243" w:type="dxa"/>
            <w:tcBorders>
              <w:top w:val="nil"/>
              <w:bottom w:val="nil"/>
            </w:tcBorders>
          </w:tcPr>
          <w:p w14:paraId="33931BF2" w14:textId="77777777" w:rsidR="00A1155F" w:rsidRPr="00E612A1" w:rsidRDefault="00A1155F" w:rsidP="009E5D26">
            <w:pPr>
              <w:spacing w:line="360" w:lineRule="auto"/>
              <w:jc w:val="center"/>
              <w:rPr>
                <w:bCs/>
                <w:lang w:val="en-GB"/>
              </w:rPr>
            </w:pPr>
            <w:r w:rsidRPr="00E612A1">
              <w:rPr>
                <w:bCs/>
                <w:lang w:val="en-GB"/>
              </w:rPr>
              <w:t>111</w:t>
            </w:r>
          </w:p>
        </w:tc>
        <w:tc>
          <w:tcPr>
            <w:tcW w:w="236" w:type="dxa"/>
            <w:tcBorders>
              <w:top w:val="nil"/>
              <w:bottom w:val="nil"/>
            </w:tcBorders>
            <w:vAlign w:val="center"/>
          </w:tcPr>
          <w:p w14:paraId="2DA3EB2E" w14:textId="77777777" w:rsidR="00A1155F" w:rsidRPr="00E612A1" w:rsidRDefault="00A1155F" w:rsidP="008E3706">
            <w:pPr>
              <w:spacing w:line="360" w:lineRule="auto"/>
              <w:jc w:val="center"/>
              <w:rPr>
                <w:bCs/>
                <w:lang w:val="en-GB"/>
              </w:rPr>
            </w:pPr>
          </w:p>
        </w:tc>
      </w:tr>
      <w:tr w:rsidR="00A1155F" w:rsidRPr="00E612A1" w14:paraId="04C333DB" w14:textId="77777777" w:rsidTr="009A6DA1">
        <w:trPr>
          <w:trHeight w:val="162"/>
        </w:trPr>
        <w:tc>
          <w:tcPr>
            <w:tcW w:w="1535" w:type="dxa"/>
            <w:tcBorders>
              <w:top w:val="nil"/>
              <w:bottom w:val="nil"/>
            </w:tcBorders>
            <w:noWrap/>
            <w:vAlign w:val="center"/>
          </w:tcPr>
          <w:p w14:paraId="0E8C3DB5" w14:textId="340143FC" w:rsidR="00A1155F" w:rsidRPr="00E612A1" w:rsidRDefault="00A1155F" w:rsidP="009E5D26">
            <w:pPr>
              <w:spacing w:line="360" w:lineRule="auto"/>
              <w:jc w:val="center"/>
              <w:rPr>
                <w:lang w:val="en-GB"/>
              </w:rPr>
            </w:pPr>
            <w:r w:rsidRPr="00E612A1">
              <w:rPr>
                <w:lang w:val="en-GB"/>
              </w:rPr>
              <w:t>Ni</w:t>
            </w:r>
          </w:p>
        </w:tc>
        <w:tc>
          <w:tcPr>
            <w:tcW w:w="1692" w:type="dxa"/>
            <w:tcBorders>
              <w:top w:val="nil"/>
              <w:bottom w:val="nil"/>
            </w:tcBorders>
            <w:noWrap/>
            <w:vAlign w:val="center"/>
          </w:tcPr>
          <w:p w14:paraId="35280F1D" w14:textId="2F99EBFF" w:rsidR="00A1155F" w:rsidRPr="00E612A1" w:rsidRDefault="00A1155F" w:rsidP="009E5D26">
            <w:pPr>
              <w:spacing w:line="360" w:lineRule="auto"/>
              <w:jc w:val="center"/>
              <w:rPr>
                <w:bCs/>
                <w:lang w:val="en-GB"/>
              </w:rPr>
            </w:pPr>
            <w:r w:rsidRPr="00E612A1">
              <w:rPr>
                <w:bCs/>
                <w:lang w:val="en-GB"/>
              </w:rPr>
              <w:t>61.1</w:t>
            </w:r>
          </w:p>
        </w:tc>
        <w:tc>
          <w:tcPr>
            <w:tcW w:w="3243" w:type="dxa"/>
            <w:tcBorders>
              <w:top w:val="nil"/>
              <w:bottom w:val="nil"/>
            </w:tcBorders>
          </w:tcPr>
          <w:p w14:paraId="5CD89484" w14:textId="77777777" w:rsidR="00A1155F" w:rsidRPr="00E612A1" w:rsidRDefault="00A1155F" w:rsidP="009E5D26">
            <w:pPr>
              <w:spacing w:line="360" w:lineRule="auto"/>
              <w:jc w:val="center"/>
              <w:rPr>
                <w:bCs/>
                <w:lang w:val="en-GB"/>
              </w:rPr>
            </w:pPr>
            <w:r w:rsidRPr="00E612A1">
              <w:rPr>
                <w:bCs/>
                <w:lang w:val="en-GB"/>
              </w:rPr>
              <w:t>4</w:t>
            </w:r>
          </w:p>
        </w:tc>
        <w:tc>
          <w:tcPr>
            <w:tcW w:w="236" w:type="dxa"/>
            <w:tcBorders>
              <w:top w:val="nil"/>
              <w:bottom w:val="nil"/>
            </w:tcBorders>
            <w:vAlign w:val="center"/>
          </w:tcPr>
          <w:p w14:paraId="7BC662A4" w14:textId="77777777" w:rsidR="00A1155F" w:rsidRPr="00E612A1" w:rsidRDefault="00A1155F" w:rsidP="008E3706">
            <w:pPr>
              <w:spacing w:line="360" w:lineRule="auto"/>
              <w:jc w:val="center"/>
              <w:rPr>
                <w:bCs/>
                <w:lang w:val="en-GB"/>
              </w:rPr>
            </w:pPr>
          </w:p>
        </w:tc>
      </w:tr>
      <w:tr w:rsidR="00A1155F" w:rsidRPr="00E612A1" w14:paraId="69F76295" w14:textId="77777777" w:rsidTr="009A6DA1">
        <w:trPr>
          <w:trHeight w:val="162"/>
        </w:trPr>
        <w:tc>
          <w:tcPr>
            <w:tcW w:w="1535" w:type="dxa"/>
            <w:tcBorders>
              <w:top w:val="nil"/>
              <w:bottom w:val="nil"/>
            </w:tcBorders>
            <w:noWrap/>
            <w:vAlign w:val="center"/>
          </w:tcPr>
          <w:p w14:paraId="4FA8F8DA" w14:textId="3EFF5A1F" w:rsidR="00A1155F" w:rsidRPr="00E612A1" w:rsidRDefault="00A1155F" w:rsidP="009E5D26">
            <w:pPr>
              <w:spacing w:line="360" w:lineRule="auto"/>
              <w:jc w:val="center"/>
              <w:rPr>
                <w:lang w:val="en-GB"/>
              </w:rPr>
            </w:pPr>
            <w:r w:rsidRPr="00E612A1">
              <w:rPr>
                <w:lang w:val="en-GB"/>
              </w:rPr>
              <w:t>Pb</w:t>
            </w:r>
          </w:p>
        </w:tc>
        <w:tc>
          <w:tcPr>
            <w:tcW w:w="1692" w:type="dxa"/>
            <w:tcBorders>
              <w:top w:val="nil"/>
              <w:bottom w:val="nil"/>
            </w:tcBorders>
            <w:noWrap/>
            <w:vAlign w:val="center"/>
          </w:tcPr>
          <w:p w14:paraId="205FA80D" w14:textId="76F7F1A3" w:rsidR="00A1155F" w:rsidRPr="00E612A1" w:rsidRDefault="00A1155F" w:rsidP="009E5D26">
            <w:pPr>
              <w:spacing w:line="360" w:lineRule="auto"/>
              <w:jc w:val="center"/>
              <w:rPr>
                <w:bCs/>
                <w:lang w:val="en-GB"/>
              </w:rPr>
            </w:pPr>
            <w:r w:rsidRPr="00E612A1">
              <w:rPr>
                <w:bCs/>
                <w:lang w:val="en-GB"/>
              </w:rPr>
              <w:t>2</w:t>
            </w:r>
            <w:r w:rsidR="00A35403">
              <w:rPr>
                <w:bCs/>
                <w:lang w:val="en-GB"/>
              </w:rPr>
              <w:t>,</w:t>
            </w:r>
            <w:r w:rsidRPr="00E612A1">
              <w:rPr>
                <w:bCs/>
                <w:lang w:val="en-GB"/>
              </w:rPr>
              <w:t>835</w:t>
            </w:r>
          </w:p>
        </w:tc>
        <w:tc>
          <w:tcPr>
            <w:tcW w:w="3243" w:type="dxa"/>
            <w:tcBorders>
              <w:top w:val="nil"/>
              <w:bottom w:val="nil"/>
            </w:tcBorders>
          </w:tcPr>
          <w:p w14:paraId="10BEC0EF" w14:textId="77777777" w:rsidR="00A1155F" w:rsidRPr="00E612A1" w:rsidRDefault="00A1155F" w:rsidP="009E5D26">
            <w:pPr>
              <w:spacing w:line="360" w:lineRule="auto"/>
              <w:jc w:val="center"/>
              <w:rPr>
                <w:bCs/>
                <w:lang w:val="en-GB"/>
              </w:rPr>
            </w:pPr>
            <w:r w:rsidRPr="00E612A1">
              <w:rPr>
                <w:bCs/>
                <w:lang w:val="en-GB"/>
              </w:rPr>
              <w:t>189</w:t>
            </w:r>
          </w:p>
        </w:tc>
        <w:tc>
          <w:tcPr>
            <w:tcW w:w="236" w:type="dxa"/>
            <w:tcBorders>
              <w:top w:val="nil"/>
              <w:bottom w:val="nil"/>
            </w:tcBorders>
            <w:vAlign w:val="center"/>
          </w:tcPr>
          <w:p w14:paraId="00FC4BDF" w14:textId="77777777" w:rsidR="00A1155F" w:rsidRPr="00E612A1" w:rsidRDefault="00A1155F" w:rsidP="008E3706">
            <w:pPr>
              <w:spacing w:line="360" w:lineRule="auto"/>
              <w:jc w:val="center"/>
              <w:rPr>
                <w:bCs/>
                <w:lang w:val="en-GB"/>
              </w:rPr>
            </w:pPr>
          </w:p>
        </w:tc>
      </w:tr>
      <w:tr w:rsidR="00A1155F" w:rsidRPr="00E612A1" w14:paraId="1BC10264" w14:textId="77777777" w:rsidTr="009A6DA1">
        <w:trPr>
          <w:trHeight w:val="162"/>
        </w:trPr>
        <w:tc>
          <w:tcPr>
            <w:tcW w:w="1535" w:type="dxa"/>
            <w:tcBorders>
              <w:top w:val="nil"/>
            </w:tcBorders>
            <w:noWrap/>
            <w:vAlign w:val="center"/>
          </w:tcPr>
          <w:p w14:paraId="528DCD4A" w14:textId="653131D9" w:rsidR="00A1155F" w:rsidRPr="00E612A1" w:rsidRDefault="00A1155F" w:rsidP="009E5D26">
            <w:pPr>
              <w:spacing w:line="360" w:lineRule="auto"/>
              <w:jc w:val="center"/>
              <w:rPr>
                <w:lang w:val="en-GB"/>
              </w:rPr>
            </w:pPr>
            <w:r w:rsidRPr="00E612A1">
              <w:rPr>
                <w:lang w:val="en-GB"/>
              </w:rPr>
              <w:t>Zn</w:t>
            </w:r>
          </w:p>
        </w:tc>
        <w:tc>
          <w:tcPr>
            <w:tcW w:w="1692" w:type="dxa"/>
            <w:tcBorders>
              <w:top w:val="nil"/>
            </w:tcBorders>
            <w:noWrap/>
            <w:vAlign w:val="center"/>
          </w:tcPr>
          <w:p w14:paraId="2509690D" w14:textId="2B5242D3" w:rsidR="00A1155F" w:rsidRPr="00E612A1" w:rsidRDefault="00A1155F" w:rsidP="009E5D26">
            <w:pPr>
              <w:spacing w:line="360" w:lineRule="auto"/>
              <w:jc w:val="center"/>
              <w:rPr>
                <w:bCs/>
                <w:lang w:val="en-GB"/>
              </w:rPr>
            </w:pPr>
            <w:r w:rsidRPr="00E612A1">
              <w:rPr>
                <w:bCs/>
                <w:lang w:val="en-GB"/>
              </w:rPr>
              <w:t>15.9</w:t>
            </w:r>
          </w:p>
        </w:tc>
        <w:tc>
          <w:tcPr>
            <w:tcW w:w="3243" w:type="dxa"/>
            <w:tcBorders>
              <w:top w:val="nil"/>
            </w:tcBorders>
          </w:tcPr>
          <w:p w14:paraId="750FD10A" w14:textId="77777777" w:rsidR="00A1155F" w:rsidRPr="00E612A1" w:rsidRDefault="00A1155F" w:rsidP="009E5D26">
            <w:pPr>
              <w:spacing w:line="360" w:lineRule="auto"/>
              <w:jc w:val="center"/>
              <w:rPr>
                <w:bCs/>
                <w:lang w:val="en-GB"/>
              </w:rPr>
            </w:pPr>
            <w:r w:rsidRPr="00E612A1">
              <w:rPr>
                <w:bCs/>
                <w:lang w:val="en-GB"/>
              </w:rPr>
              <w:t>1</w:t>
            </w:r>
          </w:p>
        </w:tc>
        <w:tc>
          <w:tcPr>
            <w:tcW w:w="236" w:type="dxa"/>
            <w:tcBorders>
              <w:top w:val="nil"/>
            </w:tcBorders>
            <w:vAlign w:val="center"/>
          </w:tcPr>
          <w:p w14:paraId="7AD36B1C" w14:textId="77777777" w:rsidR="00A1155F" w:rsidRPr="00E612A1" w:rsidRDefault="00A1155F" w:rsidP="008E3706">
            <w:pPr>
              <w:spacing w:line="360" w:lineRule="auto"/>
              <w:jc w:val="center"/>
              <w:rPr>
                <w:bCs/>
                <w:lang w:val="en-GB"/>
              </w:rPr>
            </w:pPr>
          </w:p>
        </w:tc>
      </w:tr>
    </w:tbl>
    <w:p w14:paraId="54875E8E" w14:textId="77777777" w:rsidR="00630B1B" w:rsidRDefault="00630B1B" w:rsidP="00630B1B">
      <w:pPr>
        <w:pStyle w:val="Titulok3"/>
        <w:spacing w:before="0" w:line="360" w:lineRule="auto"/>
        <w:ind w:firstLine="357"/>
        <w:jc w:val="both"/>
        <w:rPr>
          <w:rFonts w:cs="Times New Roman"/>
          <w:bCs w:val="0"/>
          <w:i w:val="0"/>
          <w:iCs w:val="0"/>
          <w:sz w:val="24"/>
          <w:szCs w:val="24"/>
        </w:rPr>
      </w:pPr>
    </w:p>
    <w:p w14:paraId="07E4FE7C" w14:textId="6E9B1F01" w:rsidR="00C05A8C" w:rsidRPr="009631F0" w:rsidRDefault="00630B1B" w:rsidP="000D7241">
      <w:pPr>
        <w:pStyle w:val="Titulok3"/>
        <w:spacing w:before="0" w:line="360" w:lineRule="auto"/>
        <w:ind w:firstLine="357"/>
        <w:jc w:val="both"/>
        <w:rPr>
          <w:rFonts w:cs="Times New Roman"/>
          <w:bCs w:val="0"/>
          <w:i w:val="0"/>
          <w:iCs w:val="0"/>
          <w:sz w:val="24"/>
          <w:szCs w:val="24"/>
        </w:rPr>
      </w:pPr>
      <w:r w:rsidRPr="009631F0">
        <w:rPr>
          <w:rFonts w:cs="Times New Roman"/>
          <w:bCs w:val="0"/>
          <w:i w:val="0"/>
          <w:iCs w:val="0"/>
          <w:sz w:val="24"/>
          <w:szCs w:val="24"/>
        </w:rPr>
        <w:t>According to these balances, Zn represents the worst case since it reduces the percentage of daily imported volume of industrial wastewater to only 1% (15.9 m</w:t>
      </w:r>
      <w:r w:rsidRPr="009631F0">
        <w:rPr>
          <w:rFonts w:cs="Times New Roman"/>
          <w:bCs w:val="0"/>
          <w:i w:val="0"/>
          <w:iCs w:val="0"/>
          <w:sz w:val="24"/>
          <w:szCs w:val="24"/>
          <w:vertAlign w:val="superscript"/>
        </w:rPr>
        <w:t>3</w:t>
      </w:r>
      <w:r w:rsidRPr="009631F0">
        <w:rPr>
          <w:rFonts w:cs="Times New Roman"/>
          <w:bCs w:val="0"/>
          <w:i w:val="0"/>
          <w:iCs w:val="0"/>
          <w:sz w:val="24"/>
          <w:szCs w:val="24"/>
        </w:rPr>
        <w:t>/d). However, this amount of industrial wastewater is still interesting. It represents approx</w:t>
      </w:r>
      <w:r>
        <w:rPr>
          <w:rFonts w:cs="Times New Roman"/>
          <w:bCs w:val="0"/>
          <w:i w:val="0"/>
          <w:iCs w:val="0"/>
          <w:sz w:val="24"/>
          <w:szCs w:val="24"/>
        </w:rPr>
        <w:t>imately</w:t>
      </w:r>
      <w:r w:rsidRPr="009631F0">
        <w:rPr>
          <w:rFonts w:cs="Times New Roman"/>
          <w:bCs w:val="0"/>
          <w:i w:val="0"/>
          <w:iCs w:val="0"/>
          <w:sz w:val="24"/>
          <w:szCs w:val="24"/>
        </w:rPr>
        <w:t xml:space="preserve"> 424 mg/l COD</w:t>
      </w:r>
      <w:r w:rsidRPr="009631F0">
        <w:rPr>
          <w:rFonts w:cs="Times New Roman"/>
          <w:bCs w:val="0"/>
          <w:i w:val="0"/>
          <w:iCs w:val="0"/>
          <w:sz w:val="24"/>
          <w:szCs w:val="24"/>
          <w:vertAlign w:val="subscript"/>
        </w:rPr>
        <w:t>Cr</w:t>
      </w:r>
      <w:r w:rsidRPr="009631F0">
        <w:rPr>
          <w:rFonts w:cs="Times New Roman"/>
          <w:bCs w:val="0"/>
          <w:i w:val="0"/>
          <w:iCs w:val="0"/>
          <w:sz w:val="24"/>
          <w:szCs w:val="24"/>
        </w:rPr>
        <w:t xml:space="preserve"> and this concentration has a potential to denitrify 47 mg/l N-NO</w:t>
      </w:r>
      <w:r w:rsidRPr="009631F0">
        <w:rPr>
          <w:rFonts w:cs="Times New Roman"/>
          <w:bCs w:val="0"/>
          <w:i w:val="0"/>
          <w:iCs w:val="0"/>
          <w:sz w:val="24"/>
          <w:szCs w:val="24"/>
          <w:vertAlign w:val="subscript"/>
        </w:rPr>
        <w:t>3</w:t>
      </w:r>
      <w:r w:rsidRPr="009631F0">
        <w:rPr>
          <w:rFonts w:cs="Times New Roman"/>
          <w:bCs w:val="0"/>
          <w:i w:val="0"/>
          <w:iCs w:val="0"/>
          <w:sz w:val="24"/>
          <w:szCs w:val="24"/>
        </w:rPr>
        <w:t xml:space="preserve"> (COD</w:t>
      </w:r>
      <w:r w:rsidRPr="009631F0">
        <w:rPr>
          <w:rFonts w:cs="Times New Roman"/>
          <w:bCs w:val="0"/>
          <w:i w:val="0"/>
          <w:iCs w:val="0"/>
          <w:sz w:val="24"/>
          <w:szCs w:val="24"/>
          <w:vertAlign w:val="subscript"/>
        </w:rPr>
        <w:t>Cr</w:t>
      </w:r>
      <w:r w:rsidRPr="009631F0">
        <w:rPr>
          <w:rFonts w:cs="Times New Roman"/>
          <w:bCs w:val="0"/>
          <w:i w:val="0"/>
          <w:iCs w:val="0"/>
          <w:sz w:val="24"/>
          <w:szCs w:val="24"/>
        </w:rPr>
        <w:t xml:space="preserve"> of industrial wastewater = </w:t>
      </w:r>
      <w:r w:rsidRPr="009631F0">
        <w:rPr>
          <w:rFonts w:cs="Times New Roman"/>
          <w:bCs w:val="0"/>
          <w:i w:val="0"/>
          <w:iCs w:val="0"/>
          <w:sz w:val="24"/>
          <w:szCs w:val="24"/>
        </w:rPr>
        <w:lastRenderedPageBreak/>
        <w:t>40.3 g/l; ratio COD</w:t>
      </w:r>
      <w:r w:rsidRPr="009631F0">
        <w:rPr>
          <w:rFonts w:cs="Times New Roman"/>
          <w:bCs w:val="0"/>
          <w:i w:val="0"/>
          <w:iCs w:val="0"/>
          <w:sz w:val="24"/>
          <w:szCs w:val="24"/>
          <w:vertAlign w:val="subscript"/>
        </w:rPr>
        <w:t>Cr</w:t>
      </w:r>
      <w:r w:rsidRPr="009631F0">
        <w:rPr>
          <w:rFonts w:cs="Times New Roman"/>
          <w:bCs w:val="0"/>
          <w:i w:val="0"/>
          <w:iCs w:val="0"/>
          <w:sz w:val="24"/>
          <w:szCs w:val="24"/>
        </w:rPr>
        <w:t xml:space="preserve"> : N-NO</w:t>
      </w:r>
      <w:r w:rsidRPr="009631F0">
        <w:rPr>
          <w:rFonts w:cs="Times New Roman"/>
          <w:bCs w:val="0"/>
          <w:i w:val="0"/>
          <w:iCs w:val="0"/>
          <w:sz w:val="24"/>
          <w:szCs w:val="24"/>
          <w:vertAlign w:val="subscript"/>
        </w:rPr>
        <w:t>3</w:t>
      </w:r>
      <w:r w:rsidRPr="009631F0">
        <w:rPr>
          <w:rFonts w:cs="Times New Roman"/>
          <w:bCs w:val="0"/>
          <w:i w:val="0"/>
          <w:iCs w:val="0"/>
          <w:sz w:val="24"/>
          <w:szCs w:val="24"/>
        </w:rPr>
        <w:t xml:space="preserve"> = 9).</w:t>
      </w:r>
    </w:p>
    <w:p w14:paraId="4B251290" w14:textId="2D77B196" w:rsidR="0017090D" w:rsidRPr="00456F8A" w:rsidRDefault="0017090D" w:rsidP="004316B5">
      <w:pPr>
        <w:pStyle w:val="Titulok1"/>
        <w:numPr>
          <w:ilvl w:val="0"/>
          <w:numId w:val="32"/>
        </w:numPr>
        <w:spacing w:after="0" w:line="360" w:lineRule="auto"/>
        <w:jc w:val="center"/>
      </w:pPr>
      <w:r w:rsidRPr="00456F8A">
        <w:t>Conclusion</w:t>
      </w:r>
    </w:p>
    <w:p w14:paraId="5CDDBA51" w14:textId="77777777" w:rsidR="002738CA" w:rsidRPr="009631F0" w:rsidRDefault="002738CA" w:rsidP="002738CA">
      <w:pPr>
        <w:pStyle w:val="Titulok3"/>
        <w:spacing w:line="360" w:lineRule="auto"/>
        <w:ind w:firstLine="357"/>
        <w:jc w:val="both"/>
        <w:rPr>
          <w:i w:val="0"/>
          <w:iCs w:val="0"/>
          <w:color w:val="auto"/>
          <w:sz w:val="24"/>
          <w:szCs w:val="24"/>
        </w:rPr>
      </w:pPr>
      <w:r w:rsidRPr="009631F0">
        <w:rPr>
          <w:i w:val="0"/>
          <w:iCs w:val="0"/>
          <w:color w:val="auto"/>
          <w:sz w:val="24"/>
          <w:szCs w:val="24"/>
        </w:rPr>
        <w:t>The main results emerging from the testing of industrial wastewater as a possible external denitrification substrate imported to the municipal WWTP to increase the rate and efficiency of denitrification are as follows:</w:t>
      </w:r>
    </w:p>
    <w:p w14:paraId="4141AE36" w14:textId="77777777" w:rsidR="002738CA" w:rsidRPr="009631F0" w:rsidRDefault="002738CA" w:rsidP="002738CA">
      <w:pPr>
        <w:pStyle w:val="Titulok3"/>
        <w:spacing w:before="0" w:line="360" w:lineRule="auto"/>
        <w:jc w:val="both"/>
        <w:rPr>
          <w:color w:val="auto"/>
          <w:sz w:val="24"/>
          <w:szCs w:val="24"/>
        </w:rPr>
      </w:pPr>
      <w:r w:rsidRPr="009631F0">
        <w:rPr>
          <w:i w:val="0"/>
          <w:iCs w:val="0"/>
          <w:color w:val="auto"/>
          <w:sz w:val="24"/>
          <w:szCs w:val="24"/>
        </w:rPr>
        <w:t xml:space="preserve">- </w:t>
      </w:r>
      <w:r>
        <w:rPr>
          <w:i w:val="0"/>
          <w:iCs w:val="0"/>
          <w:color w:val="auto"/>
          <w:sz w:val="24"/>
          <w:szCs w:val="24"/>
        </w:rPr>
        <w:t>I</w:t>
      </w:r>
      <w:r w:rsidRPr="009631F0">
        <w:rPr>
          <w:i w:val="0"/>
          <w:iCs w:val="0"/>
          <w:color w:val="auto"/>
          <w:sz w:val="24"/>
          <w:szCs w:val="24"/>
        </w:rPr>
        <w:t xml:space="preserve">ndustrial wastewater is biodegradable, also for </w:t>
      </w:r>
      <w:r>
        <w:rPr>
          <w:i w:val="0"/>
          <w:iCs w:val="0"/>
          <w:color w:val="auto"/>
          <w:sz w:val="24"/>
          <w:szCs w:val="24"/>
        </w:rPr>
        <w:t>non-</w:t>
      </w:r>
      <w:r w:rsidRPr="009631F0">
        <w:rPr>
          <w:i w:val="0"/>
          <w:iCs w:val="0"/>
          <w:color w:val="auto"/>
          <w:sz w:val="24"/>
          <w:szCs w:val="24"/>
        </w:rPr>
        <w:t>adapted biomass</w:t>
      </w:r>
      <w:r>
        <w:rPr>
          <w:i w:val="0"/>
          <w:iCs w:val="0"/>
          <w:color w:val="auto"/>
          <w:sz w:val="24"/>
          <w:szCs w:val="24"/>
        </w:rPr>
        <w:t xml:space="preserve"> </w:t>
      </w:r>
    </w:p>
    <w:p w14:paraId="0FC51FF7" w14:textId="77777777" w:rsidR="002738CA" w:rsidRPr="009631F0" w:rsidRDefault="002738CA" w:rsidP="002738CA">
      <w:pPr>
        <w:pStyle w:val="Titulok3"/>
        <w:spacing w:before="0" w:line="360" w:lineRule="auto"/>
        <w:jc w:val="both"/>
        <w:rPr>
          <w:i w:val="0"/>
          <w:iCs w:val="0"/>
          <w:color w:val="auto"/>
          <w:sz w:val="24"/>
          <w:szCs w:val="24"/>
        </w:rPr>
      </w:pPr>
      <w:r w:rsidRPr="009631F0">
        <w:rPr>
          <w:i w:val="0"/>
          <w:iCs w:val="0"/>
          <w:color w:val="auto"/>
          <w:sz w:val="24"/>
          <w:szCs w:val="24"/>
        </w:rPr>
        <w:t>-</w:t>
      </w:r>
      <w:r w:rsidRPr="009631F0">
        <w:rPr>
          <w:rFonts w:cs="Times New Roman"/>
          <w:bCs w:val="0"/>
          <w:i w:val="0"/>
          <w:iCs w:val="0"/>
          <w:color w:val="auto"/>
          <w:sz w:val="24"/>
          <w:szCs w:val="24"/>
        </w:rPr>
        <w:t xml:space="preserve"> </w:t>
      </w:r>
      <w:r>
        <w:rPr>
          <w:rFonts w:cs="Times New Roman"/>
          <w:bCs w:val="0"/>
          <w:i w:val="0"/>
          <w:iCs w:val="0"/>
          <w:color w:val="auto"/>
          <w:sz w:val="24"/>
          <w:szCs w:val="24"/>
        </w:rPr>
        <w:t>D</w:t>
      </w:r>
      <w:r w:rsidRPr="009631F0">
        <w:rPr>
          <w:i w:val="0"/>
          <w:iCs w:val="0"/>
          <w:color w:val="auto"/>
          <w:sz w:val="24"/>
          <w:szCs w:val="24"/>
        </w:rPr>
        <w:t>enitrification resulted in nitrogen gas production without intermediate products</w:t>
      </w:r>
    </w:p>
    <w:p w14:paraId="1868121C" w14:textId="77777777" w:rsidR="002738CA" w:rsidRPr="009631F0" w:rsidRDefault="002738CA" w:rsidP="002738CA">
      <w:pPr>
        <w:pStyle w:val="Titulok3"/>
        <w:spacing w:before="0" w:line="360" w:lineRule="auto"/>
        <w:jc w:val="both"/>
        <w:rPr>
          <w:i w:val="0"/>
          <w:iCs w:val="0"/>
          <w:color w:val="auto"/>
          <w:sz w:val="24"/>
          <w:szCs w:val="24"/>
        </w:rPr>
      </w:pPr>
      <w:r w:rsidRPr="009631F0">
        <w:rPr>
          <w:i w:val="0"/>
          <w:iCs w:val="0"/>
          <w:color w:val="auto"/>
          <w:sz w:val="24"/>
          <w:szCs w:val="24"/>
        </w:rPr>
        <w:t xml:space="preserve">- </w:t>
      </w:r>
      <w:r>
        <w:rPr>
          <w:i w:val="0"/>
          <w:iCs w:val="0"/>
          <w:color w:val="auto"/>
          <w:sz w:val="24"/>
          <w:szCs w:val="24"/>
        </w:rPr>
        <w:t>T</w:t>
      </w:r>
      <w:r w:rsidRPr="009631F0">
        <w:rPr>
          <w:i w:val="0"/>
          <w:iCs w:val="0"/>
          <w:color w:val="auto"/>
          <w:sz w:val="24"/>
          <w:szCs w:val="24"/>
        </w:rPr>
        <w:t>he denitrification rates with industrial wastewater as an external substrate were in the range of 1.6 to 1.9 mg</w:t>
      </w:r>
      <w:r w:rsidRPr="009631F0">
        <w:rPr>
          <w:i w:val="0"/>
          <w:iCs w:val="0"/>
          <w:color w:val="auto"/>
          <w:sz w:val="24"/>
          <w:szCs w:val="24"/>
          <w:vertAlign w:val="subscript"/>
        </w:rPr>
        <w:t>N</w:t>
      </w:r>
      <w:r w:rsidRPr="009631F0">
        <w:rPr>
          <w:i w:val="0"/>
          <w:iCs w:val="0"/>
          <w:color w:val="auto"/>
          <w:sz w:val="24"/>
          <w:szCs w:val="24"/>
        </w:rPr>
        <w:t xml:space="preserve">/g·h. Addition of this substrate improves denitrification efficiency </w:t>
      </w:r>
    </w:p>
    <w:p w14:paraId="6B8B8BAB" w14:textId="77777777" w:rsidR="002738CA" w:rsidRPr="009631F0" w:rsidRDefault="002738CA" w:rsidP="002738CA">
      <w:pPr>
        <w:pStyle w:val="Titulok3"/>
        <w:spacing w:before="0" w:line="360" w:lineRule="auto"/>
        <w:jc w:val="both"/>
        <w:rPr>
          <w:i w:val="0"/>
          <w:iCs w:val="0"/>
          <w:color w:val="auto"/>
          <w:sz w:val="24"/>
          <w:szCs w:val="24"/>
        </w:rPr>
      </w:pPr>
      <w:r w:rsidRPr="009631F0">
        <w:rPr>
          <w:i w:val="0"/>
          <w:iCs w:val="0"/>
          <w:color w:val="auto"/>
          <w:sz w:val="24"/>
          <w:szCs w:val="24"/>
        </w:rPr>
        <w:t>-</w:t>
      </w:r>
      <w:r>
        <w:rPr>
          <w:i w:val="0"/>
          <w:iCs w:val="0"/>
          <w:color w:val="auto"/>
          <w:sz w:val="24"/>
          <w:szCs w:val="24"/>
        </w:rPr>
        <w:t>N</w:t>
      </w:r>
      <w:r w:rsidRPr="009631F0">
        <w:rPr>
          <w:i w:val="0"/>
          <w:iCs w:val="0"/>
          <w:color w:val="auto"/>
          <w:sz w:val="24"/>
          <w:szCs w:val="24"/>
        </w:rPr>
        <w:t>egative impact of long-term dosing of industrial wastewater on activated sludge was not confirmed</w:t>
      </w:r>
    </w:p>
    <w:p w14:paraId="637A149B" w14:textId="77777777" w:rsidR="002738CA" w:rsidRPr="009631F0" w:rsidRDefault="002738CA" w:rsidP="002738CA">
      <w:pPr>
        <w:pStyle w:val="Titulok3"/>
        <w:spacing w:before="0" w:line="360" w:lineRule="auto"/>
        <w:jc w:val="both"/>
        <w:rPr>
          <w:i w:val="0"/>
          <w:iCs w:val="0"/>
          <w:color w:val="auto"/>
          <w:sz w:val="24"/>
          <w:szCs w:val="24"/>
        </w:rPr>
      </w:pPr>
      <w:r w:rsidRPr="009631F0">
        <w:rPr>
          <w:i w:val="0"/>
          <w:iCs w:val="0"/>
          <w:color w:val="auto"/>
          <w:sz w:val="24"/>
          <w:szCs w:val="24"/>
        </w:rPr>
        <w:t>-</w:t>
      </w:r>
      <w:r>
        <w:rPr>
          <w:i w:val="0"/>
          <w:iCs w:val="0"/>
          <w:color w:val="auto"/>
          <w:sz w:val="24"/>
          <w:szCs w:val="24"/>
        </w:rPr>
        <w:t xml:space="preserve"> P</w:t>
      </w:r>
      <w:r w:rsidRPr="009631F0">
        <w:rPr>
          <w:i w:val="0"/>
          <w:iCs w:val="0"/>
          <w:color w:val="auto"/>
          <w:sz w:val="24"/>
          <w:szCs w:val="24"/>
        </w:rPr>
        <w:t>artial increase of COD</w:t>
      </w:r>
      <w:r w:rsidRPr="009631F0">
        <w:rPr>
          <w:i w:val="0"/>
          <w:iCs w:val="0"/>
          <w:color w:val="auto"/>
          <w:sz w:val="24"/>
          <w:szCs w:val="24"/>
          <w:vertAlign w:val="subscript"/>
        </w:rPr>
        <w:t>Cr</w:t>
      </w:r>
      <w:r w:rsidRPr="009631F0">
        <w:rPr>
          <w:i w:val="0"/>
          <w:iCs w:val="0"/>
          <w:color w:val="auto"/>
          <w:sz w:val="24"/>
          <w:szCs w:val="24"/>
        </w:rPr>
        <w:t xml:space="preserve"> concentration in the effluent from activated sludge reactor was measured, but this problem can be regulated by the amount of industrial wastewater applied into </w:t>
      </w:r>
      <w:r>
        <w:rPr>
          <w:i w:val="0"/>
          <w:iCs w:val="0"/>
          <w:color w:val="auto"/>
          <w:sz w:val="24"/>
          <w:szCs w:val="24"/>
        </w:rPr>
        <w:t xml:space="preserve">the </w:t>
      </w:r>
      <w:r w:rsidRPr="009631F0">
        <w:rPr>
          <w:i w:val="0"/>
          <w:iCs w:val="0"/>
          <w:color w:val="auto"/>
          <w:sz w:val="24"/>
          <w:szCs w:val="24"/>
        </w:rPr>
        <w:t>denitrification reactor. The addition of industrial wastewater with COD</w:t>
      </w:r>
      <w:r w:rsidRPr="009631F0">
        <w:rPr>
          <w:i w:val="0"/>
          <w:iCs w:val="0"/>
          <w:color w:val="auto"/>
          <w:sz w:val="24"/>
          <w:szCs w:val="24"/>
          <w:vertAlign w:val="subscript"/>
        </w:rPr>
        <w:t>Cr</w:t>
      </w:r>
      <w:r w:rsidRPr="009631F0">
        <w:rPr>
          <w:i w:val="0"/>
          <w:iCs w:val="0"/>
          <w:color w:val="auto"/>
          <w:sz w:val="24"/>
          <w:szCs w:val="24"/>
        </w:rPr>
        <w:t xml:space="preserve"> concentration of 100 mg/l increases the COD</w:t>
      </w:r>
      <w:r w:rsidRPr="009631F0">
        <w:rPr>
          <w:i w:val="0"/>
          <w:iCs w:val="0"/>
          <w:color w:val="auto"/>
          <w:sz w:val="24"/>
          <w:szCs w:val="24"/>
          <w:vertAlign w:val="subscript"/>
        </w:rPr>
        <w:t>Cr</w:t>
      </w:r>
      <w:r w:rsidRPr="009631F0">
        <w:rPr>
          <w:i w:val="0"/>
          <w:iCs w:val="0"/>
          <w:color w:val="auto"/>
          <w:sz w:val="24"/>
          <w:szCs w:val="24"/>
        </w:rPr>
        <w:t xml:space="preserve"> concentration in the WWTP effluent by 5–9 mg/l</w:t>
      </w:r>
    </w:p>
    <w:p w14:paraId="5D757751" w14:textId="13EFDAF3" w:rsidR="002738CA" w:rsidRPr="009631F0" w:rsidRDefault="002738CA" w:rsidP="002738CA">
      <w:pPr>
        <w:pStyle w:val="Titulok3"/>
        <w:spacing w:before="0" w:line="360" w:lineRule="auto"/>
        <w:jc w:val="both"/>
        <w:rPr>
          <w:i w:val="0"/>
          <w:iCs w:val="0"/>
          <w:color w:val="auto"/>
          <w:sz w:val="24"/>
          <w:szCs w:val="24"/>
        </w:rPr>
      </w:pPr>
      <w:r w:rsidRPr="009631F0">
        <w:rPr>
          <w:i w:val="0"/>
          <w:iCs w:val="0"/>
          <w:color w:val="auto"/>
          <w:sz w:val="24"/>
          <w:szCs w:val="24"/>
        </w:rPr>
        <w:t>-</w:t>
      </w:r>
      <w:r w:rsidR="006B421D">
        <w:rPr>
          <w:i w:val="0"/>
          <w:iCs w:val="0"/>
          <w:color w:val="auto"/>
          <w:sz w:val="24"/>
          <w:szCs w:val="24"/>
        </w:rPr>
        <w:t xml:space="preserve"> </w:t>
      </w:r>
      <w:r>
        <w:rPr>
          <w:i w:val="0"/>
          <w:iCs w:val="0"/>
          <w:color w:val="auto"/>
          <w:sz w:val="24"/>
          <w:szCs w:val="24"/>
        </w:rPr>
        <w:t>T</w:t>
      </w:r>
      <w:r w:rsidRPr="009631F0">
        <w:rPr>
          <w:i w:val="0"/>
          <w:iCs w:val="0"/>
          <w:color w:val="auto"/>
          <w:sz w:val="24"/>
          <w:szCs w:val="24"/>
        </w:rPr>
        <w:t>he impact of the imported industrial wastewater as an external denitrification substrate for WWTP must be assessed comprehensively, including details such as the accumulation of heavy metals from the wastewater in the activated sludge. The instructions on how to calculate this balance are provided in the article.</w:t>
      </w:r>
    </w:p>
    <w:p w14:paraId="26BAB7E9" w14:textId="7254C7EA" w:rsidR="00DF2028" w:rsidRPr="00456F8A" w:rsidRDefault="004D356C" w:rsidP="004316B5">
      <w:pPr>
        <w:pStyle w:val="Titulok1"/>
        <w:numPr>
          <w:ilvl w:val="0"/>
          <w:numId w:val="32"/>
        </w:numPr>
        <w:spacing w:line="360" w:lineRule="auto"/>
        <w:jc w:val="center"/>
        <w:rPr>
          <w:sz w:val="22"/>
          <w:szCs w:val="22"/>
        </w:rPr>
      </w:pPr>
      <w:r w:rsidRPr="00456F8A">
        <w:t>References</w:t>
      </w:r>
      <w:r w:rsidR="00D12AFC" w:rsidRPr="00456F8A">
        <w:t xml:space="preserve"> </w:t>
      </w:r>
    </w:p>
    <w:p w14:paraId="3D411856" w14:textId="3AC3FB19" w:rsidR="00871553" w:rsidRPr="00871553" w:rsidRDefault="00871553" w:rsidP="00871553">
      <w:pPr>
        <w:pStyle w:val="ZoznamLiteratury"/>
        <w:numPr>
          <w:ilvl w:val="0"/>
          <w:numId w:val="33"/>
        </w:numPr>
        <w:tabs>
          <w:tab w:val="left" w:pos="284"/>
        </w:tabs>
        <w:spacing w:line="360" w:lineRule="auto"/>
        <w:ind w:left="284" w:hanging="284"/>
        <w:rPr>
          <w:color w:val="auto"/>
          <w:sz w:val="24"/>
          <w:szCs w:val="24"/>
        </w:rPr>
      </w:pPr>
      <w:r>
        <w:rPr>
          <w:color w:val="auto"/>
          <w:sz w:val="24"/>
          <w:szCs w:val="24"/>
        </w:rPr>
        <w:t xml:space="preserve">T. Kurbus, J. Vrtovšek, M. Roš, </w:t>
      </w:r>
      <w:r w:rsidRPr="00A81FFC">
        <w:rPr>
          <w:i/>
          <w:iCs/>
          <w:sz w:val="24"/>
          <w:szCs w:val="24"/>
          <w:lang w:val="cs-CZ"/>
        </w:rPr>
        <w:t>Acta Chim. Slov</w:t>
      </w:r>
      <w:r w:rsidRPr="00A81FFC">
        <w:rPr>
          <w:sz w:val="24"/>
          <w:szCs w:val="24"/>
          <w:lang w:val="cs-CZ"/>
        </w:rPr>
        <w:t xml:space="preserve">. </w:t>
      </w:r>
      <w:r w:rsidRPr="00A81FFC">
        <w:rPr>
          <w:b/>
          <w:bCs/>
          <w:sz w:val="24"/>
          <w:szCs w:val="24"/>
          <w:lang w:val="cs-CZ"/>
        </w:rPr>
        <w:t>200</w:t>
      </w:r>
      <w:r>
        <w:rPr>
          <w:b/>
          <w:bCs/>
          <w:sz w:val="24"/>
          <w:szCs w:val="24"/>
          <w:lang w:val="cs-CZ"/>
        </w:rPr>
        <w:t>8</w:t>
      </w:r>
      <w:r w:rsidRPr="00A81FFC">
        <w:rPr>
          <w:sz w:val="24"/>
          <w:szCs w:val="24"/>
          <w:lang w:val="cs-CZ"/>
        </w:rPr>
        <w:t>, 5</w:t>
      </w:r>
      <w:r>
        <w:rPr>
          <w:sz w:val="24"/>
          <w:szCs w:val="24"/>
          <w:lang w:val="cs-CZ"/>
        </w:rPr>
        <w:t>5</w:t>
      </w:r>
      <w:r w:rsidRPr="00A81FFC">
        <w:rPr>
          <w:sz w:val="24"/>
          <w:szCs w:val="24"/>
          <w:lang w:val="cs-CZ"/>
        </w:rPr>
        <w:t xml:space="preserve">, </w:t>
      </w:r>
      <w:r>
        <w:rPr>
          <w:sz w:val="24"/>
          <w:szCs w:val="24"/>
          <w:lang w:val="cs-CZ"/>
        </w:rPr>
        <w:t>474</w:t>
      </w:r>
      <w:r w:rsidRPr="00A81FFC">
        <w:rPr>
          <w:sz w:val="24"/>
          <w:szCs w:val="24"/>
          <w:lang w:val="cs-CZ"/>
        </w:rPr>
        <w:t>–</w:t>
      </w:r>
      <w:r>
        <w:rPr>
          <w:sz w:val="24"/>
          <w:szCs w:val="24"/>
          <w:lang w:val="cs-CZ"/>
        </w:rPr>
        <w:t>479</w:t>
      </w:r>
      <w:r w:rsidRPr="00A81FFC">
        <w:rPr>
          <w:sz w:val="24"/>
          <w:szCs w:val="24"/>
          <w:lang w:val="cs-CZ"/>
        </w:rPr>
        <w:t>.</w:t>
      </w:r>
    </w:p>
    <w:p w14:paraId="0B84AE60" w14:textId="618C4622" w:rsidR="00871553" w:rsidRPr="00871553" w:rsidRDefault="00871553" w:rsidP="00871553">
      <w:pPr>
        <w:pStyle w:val="ZoznamLiteratury"/>
        <w:numPr>
          <w:ilvl w:val="0"/>
          <w:numId w:val="33"/>
        </w:numPr>
        <w:tabs>
          <w:tab w:val="left" w:pos="284"/>
        </w:tabs>
        <w:spacing w:line="360" w:lineRule="auto"/>
        <w:ind w:left="284" w:hanging="284"/>
        <w:rPr>
          <w:color w:val="auto"/>
          <w:sz w:val="24"/>
          <w:szCs w:val="24"/>
        </w:rPr>
      </w:pPr>
      <w:r>
        <w:rPr>
          <w:color w:val="auto"/>
          <w:sz w:val="24"/>
          <w:szCs w:val="24"/>
        </w:rPr>
        <w:t xml:space="preserve">M. Roš, J. Vrtovšek, </w:t>
      </w:r>
      <w:r w:rsidRPr="00A81FFC">
        <w:rPr>
          <w:i/>
          <w:iCs/>
          <w:sz w:val="24"/>
          <w:szCs w:val="24"/>
          <w:lang w:val="cs-CZ"/>
        </w:rPr>
        <w:t>Acta Chim. Slov</w:t>
      </w:r>
      <w:r w:rsidRPr="00A81FFC">
        <w:rPr>
          <w:sz w:val="24"/>
          <w:szCs w:val="24"/>
          <w:lang w:val="cs-CZ"/>
        </w:rPr>
        <w:t xml:space="preserve">. </w:t>
      </w:r>
      <w:r w:rsidRPr="00A81FFC">
        <w:rPr>
          <w:b/>
          <w:bCs/>
          <w:sz w:val="24"/>
          <w:szCs w:val="24"/>
          <w:lang w:val="cs-CZ"/>
        </w:rPr>
        <w:t>200</w:t>
      </w:r>
      <w:r>
        <w:rPr>
          <w:b/>
          <w:bCs/>
          <w:sz w:val="24"/>
          <w:szCs w:val="24"/>
          <w:lang w:val="cs-CZ"/>
        </w:rPr>
        <w:t>4</w:t>
      </w:r>
      <w:r w:rsidRPr="00A81FFC">
        <w:rPr>
          <w:sz w:val="24"/>
          <w:szCs w:val="24"/>
          <w:lang w:val="cs-CZ"/>
        </w:rPr>
        <w:t>, 5</w:t>
      </w:r>
      <w:r>
        <w:rPr>
          <w:sz w:val="24"/>
          <w:szCs w:val="24"/>
          <w:lang w:val="cs-CZ"/>
        </w:rPr>
        <w:t>1</w:t>
      </w:r>
      <w:r w:rsidRPr="00A81FFC">
        <w:rPr>
          <w:sz w:val="24"/>
          <w:szCs w:val="24"/>
          <w:lang w:val="cs-CZ"/>
        </w:rPr>
        <w:t xml:space="preserve">, </w:t>
      </w:r>
      <w:r>
        <w:rPr>
          <w:sz w:val="24"/>
          <w:szCs w:val="24"/>
          <w:lang w:val="cs-CZ"/>
        </w:rPr>
        <w:t>779</w:t>
      </w:r>
      <w:r w:rsidRPr="00A81FFC">
        <w:rPr>
          <w:sz w:val="24"/>
          <w:szCs w:val="24"/>
          <w:lang w:val="cs-CZ"/>
        </w:rPr>
        <w:t>–</w:t>
      </w:r>
      <w:r>
        <w:rPr>
          <w:sz w:val="24"/>
          <w:szCs w:val="24"/>
          <w:lang w:val="cs-CZ"/>
        </w:rPr>
        <w:t>785</w:t>
      </w:r>
      <w:r w:rsidRPr="00A81FFC">
        <w:rPr>
          <w:sz w:val="24"/>
          <w:szCs w:val="24"/>
          <w:lang w:val="cs-CZ"/>
        </w:rPr>
        <w:t>.</w:t>
      </w:r>
    </w:p>
    <w:p w14:paraId="7ABE9A82" w14:textId="41ED0762" w:rsidR="00EB005F" w:rsidRPr="00A81FFC" w:rsidRDefault="00EB005F" w:rsidP="00EB005F">
      <w:pPr>
        <w:pStyle w:val="ZoznamLiteratury"/>
        <w:numPr>
          <w:ilvl w:val="0"/>
          <w:numId w:val="33"/>
        </w:numPr>
        <w:tabs>
          <w:tab w:val="left" w:pos="284"/>
        </w:tabs>
        <w:spacing w:line="360" w:lineRule="auto"/>
        <w:ind w:left="284" w:hanging="284"/>
        <w:rPr>
          <w:color w:val="auto"/>
          <w:sz w:val="24"/>
          <w:szCs w:val="24"/>
        </w:rPr>
      </w:pPr>
      <w:r w:rsidRPr="00A81FFC">
        <w:rPr>
          <w:sz w:val="24"/>
          <w:szCs w:val="24"/>
          <w:lang w:val="cs-CZ"/>
        </w:rPr>
        <w:t xml:space="preserve">J. Vrtovšek, M. Roš, </w:t>
      </w:r>
      <w:r w:rsidRPr="00A81FFC">
        <w:rPr>
          <w:i/>
          <w:iCs/>
          <w:sz w:val="24"/>
          <w:szCs w:val="24"/>
          <w:lang w:val="cs-CZ"/>
        </w:rPr>
        <w:t>Acta Chim. Slov</w:t>
      </w:r>
      <w:r w:rsidRPr="00A81FFC">
        <w:rPr>
          <w:sz w:val="24"/>
          <w:szCs w:val="24"/>
          <w:lang w:val="cs-CZ"/>
        </w:rPr>
        <w:t xml:space="preserve">. </w:t>
      </w:r>
      <w:r w:rsidRPr="00A81FFC">
        <w:rPr>
          <w:b/>
          <w:bCs/>
          <w:sz w:val="24"/>
          <w:szCs w:val="24"/>
          <w:lang w:val="cs-CZ"/>
        </w:rPr>
        <w:t>2006</w:t>
      </w:r>
      <w:r w:rsidRPr="00A81FFC">
        <w:rPr>
          <w:sz w:val="24"/>
          <w:szCs w:val="24"/>
          <w:lang w:val="cs-CZ"/>
        </w:rPr>
        <w:t xml:space="preserve">, 53, 396–400. </w:t>
      </w:r>
    </w:p>
    <w:p w14:paraId="7FD7F962" w14:textId="1F37EB60" w:rsidR="00D7655D" w:rsidRPr="00E612A1" w:rsidRDefault="003162C2" w:rsidP="00D7655D">
      <w:pPr>
        <w:pStyle w:val="ZoznamLiteratury"/>
        <w:numPr>
          <w:ilvl w:val="0"/>
          <w:numId w:val="33"/>
        </w:numPr>
        <w:tabs>
          <w:tab w:val="left" w:pos="284"/>
        </w:tabs>
        <w:spacing w:line="360" w:lineRule="auto"/>
        <w:ind w:left="284" w:hanging="284"/>
        <w:rPr>
          <w:color w:val="auto"/>
          <w:sz w:val="24"/>
          <w:szCs w:val="24"/>
        </w:rPr>
      </w:pPr>
      <w:r w:rsidRPr="00E612A1">
        <w:rPr>
          <w:color w:val="auto"/>
          <w:sz w:val="24"/>
          <w:szCs w:val="24"/>
        </w:rPr>
        <w:t>P. Pitter</w:t>
      </w:r>
      <w:r w:rsidR="007C3939">
        <w:rPr>
          <w:color w:val="auto"/>
          <w:sz w:val="24"/>
          <w:szCs w:val="24"/>
        </w:rPr>
        <w:t>,</w:t>
      </w:r>
      <w:r w:rsidRPr="00E612A1">
        <w:rPr>
          <w:color w:val="auto"/>
          <w:sz w:val="24"/>
          <w:szCs w:val="24"/>
        </w:rPr>
        <w:t xml:space="preserve"> Hydrochemistry, VŠCHT, Praha, </w:t>
      </w:r>
      <w:r w:rsidRPr="00E612A1">
        <w:rPr>
          <w:b/>
          <w:bCs/>
          <w:color w:val="auto"/>
          <w:sz w:val="24"/>
          <w:szCs w:val="24"/>
        </w:rPr>
        <w:t>1995</w:t>
      </w:r>
      <w:r w:rsidRPr="00E612A1">
        <w:rPr>
          <w:color w:val="auto"/>
          <w:sz w:val="24"/>
          <w:szCs w:val="24"/>
        </w:rPr>
        <w:t xml:space="preserve">. </w:t>
      </w:r>
    </w:p>
    <w:p w14:paraId="10C25651" w14:textId="498EAF20" w:rsidR="00D7655D" w:rsidRPr="00E612A1" w:rsidRDefault="00D7655D" w:rsidP="00D7655D">
      <w:pPr>
        <w:pStyle w:val="ZoznamLiteratury"/>
        <w:numPr>
          <w:ilvl w:val="0"/>
          <w:numId w:val="33"/>
        </w:numPr>
        <w:tabs>
          <w:tab w:val="left" w:pos="284"/>
        </w:tabs>
        <w:spacing w:line="360" w:lineRule="auto"/>
        <w:ind w:left="284" w:hanging="284"/>
        <w:rPr>
          <w:color w:val="auto"/>
          <w:sz w:val="24"/>
          <w:szCs w:val="24"/>
        </w:rPr>
      </w:pPr>
      <w:r w:rsidRPr="00E612A1">
        <w:rPr>
          <w:color w:val="auto"/>
          <w:sz w:val="24"/>
          <w:szCs w:val="24"/>
        </w:rPr>
        <w:t>M. Henze, P. Harremo</w:t>
      </w:r>
      <w:r w:rsidRPr="00E612A1">
        <w:rPr>
          <w:rFonts w:cs="Times New Roman"/>
          <w:color w:val="auto"/>
          <w:sz w:val="24"/>
          <w:szCs w:val="24"/>
        </w:rPr>
        <w:t>ë</w:t>
      </w:r>
      <w:r w:rsidRPr="00E612A1">
        <w:rPr>
          <w:color w:val="auto"/>
          <w:sz w:val="24"/>
          <w:szCs w:val="24"/>
        </w:rPr>
        <w:t>s, J. La Cour Jansen, E. Arvin, Wastewater Treatment – Biological and Chemical Processes. 2</w:t>
      </w:r>
      <w:r w:rsidRPr="00E612A1">
        <w:rPr>
          <w:color w:val="auto"/>
          <w:sz w:val="24"/>
          <w:szCs w:val="24"/>
          <w:vertAlign w:val="superscript"/>
        </w:rPr>
        <w:t>nd</w:t>
      </w:r>
      <w:r w:rsidRPr="00E612A1">
        <w:rPr>
          <w:color w:val="auto"/>
          <w:sz w:val="24"/>
          <w:szCs w:val="24"/>
        </w:rPr>
        <w:t xml:space="preserve"> Edition, Springer Verlag, Berlin, </w:t>
      </w:r>
      <w:r w:rsidRPr="00E612A1">
        <w:rPr>
          <w:b/>
          <w:bCs/>
          <w:color w:val="auto"/>
          <w:sz w:val="24"/>
          <w:szCs w:val="24"/>
        </w:rPr>
        <w:t>1997</w:t>
      </w:r>
      <w:r w:rsidRPr="00E612A1">
        <w:rPr>
          <w:color w:val="auto"/>
          <w:sz w:val="24"/>
          <w:szCs w:val="24"/>
        </w:rPr>
        <w:t>.</w:t>
      </w:r>
    </w:p>
    <w:p w14:paraId="7427A1AC" w14:textId="5AE1705E" w:rsidR="008675E0" w:rsidRPr="00E612A1" w:rsidRDefault="008675E0" w:rsidP="008675E0">
      <w:pPr>
        <w:pStyle w:val="ZoznamLiteratury"/>
        <w:numPr>
          <w:ilvl w:val="0"/>
          <w:numId w:val="33"/>
        </w:numPr>
        <w:tabs>
          <w:tab w:val="left" w:pos="284"/>
        </w:tabs>
        <w:spacing w:line="360" w:lineRule="auto"/>
        <w:ind w:left="284" w:hanging="284"/>
        <w:rPr>
          <w:color w:val="auto"/>
          <w:sz w:val="24"/>
          <w:szCs w:val="24"/>
        </w:rPr>
      </w:pPr>
      <w:r w:rsidRPr="00E612A1">
        <w:rPr>
          <w:sz w:val="24"/>
          <w:szCs w:val="24"/>
        </w:rPr>
        <w:t>O.</w:t>
      </w:r>
      <w:r w:rsidR="0002242E">
        <w:rPr>
          <w:sz w:val="24"/>
          <w:szCs w:val="24"/>
        </w:rPr>
        <w:t xml:space="preserve"> </w:t>
      </w:r>
      <w:r w:rsidRPr="00E612A1">
        <w:rPr>
          <w:sz w:val="24"/>
          <w:szCs w:val="24"/>
        </w:rPr>
        <w:t xml:space="preserve">Kracht, W. Gujer, </w:t>
      </w:r>
      <w:r w:rsidRPr="00E612A1">
        <w:rPr>
          <w:i/>
          <w:iCs/>
          <w:sz w:val="24"/>
          <w:szCs w:val="24"/>
        </w:rPr>
        <w:t>Water Sci.</w:t>
      </w:r>
      <w:r w:rsidR="002C7289" w:rsidRPr="00E612A1">
        <w:rPr>
          <w:i/>
          <w:iCs/>
          <w:sz w:val="24"/>
          <w:szCs w:val="24"/>
        </w:rPr>
        <w:t xml:space="preserve"> </w:t>
      </w:r>
      <w:r w:rsidRPr="00E612A1">
        <w:rPr>
          <w:i/>
          <w:iCs/>
          <w:sz w:val="24"/>
          <w:szCs w:val="24"/>
        </w:rPr>
        <w:t>Technol</w:t>
      </w:r>
      <w:r w:rsidRPr="00E612A1">
        <w:rPr>
          <w:sz w:val="24"/>
          <w:szCs w:val="24"/>
        </w:rPr>
        <w:t xml:space="preserve">. </w:t>
      </w:r>
      <w:r w:rsidRPr="00E612A1">
        <w:rPr>
          <w:b/>
          <w:bCs/>
          <w:sz w:val="24"/>
          <w:szCs w:val="24"/>
        </w:rPr>
        <w:t>2005</w:t>
      </w:r>
      <w:r w:rsidRPr="00E612A1">
        <w:rPr>
          <w:sz w:val="24"/>
          <w:szCs w:val="24"/>
        </w:rPr>
        <w:t>, 52 (3), 209–218.</w:t>
      </w:r>
      <w:r w:rsidR="002C7289" w:rsidRPr="00E612A1">
        <w:rPr>
          <w:sz w:val="24"/>
          <w:szCs w:val="24"/>
        </w:rPr>
        <w:t xml:space="preserve"> </w:t>
      </w:r>
      <w:r w:rsidRPr="00E612A1">
        <w:rPr>
          <w:b/>
          <w:bCs/>
          <w:sz w:val="24"/>
          <w:szCs w:val="24"/>
        </w:rPr>
        <w:t>DOI:</w:t>
      </w:r>
      <w:r w:rsidRPr="00E612A1">
        <w:rPr>
          <w:sz w:val="24"/>
          <w:szCs w:val="24"/>
        </w:rPr>
        <w:t>10.2166/wst.2005.0078.</w:t>
      </w:r>
    </w:p>
    <w:p w14:paraId="1F1E5E7D" w14:textId="77777777" w:rsidR="00D7655D" w:rsidRPr="00E612A1" w:rsidRDefault="00D7655D" w:rsidP="00D7655D">
      <w:pPr>
        <w:pStyle w:val="ZoznamLiteratury"/>
        <w:numPr>
          <w:ilvl w:val="0"/>
          <w:numId w:val="33"/>
        </w:numPr>
        <w:tabs>
          <w:tab w:val="left" w:pos="284"/>
        </w:tabs>
        <w:spacing w:line="360" w:lineRule="auto"/>
        <w:ind w:left="284" w:hanging="284"/>
        <w:rPr>
          <w:color w:val="auto"/>
          <w:sz w:val="24"/>
          <w:szCs w:val="24"/>
        </w:rPr>
      </w:pPr>
      <w:r w:rsidRPr="00E612A1">
        <w:rPr>
          <w:sz w:val="24"/>
          <w:szCs w:val="24"/>
        </w:rPr>
        <w:t>SHMÚ, Evaluation of Groundwater Quality in Slovakia – year 2019, https://www.shmu.sk/File/Hydrologia/Monitoring_PV_PzV/Monitoring_kvality_PzV/KvPzV_2019/KvPzV_2019_hodnotenie.pdf, (</w:t>
      </w:r>
      <w:r w:rsidRPr="00E612A1">
        <w:rPr>
          <w:sz w:val="24"/>
          <w:szCs w:val="24"/>
          <w:shd w:val="clear" w:color="auto" w:fill="FFFFFF"/>
        </w:rPr>
        <w:t>assessed: February 23, 2022)</w:t>
      </w:r>
    </w:p>
    <w:p w14:paraId="6AEFC551" w14:textId="514E937D" w:rsidR="00D7655D" w:rsidRPr="00E612A1" w:rsidRDefault="00D7655D" w:rsidP="00D7655D">
      <w:pPr>
        <w:pStyle w:val="ZoznamLiteratury"/>
        <w:numPr>
          <w:ilvl w:val="0"/>
          <w:numId w:val="33"/>
        </w:numPr>
        <w:spacing w:line="360" w:lineRule="auto"/>
        <w:ind w:left="284" w:hanging="284"/>
        <w:rPr>
          <w:color w:val="auto"/>
          <w:sz w:val="24"/>
          <w:szCs w:val="24"/>
        </w:rPr>
      </w:pPr>
      <w:r w:rsidRPr="00E612A1">
        <w:rPr>
          <w:color w:val="auto"/>
          <w:sz w:val="24"/>
          <w:szCs w:val="24"/>
        </w:rPr>
        <w:lastRenderedPageBreak/>
        <w:t xml:space="preserve">L. Bekerová, P. Belica, M. Dubcová, P. Hucko, </w:t>
      </w:r>
      <w:r w:rsidRPr="00E612A1">
        <w:rPr>
          <w:i/>
          <w:iCs/>
          <w:color w:val="auto"/>
          <w:sz w:val="24"/>
          <w:szCs w:val="24"/>
        </w:rPr>
        <w:t>Vodohospodársky spravodajca</w:t>
      </w:r>
      <w:r w:rsidRPr="00E612A1">
        <w:rPr>
          <w:color w:val="auto"/>
          <w:sz w:val="24"/>
          <w:szCs w:val="24"/>
        </w:rPr>
        <w:t xml:space="preserve">. </w:t>
      </w:r>
      <w:r w:rsidRPr="00E612A1">
        <w:rPr>
          <w:b/>
          <w:bCs/>
          <w:color w:val="auto"/>
          <w:sz w:val="24"/>
          <w:szCs w:val="24"/>
        </w:rPr>
        <w:t>2021</w:t>
      </w:r>
      <w:r w:rsidRPr="00E612A1">
        <w:rPr>
          <w:color w:val="auto"/>
          <w:sz w:val="24"/>
          <w:szCs w:val="24"/>
        </w:rPr>
        <w:t>, 64 (9–10), 27–31.</w:t>
      </w:r>
    </w:p>
    <w:p w14:paraId="1C14A507" w14:textId="1946679B" w:rsidR="00D7655D" w:rsidRPr="00E612A1" w:rsidRDefault="00D7655D" w:rsidP="00D7655D">
      <w:pPr>
        <w:pStyle w:val="ZoznamLiteratury"/>
        <w:numPr>
          <w:ilvl w:val="0"/>
          <w:numId w:val="33"/>
        </w:numPr>
        <w:spacing w:line="360" w:lineRule="auto"/>
        <w:ind w:left="284" w:hanging="284"/>
        <w:rPr>
          <w:color w:val="auto"/>
          <w:sz w:val="24"/>
          <w:szCs w:val="24"/>
        </w:rPr>
      </w:pPr>
      <w:r w:rsidRPr="00E612A1">
        <w:rPr>
          <w:color w:val="auto"/>
          <w:sz w:val="24"/>
          <w:szCs w:val="24"/>
        </w:rPr>
        <w:t xml:space="preserve">Slovak Technical Standard 75 6401, Sewage Treatment Plants for More Than 500 Population Equivalents, </w:t>
      </w:r>
      <w:r w:rsidRPr="00E612A1">
        <w:rPr>
          <w:b/>
          <w:bCs/>
          <w:color w:val="auto"/>
          <w:sz w:val="24"/>
          <w:szCs w:val="24"/>
        </w:rPr>
        <w:t>1999</w:t>
      </w:r>
      <w:r w:rsidRPr="00E612A1">
        <w:rPr>
          <w:color w:val="auto"/>
          <w:sz w:val="24"/>
          <w:szCs w:val="24"/>
        </w:rPr>
        <w:t>.</w:t>
      </w:r>
    </w:p>
    <w:p w14:paraId="391F7F5D" w14:textId="77777777" w:rsidR="004C29B0" w:rsidRDefault="00D7655D" w:rsidP="007D4419">
      <w:pPr>
        <w:pStyle w:val="ZoznamLiteratury"/>
        <w:numPr>
          <w:ilvl w:val="0"/>
          <w:numId w:val="33"/>
        </w:numPr>
        <w:spacing w:line="360" w:lineRule="auto"/>
        <w:ind w:left="284" w:hanging="426"/>
        <w:rPr>
          <w:color w:val="auto"/>
          <w:sz w:val="24"/>
          <w:szCs w:val="24"/>
        </w:rPr>
      </w:pPr>
      <w:r w:rsidRPr="00E612A1">
        <w:rPr>
          <w:color w:val="auto"/>
          <w:sz w:val="24"/>
          <w:szCs w:val="24"/>
        </w:rPr>
        <w:t xml:space="preserve">Chan A. Andersson, N. Johansson, M. Christensson, </w:t>
      </w:r>
      <w:r w:rsidRPr="00E612A1">
        <w:rPr>
          <w:i/>
          <w:iCs/>
          <w:color w:val="auto"/>
          <w:sz w:val="24"/>
          <w:szCs w:val="24"/>
        </w:rPr>
        <w:t>Water Pract. Technol</w:t>
      </w:r>
      <w:r w:rsidRPr="00E612A1">
        <w:rPr>
          <w:color w:val="auto"/>
          <w:sz w:val="24"/>
          <w:szCs w:val="24"/>
        </w:rPr>
        <w:t xml:space="preserve">. </w:t>
      </w:r>
      <w:r w:rsidRPr="00E612A1">
        <w:rPr>
          <w:b/>
          <w:bCs/>
          <w:color w:val="auto"/>
          <w:sz w:val="24"/>
          <w:szCs w:val="24"/>
        </w:rPr>
        <w:t>2014</w:t>
      </w:r>
      <w:r w:rsidRPr="00E612A1">
        <w:rPr>
          <w:color w:val="auto"/>
          <w:sz w:val="24"/>
          <w:szCs w:val="24"/>
        </w:rPr>
        <w:t xml:space="preserve">, 9 (2), 215–224. </w:t>
      </w:r>
    </w:p>
    <w:p w14:paraId="5DFC2582" w14:textId="41068CF0" w:rsidR="00A81FFC" w:rsidRDefault="00D7655D" w:rsidP="004C29B0">
      <w:pPr>
        <w:pStyle w:val="ZoznamLiteratury"/>
        <w:spacing w:line="360" w:lineRule="auto"/>
        <w:ind w:left="284" w:firstLine="0"/>
        <w:rPr>
          <w:color w:val="auto"/>
          <w:sz w:val="24"/>
          <w:szCs w:val="24"/>
        </w:rPr>
      </w:pPr>
      <w:r w:rsidRPr="00E612A1">
        <w:rPr>
          <w:b/>
          <w:bCs/>
          <w:color w:val="auto"/>
          <w:sz w:val="24"/>
          <w:szCs w:val="24"/>
        </w:rPr>
        <w:t>DOI:</w:t>
      </w:r>
      <w:r w:rsidRPr="00E612A1">
        <w:rPr>
          <w:color w:val="auto"/>
          <w:sz w:val="24"/>
          <w:szCs w:val="24"/>
        </w:rPr>
        <w:t>10.2166/wpt.2014.025.</w:t>
      </w:r>
    </w:p>
    <w:p w14:paraId="3359AFE0" w14:textId="2D850F25" w:rsidR="007D4419" w:rsidRPr="007D4419" w:rsidRDefault="007D4419" w:rsidP="007D4419">
      <w:pPr>
        <w:pStyle w:val="ZoznamLiteratury"/>
        <w:numPr>
          <w:ilvl w:val="0"/>
          <w:numId w:val="33"/>
        </w:numPr>
        <w:spacing w:line="360" w:lineRule="auto"/>
        <w:ind w:left="284" w:hanging="426"/>
        <w:rPr>
          <w:color w:val="auto"/>
          <w:sz w:val="24"/>
          <w:szCs w:val="24"/>
        </w:rPr>
      </w:pPr>
      <w:r w:rsidRPr="00E612A1">
        <w:rPr>
          <w:color w:val="auto"/>
          <w:sz w:val="24"/>
          <w:szCs w:val="24"/>
        </w:rPr>
        <w:t>M. Drtil, M. Hutňan, Technological Project. Slovak Chemical Library FCHPT STU in Bratislava. 1</w:t>
      </w:r>
      <w:r w:rsidRPr="00E612A1">
        <w:rPr>
          <w:color w:val="auto"/>
          <w:sz w:val="24"/>
          <w:szCs w:val="24"/>
          <w:vertAlign w:val="superscript"/>
        </w:rPr>
        <w:t>st</w:t>
      </w:r>
      <w:r w:rsidRPr="00E612A1">
        <w:rPr>
          <w:color w:val="auto"/>
          <w:sz w:val="24"/>
          <w:szCs w:val="24"/>
        </w:rPr>
        <w:t xml:space="preserve"> Edition, </w:t>
      </w:r>
      <w:r w:rsidRPr="00E612A1">
        <w:rPr>
          <w:b/>
          <w:bCs/>
          <w:color w:val="auto"/>
          <w:sz w:val="24"/>
          <w:szCs w:val="24"/>
        </w:rPr>
        <w:t>2013</w:t>
      </w:r>
      <w:r w:rsidRPr="00E612A1">
        <w:rPr>
          <w:color w:val="auto"/>
          <w:sz w:val="24"/>
          <w:szCs w:val="24"/>
        </w:rPr>
        <w:t>.</w:t>
      </w:r>
    </w:p>
    <w:p w14:paraId="43C30484" w14:textId="2568AB6D" w:rsidR="00D7655D" w:rsidRPr="00A81FFC" w:rsidRDefault="00D7655D" w:rsidP="0002242E">
      <w:pPr>
        <w:pStyle w:val="ZoznamLiteratury"/>
        <w:numPr>
          <w:ilvl w:val="0"/>
          <w:numId w:val="33"/>
        </w:numPr>
        <w:tabs>
          <w:tab w:val="left" w:pos="426"/>
        </w:tabs>
        <w:spacing w:line="360" w:lineRule="auto"/>
        <w:ind w:left="284" w:hanging="426"/>
        <w:rPr>
          <w:color w:val="auto"/>
          <w:sz w:val="24"/>
          <w:szCs w:val="24"/>
        </w:rPr>
      </w:pPr>
      <w:r w:rsidRPr="00A81FFC">
        <w:rPr>
          <w:color w:val="auto"/>
          <w:sz w:val="24"/>
          <w:szCs w:val="24"/>
        </w:rPr>
        <w:t xml:space="preserve">M. Pečenka, J. Svojitka, M. Koller, J. Wanner, Optimalisation of Denitrification by Means of External Substrate Dosing. Proceedings of the IWA Specialized Conference: Nutrient Management in Wastewater Treatment Processes and Recycle Streams, Krakow (PL), </w:t>
      </w:r>
      <w:r w:rsidRPr="00A81FFC">
        <w:rPr>
          <w:b/>
          <w:bCs/>
          <w:color w:val="auto"/>
          <w:sz w:val="24"/>
          <w:szCs w:val="24"/>
        </w:rPr>
        <w:t>1995</w:t>
      </w:r>
      <w:r w:rsidRPr="00A81FFC">
        <w:rPr>
          <w:color w:val="auto"/>
          <w:sz w:val="24"/>
          <w:szCs w:val="24"/>
        </w:rPr>
        <w:t>,</w:t>
      </w:r>
      <w:r w:rsidR="00456F8A">
        <w:rPr>
          <w:color w:val="auto"/>
          <w:sz w:val="24"/>
          <w:szCs w:val="24"/>
        </w:rPr>
        <w:t xml:space="preserve"> </w:t>
      </w:r>
      <w:r w:rsidRPr="00A81FFC">
        <w:rPr>
          <w:color w:val="auto"/>
          <w:sz w:val="24"/>
          <w:szCs w:val="24"/>
        </w:rPr>
        <w:t>pp. 1041–1045.</w:t>
      </w:r>
    </w:p>
    <w:p w14:paraId="00419815" w14:textId="77777777" w:rsidR="00D7655D" w:rsidRPr="00E612A1" w:rsidRDefault="00D7655D" w:rsidP="00D7655D">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A. Mahmoud, R. A. Hamza, E. Elbeshbishy, </w:t>
      </w:r>
      <w:r w:rsidRPr="00E612A1">
        <w:rPr>
          <w:i/>
          <w:iCs/>
          <w:sz w:val="24"/>
          <w:szCs w:val="24"/>
        </w:rPr>
        <w:t>Sci. Total Environ</w:t>
      </w:r>
      <w:r w:rsidRPr="00E612A1">
        <w:rPr>
          <w:sz w:val="24"/>
          <w:szCs w:val="24"/>
        </w:rPr>
        <w:t>. </w:t>
      </w:r>
      <w:r w:rsidRPr="00E612A1">
        <w:rPr>
          <w:b/>
          <w:bCs/>
          <w:sz w:val="24"/>
          <w:szCs w:val="24"/>
        </w:rPr>
        <w:t>2022</w:t>
      </w:r>
      <w:r w:rsidRPr="00E612A1">
        <w:rPr>
          <w:sz w:val="24"/>
          <w:szCs w:val="24"/>
        </w:rPr>
        <w:t xml:space="preserve">, 816, 151578. </w:t>
      </w:r>
      <w:r w:rsidRPr="00E612A1">
        <w:rPr>
          <w:b/>
          <w:bCs/>
          <w:sz w:val="24"/>
          <w:szCs w:val="24"/>
        </w:rPr>
        <w:t>DOI:</w:t>
      </w:r>
      <w:r w:rsidRPr="00E612A1">
        <w:rPr>
          <w:sz w:val="24"/>
          <w:szCs w:val="24"/>
        </w:rPr>
        <w:t>10.1016/j.scitotenv.2021.151578.</w:t>
      </w:r>
    </w:p>
    <w:p w14:paraId="513B6A45" w14:textId="77777777" w:rsidR="00D7655D" w:rsidRPr="00E612A1" w:rsidRDefault="00D7655D" w:rsidP="00D7655D">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S. Lee, T. Moon, S. Park, M. Choi, Ch. Kim, </w:t>
      </w:r>
      <w:r w:rsidRPr="00E612A1">
        <w:rPr>
          <w:i/>
          <w:iCs/>
          <w:sz w:val="24"/>
          <w:szCs w:val="24"/>
        </w:rPr>
        <w:t>Korean J. Chem. Eng</w:t>
      </w:r>
      <w:r w:rsidRPr="00E612A1">
        <w:rPr>
          <w:sz w:val="24"/>
          <w:szCs w:val="24"/>
        </w:rPr>
        <w:t xml:space="preserve">. </w:t>
      </w:r>
      <w:r w:rsidRPr="00E612A1">
        <w:rPr>
          <w:b/>
          <w:bCs/>
          <w:sz w:val="24"/>
          <w:szCs w:val="24"/>
        </w:rPr>
        <w:t>2013</w:t>
      </w:r>
      <w:r w:rsidRPr="00E612A1">
        <w:rPr>
          <w:sz w:val="24"/>
          <w:szCs w:val="24"/>
        </w:rPr>
        <w:t xml:space="preserve">, 30, 1911–1917. </w:t>
      </w:r>
      <w:r w:rsidRPr="00E612A1">
        <w:rPr>
          <w:b/>
          <w:bCs/>
          <w:sz w:val="24"/>
          <w:szCs w:val="24"/>
        </w:rPr>
        <w:t>DOI:</w:t>
      </w:r>
      <w:r w:rsidRPr="00E612A1">
        <w:rPr>
          <w:sz w:val="24"/>
          <w:szCs w:val="24"/>
        </w:rPr>
        <w:t>10.1007/s11814-013-0131-7.</w:t>
      </w:r>
    </w:p>
    <w:p w14:paraId="32E36804" w14:textId="77777777" w:rsidR="004C29B0" w:rsidRPr="004C29B0" w:rsidRDefault="00D7655D" w:rsidP="00D7655D">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A. De Lucas, L. Rodríguez, J. Villaseñor, F. J. Fernández, </w:t>
      </w:r>
      <w:r w:rsidRPr="00E612A1">
        <w:rPr>
          <w:i/>
          <w:iCs/>
          <w:sz w:val="24"/>
          <w:szCs w:val="24"/>
        </w:rPr>
        <w:t>Water Res</w:t>
      </w:r>
      <w:r w:rsidRPr="00E612A1">
        <w:rPr>
          <w:sz w:val="24"/>
          <w:szCs w:val="24"/>
        </w:rPr>
        <w:t xml:space="preserve">. </w:t>
      </w:r>
      <w:r w:rsidRPr="00E612A1">
        <w:rPr>
          <w:b/>
          <w:bCs/>
          <w:sz w:val="24"/>
          <w:szCs w:val="24"/>
        </w:rPr>
        <w:t>2005</w:t>
      </w:r>
      <w:r w:rsidRPr="00E612A1">
        <w:rPr>
          <w:sz w:val="24"/>
          <w:szCs w:val="24"/>
        </w:rPr>
        <w:t xml:space="preserve">, 39 (15), 3715–3726. </w:t>
      </w:r>
    </w:p>
    <w:p w14:paraId="1BD951E5" w14:textId="46B5434B" w:rsidR="00D7655D" w:rsidRPr="00E612A1" w:rsidRDefault="00D7655D" w:rsidP="004C29B0">
      <w:pPr>
        <w:pStyle w:val="ZoznamLiteratury"/>
        <w:tabs>
          <w:tab w:val="left" w:pos="284"/>
        </w:tabs>
        <w:spacing w:line="360" w:lineRule="auto"/>
        <w:ind w:left="284" w:firstLine="0"/>
        <w:rPr>
          <w:color w:val="auto"/>
          <w:sz w:val="24"/>
          <w:szCs w:val="24"/>
        </w:rPr>
      </w:pPr>
      <w:r w:rsidRPr="00E612A1">
        <w:rPr>
          <w:b/>
          <w:bCs/>
          <w:sz w:val="24"/>
          <w:szCs w:val="24"/>
        </w:rPr>
        <w:t>DOI:</w:t>
      </w:r>
      <w:r w:rsidRPr="00E612A1">
        <w:rPr>
          <w:sz w:val="24"/>
          <w:szCs w:val="24"/>
        </w:rPr>
        <w:t>10.1016/j.watres.2005.06.024.</w:t>
      </w:r>
    </w:p>
    <w:p w14:paraId="06FAFC06" w14:textId="77777777" w:rsidR="004C29B0" w:rsidRPr="004C29B0" w:rsidRDefault="00D7655D" w:rsidP="00D7655D">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F. Morgan-Sagastume, J. L. Nielsen, P. H. Nielsen, </w:t>
      </w:r>
      <w:r w:rsidRPr="00E612A1">
        <w:rPr>
          <w:i/>
          <w:iCs/>
          <w:sz w:val="24"/>
          <w:szCs w:val="24"/>
        </w:rPr>
        <w:t>FEMS Microbiol. Ecol</w:t>
      </w:r>
      <w:r w:rsidRPr="00E612A1">
        <w:rPr>
          <w:sz w:val="24"/>
          <w:szCs w:val="24"/>
        </w:rPr>
        <w:t xml:space="preserve">. </w:t>
      </w:r>
      <w:r w:rsidRPr="00E612A1">
        <w:rPr>
          <w:b/>
          <w:bCs/>
          <w:sz w:val="24"/>
          <w:szCs w:val="24"/>
        </w:rPr>
        <w:t>2008</w:t>
      </w:r>
      <w:r w:rsidRPr="00E612A1">
        <w:rPr>
          <w:sz w:val="24"/>
          <w:szCs w:val="24"/>
        </w:rPr>
        <w:t>, 66 (2), 447–461.</w:t>
      </w:r>
    </w:p>
    <w:p w14:paraId="3AC53211" w14:textId="56675D14" w:rsidR="00D7655D" w:rsidRPr="00E612A1" w:rsidRDefault="00D7655D" w:rsidP="004C29B0">
      <w:pPr>
        <w:pStyle w:val="ZoznamLiteratury"/>
        <w:tabs>
          <w:tab w:val="left" w:pos="284"/>
        </w:tabs>
        <w:spacing w:line="360" w:lineRule="auto"/>
        <w:ind w:left="284" w:firstLine="0"/>
        <w:rPr>
          <w:color w:val="auto"/>
          <w:sz w:val="24"/>
          <w:szCs w:val="24"/>
        </w:rPr>
      </w:pPr>
      <w:r w:rsidRPr="00E612A1">
        <w:rPr>
          <w:b/>
          <w:bCs/>
          <w:sz w:val="24"/>
          <w:szCs w:val="24"/>
        </w:rPr>
        <w:t>DOI:</w:t>
      </w:r>
      <w:r w:rsidRPr="00E612A1">
        <w:rPr>
          <w:sz w:val="24"/>
          <w:szCs w:val="24"/>
        </w:rPr>
        <w:t>10.1111/j.1574-6941.2008.00571.x.</w:t>
      </w:r>
    </w:p>
    <w:p w14:paraId="44B25DD9" w14:textId="77777777" w:rsidR="004C29B0" w:rsidRPr="004C29B0" w:rsidRDefault="00D7655D" w:rsidP="00D7655D">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C. Cherchi, A. Onnis-Hayden, I. El-Shawabkeh, A. Z. Gu, </w:t>
      </w:r>
      <w:r w:rsidRPr="00E612A1">
        <w:rPr>
          <w:i/>
          <w:iCs/>
          <w:sz w:val="24"/>
          <w:szCs w:val="24"/>
        </w:rPr>
        <w:t>Water Environ. Res</w:t>
      </w:r>
      <w:r w:rsidRPr="00E612A1">
        <w:rPr>
          <w:sz w:val="24"/>
          <w:szCs w:val="24"/>
        </w:rPr>
        <w:t xml:space="preserve">. </w:t>
      </w:r>
      <w:r w:rsidRPr="00E612A1">
        <w:rPr>
          <w:b/>
          <w:bCs/>
          <w:sz w:val="24"/>
          <w:szCs w:val="24"/>
        </w:rPr>
        <w:t>2009</w:t>
      </w:r>
      <w:r w:rsidRPr="00E612A1">
        <w:rPr>
          <w:sz w:val="24"/>
          <w:szCs w:val="24"/>
        </w:rPr>
        <w:t xml:space="preserve">, 81 (8), 788–799. </w:t>
      </w:r>
    </w:p>
    <w:p w14:paraId="029C8607" w14:textId="1DEA685C" w:rsidR="00D7655D" w:rsidRPr="00E612A1" w:rsidRDefault="00D7655D" w:rsidP="004C29B0">
      <w:pPr>
        <w:pStyle w:val="ZoznamLiteratury"/>
        <w:tabs>
          <w:tab w:val="left" w:pos="284"/>
        </w:tabs>
        <w:spacing w:line="360" w:lineRule="auto"/>
        <w:ind w:left="284" w:firstLine="0"/>
        <w:rPr>
          <w:color w:val="auto"/>
          <w:sz w:val="24"/>
          <w:szCs w:val="24"/>
        </w:rPr>
      </w:pPr>
      <w:r w:rsidRPr="00E612A1">
        <w:rPr>
          <w:b/>
          <w:bCs/>
          <w:sz w:val="24"/>
          <w:szCs w:val="24"/>
        </w:rPr>
        <w:t>DOI:</w:t>
      </w:r>
      <w:r w:rsidRPr="00E612A1">
        <w:rPr>
          <w:sz w:val="24"/>
          <w:szCs w:val="24"/>
        </w:rPr>
        <w:t xml:space="preserve">10.2175/106143009X12465435982610. </w:t>
      </w:r>
    </w:p>
    <w:p w14:paraId="43E1E660" w14:textId="77777777" w:rsidR="004C29B0" w:rsidRPr="004C29B0" w:rsidRDefault="00D7655D" w:rsidP="00D7655D">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M. Swinarski, J. Makinia, K. Czerwionka, M. Chrzanowska, J. Drewnowski, </w:t>
      </w:r>
      <w:r w:rsidRPr="00E612A1">
        <w:rPr>
          <w:i/>
          <w:iCs/>
          <w:sz w:val="24"/>
          <w:szCs w:val="24"/>
        </w:rPr>
        <w:t>Water Environ. Res</w:t>
      </w:r>
      <w:r w:rsidRPr="00E612A1">
        <w:rPr>
          <w:sz w:val="24"/>
          <w:szCs w:val="24"/>
        </w:rPr>
        <w:t xml:space="preserve">. </w:t>
      </w:r>
      <w:r w:rsidRPr="00E612A1">
        <w:rPr>
          <w:b/>
          <w:bCs/>
          <w:sz w:val="24"/>
          <w:szCs w:val="24"/>
        </w:rPr>
        <w:t>2009</w:t>
      </w:r>
      <w:r w:rsidRPr="00E612A1">
        <w:rPr>
          <w:sz w:val="24"/>
          <w:szCs w:val="24"/>
        </w:rPr>
        <w:t xml:space="preserve">, 81 (9), 896–906. </w:t>
      </w:r>
    </w:p>
    <w:p w14:paraId="7EC6B629" w14:textId="13BC8FB6" w:rsidR="00D7655D" w:rsidRPr="00E612A1" w:rsidRDefault="00D7655D" w:rsidP="004C29B0">
      <w:pPr>
        <w:pStyle w:val="ZoznamLiteratury"/>
        <w:tabs>
          <w:tab w:val="left" w:pos="284"/>
        </w:tabs>
        <w:spacing w:line="360" w:lineRule="auto"/>
        <w:ind w:left="284" w:firstLine="0"/>
        <w:rPr>
          <w:color w:val="auto"/>
          <w:sz w:val="24"/>
          <w:szCs w:val="24"/>
        </w:rPr>
      </w:pPr>
      <w:r w:rsidRPr="00E612A1">
        <w:rPr>
          <w:b/>
          <w:bCs/>
          <w:sz w:val="24"/>
          <w:szCs w:val="24"/>
        </w:rPr>
        <w:t>DOI:</w:t>
      </w:r>
      <w:r w:rsidRPr="00E612A1">
        <w:rPr>
          <w:sz w:val="24"/>
          <w:szCs w:val="24"/>
        </w:rPr>
        <w:t>10.2175/106143009x407438.</w:t>
      </w:r>
    </w:p>
    <w:p w14:paraId="7EF02802" w14:textId="77777777" w:rsidR="00D7655D" w:rsidRPr="00E612A1" w:rsidRDefault="00D7655D" w:rsidP="00D7655D">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N. F. Y. Tam, Y. S. Wong, G. Leung, </w:t>
      </w:r>
      <w:r w:rsidRPr="00E612A1">
        <w:rPr>
          <w:i/>
          <w:iCs/>
          <w:sz w:val="24"/>
          <w:szCs w:val="24"/>
        </w:rPr>
        <w:t>Water Sci. Technol</w:t>
      </w:r>
      <w:r w:rsidRPr="00E612A1">
        <w:rPr>
          <w:sz w:val="24"/>
          <w:szCs w:val="24"/>
        </w:rPr>
        <w:t xml:space="preserve">. </w:t>
      </w:r>
      <w:r w:rsidRPr="00E612A1">
        <w:rPr>
          <w:b/>
          <w:bCs/>
          <w:sz w:val="24"/>
          <w:szCs w:val="24"/>
        </w:rPr>
        <w:t>1992</w:t>
      </w:r>
      <w:r w:rsidRPr="00E612A1">
        <w:rPr>
          <w:sz w:val="24"/>
          <w:szCs w:val="24"/>
        </w:rPr>
        <w:t>, 26 (5–6), 1047</w:t>
      </w:r>
      <w:bookmarkStart w:id="3" w:name="_Hlk98865479"/>
      <w:r w:rsidRPr="00E612A1">
        <w:rPr>
          <w:sz w:val="24"/>
          <w:szCs w:val="24"/>
        </w:rPr>
        <w:t>–</w:t>
      </w:r>
      <w:bookmarkEnd w:id="3"/>
      <w:r w:rsidRPr="00E612A1">
        <w:rPr>
          <w:sz w:val="24"/>
          <w:szCs w:val="24"/>
        </w:rPr>
        <w:t xml:space="preserve">1055. </w:t>
      </w:r>
      <w:r w:rsidRPr="00E612A1">
        <w:rPr>
          <w:b/>
          <w:bCs/>
          <w:sz w:val="24"/>
          <w:szCs w:val="24"/>
        </w:rPr>
        <w:t>DOI:</w:t>
      </w:r>
      <w:r w:rsidRPr="00E612A1">
        <w:rPr>
          <w:sz w:val="24"/>
          <w:szCs w:val="24"/>
        </w:rPr>
        <w:t>10.2166/wst.1992.0546.</w:t>
      </w:r>
    </w:p>
    <w:p w14:paraId="6CFDE904" w14:textId="77777777" w:rsidR="004C29B0" w:rsidRDefault="00D7655D" w:rsidP="001943EE">
      <w:pPr>
        <w:pStyle w:val="ZoznamLiteratury"/>
        <w:numPr>
          <w:ilvl w:val="0"/>
          <w:numId w:val="33"/>
        </w:numPr>
        <w:tabs>
          <w:tab w:val="left" w:pos="284"/>
        </w:tabs>
        <w:spacing w:line="360" w:lineRule="auto"/>
        <w:ind w:left="284" w:hanging="426"/>
        <w:rPr>
          <w:color w:val="auto"/>
          <w:sz w:val="24"/>
          <w:szCs w:val="24"/>
        </w:rPr>
      </w:pPr>
      <w:r w:rsidRPr="00E612A1">
        <w:rPr>
          <w:color w:val="auto"/>
          <w:sz w:val="24"/>
          <w:szCs w:val="24"/>
        </w:rPr>
        <w:t xml:space="preserve">S. Hallin, M. Pell, </w:t>
      </w:r>
      <w:r w:rsidRPr="00E612A1">
        <w:rPr>
          <w:i/>
          <w:iCs/>
          <w:color w:val="auto"/>
          <w:sz w:val="24"/>
          <w:szCs w:val="24"/>
        </w:rPr>
        <w:t>Water Res</w:t>
      </w:r>
      <w:r w:rsidRPr="00E612A1">
        <w:rPr>
          <w:color w:val="auto"/>
          <w:sz w:val="24"/>
          <w:szCs w:val="24"/>
        </w:rPr>
        <w:t xml:space="preserve">. </w:t>
      </w:r>
      <w:r w:rsidRPr="00E612A1">
        <w:rPr>
          <w:b/>
          <w:bCs/>
          <w:color w:val="auto"/>
          <w:sz w:val="24"/>
          <w:szCs w:val="24"/>
        </w:rPr>
        <w:t>1998</w:t>
      </w:r>
      <w:r w:rsidRPr="00E612A1">
        <w:rPr>
          <w:color w:val="auto"/>
          <w:sz w:val="24"/>
          <w:szCs w:val="24"/>
        </w:rPr>
        <w:t xml:space="preserve">, 32, 13–18. </w:t>
      </w:r>
    </w:p>
    <w:p w14:paraId="68DD9224" w14:textId="18AE2CEB" w:rsidR="001943EE" w:rsidRPr="00E612A1" w:rsidRDefault="00D7655D" w:rsidP="004C29B0">
      <w:pPr>
        <w:pStyle w:val="ZoznamLiteratury"/>
        <w:tabs>
          <w:tab w:val="left" w:pos="284"/>
        </w:tabs>
        <w:spacing w:line="360" w:lineRule="auto"/>
        <w:ind w:left="284" w:firstLine="0"/>
        <w:rPr>
          <w:color w:val="auto"/>
          <w:sz w:val="24"/>
          <w:szCs w:val="24"/>
        </w:rPr>
      </w:pPr>
      <w:r w:rsidRPr="00E612A1">
        <w:rPr>
          <w:b/>
          <w:bCs/>
          <w:sz w:val="24"/>
          <w:szCs w:val="24"/>
        </w:rPr>
        <w:t>DOI:</w:t>
      </w:r>
      <w:r w:rsidRPr="00E612A1">
        <w:rPr>
          <w:color w:val="auto"/>
          <w:sz w:val="24"/>
          <w:szCs w:val="24"/>
        </w:rPr>
        <w:t>10.1016/S0043-1354(97)00199-1.</w:t>
      </w:r>
    </w:p>
    <w:p w14:paraId="6D9E91AC" w14:textId="77777777" w:rsidR="004C29B0" w:rsidRDefault="001943EE" w:rsidP="001943EE">
      <w:pPr>
        <w:pStyle w:val="ZoznamLiteratury"/>
        <w:numPr>
          <w:ilvl w:val="0"/>
          <w:numId w:val="33"/>
        </w:numPr>
        <w:tabs>
          <w:tab w:val="left" w:pos="284"/>
        </w:tabs>
        <w:spacing w:line="360" w:lineRule="auto"/>
        <w:ind w:left="284" w:hanging="426"/>
        <w:rPr>
          <w:color w:val="auto"/>
          <w:sz w:val="24"/>
          <w:szCs w:val="24"/>
        </w:rPr>
      </w:pPr>
      <w:r w:rsidRPr="00E612A1">
        <w:rPr>
          <w:color w:val="auto"/>
          <w:sz w:val="24"/>
          <w:szCs w:val="24"/>
        </w:rPr>
        <w:t xml:space="preserve">A. Onnis-Hayden, D. Dair, Ch. Johnson, A. Schramm, A. Z. Gu, </w:t>
      </w:r>
      <w:r w:rsidRPr="00E612A1">
        <w:rPr>
          <w:i/>
          <w:iCs/>
          <w:color w:val="auto"/>
          <w:sz w:val="24"/>
          <w:szCs w:val="24"/>
        </w:rPr>
        <w:t xml:space="preserve">Proceedings of the Water </w:t>
      </w:r>
      <w:r w:rsidRPr="00E612A1">
        <w:rPr>
          <w:i/>
          <w:iCs/>
          <w:color w:val="auto"/>
          <w:sz w:val="24"/>
          <w:szCs w:val="24"/>
        </w:rPr>
        <w:lastRenderedPageBreak/>
        <w:t>Environment Federation</w:t>
      </w:r>
      <w:r w:rsidRPr="00E612A1">
        <w:rPr>
          <w:color w:val="auto"/>
          <w:sz w:val="24"/>
          <w:szCs w:val="24"/>
        </w:rPr>
        <w:t xml:space="preserve">. </w:t>
      </w:r>
      <w:r w:rsidRPr="00E612A1">
        <w:rPr>
          <w:b/>
          <w:bCs/>
          <w:color w:val="auto"/>
          <w:sz w:val="24"/>
          <w:szCs w:val="24"/>
        </w:rPr>
        <w:t>2007</w:t>
      </w:r>
      <w:r w:rsidRPr="00E612A1">
        <w:rPr>
          <w:color w:val="auto"/>
          <w:sz w:val="24"/>
          <w:szCs w:val="24"/>
        </w:rPr>
        <w:t xml:space="preserve">, 3099–3119. </w:t>
      </w:r>
    </w:p>
    <w:p w14:paraId="6530084F" w14:textId="2018AC81" w:rsidR="001943EE" w:rsidRPr="00E612A1" w:rsidRDefault="001943EE" w:rsidP="004C29B0">
      <w:pPr>
        <w:pStyle w:val="ZoznamLiteratury"/>
        <w:tabs>
          <w:tab w:val="left" w:pos="284"/>
        </w:tabs>
        <w:spacing w:line="360" w:lineRule="auto"/>
        <w:ind w:left="284" w:firstLine="0"/>
        <w:rPr>
          <w:color w:val="auto"/>
          <w:sz w:val="24"/>
          <w:szCs w:val="24"/>
        </w:rPr>
      </w:pPr>
      <w:r w:rsidRPr="00E612A1">
        <w:rPr>
          <w:b/>
          <w:bCs/>
          <w:sz w:val="24"/>
          <w:szCs w:val="24"/>
        </w:rPr>
        <w:t>DOI:</w:t>
      </w:r>
      <w:r w:rsidRPr="00E612A1">
        <w:rPr>
          <w:color w:val="auto"/>
          <w:sz w:val="24"/>
          <w:szCs w:val="24"/>
        </w:rPr>
        <w:t>10.2175/193864707787973789.</w:t>
      </w:r>
    </w:p>
    <w:p w14:paraId="3F12F497" w14:textId="77777777" w:rsidR="001943EE" w:rsidRPr="00E612A1" w:rsidRDefault="001943EE" w:rsidP="001943EE">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P. Cyplik, W. Juzwa, R. Marecik, J. Powierska-Czarny, A. Piotrowska-Cyplik, J. Czarny, A. Drożdżyńska, Ł. Chrzanowski, </w:t>
      </w:r>
      <w:r w:rsidRPr="00E612A1">
        <w:rPr>
          <w:i/>
          <w:iCs/>
          <w:sz w:val="24"/>
          <w:szCs w:val="24"/>
        </w:rPr>
        <w:t>Chemosphere</w:t>
      </w:r>
      <w:r w:rsidRPr="00E612A1">
        <w:rPr>
          <w:sz w:val="24"/>
          <w:szCs w:val="24"/>
        </w:rPr>
        <w:t xml:space="preserve">. </w:t>
      </w:r>
      <w:r w:rsidRPr="00E612A1">
        <w:rPr>
          <w:b/>
          <w:bCs/>
          <w:sz w:val="24"/>
          <w:szCs w:val="24"/>
        </w:rPr>
        <w:t>2013</w:t>
      </w:r>
      <w:r w:rsidRPr="00E612A1">
        <w:rPr>
          <w:sz w:val="24"/>
          <w:szCs w:val="24"/>
        </w:rPr>
        <w:t>, 93 (11), 2823</w:t>
      </w:r>
      <w:r w:rsidRPr="00E612A1">
        <w:rPr>
          <w:color w:val="auto"/>
          <w:sz w:val="24"/>
          <w:szCs w:val="24"/>
        </w:rPr>
        <w:t>–</w:t>
      </w:r>
      <w:r w:rsidRPr="00E612A1">
        <w:rPr>
          <w:sz w:val="24"/>
          <w:szCs w:val="24"/>
        </w:rPr>
        <w:t xml:space="preserve">2831. </w:t>
      </w:r>
      <w:r w:rsidRPr="00E612A1">
        <w:rPr>
          <w:b/>
          <w:bCs/>
          <w:sz w:val="24"/>
          <w:szCs w:val="24"/>
        </w:rPr>
        <w:t>DOI:</w:t>
      </w:r>
      <w:r w:rsidRPr="00E612A1">
        <w:rPr>
          <w:sz w:val="24"/>
          <w:szCs w:val="24"/>
        </w:rPr>
        <w:t>10.1016/j.chemosphere.2013.09.083.</w:t>
      </w:r>
    </w:p>
    <w:p w14:paraId="78A98C57" w14:textId="4EF6C091" w:rsidR="001943EE" w:rsidRPr="00E612A1" w:rsidRDefault="001943EE" w:rsidP="001943EE">
      <w:pPr>
        <w:pStyle w:val="ZoznamLiteratury"/>
        <w:numPr>
          <w:ilvl w:val="0"/>
          <w:numId w:val="33"/>
        </w:numPr>
        <w:tabs>
          <w:tab w:val="left" w:pos="284"/>
        </w:tabs>
        <w:spacing w:line="360" w:lineRule="auto"/>
        <w:ind w:left="284" w:hanging="426"/>
        <w:rPr>
          <w:color w:val="auto"/>
          <w:sz w:val="24"/>
          <w:szCs w:val="24"/>
        </w:rPr>
      </w:pPr>
      <w:r w:rsidRPr="00E612A1">
        <w:rPr>
          <w:color w:val="auto"/>
          <w:sz w:val="24"/>
          <w:szCs w:val="24"/>
        </w:rPr>
        <w:t>J. Wanner</w:t>
      </w:r>
      <w:r w:rsidR="007C3939">
        <w:rPr>
          <w:color w:val="auto"/>
          <w:sz w:val="24"/>
          <w:szCs w:val="24"/>
        </w:rPr>
        <w:t>,</w:t>
      </w:r>
      <w:r w:rsidRPr="00E612A1">
        <w:rPr>
          <w:color w:val="auto"/>
          <w:sz w:val="24"/>
          <w:szCs w:val="24"/>
        </w:rPr>
        <w:t xml:space="preserve"> Activated Sludge Bulking and Foaming Control, CRC Press, </w:t>
      </w:r>
      <w:r w:rsidRPr="00E612A1">
        <w:rPr>
          <w:b/>
          <w:bCs/>
          <w:sz w:val="24"/>
          <w:szCs w:val="24"/>
        </w:rPr>
        <w:t>1995</w:t>
      </w:r>
      <w:r w:rsidRPr="00E612A1">
        <w:rPr>
          <w:sz w:val="24"/>
          <w:szCs w:val="24"/>
        </w:rPr>
        <w:t>.</w:t>
      </w:r>
    </w:p>
    <w:p w14:paraId="690CB91A" w14:textId="77777777" w:rsidR="001943EE" w:rsidRPr="00E612A1" w:rsidRDefault="001943EE" w:rsidP="001943EE">
      <w:pPr>
        <w:pStyle w:val="ZoznamLiteratury"/>
        <w:numPr>
          <w:ilvl w:val="0"/>
          <w:numId w:val="33"/>
        </w:numPr>
        <w:tabs>
          <w:tab w:val="left" w:pos="284"/>
        </w:tabs>
        <w:spacing w:line="360" w:lineRule="auto"/>
        <w:ind w:left="284" w:hanging="426"/>
        <w:rPr>
          <w:color w:val="auto"/>
          <w:sz w:val="24"/>
          <w:szCs w:val="24"/>
        </w:rPr>
      </w:pPr>
      <w:r w:rsidRPr="00E612A1">
        <w:rPr>
          <w:color w:val="auto"/>
          <w:sz w:val="24"/>
          <w:szCs w:val="24"/>
        </w:rPr>
        <w:t xml:space="preserve">M. Henze, M. C. M. van Loosdrecht, G. A. Ekama, D. Brdjanovic, Biological Wastewater Treatment: Principles, modelling and design. IWA Publishing, </w:t>
      </w:r>
      <w:r w:rsidRPr="00E612A1">
        <w:rPr>
          <w:b/>
          <w:bCs/>
          <w:color w:val="auto"/>
          <w:sz w:val="24"/>
          <w:szCs w:val="24"/>
        </w:rPr>
        <w:t>2008</w:t>
      </w:r>
      <w:r w:rsidRPr="00E612A1">
        <w:rPr>
          <w:color w:val="auto"/>
          <w:sz w:val="24"/>
          <w:szCs w:val="24"/>
        </w:rPr>
        <w:t>.</w:t>
      </w:r>
    </w:p>
    <w:p w14:paraId="35ACD659" w14:textId="77777777" w:rsidR="001F4619" w:rsidRPr="00E612A1" w:rsidRDefault="001943EE" w:rsidP="001F4619">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H. M. Phillips, J. L. Barnard, C. Debarbadillo, A. R. Shaw, M. T. Steichen, C. Wallis-Lage, </w:t>
      </w:r>
      <w:r w:rsidRPr="00E612A1">
        <w:rPr>
          <w:i/>
          <w:iCs/>
          <w:sz w:val="24"/>
          <w:szCs w:val="24"/>
        </w:rPr>
        <w:t>Proceedings of the Water Environment Federation</w:t>
      </w:r>
      <w:r w:rsidRPr="00E612A1">
        <w:rPr>
          <w:sz w:val="24"/>
          <w:szCs w:val="24"/>
        </w:rPr>
        <w:t xml:space="preserve">, </w:t>
      </w:r>
      <w:r w:rsidRPr="00E612A1">
        <w:rPr>
          <w:b/>
          <w:bCs/>
          <w:sz w:val="24"/>
          <w:szCs w:val="24"/>
        </w:rPr>
        <w:t>2009</w:t>
      </w:r>
      <w:r w:rsidRPr="00E612A1">
        <w:rPr>
          <w:sz w:val="24"/>
          <w:szCs w:val="24"/>
        </w:rPr>
        <w:t xml:space="preserve">, 252–276. </w:t>
      </w:r>
      <w:r w:rsidRPr="00E612A1">
        <w:rPr>
          <w:b/>
          <w:bCs/>
          <w:sz w:val="24"/>
          <w:szCs w:val="24"/>
        </w:rPr>
        <w:t>DOI:</w:t>
      </w:r>
      <w:r w:rsidRPr="00E612A1">
        <w:rPr>
          <w:sz w:val="24"/>
          <w:szCs w:val="24"/>
        </w:rPr>
        <w:t>10.2175/193864709793901301.</w:t>
      </w:r>
    </w:p>
    <w:p w14:paraId="2CA996C1" w14:textId="295BAF94" w:rsidR="001F4619" w:rsidRPr="00E612A1"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sz w:val="24"/>
          <w:szCs w:val="24"/>
        </w:rPr>
        <w:t>M. Drtil, I. Bodík, S. Vlčková, D. Kolníková, R. Brezina, P. Levársky, J. Tichý,</w:t>
      </w:r>
      <w:r w:rsidRPr="00E612A1">
        <w:rPr>
          <w:rFonts w:eastAsia="Times New Roman"/>
          <w:b/>
          <w:i/>
          <w:color w:val="auto"/>
          <w:lang w:eastAsia="cs-CZ"/>
        </w:rPr>
        <w:t xml:space="preserve"> </w:t>
      </w:r>
      <w:r w:rsidRPr="00E612A1">
        <w:rPr>
          <w:bCs/>
          <w:iCs/>
          <w:sz w:val="24"/>
          <w:szCs w:val="24"/>
        </w:rPr>
        <w:t xml:space="preserve">Z. Imreová, M. Švorcová, </w:t>
      </w:r>
      <w:r w:rsidRPr="00E612A1">
        <w:rPr>
          <w:i/>
          <w:iCs/>
          <w:sz w:val="24"/>
          <w:szCs w:val="24"/>
        </w:rPr>
        <w:t>SOVAK</w:t>
      </w:r>
      <w:r w:rsidRPr="00E612A1">
        <w:rPr>
          <w:sz w:val="24"/>
          <w:szCs w:val="24"/>
        </w:rPr>
        <w:t xml:space="preserve">. </w:t>
      </w:r>
      <w:r w:rsidRPr="00E612A1">
        <w:rPr>
          <w:b/>
          <w:bCs/>
          <w:sz w:val="24"/>
          <w:szCs w:val="24"/>
        </w:rPr>
        <w:t>2018</w:t>
      </w:r>
      <w:r w:rsidRPr="00E612A1">
        <w:rPr>
          <w:sz w:val="24"/>
          <w:szCs w:val="24"/>
        </w:rPr>
        <w:t xml:space="preserve">, 3, 12–16. </w:t>
      </w:r>
    </w:p>
    <w:p w14:paraId="4F19BF91" w14:textId="7ABE6CF5" w:rsidR="001F4619" w:rsidRPr="00E612A1"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sz w:val="24"/>
          <w:szCs w:val="24"/>
        </w:rPr>
        <w:t>Slovak Government Regulation no. 269/2010 Coll. Requirements for the Achievement of Good Water Status.</w:t>
      </w:r>
    </w:p>
    <w:p w14:paraId="1153A090" w14:textId="0C612CA2" w:rsidR="001F4619" w:rsidRPr="00E612A1"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sz w:val="24"/>
          <w:szCs w:val="24"/>
        </w:rPr>
        <w:t>Slovak Government Regulation no. 755/2004 Coll. which Establishes the Amount of Unregulated Payments, Fees and Details Related to Charging for Water Use.</w:t>
      </w:r>
    </w:p>
    <w:p w14:paraId="55D36761" w14:textId="77777777" w:rsidR="001F4619" w:rsidRPr="00E612A1"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color w:val="auto"/>
          <w:sz w:val="24"/>
          <w:szCs w:val="24"/>
        </w:rPr>
        <w:t>R. Baird, L. Bridgewater, Standard Methods for the Examination of Water and Wastewater. 23</w:t>
      </w:r>
      <w:r w:rsidRPr="00E612A1">
        <w:rPr>
          <w:color w:val="auto"/>
          <w:sz w:val="24"/>
          <w:szCs w:val="24"/>
          <w:vertAlign w:val="superscript"/>
        </w:rPr>
        <w:t>rd</w:t>
      </w:r>
      <w:r w:rsidRPr="00E612A1">
        <w:rPr>
          <w:color w:val="auto"/>
          <w:sz w:val="24"/>
          <w:szCs w:val="24"/>
        </w:rPr>
        <w:t xml:space="preserve"> Edition, American Public Health Association, Washington, D.C., </w:t>
      </w:r>
      <w:r w:rsidRPr="00E612A1">
        <w:rPr>
          <w:b/>
          <w:bCs/>
          <w:color w:val="auto"/>
          <w:sz w:val="24"/>
          <w:szCs w:val="24"/>
        </w:rPr>
        <w:t>2017</w:t>
      </w:r>
      <w:r w:rsidRPr="00E612A1">
        <w:rPr>
          <w:color w:val="auto"/>
          <w:sz w:val="24"/>
          <w:szCs w:val="24"/>
        </w:rPr>
        <w:t xml:space="preserve">. </w:t>
      </w:r>
    </w:p>
    <w:p w14:paraId="76DE73E0" w14:textId="77777777" w:rsidR="001F4619" w:rsidRPr="00E612A1"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color w:val="auto"/>
          <w:sz w:val="24"/>
          <w:szCs w:val="24"/>
        </w:rPr>
        <w:t xml:space="preserve">I. Bodík, O. Čižmárová, J. Derco, M. Drtil, M. Hutňan, Z. Imreová, T. Mackuľak, M. Vrabeľ, R. Zakhar, Laboratory Exercises II – Environmental Technologies. STU, Bratislava. Faculty of Chemical and Food Technology. Slovak Chemical Library FCHPT STU in Bratislava, </w:t>
      </w:r>
      <w:r w:rsidRPr="00E612A1">
        <w:rPr>
          <w:b/>
          <w:bCs/>
          <w:color w:val="auto"/>
          <w:sz w:val="24"/>
          <w:szCs w:val="24"/>
        </w:rPr>
        <w:t>2021</w:t>
      </w:r>
      <w:r w:rsidRPr="00E612A1">
        <w:rPr>
          <w:color w:val="auto"/>
          <w:sz w:val="24"/>
          <w:szCs w:val="24"/>
        </w:rPr>
        <w:t>.</w:t>
      </w:r>
    </w:p>
    <w:p w14:paraId="35526C79" w14:textId="77777777" w:rsidR="004C29B0" w:rsidRPr="004C29B0"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sz w:val="24"/>
          <w:szCs w:val="24"/>
        </w:rPr>
        <w:t xml:space="preserve">M. Drtil, P. Németh, K. Kucman, I. Bodík, V. Kašperek, </w:t>
      </w:r>
      <w:r w:rsidRPr="00E612A1">
        <w:rPr>
          <w:i/>
          <w:iCs/>
          <w:sz w:val="24"/>
          <w:szCs w:val="24"/>
        </w:rPr>
        <w:t>Water Res</w:t>
      </w:r>
      <w:r w:rsidRPr="00E612A1">
        <w:rPr>
          <w:sz w:val="24"/>
          <w:szCs w:val="24"/>
        </w:rPr>
        <w:t xml:space="preserve">. </w:t>
      </w:r>
      <w:r w:rsidRPr="00E612A1">
        <w:rPr>
          <w:b/>
          <w:bCs/>
          <w:sz w:val="24"/>
          <w:szCs w:val="24"/>
        </w:rPr>
        <w:t>1995</w:t>
      </w:r>
      <w:r w:rsidRPr="00E612A1">
        <w:rPr>
          <w:sz w:val="24"/>
          <w:szCs w:val="24"/>
        </w:rPr>
        <w:t>, 29 (5), 1353–1360.</w:t>
      </w:r>
      <w:r w:rsidRPr="00E612A1">
        <w:rPr>
          <w:b/>
          <w:bCs/>
          <w:sz w:val="24"/>
          <w:szCs w:val="24"/>
        </w:rPr>
        <w:t xml:space="preserve"> </w:t>
      </w:r>
    </w:p>
    <w:p w14:paraId="7D853E9F" w14:textId="7FB3F1DB" w:rsidR="001F4619" w:rsidRPr="00E612A1" w:rsidRDefault="001F4619" w:rsidP="004C29B0">
      <w:pPr>
        <w:pStyle w:val="ZoznamLiteratury"/>
        <w:tabs>
          <w:tab w:val="left" w:pos="284"/>
        </w:tabs>
        <w:spacing w:line="360" w:lineRule="auto"/>
        <w:ind w:left="284" w:firstLine="0"/>
        <w:rPr>
          <w:color w:val="auto"/>
          <w:sz w:val="24"/>
          <w:szCs w:val="24"/>
        </w:rPr>
      </w:pPr>
      <w:r w:rsidRPr="00E612A1">
        <w:rPr>
          <w:b/>
          <w:bCs/>
          <w:sz w:val="24"/>
          <w:szCs w:val="24"/>
        </w:rPr>
        <w:t>DOI:</w:t>
      </w:r>
      <w:r w:rsidRPr="00E612A1">
        <w:rPr>
          <w:sz w:val="24"/>
          <w:szCs w:val="24"/>
        </w:rPr>
        <w:t>10.1016/0043-1354(94)00228-y.</w:t>
      </w:r>
    </w:p>
    <w:p w14:paraId="2301BED4" w14:textId="71257CF2" w:rsidR="001F4619" w:rsidRPr="00E612A1"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sz w:val="24"/>
          <w:szCs w:val="24"/>
        </w:rPr>
        <w:t>S. Čech, J. Chudoba, P. Grau,</w:t>
      </w:r>
      <w:r w:rsidR="00456F8A">
        <w:rPr>
          <w:sz w:val="24"/>
          <w:szCs w:val="24"/>
        </w:rPr>
        <w:t xml:space="preserve"> </w:t>
      </w:r>
      <w:r w:rsidRPr="00E612A1">
        <w:rPr>
          <w:i/>
          <w:iCs/>
          <w:sz w:val="24"/>
          <w:szCs w:val="24"/>
        </w:rPr>
        <w:t>Water Sci. Technol</w:t>
      </w:r>
      <w:r w:rsidRPr="00E612A1">
        <w:rPr>
          <w:sz w:val="24"/>
          <w:szCs w:val="24"/>
        </w:rPr>
        <w:t xml:space="preserve">. </w:t>
      </w:r>
      <w:r w:rsidRPr="00E612A1">
        <w:rPr>
          <w:b/>
          <w:bCs/>
          <w:sz w:val="24"/>
          <w:szCs w:val="24"/>
        </w:rPr>
        <w:t>1985</w:t>
      </w:r>
      <w:r w:rsidRPr="00E612A1">
        <w:rPr>
          <w:sz w:val="24"/>
          <w:szCs w:val="24"/>
        </w:rPr>
        <w:t>, 17 (2</w:t>
      </w:r>
      <w:r w:rsidRPr="00E612A1">
        <w:rPr>
          <w:color w:val="auto"/>
          <w:sz w:val="24"/>
          <w:szCs w:val="24"/>
        </w:rPr>
        <w:t>–</w:t>
      </w:r>
      <w:r w:rsidRPr="00E612A1">
        <w:rPr>
          <w:sz w:val="24"/>
          <w:szCs w:val="24"/>
        </w:rPr>
        <w:t>3), 259–272.</w:t>
      </w:r>
      <w:r w:rsidRPr="00E612A1">
        <w:rPr>
          <w:rFonts w:cs="Times New Roman"/>
          <w:sz w:val="36"/>
          <w:szCs w:val="36"/>
        </w:rPr>
        <w:t xml:space="preserve"> </w:t>
      </w:r>
      <w:r w:rsidRPr="00E612A1">
        <w:rPr>
          <w:b/>
          <w:bCs/>
          <w:sz w:val="24"/>
          <w:szCs w:val="24"/>
        </w:rPr>
        <w:t>DOI:</w:t>
      </w:r>
      <w:r w:rsidRPr="00E612A1">
        <w:rPr>
          <w:sz w:val="24"/>
          <w:szCs w:val="24"/>
        </w:rPr>
        <w:t>10.2166/wst.1985.0135.</w:t>
      </w:r>
    </w:p>
    <w:p w14:paraId="2568C759" w14:textId="65B944E1" w:rsidR="001F4619" w:rsidRPr="00E612A1" w:rsidRDefault="001F4619" w:rsidP="001F4619">
      <w:pPr>
        <w:pStyle w:val="ZoznamLiteratury"/>
        <w:numPr>
          <w:ilvl w:val="0"/>
          <w:numId w:val="33"/>
        </w:numPr>
        <w:tabs>
          <w:tab w:val="left" w:pos="284"/>
        </w:tabs>
        <w:spacing w:line="360" w:lineRule="auto"/>
        <w:ind w:left="284" w:hanging="426"/>
        <w:rPr>
          <w:color w:val="auto"/>
          <w:sz w:val="24"/>
          <w:szCs w:val="24"/>
        </w:rPr>
      </w:pPr>
      <w:r w:rsidRPr="00E612A1">
        <w:rPr>
          <w:sz w:val="24"/>
          <w:szCs w:val="24"/>
        </w:rPr>
        <w:t>Act of the Slovak Republic no. 188/2003 Coll. on the Application of Sewage Sludge and Bottom Sediments into the Land.</w:t>
      </w:r>
    </w:p>
    <w:p w14:paraId="3BBFFE6A" w14:textId="77777777" w:rsidR="00CA0025" w:rsidRPr="001E5077" w:rsidRDefault="00502162" w:rsidP="00CA0025">
      <w:pPr>
        <w:pStyle w:val="ZoznamLiteratury"/>
        <w:numPr>
          <w:ilvl w:val="0"/>
          <w:numId w:val="33"/>
        </w:numPr>
        <w:tabs>
          <w:tab w:val="left" w:pos="284"/>
        </w:tabs>
        <w:spacing w:line="360" w:lineRule="auto"/>
        <w:ind w:left="284" w:hanging="426"/>
        <w:rPr>
          <w:color w:val="auto"/>
          <w:sz w:val="24"/>
          <w:szCs w:val="24"/>
        </w:rPr>
      </w:pPr>
      <w:r w:rsidRPr="001E5077">
        <w:rPr>
          <w:sz w:val="24"/>
          <w:szCs w:val="24"/>
          <w:lang w:val="cs-CZ"/>
        </w:rPr>
        <w:t xml:space="preserve">K. Cer Kerčmar, M. Zupančič, P. Bukovec, </w:t>
      </w:r>
      <w:r w:rsidRPr="001E5077">
        <w:rPr>
          <w:i/>
          <w:iCs/>
          <w:sz w:val="24"/>
          <w:szCs w:val="24"/>
          <w:lang w:val="cs-CZ"/>
        </w:rPr>
        <w:t>Acta Chim. Slov</w:t>
      </w:r>
      <w:r w:rsidRPr="001E5077">
        <w:rPr>
          <w:sz w:val="24"/>
          <w:szCs w:val="24"/>
          <w:lang w:val="cs-CZ"/>
        </w:rPr>
        <w:t xml:space="preserve">. </w:t>
      </w:r>
      <w:r w:rsidRPr="001E5077">
        <w:rPr>
          <w:b/>
          <w:bCs/>
          <w:sz w:val="24"/>
          <w:szCs w:val="24"/>
          <w:lang w:val="cs-CZ"/>
        </w:rPr>
        <w:t>2008</w:t>
      </w:r>
      <w:r w:rsidRPr="001E5077">
        <w:rPr>
          <w:sz w:val="24"/>
          <w:szCs w:val="24"/>
          <w:lang w:val="cs-CZ"/>
        </w:rPr>
        <w:t xml:space="preserve">, 55, 1023–1029. </w:t>
      </w:r>
    </w:p>
    <w:p w14:paraId="1384543A" w14:textId="5C901A6D" w:rsidR="00CA0025" w:rsidRPr="001E5077" w:rsidRDefault="00CA0025" w:rsidP="00CA0025">
      <w:pPr>
        <w:pStyle w:val="ZoznamLiteratury"/>
        <w:numPr>
          <w:ilvl w:val="0"/>
          <w:numId w:val="33"/>
        </w:numPr>
        <w:tabs>
          <w:tab w:val="left" w:pos="284"/>
        </w:tabs>
        <w:spacing w:line="360" w:lineRule="auto"/>
        <w:ind w:left="284" w:hanging="426"/>
        <w:rPr>
          <w:color w:val="auto"/>
          <w:sz w:val="24"/>
          <w:szCs w:val="24"/>
        </w:rPr>
      </w:pPr>
      <w:r w:rsidRPr="001E5077">
        <w:rPr>
          <w:color w:val="auto"/>
          <w:sz w:val="24"/>
          <w:szCs w:val="24"/>
          <w:lang w:val="cs-CZ"/>
        </w:rPr>
        <w:t xml:space="preserve">S. M. Mousavi, S. A. Hashemi, A. Babapoor, A. Savardashtaki, H. Esmaeili, Y. Rahnema, F. Mojoudi, S. Bahrani, S. Jahandideh, M. Asadi, </w:t>
      </w:r>
      <w:r w:rsidRPr="001E5077">
        <w:rPr>
          <w:i/>
          <w:iCs/>
          <w:sz w:val="24"/>
          <w:szCs w:val="24"/>
          <w:lang w:val="cs-CZ"/>
        </w:rPr>
        <w:t>Acta Chim. Slov</w:t>
      </w:r>
      <w:r w:rsidRPr="001E5077">
        <w:rPr>
          <w:sz w:val="24"/>
          <w:szCs w:val="24"/>
          <w:lang w:val="cs-CZ"/>
        </w:rPr>
        <w:t xml:space="preserve">. </w:t>
      </w:r>
      <w:r w:rsidRPr="001E5077">
        <w:rPr>
          <w:b/>
          <w:bCs/>
          <w:sz w:val="24"/>
          <w:szCs w:val="24"/>
          <w:lang w:val="cs-CZ"/>
        </w:rPr>
        <w:t>2019</w:t>
      </w:r>
      <w:r w:rsidRPr="001E5077">
        <w:rPr>
          <w:sz w:val="24"/>
          <w:szCs w:val="24"/>
          <w:lang w:val="cs-CZ"/>
        </w:rPr>
        <w:t xml:space="preserve">, 66, 865–873. </w:t>
      </w:r>
      <w:r w:rsidRPr="001E5077">
        <w:rPr>
          <w:b/>
          <w:bCs/>
          <w:sz w:val="24"/>
          <w:szCs w:val="24"/>
          <w:lang w:val="cs-CZ"/>
        </w:rPr>
        <w:t>DOI:</w:t>
      </w:r>
      <w:r w:rsidRPr="001E5077">
        <w:rPr>
          <w:sz w:val="24"/>
          <w:szCs w:val="24"/>
          <w:lang w:val="cs-CZ"/>
        </w:rPr>
        <w:t>10.17344/acsi.2019.4984.</w:t>
      </w:r>
    </w:p>
    <w:p w14:paraId="4D730AFF" w14:textId="73CD089A" w:rsidR="00B6428D" w:rsidRPr="000D7241" w:rsidRDefault="00B6428D" w:rsidP="00B6428D">
      <w:pPr>
        <w:pStyle w:val="ZoznamLiteratury"/>
        <w:numPr>
          <w:ilvl w:val="0"/>
          <w:numId w:val="33"/>
        </w:numPr>
        <w:tabs>
          <w:tab w:val="left" w:pos="284"/>
        </w:tabs>
        <w:spacing w:line="360" w:lineRule="auto"/>
        <w:ind w:left="284" w:hanging="426"/>
        <w:rPr>
          <w:color w:val="auto"/>
          <w:sz w:val="24"/>
          <w:szCs w:val="24"/>
        </w:rPr>
      </w:pPr>
      <w:r w:rsidRPr="00E612A1">
        <w:rPr>
          <w:sz w:val="24"/>
          <w:szCs w:val="24"/>
        </w:rPr>
        <w:lastRenderedPageBreak/>
        <w:t xml:space="preserve">K. Kozáková, L. Sumegová, I. Balážová Pijáková, </w:t>
      </w:r>
      <w:r w:rsidRPr="00E612A1">
        <w:rPr>
          <w:i/>
          <w:iCs/>
          <w:sz w:val="24"/>
          <w:szCs w:val="24"/>
        </w:rPr>
        <w:t>Vodohospodársky spravodajca</w:t>
      </w:r>
      <w:r w:rsidRPr="00E612A1">
        <w:rPr>
          <w:sz w:val="24"/>
          <w:szCs w:val="24"/>
        </w:rPr>
        <w:t xml:space="preserve">. </w:t>
      </w:r>
      <w:r w:rsidRPr="00E612A1">
        <w:rPr>
          <w:b/>
          <w:bCs/>
          <w:sz w:val="24"/>
          <w:szCs w:val="24"/>
        </w:rPr>
        <w:t>2018</w:t>
      </w:r>
      <w:r w:rsidRPr="00E612A1">
        <w:rPr>
          <w:sz w:val="24"/>
          <w:szCs w:val="24"/>
        </w:rPr>
        <w:t>, 61 (1–2), 32–34.</w:t>
      </w:r>
    </w:p>
    <w:sectPr w:rsidR="00B6428D" w:rsidRPr="000D7241" w:rsidSect="0041671A">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F8A" w14:textId="77777777" w:rsidR="00405F06" w:rsidRDefault="00405F06" w:rsidP="00A1155F">
      <w:pPr>
        <w:spacing w:line="240" w:lineRule="auto"/>
      </w:pPr>
      <w:r>
        <w:separator/>
      </w:r>
    </w:p>
  </w:endnote>
  <w:endnote w:type="continuationSeparator" w:id="0">
    <w:p w14:paraId="1714A223" w14:textId="77777777" w:rsidR="00405F06" w:rsidRDefault="00405F06" w:rsidP="00A115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Baskerville Handcut T OT">
    <w:altName w:val="Baskerville Old Face"/>
    <w:panose1 w:val="00000000000000000000"/>
    <w:charset w:val="00"/>
    <w:family w:val="modern"/>
    <w:notTrueType/>
    <w:pitch w:val="variable"/>
    <w:sig w:usb0="800000AF" w:usb1="50002048"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E3233" w14:textId="77777777" w:rsidR="00405F06" w:rsidRDefault="00405F06" w:rsidP="00A1155F">
      <w:pPr>
        <w:spacing w:line="240" w:lineRule="auto"/>
      </w:pPr>
      <w:r>
        <w:separator/>
      </w:r>
    </w:p>
  </w:footnote>
  <w:footnote w:type="continuationSeparator" w:id="0">
    <w:p w14:paraId="68497DC9" w14:textId="77777777" w:rsidR="00405F06" w:rsidRDefault="00405F06" w:rsidP="00A1155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95124"/>
    <w:multiLevelType w:val="hybridMultilevel"/>
    <w:tmpl w:val="64CC6D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A46CE1"/>
    <w:multiLevelType w:val="hybridMultilevel"/>
    <w:tmpl w:val="680CEAD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E2D199F"/>
    <w:multiLevelType w:val="hybridMultilevel"/>
    <w:tmpl w:val="510EDF56"/>
    <w:lvl w:ilvl="0" w:tplc="8D8A6B5E">
      <w:start w:val="140"/>
      <w:numFmt w:val="decimal"/>
      <w:lvlText w:val="%1."/>
      <w:lvlJc w:val="left"/>
      <w:pPr>
        <w:ind w:left="801" w:hanging="375"/>
      </w:pPr>
      <w:rPr>
        <w:rFonts w:ascii="Calibri" w:eastAsia="Times New Roman" w:hAnsi="Calibri"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 w15:restartNumberingAfterBreak="0">
    <w:nsid w:val="11A22D5B"/>
    <w:multiLevelType w:val="hybridMultilevel"/>
    <w:tmpl w:val="241A82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F17671"/>
    <w:multiLevelType w:val="hybridMultilevel"/>
    <w:tmpl w:val="EB1ADCC2"/>
    <w:lvl w:ilvl="0" w:tplc="9FEEF6DA">
      <w:start w:val="1"/>
      <w:numFmt w:val="decimal"/>
      <w:lvlText w:val="%1."/>
      <w:lvlJc w:val="left"/>
      <w:pPr>
        <w:ind w:left="720"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76E01D2"/>
    <w:multiLevelType w:val="hybridMultilevel"/>
    <w:tmpl w:val="BE66F13E"/>
    <w:lvl w:ilvl="0" w:tplc="0409000F">
      <w:start w:val="4"/>
      <w:numFmt w:val="decimal"/>
      <w:lvlText w:val="%1."/>
      <w:lvlJc w:val="left"/>
      <w:pPr>
        <w:ind w:left="2136" w:hanging="360"/>
      </w:pPr>
      <w:rPr>
        <w:rFonts w:cs="Times New Roman" w:hint="default"/>
      </w:rPr>
    </w:lvl>
    <w:lvl w:ilvl="1" w:tplc="04090019" w:tentative="1">
      <w:start w:val="1"/>
      <w:numFmt w:val="lowerLetter"/>
      <w:lvlText w:val="%2."/>
      <w:lvlJc w:val="left"/>
      <w:pPr>
        <w:ind w:left="2856" w:hanging="360"/>
      </w:pPr>
      <w:rPr>
        <w:rFonts w:cs="Times New Roman"/>
      </w:rPr>
    </w:lvl>
    <w:lvl w:ilvl="2" w:tplc="0409001B" w:tentative="1">
      <w:start w:val="1"/>
      <w:numFmt w:val="lowerRoman"/>
      <w:lvlText w:val="%3."/>
      <w:lvlJc w:val="right"/>
      <w:pPr>
        <w:ind w:left="3576" w:hanging="180"/>
      </w:pPr>
      <w:rPr>
        <w:rFonts w:cs="Times New Roman"/>
      </w:rPr>
    </w:lvl>
    <w:lvl w:ilvl="3" w:tplc="0409000F" w:tentative="1">
      <w:start w:val="1"/>
      <w:numFmt w:val="decimal"/>
      <w:lvlText w:val="%4."/>
      <w:lvlJc w:val="left"/>
      <w:pPr>
        <w:ind w:left="4296" w:hanging="360"/>
      </w:pPr>
      <w:rPr>
        <w:rFonts w:cs="Times New Roman"/>
      </w:rPr>
    </w:lvl>
    <w:lvl w:ilvl="4" w:tplc="04090019" w:tentative="1">
      <w:start w:val="1"/>
      <w:numFmt w:val="lowerLetter"/>
      <w:lvlText w:val="%5."/>
      <w:lvlJc w:val="left"/>
      <w:pPr>
        <w:ind w:left="5016" w:hanging="360"/>
      </w:pPr>
      <w:rPr>
        <w:rFonts w:cs="Times New Roman"/>
      </w:rPr>
    </w:lvl>
    <w:lvl w:ilvl="5" w:tplc="0409001B" w:tentative="1">
      <w:start w:val="1"/>
      <w:numFmt w:val="lowerRoman"/>
      <w:lvlText w:val="%6."/>
      <w:lvlJc w:val="right"/>
      <w:pPr>
        <w:ind w:left="5736" w:hanging="180"/>
      </w:pPr>
      <w:rPr>
        <w:rFonts w:cs="Times New Roman"/>
      </w:rPr>
    </w:lvl>
    <w:lvl w:ilvl="6" w:tplc="0409000F" w:tentative="1">
      <w:start w:val="1"/>
      <w:numFmt w:val="decimal"/>
      <w:lvlText w:val="%7."/>
      <w:lvlJc w:val="left"/>
      <w:pPr>
        <w:ind w:left="6456" w:hanging="360"/>
      </w:pPr>
      <w:rPr>
        <w:rFonts w:cs="Times New Roman"/>
      </w:rPr>
    </w:lvl>
    <w:lvl w:ilvl="7" w:tplc="04090019" w:tentative="1">
      <w:start w:val="1"/>
      <w:numFmt w:val="lowerLetter"/>
      <w:lvlText w:val="%8."/>
      <w:lvlJc w:val="left"/>
      <w:pPr>
        <w:ind w:left="7176" w:hanging="360"/>
      </w:pPr>
      <w:rPr>
        <w:rFonts w:cs="Times New Roman"/>
      </w:rPr>
    </w:lvl>
    <w:lvl w:ilvl="8" w:tplc="0409001B" w:tentative="1">
      <w:start w:val="1"/>
      <w:numFmt w:val="lowerRoman"/>
      <w:lvlText w:val="%9."/>
      <w:lvlJc w:val="right"/>
      <w:pPr>
        <w:ind w:left="7896" w:hanging="180"/>
      </w:pPr>
      <w:rPr>
        <w:rFonts w:cs="Times New Roman"/>
      </w:rPr>
    </w:lvl>
  </w:abstractNum>
  <w:abstractNum w:abstractNumId="6" w15:restartNumberingAfterBreak="0">
    <w:nsid w:val="18924046"/>
    <w:multiLevelType w:val="hybridMultilevel"/>
    <w:tmpl w:val="F7869A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B9B4850"/>
    <w:multiLevelType w:val="hybridMultilevel"/>
    <w:tmpl w:val="731A1BA4"/>
    <w:lvl w:ilvl="0" w:tplc="E7B6DB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C05329B"/>
    <w:multiLevelType w:val="hybridMultilevel"/>
    <w:tmpl w:val="CC8E1E7E"/>
    <w:lvl w:ilvl="0" w:tplc="790E8E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03791"/>
    <w:multiLevelType w:val="hybridMultilevel"/>
    <w:tmpl w:val="B22827EA"/>
    <w:lvl w:ilvl="0" w:tplc="9F4C8D70">
      <w:start w:val="1"/>
      <w:numFmt w:val="decimal"/>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1040D7"/>
    <w:multiLevelType w:val="hybridMultilevel"/>
    <w:tmpl w:val="7F38F638"/>
    <w:lvl w:ilvl="0" w:tplc="7F623A22">
      <w:start w:val="1"/>
      <w:numFmt w:val="decimal"/>
      <w:lvlText w:val="%1."/>
      <w:lvlJc w:val="left"/>
      <w:pPr>
        <w:tabs>
          <w:tab w:val="num" w:pos="720"/>
        </w:tabs>
        <w:ind w:left="720" w:hanging="360"/>
      </w:pPr>
      <w:rPr>
        <w:rFonts w:cs="Times New Roman"/>
      </w:rPr>
    </w:lvl>
    <w:lvl w:ilvl="1" w:tplc="B59C970C" w:tentative="1">
      <w:start w:val="1"/>
      <w:numFmt w:val="decimal"/>
      <w:lvlText w:val="%2."/>
      <w:lvlJc w:val="left"/>
      <w:pPr>
        <w:tabs>
          <w:tab w:val="num" w:pos="1440"/>
        </w:tabs>
        <w:ind w:left="1440" w:hanging="360"/>
      </w:pPr>
      <w:rPr>
        <w:rFonts w:cs="Times New Roman"/>
      </w:rPr>
    </w:lvl>
    <w:lvl w:ilvl="2" w:tplc="2788DE28" w:tentative="1">
      <w:start w:val="1"/>
      <w:numFmt w:val="decimal"/>
      <w:lvlText w:val="%3."/>
      <w:lvlJc w:val="left"/>
      <w:pPr>
        <w:tabs>
          <w:tab w:val="num" w:pos="2160"/>
        </w:tabs>
        <w:ind w:left="2160" w:hanging="360"/>
      </w:pPr>
      <w:rPr>
        <w:rFonts w:cs="Times New Roman"/>
      </w:rPr>
    </w:lvl>
    <w:lvl w:ilvl="3" w:tplc="5D607EB0" w:tentative="1">
      <w:start w:val="1"/>
      <w:numFmt w:val="decimal"/>
      <w:lvlText w:val="%4."/>
      <w:lvlJc w:val="left"/>
      <w:pPr>
        <w:tabs>
          <w:tab w:val="num" w:pos="2880"/>
        </w:tabs>
        <w:ind w:left="2880" w:hanging="360"/>
      </w:pPr>
      <w:rPr>
        <w:rFonts w:cs="Times New Roman"/>
      </w:rPr>
    </w:lvl>
    <w:lvl w:ilvl="4" w:tplc="AD6C9E2C" w:tentative="1">
      <w:start w:val="1"/>
      <w:numFmt w:val="decimal"/>
      <w:lvlText w:val="%5."/>
      <w:lvlJc w:val="left"/>
      <w:pPr>
        <w:tabs>
          <w:tab w:val="num" w:pos="3600"/>
        </w:tabs>
        <w:ind w:left="3600" w:hanging="360"/>
      </w:pPr>
      <w:rPr>
        <w:rFonts w:cs="Times New Roman"/>
      </w:rPr>
    </w:lvl>
    <w:lvl w:ilvl="5" w:tplc="78442894" w:tentative="1">
      <w:start w:val="1"/>
      <w:numFmt w:val="decimal"/>
      <w:lvlText w:val="%6."/>
      <w:lvlJc w:val="left"/>
      <w:pPr>
        <w:tabs>
          <w:tab w:val="num" w:pos="4320"/>
        </w:tabs>
        <w:ind w:left="4320" w:hanging="360"/>
      </w:pPr>
      <w:rPr>
        <w:rFonts w:cs="Times New Roman"/>
      </w:rPr>
    </w:lvl>
    <w:lvl w:ilvl="6" w:tplc="283E2410" w:tentative="1">
      <w:start w:val="1"/>
      <w:numFmt w:val="decimal"/>
      <w:lvlText w:val="%7."/>
      <w:lvlJc w:val="left"/>
      <w:pPr>
        <w:tabs>
          <w:tab w:val="num" w:pos="5040"/>
        </w:tabs>
        <w:ind w:left="5040" w:hanging="360"/>
      </w:pPr>
      <w:rPr>
        <w:rFonts w:cs="Times New Roman"/>
      </w:rPr>
    </w:lvl>
    <w:lvl w:ilvl="7" w:tplc="06821682" w:tentative="1">
      <w:start w:val="1"/>
      <w:numFmt w:val="decimal"/>
      <w:lvlText w:val="%8."/>
      <w:lvlJc w:val="left"/>
      <w:pPr>
        <w:tabs>
          <w:tab w:val="num" w:pos="5760"/>
        </w:tabs>
        <w:ind w:left="5760" w:hanging="360"/>
      </w:pPr>
      <w:rPr>
        <w:rFonts w:cs="Times New Roman"/>
      </w:rPr>
    </w:lvl>
    <w:lvl w:ilvl="8" w:tplc="EDCE7AD6" w:tentative="1">
      <w:start w:val="1"/>
      <w:numFmt w:val="decimal"/>
      <w:lvlText w:val="%9."/>
      <w:lvlJc w:val="left"/>
      <w:pPr>
        <w:tabs>
          <w:tab w:val="num" w:pos="6480"/>
        </w:tabs>
        <w:ind w:left="6480" w:hanging="360"/>
      </w:pPr>
      <w:rPr>
        <w:rFonts w:cs="Times New Roman"/>
      </w:rPr>
    </w:lvl>
  </w:abstractNum>
  <w:abstractNum w:abstractNumId="11" w15:restartNumberingAfterBreak="0">
    <w:nsid w:val="23466D4D"/>
    <w:multiLevelType w:val="multilevel"/>
    <w:tmpl w:val="AC909C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847759"/>
    <w:multiLevelType w:val="hybridMultilevel"/>
    <w:tmpl w:val="3BF0F586"/>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F853D2A"/>
    <w:multiLevelType w:val="multilevel"/>
    <w:tmpl w:val="72848F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32273597"/>
    <w:multiLevelType w:val="hybridMultilevel"/>
    <w:tmpl w:val="47BAFCE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95352DD"/>
    <w:multiLevelType w:val="multilevel"/>
    <w:tmpl w:val="041B001D"/>
    <w:lvl w:ilvl="0">
      <w:start w:val="1"/>
      <w:numFmt w:val="decimal"/>
      <w:lvlText w:val="%1)"/>
      <w:lvlJc w:val="left"/>
      <w:pPr>
        <w:tabs>
          <w:tab w:val="num" w:pos="360"/>
        </w:tabs>
        <w:ind w:left="360" w:hanging="360"/>
      </w:pPr>
      <w:rPr>
        <w:rFonts w:ascii="Times New Roman" w:hAnsi="Times New Roman" w:cs="Times New Roman"/>
        <w:sz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3E6141F9"/>
    <w:multiLevelType w:val="hybridMultilevel"/>
    <w:tmpl w:val="B4E44292"/>
    <w:lvl w:ilvl="0" w:tplc="5386CB24">
      <w:start w:val="140"/>
      <w:numFmt w:val="decimal"/>
      <w:lvlText w:val="%1."/>
      <w:lvlJc w:val="left"/>
      <w:pPr>
        <w:ind w:left="943" w:hanging="375"/>
      </w:pPr>
      <w:rPr>
        <w:rFonts w:ascii="Calibri" w:eastAsia="Times New Roman" w:hAnsi="Calibri"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7" w15:restartNumberingAfterBreak="0">
    <w:nsid w:val="41C90C8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52A2679"/>
    <w:multiLevelType w:val="multilevel"/>
    <w:tmpl w:val="041B001D"/>
    <w:lvl w:ilvl="0">
      <w:start w:val="1"/>
      <w:numFmt w:val="bullet"/>
      <w:lvlText w:val=""/>
      <w:lvlJc w:val="left"/>
      <w:pPr>
        <w:tabs>
          <w:tab w:val="num" w:pos="360"/>
        </w:tabs>
        <w:ind w:left="360" w:hanging="360"/>
      </w:pPr>
      <w:rPr>
        <w:rFonts w:ascii="Symbol" w:hAnsi="Symbol"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4585481B"/>
    <w:multiLevelType w:val="hybridMultilevel"/>
    <w:tmpl w:val="F4CCDF8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4B5D7A3B"/>
    <w:multiLevelType w:val="multilevel"/>
    <w:tmpl w:val="72848FD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4E280EA6"/>
    <w:multiLevelType w:val="hybridMultilevel"/>
    <w:tmpl w:val="8EBE9EEE"/>
    <w:lvl w:ilvl="0" w:tplc="43044FB6">
      <w:start w:val="141"/>
      <w:numFmt w:val="decimal"/>
      <w:lvlText w:val="%1."/>
      <w:lvlJc w:val="left"/>
      <w:pPr>
        <w:ind w:left="943" w:hanging="375"/>
      </w:pPr>
      <w:rPr>
        <w:rFonts w:ascii="Calibri" w:eastAsia="Times New Roman" w:hAnsi="Calibri"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22" w15:restartNumberingAfterBreak="0">
    <w:nsid w:val="506A28FB"/>
    <w:multiLevelType w:val="multilevel"/>
    <w:tmpl w:val="CE2C28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3" w15:restartNumberingAfterBreak="0">
    <w:nsid w:val="53F522E1"/>
    <w:multiLevelType w:val="hybridMultilevel"/>
    <w:tmpl w:val="EAA8DF30"/>
    <w:lvl w:ilvl="0" w:tplc="47527A28">
      <w:numFmt w:val="bullet"/>
      <w:lvlText w:val=""/>
      <w:lvlJc w:val="left"/>
      <w:pPr>
        <w:ind w:left="720" w:hanging="360"/>
      </w:pPr>
      <w:rPr>
        <w:rFonts w:ascii="Symbol" w:eastAsia="Times New Roman"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55AB4A55"/>
    <w:multiLevelType w:val="hybridMultilevel"/>
    <w:tmpl w:val="0DE20D10"/>
    <w:lvl w:ilvl="0" w:tplc="721645EA">
      <w:start w:val="1"/>
      <w:numFmt w:val="decimal"/>
      <w:lvlText w:val="%1."/>
      <w:lvlJc w:val="left"/>
      <w:pPr>
        <w:ind w:left="644" w:hanging="360"/>
      </w:pPr>
      <w:rPr>
        <w:rFonts w:ascii="Times New Roman" w:hAnsi="Times New Roman"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13C0A08"/>
    <w:multiLevelType w:val="hybridMultilevel"/>
    <w:tmpl w:val="0DE20D10"/>
    <w:lvl w:ilvl="0" w:tplc="721645EA">
      <w:start w:val="1"/>
      <w:numFmt w:val="decimal"/>
      <w:lvlText w:val="%1."/>
      <w:lvlJc w:val="left"/>
      <w:pPr>
        <w:ind w:left="644" w:hanging="360"/>
      </w:pPr>
      <w:rPr>
        <w:rFonts w:ascii="Times New Roman" w:hAnsi="Times New Roman" w:cs="Times New Roman" w:hint="default"/>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61717FE8"/>
    <w:multiLevelType w:val="hybridMultilevel"/>
    <w:tmpl w:val="AB2A118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66301571"/>
    <w:multiLevelType w:val="hybridMultilevel"/>
    <w:tmpl w:val="64CC6DC6"/>
    <w:lvl w:ilvl="0" w:tplc="C082EA3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6A469F8"/>
    <w:multiLevelType w:val="hybridMultilevel"/>
    <w:tmpl w:val="CC12893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77D7CD1"/>
    <w:multiLevelType w:val="hybridMultilevel"/>
    <w:tmpl w:val="07E06030"/>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15:restartNumberingAfterBreak="0">
    <w:nsid w:val="68EE461A"/>
    <w:multiLevelType w:val="hybridMultilevel"/>
    <w:tmpl w:val="D0782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93309E3"/>
    <w:multiLevelType w:val="hybridMultilevel"/>
    <w:tmpl w:val="D4844EA2"/>
    <w:lvl w:ilvl="0" w:tplc="18CEF790">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CB2562"/>
    <w:multiLevelType w:val="hybridMultilevel"/>
    <w:tmpl w:val="BE0440A4"/>
    <w:lvl w:ilvl="0" w:tplc="5E6A98F0">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711755E7"/>
    <w:multiLevelType w:val="hybridMultilevel"/>
    <w:tmpl w:val="F8DC9A32"/>
    <w:lvl w:ilvl="0" w:tplc="3FFACB3A">
      <w:start w:val="1"/>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num w:numId="1" w16cid:durableId="961812443">
    <w:abstractNumId w:val="31"/>
  </w:num>
  <w:num w:numId="2" w16cid:durableId="1672218445">
    <w:abstractNumId w:val="18"/>
  </w:num>
  <w:num w:numId="3" w16cid:durableId="1555970825">
    <w:abstractNumId w:val="15"/>
  </w:num>
  <w:num w:numId="4" w16cid:durableId="1087657751">
    <w:abstractNumId w:val="7"/>
  </w:num>
  <w:num w:numId="5" w16cid:durableId="1528329136">
    <w:abstractNumId w:val="28"/>
  </w:num>
  <w:num w:numId="6" w16cid:durableId="1278173588">
    <w:abstractNumId w:val="3"/>
  </w:num>
  <w:num w:numId="7" w16cid:durableId="1331371939">
    <w:abstractNumId w:val="14"/>
  </w:num>
  <w:num w:numId="8" w16cid:durableId="722563804">
    <w:abstractNumId w:val="33"/>
  </w:num>
  <w:num w:numId="9" w16cid:durableId="1098871234">
    <w:abstractNumId w:val="10"/>
  </w:num>
  <w:num w:numId="10" w16cid:durableId="1557158118">
    <w:abstractNumId w:val="19"/>
  </w:num>
  <w:num w:numId="11" w16cid:durableId="1045446358">
    <w:abstractNumId w:val="6"/>
  </w:num>
  <w:num w:numId="12" w16cid:durableId="2076857671">
    <w:abstractNumId w:val="26"/>
  </w:num>
  <w:num w:numId="13" w16cid:durableId="2020540568">
    <w:abstractNumId w:val="29"/>
  </w:num>
  <w:num w:numId="14" w16cid:durableId="765267361">
    <w:abstractNumId w:val="11"/>
  </w:num>
  <w:num w:numId="15" w16cid:durableId="1733187334">
    <w:abstractNumId w:val="13"/>
  </w:num>
  <w:num w:numId="16" w16cid:durableId="437681463">
    <w:abstractNumId w:val="30"/>
  </w:num>
  <w:num w:numId="17" w16cid:durableId="148599824">
    <w:abstractNumId w:val="20"/>
  </w:num>
  <w:num w:numId="18" w16cid:durableId="258022926">
    <w:abstractNumId w:val="25"/>
  </w:num>
  <w:num w:numId="19" w16cid:durableId="970549565">
    <w:abstractNumId w:val="12"/>
  </w:num>
  <w:num w:numId="20" w16cid:durableId="1202939370">
    <w:abstractNumId w:val="8"/>
  </w:num>
  <w:num w:numId="21" w16cid:durableId="263852360">
    <w:abstractNumId w:val="16"/>
  </w:num>
  <w:num w:numId="22" w16cid:durableId="874385895">
    <w:abstractNumId w:val="21"/>
  </w:num>
  <w:num w:numId="23" w16cid:durableId="1102454191">
    <w:abstractNumId w:val="2"/>
  </w:num>
  <w:num w:numId="24" w16cid:durableId="1631863172">
    <w:abstractNumId w:val="24"/>
  </w:num>
  <w:num w:numId="25" w16cid:durableId="1996298148">
    <w:abstractNumId w:val="32"/>
  </w:num>
  <w:num w:numId="26" w16cid:durableId="1666594408">
    <w:abstractNumId w:val="4"/>
  </w:num>
  <w:num w:numId="27" w16cid:durableId="1020861710">
    <w:abstractNumId w:val="5"/>
  </w:num>
  <w:num w:numId="28" w16cid:durableId="198510874">
    <w:abstractNumId w:val="1"/>
  </w:num>
  <w:num w:numId="29" w16cid:durableId="1343627259">
    <w:abstractNumId w:val="23"/>
  </w:num>
  <w:num w:numId="30" w16cid:durableId="2001538595">
    <w:abstractNumId w:val="17"/>
  </w:num>
  <w:num w:numId="31" w16cid:durableId="514536043">
    <w:abstractNumId w:val="22"/>
  </w:num>
  <w:num w:numId="32" w16cid:durableId="630131509">
    <w:abstractNumId w:val="9"/>
  </w:num>
  <w:num w:numId="33" w16cid:durableId="850220522">
    <w:abstractNumId w:val="27"/>
  </w:num>
  <w:num w:numId="34" w16cid:durableId="168508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FD4"/>
    <w:rsid w:val="00000BFC"/>
    <w:rsid w:val="0000319D"/>
    <w:rsid w:val="000041AE"/>
    <w:rsid w:val="00004428"/>
    <w:rsid w:val="0000593A"/>
    <w:rsid w:val="000106AC"/>
    <w:rsid w:val="000131F4"/>
    <w:rsid w:val="000150EC"/>
    <w:rsid w:val="0001698D"/>
    <w:rsid w:val="00017429"/>
    <w:rsid w:val="000210EA"/>
    <w:rsid w:val="0002242E"/>
    <w:rsid w:val="00024776"/>
    <w:rsid w:val="0003250F"/>
    <w:rsid w:val="00032917"/>
    <w:rsid w:val="00034158"/>
    <w:rsid w:val="000360E7"/>
    <w:rsid w:val="00043630"/>
    <w:rsid w:val="00050C28"/>
    <w:rsid w:val="00051C32"/>
    <w:rsid w:val="000527EE"/>
    <w:rsid w:val="000600E0"/>
    <w:rsid w:val="00061867"/>
    <w:rsid w:val="00061C70"/>
    <w:rsid w:val="000629F5"/>
    <w:rsid w:val="00066736"/>
    <w:rsid w:val="00071CB2"/>
    <w:rsid w:val="000723EA"/>
    <w:rsid w:val="000735D2"/>
    <w:rsid w:val="000756E1"/>
    <w:rsid w:val="0007619B"/>
    <w:rsid w:val="000842C4"/>
    <w:rsid w:val="00086163"/>
    <w:rsid w:val="00087A5E"/>
    <w:rsid w:val="00097578"/>
    <w:rsid w:val="000A1187"/>
    <w:rsid w:val="000A525F"/>
    <w:rsid w:val="000C15F5"/>
    <w:rsid w:val="000C36CF"/>
    <w:rsid w:val="000C5F68"/>
    <w:rsid w:val="000C6260"/>
    <w:rsid w:val="000D6B2A"/>
    <w:rsid w:val="000D6F3D"/>
    <w:rsid w:val="000D7241"/>
    <w:rsid w:val="000D781A"/>
    <w:rsid w:val="000F2497"/>
    <w:rsid w:val="000F3642"/>
    <w:rsid w:val="000F4395"/>
    <w:rsid w:val="0010428C"/>
    <w:rsid w:val="00104490"/>
    <w:rsid w:val="00107D44"/>
    <w:rsid w:val="00111AF1"/>
    <w:rsid w:val="00111DF9"/>
    <w:rsid w:val="00112EB6"/>
    <w:rsid w:val="00113F75"/>
    <w:rsid w:val="00130AE2"/>
    <w:rsid w:val="00145490"/>
    <w:rsid w:val="00146159"/>
    <w:rsid w:val="00147C29"/>
    <w:rsid w:val="00156217"/>
    <w:rsid w:val="00156774"/>
    <w:rsid w:val="00161FA1"/>
    <w:rsid w:val="00166968"/>
    <w:rsid w:val="0017090D"/>
    <w:rsid w:val="00174CCD"/>
    <w:rsid w:val="00184327"/>
    <w:rsid w:val="0019108E"/>
    <w:rsid w:val="00191BF2"/>
    <w:rsid w:val="001943EE"/>
    <w:rsid w:val="00196DA9"/>
    <w:rsid w:val="0019751E"/>
    <w:rsid w:val="001A06D5"/>
    <w:rsid w:val="001A3F59"/>
    <w:rsid w:val="001A597F"/>
    <w:rsid w:val="001B0410"/>
    <w:rsid w:val="001B06F7"/>
    <w:rsid w:val="001B197F"/>
    <w:rsid w:val="001B2D47"/>
    <w:rsid w:val="001B66A0"/>
    <w:rsid w:val="001B6939"/>
    <w:rsid w:val="001B6A1F"/>
    <w:rsid w:val="001C0E60"/>
    <w:rsid w:val="001D57A7"/>
    <w:rsid w:val="001D6165"/>
    <w:rsid w:val="001E0688"/>
    <w:rsid w:val="001E1263"/>
    <w:rsid w:val="001E26A7"/>
    <w:rsid w:val="001E39F1"/>
    <w:rsid w:val="001E5077"/>
    <w:rsid w:val="001E60D5"/>
    <w:rsid w:val="001E745C"/>
    <w:rsid w:val="001E798B"/>
    <w:rsid w:val="001F4619"/>
    <w:rsid w:val="002026CE"/>
    <w:rsid w:val="00202796"/>
    <w:rsid w:val="0020478D"/>
    <w:rsid w:val="002064DA"/>
    <w:rsid w:val="00217C2E"/>
    <w:rsid w:val="0022358F"/>
    <w:rsid w:val="0022466C"/>
    <w:rsid w:val="0023460C"/>
    <w:rsid w:val="00235D46"/>
    <w:rsid w:val="0023755B"/>
    <w:rsid w:val="002404B7"/>
    <w:rsid w:val="002433F3"/>
    <w:rsid w:val="00243E7A"/>
    <w:rsid w:val="00250333"/>
    <w:rsid w:val="0025697C"/>
    <w:rsid w:val="00256E96"/>
    <w:rsid w:val="0026359A"/>
    <w:rsid w:val="0026679D"/>
    <w:rsid w:val="002711B7"/>
    <w:rsid w:val="002738CA"/>
    <w:rsid w:val="002756B0"/>
    <w:rsid w:val="002872AD"/>
    <w:rsid w:val="0029779A"/>
    <w:rsid w:val="002A79AE"/>
    <w:rsid w:val="002B2D2E"/>
    <w:rsid w:val="002B3635"/>
    <w:rsid w:val="002B5EC5"/>
    <w:rsid w:val="002C1817"/>
    <w:rsid w:val="002C4FE8"/>
    <w:rsid w:val="002C505F"/>
    <w:rsid w:val="002C7289"/>
    <w:rsid w:val="002D152E"/>
    <w:rsid w:val="002E02B3"/>
    <w:rsid w:val="002E57E4"/>
    <w:rsid w:val="002F330B"/>
    <w:rsid w:val="002F3A60"/>
    <w:rsid w:val="002F44DC"/>
    <w:rsid w:val="002F48D6"/>
    <w:rsid w:val="002F7047"/>
    <w:rsid w:val="00300A1F"/>
    <w:rsid w:val="00311359"/>
    <w:rsid w:val="003162C2"/>
    <w:rsid w:val="00316F2E"/>
    <w:rsid w:val="003206D2"/>
    <w:rsid w:val="00322B31"/>
    <w:rsid w:val="0032397B"/>
    <w:rsid w:val="00332736"/>
    <w:rsid w:val="00356CB9"/>
    <w:rsid w:val="00356D08"/>
    <w:rsid w:val="00365A88"/>
    <w:rsid w:val="00366949"/>
    <w:rsid w:val="00370C67"/>
    <w:rsid w:val="00374FEB"/>
    <w:rsid w:val="00375AC3"/>
    <w:rsid w:val="00375E60"/>
    <w:rsid w:val="003763DF"/>
    <w:rsid w:val="0038370A"/>
    <w:rsid w:val="00391128"/>
    <w:rsid w:val="003939BF"/>
    <w:rsid w:val="00395231"/>
    <w:rsid w:val="00396566"/>
    <w:rsid w:val="003A0E2D"/>
    <w:rsid w:val="003A338A"/>
    <w:rsid w:val="003A397E"/>
    <w:rsid w:val="003B085E"/>
    <w:rsid w:val="003B093C"/>
    <w:rsid w:val="003B0A12"/>
    <w:rsid w:val="003B4756"/>
    <w:rsid w:val="003C2A4F"/>
    <w:rsid w:val="003D0344"/>
    <w:rsid w:val="003D094B"/>
    <w:rsid w:val="003E1CBB"/>
    <w:rsid w:val="003E4942"/>
    <w:rsid w:val="003F4070"/>
    <w:rsid w:val="004006D6"/>
    <w:rsid w:val="00401068"/>
    <w:rsid w:val="004015E6"/>
    <w:rsid w:val="00401F36"/>
    <w:rsid w:val="00402492"/>
    <w:rsid w:val="004052A3"/>
    <w:rsid w:val="00405805"/>
    <w:rsid w:val="00405F06"/>
    <w:rsid w:val="00407950"/>
    <w:rsid w:val="00412046"/>
    <w:rsid w:val="0041671A"/>
    <w:rsid w:val="00416B39"/>
    <w:rsid w:val="00421206"/>
    <w:rsid w:val="0042202E"/>
    <w:rsid w:val="004224F2"/>
    <w:rsid w:val="00422F0A"/>
    <w:rsid w:val="004236DF"/>
    <w:rsid w:val="0042372C"/>
    <w:rsid w:val="004243F5"/>
    <w:rsid w:val="004316B5"/>
    <w:rsid w:val="004337A7"/>
    <w:rsid w:val="00444937"/>
    <w:rsid w:val="00444A47"/>
    <w:rsid w:val="00450C6D"/>
    <w:rsid w:val="00451043"/>
    <w:rsid w:val="004518AB"/>
    <w:rsid w:val="00454FD0"/>
    <w:rsid w:val="00456F8A"/>
    <w:rsid w:val="00460592"/>
    <w:rsid w:val="00462244"/>
    <w:rsid w:val="00474921"/>
    <w:rsid w:val="004806E4"/>
    <w:rsid w:val="00492B5C"/>
    <w:rsid w:val="00492E04"/>
    <w:rsid w:val="004A0115"/>
    <w:rsid w:val="004A33EB"/>
    <w:rsid w:val="004A4ECE"/>
    <w:rsid w:val="004A6065"/>
    <w:rsid w:val="004C29B0"/>
    <w:rsid w:val="004C757A"/>
    <w:rsid w:val="004D2538"/>
    <w:rsid w:val="004D356C"/>
    <w:rsid w:val="004D4803"/>
    <w:rsid w:val="004D6B28"/>
    <w:rsid w:val="004E18A5"/>
    <w:rsid w:val="004E3840"/>
    <w:rsid w:val="004F2C30"/>
    <w:rsid w:val="004F3C8A"/>
    <w:rsid w:val="004F7468"/>
    <w:rsid w:val="00502162"/>
    <w:rsid w:val="00503179"/>
    <w:rsid w:val="00503409"/>
    <w:rsid w:val="0050768E"/>
    <w:rsid w:val="0051005E"/>
    <w:rsid w:val="005114B8"/>
    <w:rsid w:val="00512945"/>
    <w:rsid w:val="00520FFA"/>
    <w:rsid w:val="00524361"/>
    <w:rsid w:val="00530089"/>
    <w:rsid w:val="005375D0"/>
    <w:rsid w:val="0054263C"/>
    <w:rsid w:val="005464E5"/>
    <w:rsid w:val="00546DE4"/>
    <w:rsid w:val="00547B07"/>
    <w:rsid w:val="005513A5"/>
    <w:rsid w:val="00554B8C"/>
    <w:rsid w:val="00555ACD"/>
    <w:rsid w:val="00562467"/>
    <w:rsid w:val="00564237"/>
    <w:rsid w:val="00567909"/>
    <w:rsid w:val="00570A5D"/>
    <w:rsid w:val="0057384D"/>
    <w:rsid w:val="00574ADC"/>
    <w:rsid w:val="00580879"/>
    <w:rsid w:val="00581610"/>
    <w:rsid w:val="00582F4C"/>
    <w:rsid w:val="00583B98"/>
    <w:rsid w:val="00597DC5"/>
    <w:rsid w:val="005A1855"/>
    <w:rsid w:val="005A218E"/>
    <w:rsid w:val="005A4BB7"/>
    <w:rsid w:val="005A5C71"/>
    <w:rsid w:val="005B1673"/>
    <w:rsid w:val="005B33E9"/>
    <w:rsid w:val="005B3B21"/>
    <w:rsid w:val="005C0E86"/>
    <w:rsid w:val="005D0D2E"/>
    <w:rsid w:val="005D3DE3"/>
    <w:rsid w:val="005D3E3A"/>
    <w:rsid w:val="005D603C"/>
    <w:rsid w:val="005D7CED"/>
    <w:rsid w:val="005D7D63"/>
    <w:rsid w:val="005E01DA"/>
    <w:rsid w:val="005F5883"/>
    <w:rsid w:val="005F7C19"/>
    <w:rsid w:val="0060679C"/>
    <w:rsid w:val="00610046"/>
    <w:rsid w:val="00620ACE"/>
    <w:rsid w:val="00621C7F"/>
    <w:rsid w:val="00630B1B"/>
    <w:rsid w:val="00632283"/>
    <w:rsid w:val="006349C1"/>
    <w:rsid w:val="00635D1F"/>
    <w:rsid w:val="0063727F"/>
    <w:rsid w:val="00642C0D"/>
    <w:rsid w:val="006459B4"/>
    <w:rsid w:val="0064636B"/>
    <w:rsid w:val="00646A24"/>
    <w:rsid w:val="00647F1D"/>
    <w:rsid w:val="0065232E"/>
    <w:rsid w:val="0065636E"/>
    <w:rsid w:val="00660B0B"/>
    <w:rsid w:val="0066114F"/>
    <w:rsid w:val="0066626A"/>
    <w:rsid w:val="00667D85"/>
    <w:rsid w:val="0067008D"/>
    <w:rsid w:val="006717FE"/>
    <w:rsid w:val="00674C67"/>
    <w:rsid w:val="00676F77"/>
    <w:rsid w:val="00677A0B"/>
    <w:rsid w:val="006859DA"/>
    <w:rsid w:val="00687AC9"/>
    <w:rsid w:val="0069373A"/>
    <w:rsid w:val="006953C7"/>
    <w:rsid w:val="006A13F6"/>
    <w:rsid w:val="006A19C1"/>
    <w:rsid w:val="006B0C8A"/>
    <w:rsid w:val="006B1774"/>
    <w:rsid w:val="006B355D"/>
    <w:rsid w:val="006B3DC6"/>
    <w:rsid w:val="006B421D"/>
    <w:rsid w:val="006B53BF"/>
    <w:rsid w:val="006B5ED0"/>
    <w:rsid w:val="006B67F8"/>
    <w:rsid w:val="006B6AD4"/>
    <w:rsid w:val="006C1530"/>
    <w:rsid w:val="006C2E19"/>
    <w:rsid w:val="006C75F7"/>
    <w:rsid w:val="006D63DB"/>
    <w:rsid w:val="006E2FC2"/>
    <w:rsid w:val="006E37A5"/>
    <w:rsid w:val="006E6E74"/>
    <w:rsid w:val="006F2A98"/>
    <w:rsid w:val="006F3822"/>
    <w:rsid w:val="006F4084"/>
    <w:rsid w:val="006F48B3"/>
    <w:rsid w:val="00705987"/>
    <w:rsid w:val="00705D5A"/>
    <w:rsid w:val="00706D4D"/>
    <w:rsid w:val="00710312"/>
    <w:rsid w:val="007111B7"/>
    <w:rsid w:val="00722396"/>
    <w:rsid w:val="007264B7"/>
    <w:rsid w:val="00731C05"/>
    <w:rsid w:val="00734A38"/>
    <w:rsid w:val="007401B7"/>
    <w:rsid w:val="007414CE"/>
    <w:rsid w:val="0074190C"/>
    <w:rsid w:val="00743C05"/>
    <w:rsid w:val="00743E8F"/>
    <w:rsid w:val="00751AC3"/>
    <w:rsid w:val="00753A1B"/>
    <w:rsid w:val="00755480"/>
    <w:rsid w:val="00756F24"/>
    <w:rsid w:val="00765A64"/>
    <w:rsid w:val="00766EF2"/>
    <w:rsid w:val="007774B5"/>
    <w:rsid w:val="0078181A"/>
    <w:rsid w:val="00784063"/>
    <w:rsid w:val="00791E29"/>
    <w:rsid w:val="00792EF1"/>
    <w:rsid w:val="00797EA2"/>
    <w:rsid w:val="007B7B56"/>
    <w:rsid w:val="007C28CD"/>
    <w:rsid w:val="007C30F6"/>
    <w:rsid w:val="007C374E"/>
    <w:rsid w:val="007C3939"/>
    <w:rsid w:val="007C47A8"/>
    <w:rsid w:val="007D063D"/>
    <w:rsid w:val="007D1A1B"/>
    <w:rsid w:val="007D1D55"/>
    <w:rsid w:val="007D28C5"/>
    <w:rsid w:val="007D2B76"/>
    <w:rsid w:val="007D4419"/>
    <w:rsid w:val="007D502C"/>
    <w:rsid w:val="007D61CB"/>
    <w:rsid w:val="007D72B1"/>
    <w:rsid w:val="007E11D9"/>
    <w:rsid w:val="007F3899"/>
    <w:rsid w:val="00802BD5"/>
    <w:rsid w:val="00802F82"/>
    <w:rsid w:val="00812F84"/>
    <w:rsid w:val="00813F68"/>
    <w:rsid w:val="00823ACB"/>
    <w:rsid w:val="00823EC4"/>
    <w:rsid w:val="00834D17"/>
    <w:rsid w:val="00850766"/>
    <w:rsid w:val="00850EAC"/>
    <w:rsid w:val="00852FE5"/>
    <w:rsid w:val="00854E7B"/>
    <w:rsid w:val="0085631F"/>
    <w:rsid w:val="00856653"/>
    <w:rsid w:val="008572C6"/>
    <w:rsid w:val="00862800"/>
    <w:rsid w:val="00864C6F"/>
    <w:rsid w:val="008675E0"/>
    <w:rsid w:val="00871553"/>
    <w:rsid w:val="00873361"/>
    <w:rsid w:val="00874707"/>
    <w:rsid w:val="00875551"/>
    <w:rsid w:val="0088207C"/>
    <w:rsid w:val="008834B8"/>
    <w:rsid w:val="0088755B"/>
    <w:rsid w:val="00891E46"/>
    <w:rsid w:val="00892C9D"/>
    <w:rsid w:val="00894607"/>
    <w:rsid w:val="008A218C"/>
    <w:rsid w:val="008A3A17"/>
    <w:rsid w:val="008A4910"/>
    <w:rsid w:val="008A557F"/>
    <w:rsid w:val="008A732E"/>
    <w:rsid w:val="008B043C"/>
    <w:rsid w:val="008B1B0A"/>
    <w:rsid w:val="008C2546"/>
    <w:rsid w:val="008C290C"/>
    <w:rsid w:val="008C385B"/>
    <w:rsid w:val="008C5C36"/>
    <w:rsid w:val="008C7D1D"/>
    <w:rsid w:val="008D4E87"/>
    <w:rsid w:val="008E221A"/>
    <w:rsid w:val="008E2363"/>
    <w:rsid w:val="008E3706"/>
    <w:rsid w:val="008E4192"/>
    <w:rsid w:val="008E7323"/>
    <w:rsid w:val="009000B9"/>
    <w:rsid w:val="00900F60"/>
    <w:rsid w:val="009013DE"/>
    <w:rsid w:val="00901B2D"/>
    <w:rsid w:val="00905010"/>
    <w:rsid w:val="00905EB3"/>
    <w:rsid w:val="009115C3"/>
    <w:rsid w:val="00914DB5"/>
    <w:rsid w:val="00915EFB"/>
    <w:rsid w:val="00923629"/>
    <w:rsid w:val="009254F1"/>
    <w:rsid w:val="00933395"/>
    <w:rsid w:val="00934473"/>
    <w:rsid w:val="00937B28"/>
    <w:rsid w:val="009418D1"/>
    <w:rsid w:val="00941C93"/>
    <w:rsid w:val="009449F7"/>
    <w:rsid w:val="00945988"/>
    <w:rsid w:val="009467C8"/>
    <w:rsid w:val="00946B4E"/>
    <w:rsid w:val="00950C61"/>
    <w:rsid w:val="00962E00"/>
    <w:rsid w:val="00962FE0"/>
    <w:rsid w:val="009631F0"/>
    <w:rsid w:val="00967CC2"/>
    <w:rsid w:val="00977C08"/>
    <w:rsid w:val="00981EC5"/>
    <w:rsid w:val="00984A5E"/>
    <w:rsid w:val="00985D16"/>
    <w:rsid w:val="00986302"/>
    <w:rsid w:val="009868AD"/>
    <w:rsid w:val="009933CF"/>
    <w:rsid w:val="00995BE9"/>
    <w:rsid w:val="009B131F"/>
    <w:rsid w:val="009B48A4"/>
    <w:rsid w:val="009B77B5"/>
    <w:rsid w:val="009C29F2"/>
    <w:rsid w:val="009C7964"/>
    <w:rsid w:val="009D1196"/>
    <w:rsid w:val="009D46C3"/>
    <w:rsid w:val="009D577A"/>
    <w:rsid w:val="009E1616"/>
    <w:rsid w:val="009E3264"/>
    <w:rsid w:val="009E331C"/>
    <w:rsid w:val="009E4070"/>
    <w:rsid w:val="009E5D26"/>
    <w:rsid w:val="009E72C5"/>
    <w:rsid w:val="009F283C"/>
    <w:rsid w:val="009F51B8"/>
    <w:rsid w:val="009F7530"/>
    <w:rsid w:val="00A1155F"/>
    <w:rsid w:val="00A11A14"/>
    <w:rsid w:val="00A11A71"/>
    <w:rsid w:val="00A11AD4"/>
    <w:rsid w:val="00A135CB"/>
    <w:rsid w:val="00A144AA"/>
    <w:rsid w:val="00A17E5E"/>
    <w:rsid w:val="00A210DF"/>
    <w:rsid w:val="00A21E40"/>
    <w:rsid w:val="00A2526A"/>
    <w:rsid w:val="00A314B8"/>
    <w:rsid w:val="00A35403"/>
    <w:rsid w:val="00A3755F"/>
    <w:rsid w:val="00A41CFA"/>
    <w:rsid w:val="00A508D9"/>
    <w:rsid w:val="00A521B6"/>
    <w:rsid w:val="00A5256B"/>
    <w:rsid w:val="00A5304E"/>
    <w:rsid w:val="00A53689"/>
    <w:rsid w:val="00A56AE7"/>
    <w:rsid w:val="00A570FF"/>
    <w:rsid w:val="00A62796"/>
    <w:rsid w:val="00A6598E"/>
    <w:rsid w:val="00A66F63"/>
    <w:rsid w:val="00A6714E"/>
    <w:rsid w:val="00A7303A"/>
    <w:rsid w:val="00A80D86"/>
    <w:rsid w:val="00A81FFC"/>
    <w:rsid w:val="00A833B5"/>
    <w:rsid w:val="00A872A8"/>
    <w:rsid w:val="00A878EB"/>
    <w:rsid w:val="00A90D4D"/>
    <w:rsid w:val="00A94860"/>
    <w:rsid w:val="00A94FA3"/>
    <w:rsid w:val="00AA0844"/>
    <w:rsid w:val="00AA615D"/>
    <w:rsid w:val="00AB3CA6"/>
    <w:rsid w:val="00AC3FF9"/>
    <w:rsid w:val="00AC514E"/>
    <w:rsid w:val="00AC5FDE"/>
    <w:rsid w:val="00AC6D69"/>
    <w:rsid w:val="00AD02D7"/>
    <w:rsid w:val="00AD2EB6"/>
    <w:rsid w:val="00B022A5"/>
    <w:rsid w:val="00B04D0C"/>
    <w:rsid w:val="00B0603A"/>
    <w:rsid w:val="00B06544"/>
    <w:rsid w:val="00B12CE5"/>
    <w:rsid w:val="00B1397A"/>
    <w:rsid w:val="00B16B91"/>
    <w:rsid w:val="00B16FD0"/>
    <w:rsid w:val="00B27B94"/>
    <w:rsid w:val="00B330E6"/>
    <w:rsid w:val="00B408C9"/>
    <w:rsid w:val="00B40BE3"/>
    <w:rsid w:val="00B411C6"/>
    <w:rsid w:val="00B44C28"/>
    <w:rsid w:val="00B504A1"/>
    <w:rsid w:val="00B51FF1"/>
    <w:rsid w:val="00B55F0F"/>
    <w:rsid w:val="00B612AD"/>
    <w:rsid w:val="00B62231"/>
    <w:rsid w:val="00B625E2"/>
    <w:rsid w:val="00B6384A"/>
    <w:rsid w:val="00B6428D"/>
    <w:rsid w:val="00B66FAB"/>
    <w:rsid w:val="00B71061"/>
    <w:rsid w:val="00B740E2"/>
    <w:rsid w:val="00B8486F"/>
    <w:rsid w:val="00B925BB"/>
    <w:rsid w:val="00B95DE3"/>
    <w:rsid w:val="00B968D4"/>
    <w:rsid w:val="00B97CD1"/>
    <w:rsid w:val="00BA3719"/>
    <w:rsid w:val="00BA603E"/>
    <w:rsid w:val="00BA797B"/>
    <w:rsid w:val="00BB0A3A"/>
    <w:rsid w:val="00BB1A8A"/>
    <w:rsid w:val="00BB7E0E"/>
    <w:rsid w:val="00BC0EA1"/>
    <w:rsid w:val="00BC3083"/>
    <w:rsid w:val="00BC36FD"/>
    <w:rsid w:val="00BD14FE"/>
    <w:rsid w:val="00BD4B54"/>
    <w:rsid w:val="00BD4D63"/>
    <w:rsid w:val="00BD5588"/>
    <w:rsid w:val="00BE4F20"/>
    <w:rsid w:val="00BE6552"/>
    <w:rsid w:val="00BE68B2"/>
    <w:rsid w:val="00BF0D86"/>
    <w:rsid w:val="00BF387A"/>
    <w:rsid w:val="00BF60ED"/>
    <w:rsid w:val="00BF76E3"/>
    <w:rsid w:val="00BF779A"/>
    <w:rsid w:val="00C02680"/>
    <w:rsid w:val="00C05A8C"/>
    <w:rsid w:val="00C066BE"/>
    <w:rsid w:val="00C06CF0"/>
    <w:rsid w:val="00C07A1F"/>
    <w:rsid w:val="00C12C96"/>
    <w:rsid w:val="00C13EAD"/>
    <w:rsid w:val="00C21A05"/>
    <w:rsid w:val="00C27AFF"/>
    <w:rsid w:val="00C3194D"/>
    <w:rsid w:val="00C322C5"/>
    <w:rsid w:val="00C347F3"/>
    <w:rsid w:val="00C417E3"/>
    <w:rsid w:val="00C455A3"/>
    <w:rsid w:val="00C51F24"/>
    <w:rsid w:val="00C5502F"/>
    <w:rsid w:val="00C620A3"/>
    <w:rsid w:val="00C621D9"/>
    <w:rsid w:val="00C646E8"/>
    <w:rsid w:val="00C66E4E"/>
    <w:rsid w:val="00C671FF"/>
    <w:rsid w:val="00C71024"/>
    <w:rsid w:val="00C71DBC"/>
    <w:rsid w:val="00C74F23"/>
    <w:rsid w:val="00C77F8D"/>
    <w:rsid w:val="00C81E8B"/>
    <w:rsid w:val="00C848A9"/>
    <w:rsid w:val="00C9198E"/>
    <w:rsid w:val="00C91A55"/>
    <w:rsid w:val="00C91F8B"/>
    <w:rsid w:val="00C92BF7"/>
    <w:rsid w:val="00C9372A"/>
    <w:rsid w:val="00C95042"/>
    <w:rsid w:val="00CA0025"/>
    <w:rsid w:val="00CA58DA"/>
    <w:rsid w:val="00CA6525"/>
    <w:rsid w:val="00CB1B7D"/>
    <w:rsid w:val="00CB4F13"/>
    <w:rsid w:val="00CB5B7A"/>
    <w:rsid w:val="00CB6F7F"/>
    <w:rsid w:val="00CC4FAF"/>
    <w:rsid w:val="00CC4FE9"/>
    <w:rsid w:val="00CD27C9"/>
    <w:rsid w:val="00CE1134"/>
    <w:rsid w:val="00CE201E"/>
    <w:rsid w:val="00CE796D"/>
    <w:rsid w:val="00CF1D80"/>
    <w:rsid w:val="00CF32F0"/>
    <w:rsid w:val="00D017EC"/>
    <w:rsid w:val="00D0237C"/>
    <w:rsid w:val="00D02738"/>
    <w:rsid w:val="00D05283"/>
    <w:rsid w:val="00D05BE8"/>
    <w:rsid w:val="00D1005F"/>
    <w:rsid w:val="00D11E25"/>
    <w:rsid w:val="00D12AFC"/>
    <w:rsid w:val="00D12FD4"/>
    <w:rsid w:val="00D133E5"/>
    <w:rsid w:val="00D14246"/>
    <w:rsid w:val="00D333BE"/>
    <w:rsid w:val="00D42A50"/>
    <w:rsid w:val="00D438E1"/>
    <w:rsid w:val="00D507C7"/>
    <w:rsid w:val="00D51F05"/>
    <w:rsid w:val="00D54D39"/>
    <w:rsid w:val="00D60B69"/>
    <w:rsid w:val="00D708EB"/>
    <w:rsid w:val="00D748CD"/>
    <w:rsid w:val="00D752EA"/>
    <w:rsid w:val="00D7655D"/>
    <w:rsid w:val="00D810F2"/>
    <w:rsid w:val="00D81971"/>
    <w:rsid w:val="00D85DD7"/>
    <w:rsid w:val="00D87ABE"/>
    <w:rsid w:val="00D966D5"/>
    <w:rsid w:val="00DA0A41"/>
    <w:rsid w:val="00DA120F"/>
    <w:rsid w:val="00DA14DE"/>
    <w:rsid w:val="00DA35E7"/>
    <w:rsid w:val="00DA4621"/>
    <w:rsid w:val="00DB3AEE"/>
    <w:rsid w:val="00DB3DCF"/>
    <w:rsid w:val="00DB4AA1"/>
    <w:rsid w:val="00DC14D9"/>
    <w:rsid w:val="00DC3808"/>
    <w:rsid w:val="00DC5678"/>
    <w:rsid w:val="00DC57AF"/>
    <w:rsid w:val="00DC75EB"/>
    <w:rsid w:val="00DD0655"/>
    <w:rsid w:val="00DD2368"/>
    <w:rsid w:val="00DD7675"/>
    <w:rsid w:val="00DE1C05"/>
    <w:rsid w:val="00DE2EF6"/>
    <w:rsid w:val="00DE7B70"/>
    <w:rsid w:val="00DF2028"/>
    <w:rsid w:val="00DF6E14"/>
    <w:rsid w:val="00E021DE"/>
    <w:rsid w:val="00E0340C"/>
    <w:rsid w:val="00E072E7"/>
    <w:rsid w:val="00E077AD"/>
    <w:rsid w:val="00E16A9C"/>
    <w:rsid w:val="00E2557F"/>
    <w:rsid w:val="00E31AFB"/>
    <w:rsid w:val="00E32FAE"/>
    <w:rsid w:val="00E3544B"/>
    <w:rsid w:val="00E4294C"/>
    <w:rsid w:val="00E4301A"/>
    <w:rsid w:val="00E43665"/>
    <w:rsid w:val="00E43CAD"/>
    <w:rsid w:val="00E46A90"/>
    <w:rsid w:val="00E474B5"/>
    <w:rsid w:val="00E52F14"/>
    <w:rsid w:val="00E54E4A"/>
    <w:rsid w:val="00E57CE1"/>
    <w:rsid w:val="00E612A1"/>
    <w:rsid w:val="00E641D6"/>
    <w:rsid w:val="00E643FA"/>
    <w:rsid w:val="00E6773E"/>
    <w:rsid w:val="00E70267"/>
    <w:rsid w:val="00E715F1"/>
    <w:rsid w:val="00E71E92"/>
    <w:rsid w:val="00E733D0"/>
    <w:rsid w:val="00E75CFF"/>
    <w:rsid w:val="00E768D7"/>
    <w:rsid w:val="00E76FDA"/>
    <w:rsid w:val="00E774C1"/>
    <w:rsid w:val="00E81E55"/>
    <w:rsid w:val="00E83467"/>
    <w:rsid w:val="00E8576B"/>
    <w:rsid w:val="00E867F6"/>
    <w:rsid w:val="00E9099A"/>
    <w:rsid w:val="00E9228D"/>
    <w:rsid w:val="00E96293"/>
    <w:rsid w:val="00E968BC"/>
    <w:rsid w:val="00EA377C"/>
    <w:rsid w:val="00EB005F"/>
    <w:rsid w:val="00EB04A3"/>
    <w:rsid w:val="00EB5E4D"/>
    <w:rsid w:val="00EB7E80"/>
    <w:rsid w:val="00ED56E1"/>
    <w:rsid w:val="00ED61A2"/>
    <w:rsid w:val="00EE3840"/>
    <w:rsid w:val="00EF1316"/>
    <w:rsid w:val="00EF32B5"/>
    <w:rsid w:val="00EF4BC2"/>
    <w:rsid w:val="00EF5EA2"/>
    <w:rsid w:val="00EF68F6"/>
    <w:rsid w:val="00F03732"/>
    <w:rsid w:val="00F12A1F"/>
    <w:rsid w:val="00F13F0F"/>
    <w:rsid w:val="00F155C3"/>
    <w:rsid w:val="00F15A0E"/>
    <w:rsid w:val="00F23B53"/>
    <w:rsid w:val="00F241F3"/>
    <w:rsid w:val="00F25364"/>
    <w:rsid w:val="00F3098A"/>
    <w:rsid w:val="00F31439"/>
    <w:rsid w:val="00F47CC3"/>
    <w:rsid w:val="00F518F1"/>
    <w:rsid w:val="00F60DAF"/>
    <w:rsid w:val="00F6196A"/>
    <w:rsid w:val="00F65254"/>
    <w:rsid w:val="00F73B27"/>
    <w:rsid w:val="00F81FE7"/>
    <w:rsid w:val="00F95A19"/>
    <w:rsid w:val="00FA1DB5"/>
    <w:rsid w:val="00FB35DF"/>
    <w:rsid w:val="00FB3CA8"/>
    <w:rsid w:val="00FC13FD"/>
    <w:rsid w:val="00FC40F4"/>
    <w:rsid w:val="00FD1F1D"/>
    <w:rsid w:val="00FD1F33"/>
    <w:rsid w:val="00FD238A"/>
    <w:rsid w:val="00FE5A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168327"/>
  <w14:defaultImageDpi w14:val="0"/>
  <w15:docId w15:val="{9165C9A7-8648-4A38-B950-6380EFB0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6B91"/>
    <w:pPr>
      <w:widowControl w:val="0"/>
      <w:suppressAutoHyphens/>
      <w:autoSpaceDE w:val="0"/>
      <w:autoSpaceDN w:val="0"/>
      <w:adjustRightInd w:val="0"/>
      <w:spacing w:after="0" w:line="288" w:lineRule="auto"/>
      <w:textAlignment w:val="center"/>
    </w:pPr>
    <w:rPr>
      <w:rFonts w:ascii="Times New Roman" w:hAnsi="Times New Roman"/>
      <w:color w:val="000000"/>
      <w:sz w:val="24"/>
      <w:szCs w:val="24"/>
      <w:lang w:val="cs-CZ"/>
    </w:rPr>
  </w:style>
  <w:style w:type="paragraph" w:styleId="Nadpis1">
    <w:name w:val="heading 1"/>
    <w:basedOn w:val="Normlny"/>
    <w:next w:val="Normlny"/>
    <w:link w:val="Nadpis1Char"/>
    <w:uiPriority w:val="99"/>
    <w:qFormat/>
    <w:rsid w:val="00984A5E"/>
    <w:pPr>
      <w:keepNext/>
      <w:widowControl/>
      <w:suppressAutoHyphens w:val="0"/>
      <w:autoSpaceDE/>
      <w:autoSpaceDN/>
      <w:adjustRightInd/>
      <w:spacing w:before="360" w:after="240" w:line="360" w:lineRule="auto"/>
      <w:textAlignment w:val="auto"/>
      <w:outlineLvl w:val="0"/>
    </w:pPr>
    <w:rPr>
      <w:b/>
      <w:color w:val="auto"/>
      <w:kern w:val="28"/>
      <w:sz w:val="26"/>
      <w:szCs w:val="20"/>
      <w:lang w:val="en-AU" w:eastAsia="cs-CZ"/>
    </w:rPr>
  </w:style>
  <w:style w:type="paragraph" w:styleId="Nadpis2">
    <w:name w:val="heading 2"/>
    <w:basedOn w:val="Normlny"/>
    <w:next w:val="Normlny"/>
    <w:link w:val="Nadpis2Char"/>
    <w:uiPriority w:val="99"/>
    <w:qFormat/>
    <w:rsid w:val="00984A5E"/>
    <w:pPr>
      <w:keepNext/>
      <w:widowControl/>
      <w:suppressAutoHyphens w:val="0"/>
      <w:overflowPunct w:val="0"/>
      <w:spacing w:before="120" w:after="240" w:line="360" w:lineRule="auto"/>
      <w:ind w:left="567"/>
      <w:textAlignment w:val="baseline"/>
      <w:outlineLvl w:val="1"/>
    </w:pPr>
    <w:rPr>
      <w:rFonts w:cs="Arial"/>
      <w:b/>
      <w:bCs/>
      <w:iCs/>
      <w:color w:val="auto"/>
      <w:szCs w:val="28"/>
      <w:lang w:val="en-GB" w:eastAsia="cs-CZ"/>
    </w:rPr>
  </w:style>
  <w:style w:type="paragraph" w:styleId="Nadpis3">
    <w:name w:val="heading 3"/>
    <w:basedOn w:val="Normlny"/>
    <w:next w:val="Normlny"/>
    <w:link w:val="Nadpis3Char"/>
    <w:uiPriority w:val="9"/>
    <w:qFormat/>
    <w:rsid w:val="00984A5E"/>
    <w:pPr>
      <w:keepNext/>
      <w:widowControl/>
      <w:suppressAutoHyphens w:val="0"/>
      <w:overflowPunct w:val="0"/>
      <w:spacing w:before="120" w:after="120" w:line="360" w:lineRule="auto"/>
      <w:ind w:left="567"/>
      <w:jc w:val="both"/>
      <w:textAlignment w:val="baseline"/>
      <w:outlineLvl w:val="2"/>
    </w:pPr>
    <w:rPr>
      <w:bCs/>
      <w:i/>
      <w:color w:val="auto"/>
      <w:szCs w:val="26"/>
      <w:lang w:val="en-GB" w:eastAsia="cs-CZ"/>
    </w:rPr>
  </w:style>
  <w:style w:type="paragraph" w:styleId="Nadpis4">
    <w:name w:val="heading 4"/>
    <w:basedOn w:val="Normlny"/>
    <w:next w:val="Normlny"/>
    <w:link w:val="Nadpis4Char"/>
    <w:uiPriority w:val="9"/>
    <w:semiHidden/>
    <w:unhideWhenUsed/>
    <w:qFormat/>
    <w:rsid w:val="0072239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sid w:val="00984A5E"/>
    <w:rPr>
      <w:rFonts w:ascii="Times New Roman" w:hAnsi="Times New Roman" w:cs="Times New Roman"/>
      <w:b/>
      <w:kern w:val="28"/>
      <w:sz w:val="20"/>
      <w:szCs w:val="20"/>
      <w:lang w:val="en-AU" w:eastAsia="cs-CZ"/>
    </w:rPr>
  </w:style>
  <w:style w:type="character" w:customStyle="1" w:styleId="Nadpis2Char">
    <w:name w:val="Nadpis 2 Char"/>
    <w:basedOn w:val="Predvolenpsmoodseku"/>
    <w:link w:val="Nadpis2"/>
    <w:uiPriority w:val="99"/>
    <w:locked/>
    <w:rsid w:val="00984A5E"/>
    <w:rPr>
      <w:rFonts w:ascii="Times New Roman" w:hAnsi="Times New Roman" w:cs="Arial"/>
      <w:b/>
      <w:bCs/>
      <w:iCs/>
      <w:sz w:val="28"/>
      <w:szCs w:val="28"/>
      <w:lang w:val="en-GB" w:eastAsia="cs-CZ"/>
    </w:rPr>
  </w:style>
  <w:style w:type="character" w:customStyle="1" w:styleId="Nadpis3Char">
    <w:name w:val="Nadpis 3 Char"/>
    <w:basedOn w:val="Predvolenpsmoodseku"/>
    <w:link w:val="Nadpis3"/>
    <w:uiPriority w:val="9"/>
    <w:locked/>
    <w:rsid w:val="00984A5E"/>
    <w:rPr>
      <w:rFonts w:ascii="Times New Roman" w:hAnsi="Times New Roman" w:cs="Times New Roman"/>
      <w:bCs/>
      <w:i/>
      <w:sz w:val="26"/>
      <w:szCs w:val="26"/>
      <w:lang w:val="en-GB" w:eastAsia="cs-CZ"/>
    </w:rPr>
  </w:style>
  <w:style w:type="paragraph" w:customStyle="1" w:styleId="ZakladnyText">
    <w:name w:val="ZakladnyText"/>
    <w:basedOn w:val="Normlny"/>
    <w:uiPriority w:val="99"/>
    <w:rsid w:val="00AC514E"/>
    <w:pPr>
      <w:suppressAutoHyphens w:val="0"/>
      <w:spacing w:line="252" w:lineRule="atLeast"/>
      <w:jc w:val="both"/>
    </w:pPr>
    <w:rPr>
      <w:rFonts w:cs="Baskerville Handcut T OT"/>
      <w:sz w:val="20"/>
      <w:szCs w:val="20"/>
      <w:lang w:val="en-GB"/>
    </w:rPr>
  </w:style>
  <w:style w:type="paragraph" w:customStyle="1" w:styleId="NazovClanku">
    <w:name w:val="NazovClanku"/>
    <w:basedOn w:val="ZakladnyText"/>
    <w:next w:val="ZakladnyText"/>
    <w:uiPriority w:val="99"/>
    <w:rsid w:val="00B16B91"/>
    <w:pPr>
      <w:suppressAutoHyphens/>
      <w:spacing w:line="420" w:lineRule="atLeast"/>
      <w:jc w:val="center"/>
    </w:pPr>
    <w:rPr>
      <w:b/>
      <w:bCs/>
      <w:sz w:val="32"/>
      <w:szCs w:val="32"/>
    </w:rPr>
  </w:style>
  <w:style w:type="paragraph" w:customStyle="1" w:styleId="MenaAutorov">
    <w:name w:val="MenaAutorov"/>
    <w:basedOn w:val="ZakladnyText"/>
    <w:next w:val="ZakladnyText"/>
    <w:uiPriority w:val="99"/>
    <w:rsid w:val="00B16B91"/>
    <w:pPr>
      <w:spacing w:before="252" w:after="252"/>
      <w:jc w:val="center"/>
    </w:pPr>
    <w:rPr>
      <w:b/>
      <w:bCs/>
    </w:rPr>
  </w:style>
  <w:style w:type="paragraph" w:customStyle="1" w:styleId="MenaOrganizacia">
    <w:name w:val="MenaOrganizacia"/>
    <w:basedOn w:val="ZakladnyText"/>
    <w:next w:val="ZakladnyText"/>
    <w:uiPriority w:val="99"/>
    <w:rsid w:val="00B16B91"/>
    <w:pPr>
      <w:spacing w:after="252"/>
      <w:jc w:val="center"/>
    </w:pPr>
    <w:rPr>
      <w:i/>
      <w:iCs/>
    </w:rPr>
  </w:style>
  <w:style w:type="paragraph" w:customStyle="1" w:styleId="Abstrakt">
    <w:name w:val="Abstrakt"/>
    <w:basedOn w:val="ZakladnyText"/>
    <w:uiPriority w:val="99"/>
    <w:rsid w:val="00B16B91"/>
    <w:pPr>
      <w:spacing w:line="220" w:lineRule="atLeast"/>
      <w:ind w:left="567" w:right="567"/>
    </w:pPr>
    <w:rPr>
      <w:sz w:val="17"/>
      <w:szCs w:val="17"/>
    </w:rPr>
  </w:style>
  <w:style w:type="paragraph" w:customStyle="1" w:styleId="AbstraktKlucoveSlova">
    <w:name w:val="AbstraktKlucoveSlova"/>
    <w:basedOn w:val="Abstrakt"/>
    <w:uiPriority w:val="99"/>
    <w:rsid w:val="00B16B91"/>
    <w:pPr>
      <w:spacing w:before="220"/>
    </w:pPr>
  </w:style>
  <w:style w:type="paragraph" w:customStyle="1" w:styleId="Titulok1">
    <w:name w:val="Titulok1"/>
    <w:basedOn w:val="ZakladnyText"/>
    <w:next w:val="ZakladnyText"/>
    <w:uiPriority w:val="99"/>
    <w:rsid w:val="00B16B91"/>
    <w:pPr>
      <w:suppressAutoHyphens/>
      <w:spacing w:before="252" w:after="204" w:line="300" w:lineRule="atLeast"/>
    </w:pPr>
    <w:rPr>
      <w:b/>
      <w:bCs/>
      <w:sz w:val="24"/>
      <w:szCs w:val="24"/>
    </w:rPr>
  </w:style>
  <w:style w:type="paragraph" w:customStyle="1" w:styleId="ZakladnyTextCislovany">
    <w:name w:val="ZakladnyTextCislovany"/>
    <w:basedOn w:val="ZakladnyText"/>
    <w:uiPriority w:val="99"/>
    <w:rsid w:val="00B16B91"/>
    <w:pPr>
      <w:ind w:left="238" w:hanging="238"/>
    </w:pPr>
  </w:style>
  <w:style w:type="paragraph" w:customStyle="1" w:styleId="Vzorec">
    <w:name w:val="Vzorec"/>
    <w:basedOn w:val="ZakladnyText"/>
    <w:next w:val="ZakladnyText"/>
    <w:uiPriority w:val="99"/>
    <w:rsid w:val="00B16B91"/>
    <w:pPr>
      <w:tabs>
        <w:tab w:val="center" w:pos="2268"/>
        <w:tab w:val="right" w:pos="4535"/>
        <w:tab w:val="right" w:pos="8647"/>
      </w:tabs>
      <w:spacing w:before="126" w:after="126"/>
      <w:jc w:val="left"/>
    </w:pPr>
  </w:style>
  <w:style w:type="paragraph" w:customStyle="1" w:styleId="Titulok2">
    <w:name w:val="Titulok2"/>
    <w:basedOn w:val="ZakladnyText"/>
    <w:next w:val="ZakladnyText"/>
    <w:uiPriority w:val="99"/>
    <w:rsid w:val="00B16B91"/>
    <w:pPr>
      <w:spacing w:before="252"/>
      <w:jc w:val="left"/>
    </w:pPr>
    <w:rPr>
      <w:b/>
      <w:bCs/>
      <w:i/>
      <w:iCs/>
    </w:rPr>
  </w:style>
  <w:style w:type="paragraph" w:customStyle="1" w:styleId="Vzorec2">
    <w:name w:val="Vzorec2"/>
    <w:basedOn w:val="Vzorec"/>
    <w:uiPriority w:val="99"/>
    <w:rsid w:val="00B16B91"/>
    <w:pPr>
      <w:spacing w:before="378" w:after="378"/>
    </w:pPr>
  </w:style>
  <w:style w:type="paragraph" w:customStyle="1" w:styleId="Vzorec3">
    <w:name w:val="Vzorec3"/>
    <w:basedOn w:val="Vzorec2"/>
    <w:uiPriority w:val="99"/>
    <w:rsid w:val="00B16B91"/>
    <w:pPr>
      <w:spacing w:before="504" w:after="504"/>
    </w:pPr>
  </w:style>
  <w:style w:type="paragraph" w:customStyle="1" w:styleId="Vzorec4">
    <w:name w:val="Vzorec4"/>
    <w:basedOn w:val="Vzorec3"/>
    <w:uiPriority w:val="99"/>
    <w:rsid w:val="00B16B91"/>
    <w:pPr>
      <w:spacing w:before="630" w:after="630"/>
    </w:pPr>
    <w:rPr>
      <w:lang w:val="en-US"/>
    </w:rPr>
  </w:style>
  <w:style w:type="paragraph" w:customStyle="1" w:styleId="Vzorec5">
    <w:name w:val="Vzorec5"/>
    <w:basedOn w:val="Vzorec4"/>
    <w:uiPriority w:val="99"/>
    <w:rsid w:val="00B16B91"/>
    <w:pPr>
      <w:spacing w:before="756" w:after="756"/>
    </w:pPr>
  </w:style>
  <w:style w:type="paragraph" w:customStyle="1" w:styleId="Vzorec1">
    <w:name w:val="Vzorec1"/>
    <w:basedOn w:val="Vzorec"/>
    <w:uiPriority w:val="99"/>
    <w:rsid w:val="00B16B91"/>
    <w:pPr>
      <w:spacing w:before="252" w:after="252"/>
    </w:pPr>
  </w:style>
  <w:style w:type="paragraph" w:customStyle="1" w:styleId="ZoznamLiteratury">
    <w:name w:val="ZoznamLiteratury"/>
    <w:basedOn w:val="ZakladnyTextCislovany"/>
    <w:uiPriority w:val="99"/>
    <w:rsid w:val="00B16B91"/>
    <w:pPr>
      <w:suppressAutoHyphens/>
      <w:spacing w:line="220" w:lineRule="atLeast"/>
      <w:ind w:left="198" w:hanging="198"/>
    </w:pPr>
    <w:rPr>
      <w:sz w:val="18"/>
      <w:szCs w:val="18"/>
    </w:rPr>
  </w:style>
  <w:style w:type="paragraph" w:customStyle="1" w:styleId="ZoznamLiteratury2">
    <w:name w:val="ZoznamLiteratury2"/>
    <w:basedOn w:val="ZoznamLiteratury"/>
    <w:uiPriority w:val="99"/>
    <w:rsid w:val="00B16B91"/>
    <w:pPr>
      <w:tabs>
        <w:tab w:val="right" w:pos="238"/>
      </w:tabs>
      <w:ind w:left="312" w:hanging="312"/>
    </w:pPr>
    <w:rPr>
      <w:lang w:val="en-US"/>
    </w:rPr>
  </w:style>
  <w:style w:type="character" w:customStyle="1" w:styleId="JednoduchaVazba">
    <w:name w:val="JednoduchaVazba"/>
    <w:uiPriority w:val="99"/>
    <w:rsid w:val="00B16B91"/>
    <w:rPr>
      <w:rFonts w:ascii="Times New Roman" w:hAnsi="Times New Roman"/>
      <w:lang w:val="en-US" w:eastAsia="x-none"/>
    </w:rPr>
  </w:style>
  <w:style w:type="paragraph" w:customStyle="1" w:styleId="TextPodObrazok">
    <w:name w:val="TextPodObrazok"/>
    <w:basedOn w:val="ZakladnyText"/>
    <w:next w:val="ZakladnyText"/>
    <w:uiPriority w:val="99"/>
    <w:rsid w:val="00D12FD4"/>
    <w:pPr>
      <w:spacing w:after="252"/>
      <w:jc w:val="center"/>
    </w:pPr>
  </w:style>
  <w:style w:type="paragraph" w:customStyle="1" w:styleId="TextNadTabulku">
    <w:name w:val="TextNadTabulku"/>
    <w:basedOn w:val="ZakladnyText"/>
    <w:next w:val="ZakladnyText"/>
    <w:uiPriority w:val="99"/>
    <w:rsid w:val="00D12FD4"/>
    <w:pPr>
      <w:keepNext/>
      <w:spacing w:before="252" w:after="126"/>
      <w:ind w:left="709" w:hanging="709"/>
    </w:pPr>
  </w:style>
  <w:style w:type="paragraph" w:customStyle="1" w:styleId="TextTabulky">
    <w:name w:val="TextTabulky"/>
    <w:basedOn w:val="ZakladnyText"/>
    <w:next w:val="ZakladnyText"/>
    <w:uiPriority w:val="99"/>
    <w:rsid w:val="00D12FD4"/>
    <w:pPr>
      <w:spacing w:before="60" w:after="80"/>
      <w:jc w:val="left"/>
    </w:pPr>
    <w:rPr>
      <w:sz w:val="17"/>
      <w:szCs w:val="17"/>
    </w:rPr>
  </w:style>
  <w:style w:type="paragraph" w:customStyle="1" w:styleId="TextPodTabulkou">
    <w:name w:val="TextPodTabulkou"/>
    <w:basedOn w:val="ZakladnyText"/>
    <w:uiPriority w:val="99"/>
    <w:rsid w:val="00564237"/>
    <w:pPr>
      <w:widowControl/>
      <w:spacing w:before="63"/>
    </w:pPr>
    <w:rPr>
      <w:sz w:val="17"/>
      <w:szCs w:val="17"/>
    </w:rPr>
  </w:style>
  <w:style w:type="character" w:customStyle="1" w:styleId="TextbublinyChar">
    <w:name w:val="Text bubliny Char"/>
    <w:basedOn w:val="Predvolenpsmoodseku"/>
    <w:link w:val="Textbubliny"/>
    <w:uiPriority w:val="99"/>
    <w:semiHidden/>
    <w:locked/>
    <w:rsid w:val="00984A5E"/>
    <w:rPr>
      <w:rFonts w:ascii="Tahoma" w:hAnsi="Tahoma" w:cs="Tahoma"/>
      <w:sz w:val="16"/>
      <w:szCs w:val="16"/>
      <w:lang w:val="en-GB" w:eastAsia="cs-CZ"/>
    </w:rPr>
  </w:style>
  <w:style w:type="paragraph" w:styleId="Textbubliny">
    <w:name w:val="Balloon Text"/>
    <w:basedOn w:val="Normlny"/>
    <w:link w:val="TextbublinyChar"/>
    <w:uiPriority w:val="99"/>
    <w:semiHidden/>
    <w:rsid w:val="00984A5E"/>
    <w:pPr>
      <w:widowControl/>
      <w:suppressAutoHyphens w:val="0"/>
      <w:overflowPunct w:val="0"/>
      <w:spacing w:line="360" w:lineRule="auto"/>
      <w:jc w:val="both"/>
      <w:textAlignment w:val="baseline"/>
    </w:pPr>
    <w:rPr>
      <w:rFonts w:ascii="Tahoma" w:hAnsi="Tahoma" w:cs="Tahoma"/>
      <w:color w:val="auto"/>
      <w:sz w:val="16"/>
      <w:szCs w:val="16"/>
      <w:lang w:val="en-GB" w:eastAsia="cs-CZ"/>
    </w:rPr>
  </w:style>
  <w:style w:type="character" w:customStyle="1" w:styleId="TextbublinyChar1">
    <w:name w:val="Text bubliny Char1"/>
    <w:basedOn w:val="Predvolenpsmoodseku"/>
    <w:uiPriority w:val="99"/>
    <w:semiHidden/>
    <w:rPr>
      <w:rFonts w:ascii="Tahoma" w:hAnsi="Tahoma" w:cs="Tahoma"/>
      <w:color w:val="000000"/>
      <w:sz w:val="16"/>
      <w:szCs w:val="16"/>
      <w:lang w:val="cs-CZ"/>
    </w:rPr>
  </w:style>
  <w:style w:type="character" w:customStyle="1" w:styleId="truktradokumentuChar">
    <w:name w:val="Štruktúra dokumentu Char"/>
    <w:basedOn w:val="Predvolenpsmoodseku"/>
    <w:link w:val="truktradokumentu"/>
    <w:semiHidden/>
    <w:locked/>
    <w:rsid w:val="00894607"/>
    <w:rPr>
      <w:rFonts w:ascii="Tahoma" w:hAnsi="Tahoma" w:cs="Tahoma"/>
      <w:sz w:val="20"/>
      <w:szCs w:val="20"/>
      <w:shd w:val="clear" w:color="auto" w:fill="000080"/>
      <w:lang w:val="en-US" w:eastAsia="en-US"/>
    </w:rPr>
  </w:style>
  <w:style w:type="paragraph" w:styleId="truktradokumentu">
    <w:name w:val="Document Map"/>
    <w:basedOn w:val="Normlny"/>
    <w:link w:val="truktradokumentuChar"/>
    <w:uiPriority w:val="99"/>
    <w:semiHidden/>
    <w:rsid w:val="00894607"/>
    <w:pPr>
      <w:widowControl/>
      <w:shd w:val="clear" w:color="auto" w:fill="000080"/>
      <w:suppressAutoHyphens w:val="0"/>
      <w:autoSpaceDE/>
      <w:autoSpaceDN/>
      <w:adjustRightInd/>
      <w:spacing w:line="240" w:lineRule="auto"/>
      <w:textAlignment w:val="auto"/>
    </w:pPr>
    <w:rPr>
      <w:rFonts w:ascii="Tahoma" w:hAnsi="Tahoma" w:cs="Tahoma"/>
      <w:color w:val="auto"/>
      <w:sz w:val="20"/>
      <w:szCs w:val="20"/>
      <w:lang w:val="en-US" w:eastAsia="en-US"/>
    </w:rPr>
  </w:style>
  <w:style w:type="character" w:customStyle="1" w:styleId="truktradokumentuChar1">
    <w:name w:val="Štruktúra dokumentu Char1"/>
    <w:basedOn w:val="Predvolenpsmoodseku"/>
    <w:uiPriority w:val="99"/>
    <w:semiHidden/>
    <w:rPr>
      <w:rFonts w:ascii="Tahoma" w:hAnsi="Tahoma" w:cs="Tahoma"/>
      <w:color w:val="000000"/>
      <w:sz w:val="16"/>
      <w:szCs w:val="16"/>
      <w:lang w:val="cs-CZ"/>
    </w:rPr>
  </w:style>
  <w:style w:type="paragraph" w:styleId="Obsah1">
    <w:name w:val="toc 1"/>
    <w:basedOn w:val="Normlny"/>
    <w:next w:val="Normlny"/>
    <w:uiPriority w:val="39"/>
    <w:semiHidden/>
    <w:rsid w:val="00156217"/>
    <w:pPr>
      <w:widowControl/>
      <w:tabs>
        <w:tab w:val="right" w:leader="dot" w:pos="9060"/>
      </w:tabs>
      <w:suppressAutoHyphens w:val="0"/>
      <w:overflowPunct w:val="0"/>
      <w:spacing w:before="240" w:after="120" w:line="360" w:lineRule="auto"/>
      <w:textAlignment w:val="baseline"/>
    </w:pPr>
    <w:rPr>
      <w:b/>
      <w:bCs/>
      <w:color w:val="auto"/>
      <w:szCs w:val="20"/>
      <w:lang w:val="en-GB" w:eastAsia="cs-CZ"/>
    </w:rPr>
  </w:style>
  <w:style w:type="paragraph" w:customStyle="1" w:styleId="Titulok3">
    <w:name w:val="Titulok3"/>
    <w:basedOn w:val="Titulok2"/>
    <w:uiPriority w:val="99"/>
    <w:qFormat/>
    <w:rsid w:val="00B968D4"/>
    <w:rPr>
      <w:b w:val="0"/>
    </w:rPr>
  </w:style>
  <w:style w:type="table" w:styleId="Mriekatabuky">
    <w:name w:val="Table Grid"/>
    <w:basedOn w:val="Normlnatabuka"/>
    <w:uiPriority w:val="39"/>
    <w:rsid w:val="0042202E"/>
    <w:pPr>
      <w:spacing w:after="0" w:line="240" w:lineRule="auto"/>
    </w:pPr>
    <w:rPr>
      <w:rFonts w:ascii="Calibri" w:eastAsia="Times New Roman" w:hAnsi="Calibri"/>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stupntext">
    <w:name w:val="Placeholder Text"/>
    <w:basedOn w:val="Predvolenpsmoodseku"/>
    <w:uiPriority w:val="99"/>
    <w:semiHidden/>
    <w:rsid w:val="0042202E"/>
    <w:rPr>
      <w:color w:val="808080"/>
    </w:rPr>
  </w:style>
  <w:style w:type="character" w:styleId="PouitHypertextovPrepojenie">
    <w:name w:val="FollowedHyperlink"/>
    <w:basedOn w:val="Predvolenpsmoodseku"/>
    <w:uiPriority w:val="99"/>
    <w:semiHidden/>
    <w:rsid w:val="0042202E"/>
    <w:rPr>
      <w:color w:val="800080"/>
      <w:u w:val="single"/>
    </w:rPr>
  </w:style>
  <w:style w:type="character" w:styleId="Odkaznakomentr">
    <w:name w:val="annotation reference"/>
    <w:basedOn w:val="Predvolenpsmoodseku"/>
    <w:uiPriority w:val="99"/>
    <w:semiHidden/>
    <w:unhideWhenUsed/>
    <w:rsid w:val="0042202E"/>
    <w:rPr>
      <w:sz w:val="16"/>
    </w:rPr>
  </w:style>
  <w:style w:type="paragraph" w:styleId="Textkomentra">
    <w:name w:val="annotation text"/>
    <w:basedOn w:val="Normlny"/>
    <w:link w:val="TextkomentraChar"/>
    <w:uiPriority w:val="99"/>
    <w:unhideWhenUsed/>
    <w:rsid w:val="0042202E"/>
    <w:pPr>
      <w:widowControl/>
      <w:suppressAutoHyphens w:val="0"/>
      <w:autoSpaceDE/>
      <w:autoSpaceDN/>
      <w:adjustRightInd/>
      <w:spacing w:after="200" w:line="276" w:lineRule="auto"/>
      <w:textAlignment w:val="auto"/>
    </w:pPr>
    <w:rPr>
      <w:rFonts w:ascii="Calibri" w:eastAsia="Times New Roman" w:hAnsi="Calibri"/>
      <w:color w:val="auto"/>
      <w:sz w:val="20"/>
      <w:szCs w:val="20"/>
      <w:lang w:val="en-US" w:eastAsia="en-US"/>
    </w:rPr>
  </w:style>
  <w:style w:type="character" w:customStyle="1" w:styleId="TextkomentraChar">
    <w:name w:val="Text komentára Char"/>
    <w:basedOn w:val="Predvolenpsmoodseku"/>
    <w:link w:val="Textkomentra"/>
    <w:uiPriority w:val="99"/>
    <w:locked/>
    <w:rsid w:val="0042202E"/>
    <w:rPr>
      <w:rFonts w:ascii="Calibri" w:eastAsia="Times New Roman" w:hAnsi="Calibri" w:cs="Times New Roman"/>
      <w:sz w:val="20"/>
      <w:szCs w:val="20"/>
      <w:lang w:val="en-US" w:eastAsia="en-US"/>
    </w:rPr>
  </w:style>
  <w:style w:type="paragraph" w:styleId="Predmetkomentra">
    <w:name w:val="annotation subject"/>
    <w:basedOn w:val="Textkomentra"/>
    <w:next w:val="Textkomentra"/>
    <w:link w:val="PredmetkomentraChar"/>
    <w:uiPriority w:val="99"/>
    <w:semiHidden/>
    <w:unhideWhenUsed/>
    <w:rsid w:val="0042202E"/>
    <w:rPr>
      <w:b/>
      <w:bCs/>
    </w:rPr>
  </w:style>
  <w:style w:type="character" w:customStyle="1" w:styleId="PredmetkomentraChar">
    <w:name w:val="Predmet komentára Char"/>
    <w:basedOn w:val="TextkomentraChar"/>
    <w:link w:val="Predmetkomentra"/>
    <w:uiPriority w:val="99"/>
    <w:semiHidden/>
    <w:locked/>
    <w:rsid w:val="0042202E"/>
    <w:rPr>
      <w:rFonts w:ascii="Calibri" w:eastAsia="Times New Roman" w:hAnsi="Calibri" w:cs="Times New Roman"/>
      <w:b/>
      <w:bCs/>
      <w:sz w:val="20"/>
      <w:szCs w:val="20"/>
      <w:lang w:val="en-US" w:eastAsia="en-US"/>
    </w:rPr>
  </w:style>
  <w:style w:type="character" w:styleId="sloriadka">
    <w:name w:val="line number"/>
    <w:basedOn w:val="Predvolenpsmoodseku"/>
    <w:uiPriority w:val="99"/>
    <w:semiHidden/>
    <w:unhideWhenUsed/>
    <w:rsid w:val="0042202E"/>
    <w:rPr>
      <w:rFonts w:cs="Times New Roman"/>
    </w:rPr>
  </w:style>
  <w:style w:type="paragraph" w:customStyle="1" w:styleId="JetrHlavniNadpiserven">
    <w:name w:val="Jetr_HlavniNadpis + Červená"/>
    <w:basedOn w:val="Normlny"/>
    <w:rsid w:val="004D356C"/>
    <w:pPr>
      <w:widowControl/>
      <w:suppressAutoHyphens w:val="0"/>
      <w:autoSpaceDE/>
      <w:autoSpaceDN/>
      <w:adjustRightInd/>
      <w:spacing w:line="240" w:lineRule="auto"/>
      <w:jc w:val="center"/>
      <w:textAlignment w:val="auto"/>
    </w:pPr>
    <w:rPr>
      <w:b/>
      <w:bCs/>
      <w:color w:val="auto"/>
      <w:lang w:val="en-GB" w:eastAsia="cs-CZ"/>
    </w:rPr>
  </w:style>
  <w:style w:type="paragraph" w:styleId="Odsekzoznamu">
    <w:name w:val="List Paragraph"/>
    <w:basedOn w:val="Normlny"/>
    <w:uiPriority w:val="34"/>
    <w:qFormat/>
    <w:rsid w:val="004D356C"/>
    <w:pPr>
      <w:widowControl/>
      <w:suppressAutoHyphens w:val="0"/>
      <w:autoSpaceDE/>
      <w:autoSpaceDN/>
      <w:adjustRightInd/>
      <w:spacing w:after="160" w:line="259" w:lineRule="auto"/>
      <w:ind w:left="720"/>
      <w:contextualSpacing/>
      <w:textAlignment w:val="auto"/>
    </w:pPr>
    <w:rPr>
      <w:rFonts w:asciiTheme="minorHAnsi" w:hAnsiTheme="minorHAnsi"/>
      <w:color w:val="auto"/>
      <w:sz w:val="22"/>
      <w:szCs w:val="22"/>
      <w:lang w:val="sk-SK" w:eastAsia="en-US"/>
    </w:rPr>
  </w:style>
  <w:style w:type="character" w:customStyle="1" w:styleId="gt-card-ttl-txt">
    <w:name w:val="gt-card-ttl-txt"/>
    <w:basedOn w:val="Predvolenpsmoodseku"/>
    <w:rsid w:val="004D356C"/>
    <w:rPr>
      <w:rFonts w:cs="Times New Roman"/>
    </w:rPr>
  </w:style>
  <w:style w:type="character" w:styleId="Hypertextovprepojenie">
    <w:name w:val="Hyperlink"/>
    <w:basedOn w:val="Predvolenpsmoodseku"/>
    <w:uiPriority w:val="99"/>
    <w:unhideWhenUsed/>
    <w:rsid w:val="004D356C"/>
    <w:rPr>
      <w:rFonts w:cs="Times New Roman"/>
      <w:color w:val="0000FF"/>
      <w:u w:val="single"/>
    </w:rPr>
  </w:style>
  <w:style w:type="character" w:customStyle="1" w:styleId="Nevyrieenzmienka1">
    <w:name w:val="Nevyriešená zmienka1"/>
    <w:basedOn w:val="Predvolenpsmoodseku"/>
    <w:uiPriority w:val="99"/>
    <w:semiHidden/>
    <w:unhideWhenUsed/>
    <w:rsid w:val="004D356C"/>
    <w:rPr>
      <w:rFonts w:cs="Times New Roman"/>
      <w:color w:val="808080"/>
      <w:shd w:val="clear" w:color="auto" w:fill="E6E6E6"/>
    </w:rPr>
  </w:style>
  <w:style w:type="character" w:styleId="Zvraznenie">
    <w:name w:val="Emphasis"/>
    <w:basedOn w:val="Predvolenpsmoodseku"/>
    <w:uiPriority w:val="20"/>
    <w:qFormat/>
    <w:rsid w:val="004D356C"/>
    <w:rPr>
      <w:rFonts w:cs="Times New Roman"/>
      <w:i/>
      <w:iCs/>
    </w:rPr>
  </w:style>
  <w:style w:type="character" w:customStyle="1" w:styleId="emphasistypesmallcaps">
    <w:name w:val="emphasistypesmallcaps"/>
    <w:basedOn w:val="Predvolenpsmoodseku"/>
    <w:rsid w:val="004D356C"/>
    <w:rPr>
      <w:rFonts w:cs="Times New Roman"/>
    </w:rPr>
  </w:style>
  <w:style w:type="character" w:customStyle="1" w:styleId="citationref">
    <w:name w:val="citationref"/>
    <w:basedOn w:val="Predvolenpsmoodseku"/>
    <w:rsid w:val="004D356C"/>
    <w:rPr>
      <w:rFonts w:cs="Times New Roman"/>
    </w:rPr>
  </w:style>
  <w:style w:type="character" w:customStyle="1" w:styleId="shorttext">
    <w:name w:val="short_text"/>
    <w:basedOn w:val="Predvolenpsmoodseku"/>
    <w:rsid w:val="004D356C"/>
    <w:rPr>
      <w:rFonts w:cs="Times New Roman"/>
    </w:rPr>
  </w:style>
  <w:style w:type="paragraph" w:styleId="Revzia">
    <w:name w:val="Revision"/>
    <w:hidden/>
    <w:uiPriority w:val="99"/>
    <w:semiHidden/>
    <w:rsid w:val="004D356C"/>
    <w:pPr>
      <w:spacing w:after="0" w:line="240" w:lineRule="auto"/>
    </w:pPr>
    <w:rPr>
      <w:lang w:eastAsia="en-US"/>
    </w:rPr>
  </w:style>
  <w:style w:type="table" w:customStyle="1" w:styleId="Mriekatabuky1">
    <w:name w:val="Mriežka tabuľky1"/>
    <w:basedOn w:val="Normlnatabuka"/>
    <w:next w:val="Mriekatabuky"/>
    <w:uiPriority w:val="59"/>
    <w:rsid w:val="00D05283"/>
    <w:pPr>
      <w:spacing w:after="0" w:line="360" w:lineRule="auto"/>
      <w:ind w:firstLine="284"/>
      <w:jc w:val="both"/>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2">
    <w:name w:val="Nevyriešená zmienka2"/>
    <w:basedOn w:val="Predvolenpsmoodseku"/>
    <w:uiPriority w:val="99"/>
    <w:semiHidden/>
    <w:unhideWhenUsed/>
    <w:rsid w:val="0067008D"/>
    <w:rPr>
      <w:color w:val="605E5C"/>
      <w:shd w:val="clear" w:color="auto" w:fill="E1DFDD"/>
    </w:rPr>
  </w:style>
  <w:style w:type="character" w:customStyle="1" w:styleId="Nadpis4Char">
    <w:name w:val="Nadpis 4 Char"/>
    <w:basedOn w:val="Predvolenpsmoodseku"/>
    <w:link w:val="Nadpis4"/>
    <w:uiPriority w:val="9"/>
    <w:semiHidden/>
    <w:rsid w:val="00722396"/>
    <w:rPr>
      <w:rFonts w:asciiTheme="majorHAnsi" w:eastAsiaTheme="majorEastAsia" w:hAnsiTheme="majorHAnsi" w:cstheme="majorBidi"/>
      <w:i/>
      <w:iCs/>
      <w:color w:val="365F91" w:themeColor="accent1" w:themeShade="BF"/>
      <w:sz w:val="24"/>
      <w:szCs w:val="24"/>
      <w:lang w:val="cs-CZ"/>
    </w:rPr>
  </w:style>
  <w:style w:type="paragraph" w:styleId="Textvysvetlivky">
    <w:name w:val="endnote text"/>
    <w:basedOn w:val="Normlny"/>
    <w:link w:val="TextvysvetlivkyChar"/>
    <w:uiPriority w:val="99"/>
    <w:semiHidden/>
    <w:unhideWhenUsed/>
    <w:rsid w:val="00A1155F"/>
    <w:pPr>
      <w:spacing w:line="240" w:lineRule="auto"/>
    </w:pPr>
    <w:rPr>
      <w:sz w:val="20"/>
      <w:szCs w:val="20"/>
    </w:rPr>
  </w:style>
  <w:style w:type="character" w:customStyle="1" w:styleId="TextvysvetlivkyChar">
    <w:name w:val="Text vysvetlivky Char"/>
    <w:basedOn w:val="Predvolenpsmoodseku"/>
    <w:link w:val="Textvysvetlivky"/>
    <w:uiPriority w:val="99"/>
    <w:semiHidden/>
    <w:rsid w:val="00A1155F"/>
    <w:rPr>
      <w:rFonts w:ascii="Times New Roman" w:hAnsi="Times New Roman"/>
      <w:color w:val="000000"/>
      <w:sz w:val="20"/>
      <w:szCs w:val="20"/>
      <w:lang w:val="cs-CZ"/>
    </w:rPr>
  </w:style>
  <w:style w:type="character" w:styleId="Odkaznavysvetlivku">
    <w:name w:val="endnote reference"/>
    <w:basedOn w:val="Predvolenpsmoodseku"/>
    <w:uiPriority w:val="99"/>
    <w:semiHidden/>
    <w:unhideWhenUsed/>
    <w:rsid w:val="00A1155F"/>
    <w:rPr>
      <w:vertAlign w:val="superscript"/>
    </w:rPr>
  </w:style>
  <w:style w:type="character" w:styleId="Nevyrieenzmienka">
    <w:name w:val="Unresolved Mention"/>
    <w:basedOn w:val="Predvolenpsmoodseku"/>
    <w:uiPriority w:val="99"/>
    <w:semiHidden/>
    <w:unhideWhenUsed/>
    <w:rsid w:val="004A3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42499">
      <w:bodyDiv w:val="1"/>
      <w:marLeft w:val="0"/>
      <w:marRight w:val="0"/>
      <w:marTop w:val="0"/>
      <w:marBottom w:val="0"/>
      <w:divBdr>
        <w:top w:val="none" w:sz="0" w:space="0" w:color="auto"/>
        <w:left w:val="none" w:sz="0" w:space="0" w:color="auto"/>
        <w:bottom w:val="none" w:sz="0" w:space="0" w:color="auto"/>
        <w:right w:val="none" w:sz="0" w:space="0" w:color="auto"/>
      </w:divBdr>
    </w:div>
    <w:div w:id="597518373">
      <w:bodyDiv w:val="1"/>
      <w:marLeft w:val="0"/>
      <w:marRight w:val="0"/>
      <w:marTop w:val="0"/>
      <w:marBottom w:val="0"/>
      <w:divBdr>
        <w:top w:val="none" w:sz="0" w:space="0" w:color="auto"/>
        <w:left w:val="none" w:sz="0" w:space="0" w:color="auto"/>
        <w:bottom w:val="none" w:sz="0" w:space="0" w:color="auto"/>
        <w:right w:val="none" w:sz="0" w:space="0" w:color="auto"/>
      </w:divBdr>
    </w:div>
    <w:div w:id="950548035">
      <w:bodyDiv w:val="1"/>
      <w:marLeft w:val="0"/>
      <w:marRight w:val="0"/>
      <w:marTop w:val="0"/>
      <w:marBottom w:val="0"/>
      <w:divBdr>
        <w:top w:val="none" w:sz="0" w:space="0" w:color="auto"/>
        <w:left w:val="none" w:sz="0" w:space="0" w:color="auto"/>
        <w:bottom w:val="none" w:sz="0" w:space="0" w:color="auto"/>
        <w:right w:val="none" w:sz="0" w:space="0" w:color="auto"/>
      </w:divBdr>
    </w:div>
    <w:div w:id="1073619632">
      <w:bodyDiv w:val="1"/>
      <w:marLeft w:val="0"/>
      <w:marRight w:val="0"/>
      <w:marTop w:val="0"/>
      <w:marBottom w:val="0"/>
      <w:divBdr>
        <w:top w:val="none" w:sz="0" w:space="0" w:color="auto"/>
        <w:left w:val="none" w:sz="0" w:space="0" w:color="auto"/>
        <w:bottom w:val="none" w:sz="0" w:space="0" w:color="auto"/>
        <w:right w:val="none" w:sz="0" w:space="0" w:color="auto"/>
      </w:divBdr>
      <w:divsChild>
        <w:div w:id="920943136">
          <w:marLeft w:val="0"/>
          <w:marRight w:val="0"/>
          <w:marTop w:val="0"/>
          <w:marBottom w:val="0"/>
          <w:divBdr>
            <w:top w:val="none" w:sz="0" w:space="0" w:color="auto"/>
            <w:left w:val="none" w:sz="0" w:space="0" w:color="auto"/>
            <w:bottom w:val="none" w:sz="0" w:space="0" w:color="auto"/>
            <w:right w:val="none" w:sz="0" w:space="0" w:color="auto"/>
          </w:divBdr>
        </w:div>
        <w:div w:id="940186831">
          <w:marLeft w:val="0"/>
          <w:marRight w:val="0"/>
          <w:marTop w:val="0"/>
          <w:marBottom w:val="0"/>
          <w:divBdr>
            <w:top w:val="none" w:sz="0" w:space="0" w:color="auto"/>
            <w:left w:val="none" w:sz="0" w:space="0" w:color="auto"/>
            <w:bottom w:val="none" w:sz="0" w:space="0" w:color="auto"/>
            <w:right w:val="none" w:sz="0" w:space="0" w:color="auto"/>
          </w:divBdr>
        </w:div>
      </w:divsChild>
    </w:div>
    <w:div w:id="1249071427">
      <w:bodyDiv w:val="1"/>
      <w:marLeft w:val="0"/>
      <w:marRight w:val="0"/>
      <w:marTop w:val="0"/>
      <w:marBottom w:val="0"/>
      <w:divBdr>
        <w:top w:val="none" w:sz="0" w:space="0" w:color="auto"/>
        <w:left w:val="none" w:sz="0" w:space="0" w:color="auto"/>
        <w:bottom w:val="none" w:sz="0" w:space="0" w:color="auto"/>
        <w:right w:val="none" w:sz="0" w:space="0" w:color="auto"/>
      </w:divBdr>
    </w:div>
    <w:div w:id="2021352643">
      <w:bodyDiv w:val="1"/>
      <w:marLeft w:val="0"/>
      <w:marRight w:val="0"/>
      <w:marTop w:val="0"/>
      <w:marBottom w:val="0"/>
      <w:divBdr>
        <w:top w:val="none" w:sz="0" w:space="0" w:color="auto"/>
        <w:left w:val="none" w:sz="0" w:space="0" w:color="auto"/>
        <w:bottom w:val="none" w:sz="0" w:space="0" w:color="auto"/>
        <w:right w:val="none" w:sz="0" w:space="0" w:color="auto"/>
      </w:divBdr>
    </w:div>
    <w:div w:id="2056460896">
      <w:bodyDiv w:val="1"/>
      <w:marLeft w:val="0"/>
      <w:marRight w:val="0"/>
      <w:marTop w:val="0"/>
      <w:marBottom w:val="0"/>
      <w:divBdr>
        <w:top w:val="none" w:sz="0" w:space="0" w:color="auto"/>
        <w:left w:val="none" w:sz="0" w:space="0" w:color="auto"/>
        <w:bottom w:val="none" w:sz="0" w:space="0" w:color="auto"/>
        <w:right w:val="none" w:sz="0" w:space="0" w:color="auto"/>
      </w:divBdr>
      <w:divsChild>
        <w:div w:id="1391265989">
          <w:marLeft w:val="0"/>
          <w:marRight w:val="0"/>
          <w:marTop w:val="0"/>
          <w:marBottom w:val="0"/>
          <w:divBdr>
            <w:top w:val="none" w:sz="0" w:space="0" w:color="auto"/>
            <w:left w:val="none" w:sz="0" w:space="0" w:color="auto"/>
            <w:bottom w:val="none" w:sz="0" w:space="0" w:color="auto"/>
            <w:right w:val="none" w:sz="0" w:space="0" w:color="auto"/>
          </w:divBdr>
        </w:div>
        <w:div w:id="14189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Bibi&#225;na\Desktop\PhD\&#268;l&#225;nky\VW%20&#269;l&#225;nky\Nov&#225;%20acta\Zo&#353;it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k-SK"/>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63190425939026"/>
          <c:y val="4.643156684066177E-2"/>
          <c:w val="0.82327299293773848"/>
          <c:h val="0.7965318941873839"/>
        </c:manualLayout>
      </c:layout>
      <c:scatterChart>
        <c:scatterStyle val="lineMarker"/>
        <c:varyColors val="0"/>
        <c:ser>
          <c:idx val="0"/>
          <c:order val="0"/>
          <c:tx>
            <c:v> rX,D,endo</c:v>
          </c:tx>
          <c:spPr>
            <a:ln w="12700" cap="rnd">
              <a:solidFill>
                <a:srgbClr val="0070C0"/>
              </a:solidFill>
              <a:prstDash val="lgDashDot"/>
              <a:round/>
            </a:ln>
            <a:effectLst/>
          </c:spPr>
          <c:marker>
            <c:symbol val="square"/>
            <c:size val="6"/>
            <c:spPr>
              <a:solidFill>
                <a:schemeClr val="accent1"/>
              </a:solidFill>
              <a:ln w="0">
                <a:solidFill>
                  <a:schemeClr val="accent1"/>
                </a:solidFill>
              </a:ln>
              <a:effectLst/>
            </c:spPr>
          </c:marker>
          <c:dLbls>
            <c:delete val="1"/>
          </c:dLbls>
          <c:xVal>
            <c:numRef>
              <c:f>Hárok1!$F$6:$F$8</c:f>
              <c:numCache>
                <c:formatCode>General</c:formatCode>
                <c:ptCount val="3"/>
                <c:pt idx="0">
                  <c:v>0</c:v>
                </c:pt>
                <c:pt idx="1">
                  <c:v>7</c:v>
                </c:pt>
                <c:pt idx="2">
                  <c:v>22</c:v>
                </c:pt>
              </c:numCache>
            </c:numRef>
          </c:xVal>
          <c:yVal>
            <c:numRef>
              <c:f>Hárok1!$I$6:$I$8</c:f>
              <c:numCache>
                <c:formatCode>General</c:formatCode>
                <c:ptCount val="3"/>
                <c:pt idx="0">
                  <c:v>0.27</c:v>
                </c:pt>
                <c:pt idx="1">
                  <c:v>0.17</c:v>
                </c:pt>
                <c:pt idx="2">
                  <c:v>0.25</c:v>
                </c:pt>
              </c:numCache>
            </c:numRef>
          </c:yVal>
          <c:smooth val="0"/>
          <c:extLst>
            <c:ext xmlns:c16="http://schemas.microsoft.com/office/drawing/2014/chart" uri="{C3380CC4-5D6E-409C-BE32-E72D297353CC}">
              <c16:uniqueId val="{00000000-869E-4F3C-8367-D7606C253B92}"/>
            </c:ext>
          </c:extLst>
        </c:ser>
        <c:ser>
          <c:idx val="2"/>
          <c:order val="1"/>
          <c:tx>
            <c:v> rX,D,total,glucose</c:v>
          </c:tx>
          <c:spPr>
            <a:ln w="12700" cap="rnd">
              <a:solidFill>
                <a:srgbClr val="92D050"/>
              </a:solidFill>
              <a:prstDash val="dash"/>
              <a:round/>
            </a:ln>
            <a:effectLst/>
          </c:spPr>
          <c:marker>
            <c:symbol val="circle"/>
            <c:size val="6"/>
            <c:spPr>
              <a:solidFill>
                <a:srgbClr val="92D050"/>
              </a:solidFill>
              <a:ln w="9525">
                <a:solidFill>
                  <a:schemeClr val="accent3"/>
                </a:solidFill>
              </a:ln>
              <a:effectLst/>
            </c:spPr>
          </c:marker>
          <c:dLbls>
            <c:delete val="1"/>
          </c:dLbls>
          <c:xVal>
            <c:numRef>
              <c:f>Hárok1!$F$6:$F$8</c:f>
              <c:numCache>
                <c:formatCode>General</c:formatCode>
                <c:ptCount val="3"/>
                <c:pt idx="0">
                  <c:v>0</c:v>
                </c:pt>
                <c:pt idx="1">
                  <c:v>7</c:v>
                </c:pt>
                <c:pt idx="2">
                  <c:v>22</c:v>
                </c:pt>
              </c:numCache>
            </c:numRef>
          </c:xVal>
          <c:yVal>
            <c:numRef>
              <c:f>Hárok1!$J$6:$J$8</c:f>
              <c:numCache>
                <c:formatCode>General</c:formatCode>
                <c:ptCount val="3"/>
                <c:pt idx="0" formatCode="0.00">
                  <c:v>4.7</c:v>
                </c:pt>
                <c:pt idx="1">
                  <c:v>3.1</c:v>
                </c:pt>
                <c:pt idx="2" formatCode="0.00">
                  <c:v>3.1</c:v>
                </c:pt>
              </c:numCache>
            </c:numRef>
          </c:yVal>
          <c:smooth val="0"/>
          <c:extLst>
            <c:ext xmlns:c16="http://schemas.microsoft.com/office/drawing/2014/chart" uri="{C3380CC4-5D6E-409C-BE32-E72D297353CC}">
              <c16:uniqueId val="{00000001-869E-4F3C-8367-D7606C253B92}"/>
            </c:ext>
          </c:extLst>
        </c:ser>
        <c:ser>
          <c:idx val="1"/>
          <c:order val="2"/>
          <c:tx>
            <c:v> rX,D,total,industrial wastewater</c:v>
          </c:tx>
          <c:spPr>
            <a:ln w="12700" cap="rnd">
              <a:solidFill>
                <a:srgbClr val="C00000"/>
              </a:solidFill>
              <a:prstDash val="sysDot"/>
              <a:round/>
            </a:ln>
            <a:effectLst/>
          </c:spPr>
          <c:marker>
            <c:symbol val="x"/>
            <c:size val="6"/>
            <c:spPr>
              <a:noFill/>
              <a:ln w="0">
                <a:solidFill>
                  <a:schemeClr val="accent2"/>
                </a:solidFill>
              </a:ln>
              <a:effectLst/>
            </c:spPr>
          </c:marker>
          <c:dPt>
            <c:idx val="0"/>
            <c:marker>
              <c:symbol val="x"/>
              <c:size val="6"/>
              <c:spPr>
                <a:noFill/>
                <a:ln w="25400">
                  <a:solidFill>
                    <a:srgbClr val="C00000"/>
                  </a:solidFill>
                </a:ln>
                <a:effectLst/>
              </c:spPr>
            </c:marker>
            <c:bubble3D val="0"/>
            <c:extLst>
              <c:ext xmlns:c16="http://schemas.microsoft.com/office/drawing/2014/chart" uri="{C3380CC4-5D6E-409C-BE32-E72D297353CC}">
                <c16:uniqueId val="{00000002-869E-4F3C-8367-D7606C253B92}"/>
              </c:ext>
            </c:extLst>
          </c:dPt>
          <c:dPt>
            <c:idx val="1"/>
            <c:marker>
              <c:symbol val="x"/>
              <c:size val="6"/>
              <c:spPr>
                <a:noFill/>
                <a:ln w="25400">
                  <a:solidFill>
                    <a:srgbClr val="C00000"/>
                  </a:solidFill>
                </a:ln>
                <a:effectLst/>
              </c:spPr>
            </c:marker>
            <c:bubble3D val="0"/>
            <c:extLst>
              <c:ext xmlns:c16="http://schemas.microsoft.com/office/drawing/2014/chart" uri="{C3380CC4-5D6E-409C-BE32-E72D297353CC}">
                <c16:uniqueId val="{00000003-869E-4F3C-8367-D7606C253B92}"/>
              </c:ext>
            </c:extLst>
          </c:dPt>
          <c:dPt>
            <c:idx val="2"/>
            <c:marker>
              <c:symbol val="x"/>
              <c:size val="6"/>
              <c:spPr>
                <a:noFill/>
                <a:ln w="25400">
                  <a:solidFill>
                    <a:srgbClr val="C00000"/>
                  </a:solidFill>
                </a:ln>
                <a:effectLst/>
              </c:spPr>
            </c:marker>
            <c:bubble3D val="0"/>
            <c:extLst>
              <c:ext xmlns:c16="http://schemas.microsoft.com/office/drawing/2014/chart" uri="{C3380CC4-5D6E-409C-BE32-E72D297353CC}">
                <c16:uniqueId val="{00000004-869E-4F3C-8367-D7606C253B92}"/>
              </c:ext>
            </c:extLst>
          </c:dPt>
          <c:dLbls>
            <c:delete val="1"/>
          </c:dLbls>
          <c:xVal>
            <c:numRef>
              <c:f>Hárok1!$F$6:$F$8</c:f>
              <c:numCache>
                <c:formatCode>General</c:formatCode>
                <c:ptCount val="3"/>
                <c:pt idx="0">
                  <c:v>0</c:v>
                </c:pt>
                <c:pt idx="1">
                  <c:v>7</c:v>
                </c:pt>
                <c:pt idx="2">
                  <c:v>22</c:v>
                </c:pt>
              </c:numCache>
            </c:numRef>
          </c:xVal>
          <c:yVal>
            <c:numRef>
              <c:f>Hárok1!$K$6:$K$8</c:f>
              <c:numCache>
                <c:formatCode>0.00</c:formatCode>
                <c:ptCount val="3"/>
                <c:pt idx="0">
                  <c:v>1.6</c:v>
                </c:pt>
                <c:pt idx="1">
                  <c:v>1.9</c:v>
                </c:pt>
                <c:pt idx="2">
                  <c:v>1.6</c:v>
                </c:pt>
              </c:numCache>
            </c:numRef>
          </c:yVal>
          <c:smooth val="0"/>
          <c:extLst>
            <c:ext xmlns:c16="http://schemas.microsoft.com/office/drawing/2014/chart" uri="{C3380CC4-5D6E-409C-BE32-E72D297353CC}">
              <c16:uniqueId val="{00000005-869E-4F3C-8367-D7606C253B92}"/>
            </c:ext>
          </c:extLst>
        </c:ser>
        <c:dLbls>
          <c:dLblPos val="t"/>
          <c:showLegendKey val="0"/>
          <c:showVal val="1"/>
          <c:showCatName val="0"/>
          <c:showSerName val="0"/>
          <c:showPercent val="0"/>
          <c:showBubbleSize val="0"/>
        </c:dLbls>
        <c:axId val="1589324128"/>
        <c:axId val="1589320800"/>
      </c:scatterChart>
      <c:valAx>
        <c:axId val="1589324128"/>
        <c:scaling>
          <c:orientation val="minMax"/>
          <c:max val="22"/>
          <c:min val="0"/>
        </c:scaling>
        <c:delete val="0"/>
        <c:axPos val="b"/>
        <c:title>
          <c:tx>
            <c:rich>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sz="800" b="0">
                    <a:latin typeface="Arial" panose="020B0604020202020204" pitchFamily="34" charset="0"/>
                    <a:cs typeface="Arial" panose="020B0604020202020204" pitchFamily="34" charset="0"/>
                  </a:rPr>
                  <a:t>Ti</a:t>
                </a:r>
                <a:r>
                  <a:rPr lang="sk-SK" sz="800" b="0">
                    <a:latin typeface="Arial" panose="020B0604020202020204" pitchFamily="34" charset="0"/>
                    <a:cs typeface="Arial" panose="020B0604020202020204" pitchFamily="34" charset="0"/>
                  </a:rPr>
                  <a:t>me (day)</a:t>
                </a:r>
                <a:endParaRPr lang="en-US" sz="800" b="0">
                  <a:latin typeface="Arial" panose="020B0604020202020204" pitchFamily="34" charset="0"/>
                  <a:cs typeface="Arial" panose="020B0604020202020204" pitchFamily="34" charset="0"/>
                </a:endParaRPr>
              </a:p>
            </c:rich>
          </c:tx>
          <c:layout>
            <c:manualLayout>
              <c:xMode val="edge"/>
              <c:yMode val="edge"/>
              <c:x val="0.41871567597600468"/>
              <c:y val="0.89751818101389014"/>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title>
        <c:numFmt formatCode="General" sourceLinked="1"/>
        <c:majorTickMark val="out"/>
        <c:minorTickMark val="out"/>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1589320800"/>
        <c:crossesAt val="0"/>
        <c:crossBetween val="midCat"/>
        <c:majorUnit val="7"/>
        <c:minorUnit val="5"/>
      </c:valAx>
      <c:valAx>
        <c:axId val="1589320800"/>
        <c:scaling>
          <c:orientation val="minMax"/>
          <c:max val="5"/>
          <c:min val="0"/>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GB" sz="800" b="0">
                    <a:effectLst/>
                    <a:latin typeface="Arial" panose="020B0604020202020204" pitchFamily="34" charset="0"/>
                    <a:cs typeface="Arial" panose="020B0604020202020204" pitchFamily="34" charset="0"/>
                  </a:rPr>
                  <a:t>r</a:t>
                </a:r>
                <a:r>
                  <a:rPr lang="en-GB" sz="800" b="0" baseline="-25000">
                    <a:effectLst/>
                    <a:latin typeface="Arial" panose="020B0604020202020204" pitchFamily="34" charset="0"/>
                    <a:cs typeface="Arial" panose="020B0604020202020204" pitchFamily="34" charset="0"/>
                  </a:rPr>
                  <a:t>x,D</a:t>
                </a:r>
                <a:r>
                  <a:rPr lang="en-GB" sz="800" b="0">
                    <a:effectLst/>
                    <a:latin typeface="Arial" panose="020B0604020202020204" pitchFamily="34" charset="0"/>
                    <a:cs typeface="Arial" panose="020B0604020202020204" pitchFamily="34" charset="0"/>
                  </a:rPr>
                  <a:t> (mg</a:t>
                </a:r>
                <a:r>
                  <a:rPr lang="en-GB" sz="800" b="0" baseline="-25000">
                    <a:effectLst/>
                    <a:latin typeface="Arial" panose="020B0604020202020204" pitchFamily="34" charset="0"/>
                    <a:cs typeface="Arial" panose="020B0604020202020204" pitchFamily="34" charset="0"/>
                  </a:rPr>
                  <a:t>N</a:t>
                </a:r>
                <a:r>
                  <a:rPr lang="en-GB" sz="800" b="0">
                    <a:effectLst/>
                    <a:latin typeface="Arial" panose="020B0604020202020204" pitchFamily="34" charset="0"/>
                    <a:cs typeface="Arial" panose="020B0604020202020204" pitchFamily="34" charset="0"/>
                  </a:rPr>
                  <a:t>/g·h)   </a:t>
                </a:r>
                <a:endParaRPr lang="sk-SK" sz="800" b="0">
                  <a:latin typeface="Arial" panose="020B0604020202020204" pitchFamily="34" charset="0"/>
                  <a:cs typeface="Arial" panose="020B0604020202020204" pitchFamily="34" charset="0"/>
                </a:endParaRPr>
              </a:p>
            </c:rich>
          </c:tx>
          <c:layout>
            <c:manualLayout>
              <c:xMode val="edge"/>
              <c:yMode val="edge"/>
              <c:x val="4.410143329658214E-3"/>
              <c:y val="0.34044306821197917"/>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title>
        <c:numFmt formatCode="General" sourceLinked="1"/>
        <c:majorTickMark val="out"/>
        <c:minorTickMark val="out"/>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k-SK"/>
          </a:p>
        </c:txPr>
        <c:crossAx val="1589324128"/>
        <c:crossesAt val="0"/>
        <c:crossBetween val="midCat"/>
        <c:majorUnit val="1"/>
        <c:minorUnit val="0.2"/>
      </c:valAx>
      <c:spPr>
        <a:noFill/>
        <a:ln>
          <a:solidFill>
            <a:schemeClr val="tx1"/>
          </a:solidFill>
        </a:ln>
        <a:effectLst/>
      </c:spPr>
    </c:plotArea>
    <c:legend>
      <c:legendPos val="r"/>
      <c:layout>
        <c:manualLayout>
          <c:xMode val="edge"/>
          <c:yMode val="edge"/>
          <c:x val="0.44217486044674403"/>
          <c:y val="6.3712642661240396E-2"/>
          <c:w val="0.51609719678094268"/>
          <c:h val="0.22228434928779969"/>
        </c:manualLayout>
      </c:layout>
      <c:overlay val="0"/>
      <c:spPr>
        <a:noFill/>
        <a:ln>
          <a:noFill/>
        </a:ln>
        <a:effectLst/>
      </c:spPr>
      <c:txPr>
        <a:bodyPr rot="0" spcFirstLastPara="1" vertOverflow="ellipsis" vert="horz" wrap="square" anchor="ctr" anchorCtr="1"/>
        <a:lstStyle/>
        <a:p>
          <a:pPr>
            <a:defRPr sz="800" b="0" i="0" u="none" strike="noStrike" kern="1200" baseline="0">
              <a:ln w="0">
                <a:noFill/>
              </a:ln>
              <a:solidFill>
                <a:sysClr val="windowText" lastClr="000000"/>
              </a:solidFill>
              <a:latin typeface="Arial" panose="020B0604020202020204" pitchFamily="34" charset="0"/>
              <a:ea typeface="+mn-ea"/>
              <a:cs typeface="Arial" panose="020B0604020202020204" pitchFamily="34" charset="0"/>
            </a:defRPr>
          </a:pPr>
          <a:endParaRPr lang="sk-SK"/>
        </a:p>
      </c:txPr>
    </c:legend>
    <c:plotVisOnly val="1"/>
    <c:dispBlanksAs val="gap"/>
    <c:showDLblsOverMax val="0"/>
  </c:chart>
  <c:spPr>
    <a:solidFill>
      <a:schemeClr val="bg1"/>
    </a:solidFill>
    <a:ln w="9525" cap="flat" cmpd="sng" algn="ctr">
      <a:no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sk-SK"/>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61382-8607-4697-AE26-D6714D9AE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16</Pages>
  <Words>5169</Words>
  <Characters>29469</Characters>
  <Application>Microsoft Office Word</Application>
  <DocSecurity>0</DocSecurity>
  <Lines>245</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Vlado</dc:creator>
  <cp:lastModifiedBy>Bibiána Kožárová</cp:lastModifiedBy>
  <cp:revision>91</cp:revision>
  <cp:lastPrinted>2022-04-01T13:03:00Z</cp:lastPrinted>
  <dcterms:created xsi:type="dcterms:W3CDTF">2022-03-25T08:54:00Z</dcterms:created>
  <dcterms:modified xsi:type="dcterms:W3CDTF">2022-04-10T18:26:00Z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