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DD7" w:rsidRPr="00F63663" w:rsidRDefault="00DC4DD7" w:rsidP="00023C7C">
      <w:pPr>
        <w:pStyle w:val="Articletitle"/>
        <w:jc w:val="center"/>
      </w:pPr>
      <w:r w:rsidRPr="00F63663">
        <w:t xml:space="preserve">Electroanalytical </w:t>
      </w:r>
      <w:r w:rsidR="00FE4C69">
        <w:t>D</w:t>
      </w:r>
      <w:r w:rsidRPr="00F63663">
        <w:t xml:space="preserve">etermination of </w:t>
      </w:r>
      <w:proofErr w:type="spellStart"/>
      <w:r w:rsidR="00FE4C69">
        <w:t>Z</w:t>
      </w:r>
      <w:r w:rsidRPr="00F63663">
        <w:t>iram</w:t>
      </w:r>
      <w:proofErr w:type="spellEnd"/>
      <w:r w:rsidRPr="00F63663">
        <w:t xml:space="preserve"> by </w:t>
      </w:r>
      <w:r w:rsidR="00FE4C69">
        <w:t>D</w:t>
      </w:r>
      <w:r w:rsidRPr="00F63663">
        <w:t xml:space="preserve">ifferential </w:t>
      </w:r>
      <w:proofErr w:type="gramStart"/>
      <w:r w:rsidR="00FE4C69">
        <w:t>P</w:t>
      </w:r>
      <w:r w:rsidRPr="00F63663">
        <w:t xml:space="preserve">ulse  </w:t>
      </w:r>
      <w:r w:rsidR="00FE4C69">
        <w:t>V</w:t>
      </w:r>
      <w:r w:rsidRPr="00F63663">
        <w:t>oltammetry</w:t>
      </w:r>
      <w:proofErr w:type="gramEnd"/>
      <w:r w:rsidRPr="00F63663">
        <w:t xml:space="preserve"> with </w:t>
      </w:r>
      <w:r w:rsidR="00FE4C69">
        <w:t>R</w:t>
      </w:r>
      <w:r w:rsidRPr="00F63663">
        <w:t xml:space="preserve">educed </w:t>
      </w:r>
      <w:r w:rsidR="00FE4C69">
        <w:t>G</w:t>
      </w:r>
      <w:r w:rsidRPr="00F63663">
        <w:t xml:space="preserve">raphene </w:t>
      </w:r>
      <w:r w:rsidR="00FE4C69">
        <w:t>O</w:t>
      </w:r>
      <w:r w:rsidRPr="00F63663">
        <w:t>xide</w:t>
      </w:r>
      <w:r w:rsidR="00FB41C7" w:rsidRPr="00F63663">
        <w:t>/</w:t>
      </w:r>
      <w:r w:rsidR="00FE4C69">
        <w:t>G</w:t>
      </w:r>
      <w:r w:rsidRPr="00F63663">
        <w:t xml:space="preserve">old </w:t>
      </w:r>
      <w:r w:rsidR="00FE4C69">
        <w:t>N</w:t>
      </w:r>
      <w:r w:rsidRPr="00F63663">
        <w:t>anoparticle</w:t>
      </w:r>
      <w:r w:rsidR="00FB41C7" w:rsidRPr="00F63663">
        <w:t>s</w:t>
      </w:r>
      <w:r w:rsidRPr="00F63663">
        <w:t xml:space="preserve">  </w:t>
      </w:r>
      <w:r w:rsidR="00FE4C69">
        <w:t>M</w:t>
      </w:r>
      <w:r w:rsidRPr="00F63663">
        <w:t xml:space="preserve">odified </w:t>
      </w:r>
      <w:r w:rsidR="00FE4C69">
        <w:t>G</w:t>
      </w:r>
      <w:r w:rsidRPr="00F63663">
        <w:t xml:space="preserve">lassy </w:t>
      </w:r>
      <w:r w:rsidR="00FE4C69">
        <w:t>C</w:t>
      </w:r>
      <w:r w:rsidRPr="00F63663">
        <w:t xml:space="preserve">arbon </w:t>
      </w:r>
      <w:r w:rsidR="00FE4C69">
        <w:t>E</w:t>
      </w:r>
      <w:r w:rsidRPr="00F63663">
        <w:t>lectrode</w:t>
      </w:r>
    </w:p>
    <w:p w:rsidR="00F32277" w:rsidRPr="00023C7C" w:rsidRDefault="00023C7C" w:rsidP="00023C7C">
      <w:pPr>
        <w:pStyle w:val="Authornames"/>
        <w:jc w:val="center"/>
        <w:rPr>
          <w:b/>
          <w:lang w:val="tr-TR"/>
        </w:rPr>
      </w:pPr>
      <w:r w:rsidRPr="00023C7C">
        <w:rPr>
          <w:b/>
        </w:rPr>
        <w:t xml:space="preserve">Nazife </w:t>
      </w:r>
      <w:r w:rsidR="000E1D22" w:rsidRPr="00023C7C">
        <w:rPr>
          <w:b/>
        </w:rPr>
        <w:t>Aslan</w:t>
      </w:r>
      <w:r>
        <w:rPr>
          <w:b/>
        </w:rPr>
        <w:t>,</w:t>
      </w:r>
      <w:r w:rsidRPr="00023C7C">
        <w:rPr>
          <w:b/>
          <w:vertAlign w:val="superscript"/>
        </w:rPr>
        <w:t>1</w:t>
      </w:r>
      <w:r>
        <w:rPr>
          <w:b/>
        </w:rPr>
        <w:t>*</w:t>
      </w:r>
      <w:r w:rsidR="000E1D22" w:rsidRPr="00023C7C">
        <w:rPr>
          <w:b/>
        </w:rPr>
        <w:t xml:space="preserve"> </w:t>
      </w:r>
      <w:proofErr w:type="spellStart"/>
      <w:r w:rsidRPr="00023C7C">
        <w:rPr>
          <w:b/>
        </w:rPr>
        <w:t>Sema</w:t>
      </w:r>
      <w:proofErr w:type="spellEnd"/>
      <w:r w:rsidRPr="00023C7C">
        <w:rPr>
          <w:b/>
        </w:rPr>
        <w:t xml:space="preserve"> Bilge Ocak</w:t>
      </w:r>
      <w:r w:rsidRPr="00023C7C">
        <w:rPr>
          <w:b/>
          <w:vertAlign w:val="superscript"/>
        </w:rPr>
        <w:t>2</w:t>
      </w:r>
      <w:r w:rsidR="00F32277" w:rsidRPr="00023C7C">
        <w:rPr>
          <w:b/>
        </w:rPr>
        <w:t xml:space="preserve"> </w:t>
      </w:r>
      <w:r>
        <w:rPr>
          <w:b/>
        </w:rPr>
        <w:t xml:space="preserve">and </w:t>
      </w:r>
      <w:proofErr w:type="spellStart"/>
      <w:r w:rsidRPr="00023C7C">
        <w:rPr>
          <w:b/>
        </w:rPr>
        <w:t>Uğur</w:t>
      </w:r>
      <w:proofErr w:type="spellEnd"/>
      <w:r w:rsidRPr="00023C7C">
        <w:rPr>
          <w:b/>
        </w:rPr>
        <w:t xml:space="preserve"> </w:t>
      </w:r>
      <w:r w:rsidR="00F32277" w:rsidRPr="00023C7C">
        <w:rPr>
          <w:b/>
          <w:lang w:val="tr-TR"/>
        </w:rPr>
        <w:t>Gökmen</w:t>
      </w:r>
      <w:r w:rsidRPr="00023C7C">
        <w:rPr>
          <w:b/>
          <w:vertAlign w:val="superscript"/>
          <w:lang w:val="tr-TR"/>
        </w:rPr>
        <w:t>3</w:t>
      </w:r>
    </w:p>
    <w:p w:rsidR="00023C7C" w:rsidRDefault="00023C7C" w:rsidP="00023C7C">
      <w:pPr>
        <w:pStyle w:val="Affiliation"/>
        <w:spacing w:line="240" w:lineRule="auto"/>
        <w:jc w:val="center"/>
      </w:pPr>
      <w:r w:rsidRPr="002206E4">
        <w:rPr>
          <w:i w:val="0"/>
          <w:vertAlign w:val="superscript"/>
        </w:rPr>
        <w:t>1</w:t>
      </w:r>
      <w:r w:rsidR="000E1D22" w:rsidRPr="00F63663">
        <w:t xml:space="preserve">Ankara </w:t>
      </w:r>
      <w:proofErr w:type="spellStart"/>
      <w:r w:rsidR="000E1D22" w:rsidRPr="00F63663">
        <w:t>Hacı</w:t>
      </w:r>
      <w:proofErr w:type="spellEnd"/>
      <w:r w:rsidR="000E1D22" w:rsidRPr="00F63663">
        <w:t xml:space="preserve"> </w:t>
      </w:r>
      <w:proofErr w:type="spellStart"/>
      <w:r w:rsidR="000E1D22" w:rsidRPr="00F63663">
        <w:t>Bayram</w:t>
      </w:r>
      <w:proofErr w:type="spellEnd"/>
      <w:r w:rsidR="000E1D22" w:rsidRPr="00F63663">
        <w:t xml:space="preserve"> </w:t>
      </w:r>
      <w:proofErr w:type="spellStart"/>
      <w:r w:rsidR="000E1D22" w:rsidRPr="00F63663">
        <w:t>Veli</w:t>
      </w:r>
      <w:proofErr w:type="spellEnd"/>
      <w:r w:rsidR="000E1D22" w:rsidRPr="00F63663">
        <w:t xml:space="preserve"> </w:t>
      </w:r>
      <w:proofErr w:type="spellStart"/>
      <w:proofErr w:type="gramStart"/>
      <w:r w:rsidR="00B64FA3" w:rsidRPr="00F63663">
        <w:t>University,</w:t>
      </w:r>
      <w:r w:rsidR="00941E5F" w:rsidRPr="00F63663">
        <w:t>Polatlı</w:t>
      </w:r>
      <w:proofErr w:type="spellEnd"/>
      <w:proofErr w:type="gramEnd"/>
      <w:r w:rsidR="00941E5F" w:rsidRPr="00F63663">
        <w:t xml:space="preserve"> Science and Arts Faculty, Department of Chemistry, </w:t>
      </w:r>
      <w:r w:rsidR="00B64FA3" w:rsidRPr="00F63663">
        <w:t xml:space="preserve"> </w:t>
      </w:r>
      <w:r w:rsidR="005C3FFF" w:rsidRPr="00F63663">
        <w:t xml:space="preserve">06900 </w:t>
      </w:r>
      <w:r w:rsidR="000E1D22" w:rsidRPr="00F63663">
        <w:t>Ankara</w:t>
      </w:r>
      <w:r w:rsidR="00B64FA3" w:rsidRPr="00F63663">
        <w:t xml:space="preserve">, </w:t>
      </w:r>
      <w:r w:rsidR="000E1D22" w:rsidRPr="00F63663">
        <w:t>Turkey</w:t>
      </w:r>
    </w:p>
    <w:p w:rsidR="00023C7C" w:rsidRDefault="00023C7C" w:rsidP="00023C7C">
      <w:pPr>
        <w:pStyle w:val="Affiliation"/>
        <w:spacing w:line="240" w:lineRule="auto"/>
        <w:jc w:val="center"/>
      </w:pPr>
      <w:r w:rsidRPr="002206E4">
        <w:rPr>
          <w:i w:val="0"/>
          <w:vertAlign w:val="superscript"/>
        </w:rPr>
        <w:t>2</w:t>
      </w:r>
      <w:r w:rsidRPr="00F63663">
        <w:t xml:space="preserve">Gazi University, </w:t>
      </w:r>
      <w:r w:rsidR="005C3FFF" w:rsidRPr="00F63663">
        <w:t>Graduate School of Natural and Applied Sciences, 06560 Ankara, Turkey</w:t>
      </w:r>
    </w:p>
    <w:p w:rsidR="00023C7C" w:rsidRDefault="00023C7C" w:rsidP="00023C7C">
      <w:pPr>
        <w:pStyle w:val="Affiliation"/>
        <w:spacing w:line="240" w:lineRule="auto"/>
        <w:jc w:val="center"/>
      </w:pPr>
      <w:r w:rsidRPr="002206E4">
        <w:rPr>
          <w:i w:val="0"/>
          <w:vertAlign w:val="superscript"/>
        </w:rPr>
        <w:t>3</w:t>
      </w:r>
      <w:r w:rsidR="00F32277" w:rsidRPr="00F63663">
        <w:rPr>
          <w:lang w:val="tr-TR"/>
        </w:rPr>
        <w:t xml:space="preserve">Gazi </w:t>
      </w:r>
      <w:proofErr w:type="spellStart"/>
      <w:r w:rsidR="00F32277" w:rsidRPr="00F63663">
        <w:rPr>
          <w:lang w:val="tr-TR"/>
        </w:rPr>
        <w:t>University</w:t>
      </w:r>
      <w:proofErr w:type="spellEnd"/>
      <w:r>
        <w:rPr>
          <w:lang w:val="tr-TR"/>
        </w:rPr>
        <w:t>,</w:t>
      </w:r>
      <w:r w:rsidR="00F32277" w:rsidRPr="00F63663">
        <w:rPr>
          <w:lang w:val="tr-TR"/>
        </w:rPr>
        <w:t xml:space="preserve"> </w:t>
      </w:r>
      <w:proofErr w:type="spellStart"/>
      <w:r w:rsidR="00F32277" w:rsidRPr="00F63663">
        <w:rPr>
          <w:lang w:val="tr-TR"/>
        </w:rPr>
        <w:t>Faculty</w:t>
      </w:r>
      <w:proofErr w:type="spellEnd"/>
      <w:r w:rsidR="00F32277" w:rsidRPr="00F63663">
        <w:rPr>
          <w:lang w:val="tr-TR"/>
        </w:rPr>
        <w:t xml:space="preserve"> of </w:t>
      </w:r>
      <w:proofErr w:type="spellStart"/>
      <w:r w:rsidR="00F32277" w:rsidRPr="00F63663">
        <w:rPr>
          <w:lang w:val="tr-TR"/>
        </w:rPr>
        <w:t>Technology</w:t>
      </w:r>
      <w:proofErr w:type="spellEnd"/>
      <w:r w:rsidR="00F32277" w:rsidRPr="00F63663">
        <w:rPr>
          <w:lang w:val="tr-TR"/>
        </w:rPr>
        <w:t xml:space="preserve"> </w:t>
      </w:r>
      <w:proofErr w:type="spellStart"/>
      <w:proofErr w:type="gramStart"/>
      <w:r w:rsidR="00F32277" w:rsidRPr="00F63663">
        <w:rPr>
          <w:lang w:val="tr-TR"/>
        </w:rPr>
        <w:t>Metallurgical</w:t>
      </w:r>
      <w:proofErr w:type="spellEnd"/>
      <w:r w:rsidR="00F32277" w:rsidRPr="00F63663">
        <w:rPr>
          <w:lang w:val="tr-TR"/>
        </w:rPr>
        <w:t xml:space="preserve">  </w:t>
      </w:r>
      <w:proofErr w:type="spellStart"/>
      <w:r w:rsidR="00F32277" w:rsidRPr="00F63663">
        <w:rPr>
          <w:lang w:val="tr-TR"/>
        </w:rPr>
        <w:t>and</w:t>
      </w:r>
      <w:proofErr w:type="spellEnd"/>
      <w:proofErr w:type="gramEnd"/>
      <w:r w:rsidR="00F32277" w:rsidRPr="00F63663">
        <w:rPr>
          <w:lang w:val="tr-TR"/>
        </w:rPr>
        <w:t xml:space="preserve"> </w:t>
      </w:r>
      <w:proofErr w:type="spellStart"/>
      <w:r w:rsidR="00F32277" w:rsidRPr="00F63663">
        <w:rPr>
          <w:lang w:val="tr-TR"/>
        </w:rPr>
        <w:t>Materials</w:t>
      </w:r>
      <w:proofErr w:type="spellEnd"/>
      <w:r w:rsidR="00F32277" w:rsidRPr="00F63663">
        <w:rPr>
          <w:lang w:val="tr-TR"/>
        </w:rPr>
        <w:t xml:space="preserve"> </w:t>
      </w:r>
      <w:proofErr w:type="spellStart"/>
      <w:r>
        <w:rPr>
          <w:lang w:val="tr-TR"/>
        </w:rPr>
        <w:t>E</w:t>
      </w:r>
      <w:r w:rsidR="00F32277" w:rsidRPr="00F63663">
        <w:rPr>
          <w:lang w:val="tr-TR"/>
        </w:rPr>
        <w:t>ngineering</w:t>
      </w:r>
      <w:proofErr w:type="spellEnd"/>
      <w:r>
        <w:rPr>
          <w:lang w:val="tr-TR"/>
        </w:rPr>
        <w:t xml:space="preserve">, </w:t>
      </w:r>
      <w:r w:rsidRPr="00F63663">
        <w:t>065</w:t>
      </w:r>
      <w:r>
        <w:t>0</w:t>
      </w:r>
      <w:r w:rsidRPr="00F63663">
        <w:t>0 Ankara, Turkey</w:t>
      </w:r>
    </w:p>
    <w:p w:rsidR="00F32277" w:rsidRPr="00F63663" w:rsidRDefault="00F32277" w:rsidP="00023C7C">
      <w:pPr>
        <w:pStyle w:val="Affiliation"/>
        <w:spacing w:line="240" w:lineRule="auto"/>
        <w:jc w:val="center"/>
        <w:rPr>
          <w:lang w:val="tr-TR"/>
        </w:rPr>
      </w:pPr>
    </w:p>
    <w:p w:rsidR="00997B0F" w:rsidRPr="00F63663" w:rsidRDefault="00997B0F" w:rsidP="00A2360E">
      <w:pPr>
        <w:pStyle w:val="Affiliation"/>
      </w:pPr>
    </w:p>
    <w:p w:rsidR="00605E6B" w:rsidRPr="00F63663" w:rsidRDefault="00C9399F" w:rsidP="00503147">
      <w:pPr>
        <w:pStyle w:val="Abstract"/>
        <w:ind w:left="0"/>
        <w:rPr>
          <w:b/>
          <w:lang w:val="tr-TR"/>
        </w:rPr>
      </w:pPr>
      <w:proofErr w:type="spellStart"/>
      <w:r w:rsidRPr="00F63663">
        <w:rPr>
          <w:b/>
          <w:lang w:val="tr-TR"/>
        </w:rPr>
        <w:t>Abstract</w:t>
      </w:r>
      <w:proofErr w:type="spellEnd"/>
    </w:p>
    <w:p w:rsidR="00605E6B" w:rsidRPr="00F63663" w:rsidRDefault="00605E6B" w:rsidP="00503147">
      <w:pPr>
        <w:pStyle w:val="Abstract"/>
        <w:ind w:left="0"/>
        <w:jc w:val="both"/>
        <w:rPr>
          <w:lang w:val="tr-TR"/>
        </w:rPr>
      </w:pPr>
      <w:proofErr w:type="spellStart"/>
      <w:r w:rsidRPr="00F63663">
        <w:rPr>
          <w:lang w:val="tr-TR"/>
        </w:rPr>
        <w:t>The</w:t>
      </w:r>
      <w:proofErr w:type="spellEnd"/>
      <w:r w:rsidRPr="00F63663">
        <w:rPr>
          <w:lang w:val="tr-TR"/>
        </w:rPr>
        <w:t xml:space="preserve"> </w:t>
      </w:r>
      <w:proofErr w:type="spellStart"/>
      <w:r w:rsidRPr="00F63663">
        <w:rPr>
          <w:lang w:val="tr-TR"/>
        </w:rPr>
        <w:t>production</w:t>
      </w:r>
      <w:proofErr w:type="spellEnd"/>
      <w:r w:rsidRPr="00F63663">
        <w:rPr>
          <w:lang w:val="tr-TR"/>
        </w:rPr>
        <w:t xml:space="preserve"> of </w:t>
      </w:r>
      <w:proofErr w:type="spellStart"/>
      <w:r w:rsidRPr="00F63663">
        <w:rPr>
          <w:lang w:val="tr-TR"/>
        </w:rPr>
        <w:t>gold</w:t>
      </w:r>
      <w:proofErr w:type="spellEnd"/>
      <w:r w:rsidRPr="00F63663">
        <w:rPr>
          <w:lang w:val="tr-TR"/>
        </w:rPr>
        <w:t xml:space="preserve"> </w:t>
      </w:r>
      <w:proofErr w:type="spellStart"/>
      <w:r w:rsidRPr="00F63663">
        <w:rPr>
          <w:lang w:val="tr-TR"/>
        </w:rPr>
        <w:t>nanoparticles-reduced</w:t>
      </w:r>
      <w:proofErr w:type="spellEnd"/>
      <w:r w:rsidRPr="00F63663">
        <w:rPr>
          <w:lang w:val="tr-TR"/>
        </w:rPr>
        <w:t xml:space="preserve"> </w:t>
      </w:r>
      <w:proofErr w:type="spellStart"/>
      <w:r w:rsidRPr="00F63663">
        <w:rPr>
          <w:lang w:val="tr-TR"/>
        </w:rPr>
        <w:t>graphene</w:t>
      </w:r>
      <w:proofErr w:type="spellEnd"/>
      <w:r w:rsidRPr="00F63663">
        <w:rPr>
          <w:lang w:val="tr-TR"/>
        </w:rPr>
        <w:t xml:space="preserve"> </w:t>
      </w:r>
      <w:proofErr w:type="spellStart"/>
      <w:r w:rsidRPr="00F63663">
        <w:rPr>
          <w:lang w:val="tr-TR"/>
        </w:rPr>
        <w:t>oxide-based</w:t>
      </w:r>
      <w:proofErr w:type="spellEnd"/>
      <w:r w:rsidRPr="00F63663">
        <w:rPr>
          <w:lang w:val="tr-TR"/>
        </w:rPr>
        <w:t xml:space="preserve"> </w:t>
      </w:r>
      <w:proofErr w:type="gramStart"/>
      <w:r w:rsidRPr="00F63663">
        <w:rPr>
          <w:lang w:val="tr-TR"/>
        </w:rPr>
        <w:t>sensor</w:t>
      </w:r>
      <w:proofErr w:type="gramEnd"/>
      <w:r w:rsidRPr="00F63663">
        <w:rPr>
          <w:lang w:val="tr-TR"/>
        </w:rPr>
        <w:t xml:space="preserve"> </w:t>
      </w:r>
      <w:proofErr w:type="spellStart"/>
      <w:r w:rsidRPr="00F63663">
        <w:rPr>
          <w:lang w:val="tr-TR"/>
        </w:rPr>
        <w:t>materials</w:t>
      </w:r>
      <w:proofErr w:type="spellEnd"/>
      <w:r w:rsidRPr="00F63663">
        <w:rPr>
          <w:lang w:val="tr-TR"/>
        </w:rPr>
        <w:t xml:space="preserve"> </w:t>
      </w:r>
      <w:proofErr w:type="spellStart"/>
      <w:r w:rsidRPr="00F63663">
        <w:rPr>
          <w:lang w:val="tr-TR"/>
        </w:rPr>
        <w:t>for</w:t>
      </w:r>
      <w:proofErr w:type="spellEnd"/>
      <w:r w:rsidRPr="00F63663">
        <w:rPr>
          <w:lang w:val="tr-TR"/>
        </w:rPr>
        <w:t xml:space="preserve"> </w:t>
      </w:r>
      <w:proofErr w:type="spellStart"/>
      <w:r w:rsidR="00503147" w:rsidRPr="00F63663">
        <w:rPr>
          <w:lang w:val="tr-TR"/>
        </w:rPr>
        <w:t>t</w:t>
      </w:r>
      <w:r w:rsidRPr="00F63663">
        <w:rPr>
          <w:lang w:val="tr-TR"/>
        </w:rPr>
        <w:t>he</w:t>
      </w:r>
      <w:proofErr w:type="spellEnd"/>
      <w:r w:rsidRPr="00F63663">
        <w:rPr>
          <w:lang w:val="tr-TR"/>
        </w:rPr>
        <w:t xml:space="preserve"> </w:t>
      </w:r>
      <w:proofErr w:type="spellStart"/>
      <w:r w:rsidRPr="00F63663">
        <w:rPr>
          <w:lang w:val="tr-TR"/>
        </w:rPr>
        <w:t>determination</w:t>
      </w:r>
      <w:proofErr w:type="spellEnd"/>
      <w:r w:rsidRPr="00F63663">
        <w:rPr>
          <w:lang w:val="tr-TR"/>
        </w:rPr>
        <w:t xml:space="preserve"> of </w:t>
      </w:r>
      <w:proofErr w:type="spellStart"/>
      <w:r w:rsidRPr="00F63663">
        <w:rPr>
          <w:lang w:val="tr-TR"/>
        </w:rPr>
        <w:t>zinc</w:t>
      </w:r>
      <w:proofErr w:type="spellEnd"/>
      <w:r w:rsidRPr="00F63663">
        <w:rPr>
          <w:lang w:val="tr-TR"/>
        </w:rPr>
        <w:t>(II)</w:t>
      </w:r>
      <w:proofErr w:type="spellStart"/>
      <w:r w:rsidRPr="00F63663">
        <w:rPr>
          <w:lang w:val="tr-TR"/>
        </w:rPr>
        <w:t>dimethyldithiocarbamate</w:t>
      </w:r>
      <w:proofErr w:type="spellEnd"/>
      <w:r w:rsidRPr="00F63663">
        <w:rPr>
          <w:lang w:val="tr-TR"/>
        </w:rPr>
        <w:t xml:space="preserve"> (</w:t>
      </w:r>
      <w:proofErr w:type="spellStart"/>
      <w:r w:rsidRPr="00F63663">
        <w:rPr>
          <w:lang w:val="tr-TR"/>
        </w:rPr>
        <w:t>ziram</w:t>
      </w:r>
      <w:proofErr w:type="spellEnd"/>
      <w:r w:rsidRPr="00F63663">
        <w:rPr>
          <w:lang w:val="tr-TR"/>
        </w:rPr>
        <w:t xml:space="preserve">) is </w:t>
      </w:r>
      <w:proofErr w:type="spellStart"/>
      <w:r w:rsidRPr="00F63663">
        <w:rPr>
          <w:lang w:val="tr-TR"/>
        </w:rPr>
        <w:t>described</w:t>
      </w:r>
      <w:proofErr w:type="spellEnd"/>
      <w:r w:rsidRPr="00F63663">
        <w:rPr>
          <w:lang w:val="tr-TR"/>
        </w:rPr>
        <w:t xml:space="preserve"> in </w:t>
      </w:r>
      <w:proofErr w:type="spellStart"/>
      <w:r w:rsidRPr="00F63663">
        <w:rPr>
          <w:lang w:val="tr-TR"/>
        </w:rPr>
        <w:t>this</w:t>
      </w:r>
      <w:proofErr w:type="spellEnd"/>
      <w:r w:rsidRPr="00F63663">
        <w:rPr>
          <w:lang w:val="tr-TR"/>
        </w:rPr>
        <w:t xml:space="preserve"> </w:t>
      </w:r>
      <w:proofErr w:type="spellStart"/>
      <w:r w:rsidRPr="00F63663">
        <w:rPr>
          <w:lang w:val="tr-TR"/>
        </w:rPr>
        <w:t>paper</w:t>
      </w:r>
      <w:proofErr w:type="spellEnd"/>
      <w:r w:rsidRPr="00F63663">
        <w:rPr>
          <w:lang w:val="tr-TR"/>
        </w:rPr>
        <w:t xml:space="preserve">. </w:t>
      </w:r>
      <w:proofErr w:type="spellStart"/>
      <w:r w:rsidRPr="00F63663">
        <w:rPr>
          <w:lang w:val="tr-TR"/>
        </w:rPr>
        <w:t>The</w:t>
      </w:r>
      <w:proofErr w:type="spellEnd"/>
      <w:r w:rsidRPr="00F63663">
        <w:rPr>
          <w:lang w:val="tr-TR"/>
        </w:rPr>
        <w:t xml:space="preserve"> </w:t>
      </w:r>
      <w:proofErr w:type="spellStart"/>
      <w:r w:rsidRPr="00F63663">
        <w:rPr>
          <w:lang w:val="tr-TR"/>
        </w:rPr>
        <w:t>graphene</w:t>
      </w:r>
      <w:proofErr w:type="spellEnd"/>
      <w:r w:rsidRPr="00F63663">
        <w:rPr>
          <w:lang w:val="tr-TR"/>
        </w:rPr>
        <w:t xml:space="preserve"> </w:t>
      </w:r>
      <w:proofErr w:type="spellStart"/>
      <w:r w:rsidRPr="00F63663">
        <w:rPr>
          <w:lang w:val="tr-TR"/>
        </w:rPr>
        <w:t>oxide</w:t>
      </w:r>
      <w:proofErr w:type="spellEnd"/>
      <w:r w:rsidRPr="00F63663">
        <w:rPr>
          <w:lang w:val="tr-TR"/>
        </w:rPr>
        <w:t xml:space="preserve"> (GO) </w:t>
      </w:r>
      <w:proofErr w:type="spellStart"/>
      <w:r w:rsidRPr="00F63663">
        <w:rPr>
          <w:lang w:val="tr-TR"/>
        </w:rPr>
        <w:t>was</w:t>
      </w:r>
      <w:proofErr w:type="spellEnd"/>
      <w:r w:rsidRPr="00F63663">
        <w:rPr>
          <w:lang w:val="tr-TR"/>
        </w:rPr>
        <w:t xml:space="preserve"> </w:t>
      </w:r>
      <w:proofErr w:type="spellStart"/>
      <w:r w:rsidRPr="00F63663">
        <w:rPr>
          <w:lang w:val="tr-TR"/>
        </w:rPr>
        <w:t>synthesized</w:t>
      </w:r>
      <w:proofErr w:type="spellEnd"/>
      <w:r w:rsidRPr="00F63663">
        <w:rPr>
          <w:lang w:val="tr-TR"/>
        </w:rPr>
        <w:t xml:space="preserve"> </w:t>
      </w:r>
      <w:proofErr w:type="spellStart"/>
      <w:r w:rsidRPr="00F63663">
        <w:rPr>
          <w:lang w:val="tr-TR"/>
        </w:rPr>
        <w:t>using</w:t>
      </w:r>
      <w:proofErr w:type="spellEnd"/>
      <w:r w:rsidRPr="00F63663">
        <w:rPr>
          <w:lang w:val="tr-TR"/>
        </w:rPr>
        <w:t xml:space="preserve"> a </w:t>
      </w:r>
      <w:proofErr w:type="spellStart"/>
      <w:r w:rsidRPr="00F63663">
        <w:rPr>
          <w:lang w:val="tr-TR"/>
        </w:rPr>
        <w:t>modified</w:t>
      </w:r>
      <w:proofErr w:type="spellEnd"/>
      <w:r w:rsidRPr="00F63663">
        <w:rPr>
          <w:lang w:val="tr-TR"/>
        </w:rPr>
        <w:t xml:space="preserve"> </w:t>
      </w:r>
      <w:proofErr w:type="spellStart"/>
      <w:r w:rsidRPr="00F63663">
        <w:rPr>
          <w:lang w:val="tr-TR"/>
        </w:rPr>
        <w:t>Hummer's</w:t>
      </w:r>
      <w:proofErr w:type="spellEnd"/>
      <w:r w:rsidRPr="00F63663">
        <w:rPr>
          <w:lang w:val="tr-TR"/>
        </w:rPr>
        <w:t xml:space="preserve"> </w:t>
      </w:r>
      <w:proofErr w:type="spellStart"/>
      <w:r w:rsidRPr="00F63663">
        <w:rPr>
          <w:lang w:val="tr-TR"/>
        </w:rPr>
        <w:t>method</w:t>
      </w:r>
      <w:proofErr w:type="spellEnd"/>
      <w:r w:rsidRPr="00F63663">
        <w:rPr>
          <w:lang w:val="tr-TR"/>
        </w:rPr>
        <w:t xml:space="preserve">. A </w:t>
      </w:r>
      <w:proofErr w:type="spellStart"/>
      <w:r w:rsidRPr="00F63663">
        <w:rPr>
          <w:lang w:val="tr-TR"/>
        </w:rPr>
        <w:t>composite</w:t>
      </w:r>
      <w:proofErr w:type="spellEnd"/>
      <w:r w:rsidRPr="00F63663">
        <w:rPr>
          <w:lang w:val="tr-TR"/>
        </w:rPr>
        <w:t xml:space="preserve"> </w:t>
      </w:r>
      <w:proofErr w:type="gramStart"/>
      <w:r w:rsidRPr="00F63663">
        <w:rPr>
          <w:lang w:val="tr-TR"/>
        </w:rPr>
        <w:t>sensor</w:t>
      </w:r>
      <w:proofErr w:type="gramEnd"/>
      <w:r w:rsidRPr="00F63663">
        <w:rPr>
          <w:lang w:val="tr-TR"/>
        </w:rPr>
        <w:t xml:space="preserve"> </w:t>
      </w:r>
      <w:proofErr w:type="spellStart"/>
      <w:r w:rsidRPr="00F63663">
        <w:rPr>
          <w:lang w:val="tr-TR"/>
        </w:rPr>
        <w:t>consisting</w:t>
      </w:r>
      <w:proofErr w:type="spellEnd"/>
      <w:r w:rsidRPr="00F63663">
        <w:rPr>
          <w:lang w:val="tr-TR"/>
        </w:rPr>
        <w:t xml:space="preserve"> of </w:t>
      </w:r>
      <w:proofErr w:type="spellStart"/>
      <w:r w:rsidRPr="00F63663">
        <w:rPr>
          <w:lang w:val="tr-TR"/>
        </w:rPr>
        <w:t>gold</w:t>
      </w:r>
      <w:proofErr w:type="spellEnd"/>
      <w:r w:rsidRPr="00F63663">
        <w:rPr>
          <w:lang w:val="tr-TR"/>
        </w:rPr>
        <w:t xml:space="preserve"> </w:t>
      </w:r>
      <w:proofErr w:type="spellStart"/>
      <w:r w:rsidRPr="00F63663">
        <w:rPr>
          <w:lang w:val="tr-TR"/>
        </w:rPr>
        <w:t>nanoparticles</w:t>
      </w:r>
      <w:proofErr w:type="spellEnd"/>
      <w:r w:rsidRPr="00F63663">
        <w:rPr>
          <w:lang w:val="tr-TR"/>
        </w:rPr>
        <w:t xml:space="preserve"> (</w:t>
      </w:r>
      <w:proofErr w:type="spellStart"/>
      <w:r w:rsidRPr="00F63663">
        <w:rPr>
          <w:lang w:val="tr-TR"/>
        </w:rPr>
        <w:t>AuNPs</w:t>
      </w:r>
      <w:proofErr w:type="spellEnd"/>
      <w:r w:rsidRPr="00F63663">
        <w:rPr>
          <w:lang w:val="tr-TR"/>
        </w:rPr>
        <w:t xml:space="preserve">) </w:t>
      </w:r>
      <w:proofErr w:type="spellStart"/>
      <w:r w:rsidRPr="00F63663">
        <w:rPr>
          <w:lang w:val="tr-TR"/>
        </w:rPr>
        <w:t>and</w:t>
      </w:r>
      <w:proofErr w:type="spellEnd"/>
      <w:r w:rsidRPr="00F63663">
        <w:rPr>
          <w:lang w:val="tr-TR"/>
        </w:rPr>
        <w:t xml:space="preserve"> </w:t>
      </w:r>
      <w:proofErr w:type="spellStart"/>
      <w:r w:rsidRPr="00F63663">
        <w:rPr>
          <w:lang w:val="tr-TR"/>
        </w:rPr>
        <w:t>reduced</w:t>
      </w:r>
      <w:proofErr w:type="spellEnd"/>
      <w:r w:rsidRPr="00F63663">
        <w:rPr>
          <w:lang w:val="tr-TR"/>
        </w:rPr>
        <w:t xml:space="preserve"> </w:t>
      </w:r>
      <w:proofErr w:type="spellStart"/>
      <w:r w:rsidRPr="00F63663">
        <w:rPr>
          <w:lang w:val="tr-TR"/>
        </w:rPr>
        <w:t>graphene</w:t>
      </w:r>
      <w:proofErr w:type="spellEnd"/>
      <w:r w:rsidRPr="00F63663">
        <w:rPr>
          <w:lang w:val="tr-TR"/>
        </w:rPr>
        <w:t xml:space="preserve"> </w:t>
      </w:r>
      <w:proofErr w:type="spellStart"/>
      <w:r w:rsidRPr="00F63663">
        <w:rPr>
          <w:lang w:val="tr-TR"/>
        </w:rPr>
        <w:t>oxide</w:t>
      </w:r>
      <w:proofErr w:type="spellEnd"/>
      <w:r w:rsidRPr="00F63663">
        <w:rPr>
          <w:lang w:val="tr-TR"/>
        </w:rPr>
        <w:t xml:space="preserve"> (RGO) </w:t>
      </w:r>
      <w:proofErr w:type="spellStart"/>
      <w:r w:rsidRPr="00F63663">
        <w:rPr>
          <w:lang w:val="tr-TR"/>
        </w:rPr>
        <w:t>was</w:t>
      </w:r>
      <w:proofErr w:type="spellEnd"/>
      <w:r w:rsidRPr="00F63663">
        <w:rPr>
          <w:lang w:val="tr-TR"/>
        </w:rPr>
        <w:t xml:space="preserve"> </w:t>
      </w:r>
      <w:proofErr w:type="spellStart"/>
      <w:r w:rsidRPr="00F63663">
        <w:rPr>
          <w:lang w:val="tr-TR"/>
        </w:rPr>
        <w:t>electrochemically</w:t>
      </w:r>
      <w:proofErr w:type="spellEnd"/>
      <w:r w:rsidRPr="00F63663">
        <w:rPr>
          <w:lang w:val="tr-TR"/>
        </w:rPr>
        <w:t xml:space="preserve"> </w:t>
      </w:r>
      <w:proofErr w:type="spellStart"/>
      <w:r w:rsidRPr="00F63663">
        <w:rPr>
          <w:lang w:val="tr-TR"/>
        </w:rPr>
        <w:t>fabricated</w:t>
      </w:r>
      <w:proofErr w:type="spellEnd"/>
      <w:r w:rsidRPr="00F63663">
        <w:rPr>
          <w:lang w:val="tr-TR"/>
        </w:rPr>
        <w:t xml:space="preserve"> on a </w:t>
      </w:r>
      <w:proofErr w:type="spellStart"/>
      <w:r w:rsidRPr="00F63663">
        <w:rPr>
          <w:lang w:val="tr-TR"/>
        </w:rPr>
        <w:t>glassy</w:t>
      </w:r>
      <w:proofErr w:type="spellEnd"/>
      <w:r w:rsidRPr="00F63663">
        <w:rPr>
          <w:lang w:val="tr-TR"/>
        </w:rPr>
        <w:t xml:space="preserve"> </w:t>
      </w:r>
      <w:proofErr w:type="spellStart"/>
      <w:r w:rsidRPr="00F63663">
        <w:rPr>
          <w:lang w:val="tr-TR"/>
        </w:rPr>
        <w:t>carbon</w:t>
      </w:r>
      <w:proofErr w:type="spellEnd"/>
      <w:r w:rsidRPr="00F63663">
        <w:rPr>
          <w:lang w:val="tr-TR"/>
        </w:rPr>
        <w:t xml:space="preserve"> </w:t>
      </w:r>
      <w:proofErr w:type="spellStart"/>
      <w:r w:rsidRPr="00F63663">
        <w:rPr>
          <w:lang w:val="tr-TR"/>
        </w:rPr>
        <w:t>electrode</w:t>
      </w:r>
      <w:proofErr w:type="spellEnd"/>
      <w:r w:rsidRPr="00F63663">
        <w:rPr>
          <w:lang w:val="tr-TR"/>
        </w:rPr>
        <w:t xml:space="preserve">. </w:t>
      </w:r>
      <w:proofErr w:type="spellStart"/>
      <w:r w:rsidRPr="00F63663">
        <w:rPr>
          <w:lang w:val="tr-TR"/>
        </w:rPr>
        <w:t>The</w:t>
      </w:r>
      <w:proofErr w:type="spellEnd"/>
      <w:r w:rsidRPr="00F63663">
        <w:rPr>
          <w:lang w:val="tr-TR"/>
        </w:rPr>
        <w:t xml:space="preserve"> </w:t>
      </w:r>
      <w:proofErr w:type="spellStart"/>
      <w:r w:rsidRPr="00F63663">
        <w:rPr>
          <w:lang w:val="tr-TR"/>
        </w:rPr>
        <w:t>nanocomposite</w:t>
      </w:r>
      <w:proofErr w:type="spellEnd"/>
      <w:r w:rsidRPr="00F63663">
        <w:rPr>
          <w:lang w:val="tr-TR"/>
        </w:rPr>
        <w:t xml:space="preserve"> </w:t>
      </w:r>
      <w:proofErr w:type="spellStart"/>
      <w:r w:rsidRPr="00F63663">
        <w:rPr>
          <w:lang w:val="tr-TR"/>
        </w:rPr>
        <w:t>was</w:t>
      </w:r>
      <w:proofErr w:type="spellEnd"/>
      <w:r w:rsidRPr="00F63663">
        <w:rPr>
          <w:lang w:val="tr-TR"/>
        </w:rPr>
        <w:t xml:space="preserve"> </w:t>
      </w:r>
      <w:proofErr w:type="spellStart"/>
      <w:r w:rsidRPr="00F63663">
        <w:rPr>
          <w:lang w:val="tr-TR"/>
        </w:rPr>
        <w:t>evaluated</w:t>
      </w:r>
      <w:proofErr w:type="spellEnd"/>
      <w:r w:rsidRPr="00F63663">
        <w:rPr>
          <w:lang w:val="tr-TR"/>
        </w:rPr>
        <w:t xml:space="preserve"> </w:t>
      </w:r>
      <w:proofErr w:type="spellStart"/>
      <w:r w:rsidRPr="00F63663">
        <w:rPr>
          <w:lang w:val="tr-TR"/>
        </w:rPr>
        <w:t>utilizing</w:t>
      </w:r>
      <w:proofErr w:type="spellEnd"/>
      <w:r w:rsidRPr="00F63663">
        <w:rPr>
          <w:lang w:val="tr-TR"/>
        </w:rPr>
        <w:t xml:space="preserve"> </w:t>
      </w:r>
      <w:proofErr w:type="spellStart"/>
      <w:r w:rsidRPr="00F63663">
        <w:rPr>
          <w:lang w:val="tr-TR"/>
        </w:rPr>
        <w:t>scanning</w:t>
      </w:r>
      <w:proofErr w:type="spellEnd"/>
      <w:r w:rsidRPr="00F63663">
        <w:rPr>
          <w:lang w:val="tr-TR"/>
        </w:rPr>
        <w:t xml:space="preserve"> </w:t>
      </w:r>
      <w:proofErr w:type="spellStart"/>
      <w:r w:rsidRPr="00F63663">
        <w:rPr>
          <w:lang w:val="tr-TR"/>
        </w:rPr>
        <w:t>electron</w:t>
      </w:r>
      <w:proofErr w:type="spellEnd"/>
      <w:r w:rsidRPr="00F63663">
        <w:rPr>
          <w:lang w:val="tr-TR"/>
        </w:rPr>
        <w:t xml:space="preserve"> </w:t>
      </w:r>
      <w:proofErr w:type="spellStart"/>
      <w:r w:rsidRPr="00F63663">
        <w:rPr>
          <w:lang w:val="tr-TR"/>
        </w:rPr>
        <w:t>microscopy</w:t>
      </w:r>
      <w:proofErr w:type="spellEnd"/>
      <w:r w:rsidRPr="00F63663">
        <w:rPr>
          <w:lang w:val="tr-TR"/>
        </w:rPr>
        <w:t xml:space="preserve"> (SEM). </w:t>
      </w:r>
      <w:proofErr w:type="spellStart"/>
      <w:r w:rsidRPr="00F63663">
        <w:rPr>
          <w:lang w:val="tr-TR"/>
        </w:rPr>
        <w:t>Cyclic</w:t>
      </w:r>
      <w:proofErr w:type="spellEnd"/>
      <w:r w:rsidRPr="00F63663">
        <w:rPr>
          <w:lang w:val="tr-TR"/>
        </w:rPr>
        <w:t xml:space="preserve"> </w:t>
      </w:r>
      <w:proofErr w:type="spellStart"/>
      <w:r w:rsidRPr="00F63663">
        <w:rPr>
          <w:lang w:val="tr-TR"/>
        </w:rPr>
        <w:t>voltammetry</w:t>
      </w:r>
      <w:proofErr w:type="spellEnd"/>
      <w:r w:rsidRPr="00F63663">
        <w:rPr>
          <w:lang w:val="tr-TR"/>
        </w:rPr>
        <w:t xml:space="preserve"> </w:t>
      </w:r>
      <w:proofErr w:type="spellStart"/>
      <w:r w:rsidRPr="00F63663">
        <w:rPr>
          <w:lang w:val="tr-TR"/>
        </w:rPr>
        <w:t>was</w:t>
      </w:r>
      <w:proofErr w:type="spellEnd"/>
      <w:r w:rsidRPr="00F63663">
        <w:rPr>
          <w:lang w:val="tr-TR"/>
        </w:rPr>
        <w:t xml:space="preserve"> </w:t>
      </w:r>
      <w:proofErr w:type="spellStart"/>
      <w:r w:rsidRPr="00F63663">
        <w:rPr>
          <w:lang w:val="tr-TR"/>
        </w:rPr>
        <w:t>used</w:t>
      </w:r>
      <w:proofErr w:type="spellEnd"/>
      <w:r w:rsidRPr="00F63663">
        <w:rPr>
          <w:lang w:val="tr-TR"/>
        </w:rPr>
        <w:t xml:space="preserve"> </w:t>
      </w:r>
      <w:proofErr w:type="spellStart"/>
      <w:r w:rsidRPr="00F63663">
        <w:rPr>
          <w:lang w:val="tr-TR"/>
        </w:rPr>
        <w:t>to</w:t>
      </w:r>
      <w:proofErr w:type="spellEnd"/>
      <w:r w:rsidRPr="00F63663">
        <w:rPr>
          <w:lang w:val="tr-TR"/>
        </w:rPr>
        <w:t xml:space="preserve"> </w:t>
      </w:r>
      <w:proofErr w:type="spellStart"/>
      <w:r w:rsidRPr="00F63663">
        <w:rPr>
          <w:lang w:val="tr-TR"/>
        </w:rPr>
        <w:t>illuminate</w:t>
      </w:r>
      <w:proofErr w:type="spellEnd"/>
      <w:r w:rsidRPr="00F63663">
        <w:rPr>
          <w:lang w:val="tr-TR"/>
        </w:rPr>
        <w:t xml:space="preserve"> </w:t>
      </w:r>
      <w:proofErr w:type="spellStart"/>
      <w:r w:rsidRPr="00F63663">
        <w:rPr>
          <w:lang w:val="tr-TR"/>
        </w:rPr>
        <w:t>the</w:t>
      </w:r>
      <w:proofErr w:type="spellEnd"/>
      <w:r w:rsidRPr="00F63663">
        <w:rPr>
          <w:lang w:val="tr-TR"/>
        </w:rPr>
        <w:t xml:space="preserve"> </w:t>
      </w:r>
      <w:proofErr w:type="spellStart"/>
      <w:r w:rsidRPr="00F63663">
        <w:rPr>
          <w:lang w:val="tr-TR"/>
        </w:rPr>
        <w:t>modified</w:t>
      </w:r>
      <w:proofErr w:type="spellEnd"/>
      <w:r w:rsidRPr="00F63663">
        <w:rPr>
          <w:lang w:val="tr-TR"/>
        </w:rPr>
        <w:t xml:space="preserve"> </w:t>
      </w:r>
      <w:proofErr w:type="spellStart"/>
      <w:r w:rsidRPr="00F63663">
        <w:rPr>
          <w:lang w:val="tr-TR"/>
        </w:rPr>
        <w:t>sensor's</w:t>
      </w:r>
      <w:proofErr w:type="spellEnd"/>
      <w:r w:rsidRPr="00F63663">
        <w:rPr>
          <w:lang w:val="tr-TR"/>
        </w:rPr>
        <w:t xml:space="preserve"> </w:t>
      </w:r>
      <w:proofErr w:type="spellStart"/>
      <w:r w:rsidRPr="00F63663">
        <w:rPr>
          <w:lang w:val="tr-TR"/>
        </w:rPr>
        <w:t>electrochemical</w:t>
      </w:r>
      <w:proofErr w:type="spellEnd"/>
      <w:r w:rsidRPr="00F63663">
        <w:rPr>
          <w:lang w:val="tr-TR"/>
        </w:rPr>
        <w:t xml:space="preserve"> </w:t>
      </w:r>
      <w:proofErr w:type="spellStart"/>
      <w:r w:rsidRPr="00F63663">
        <w:rPr>
          <w:lang w:val="tr-TR"/>
        </w:rPr>
        <w:t>properties</w:t>
      </w:r>
      <w:proofErr w:type="spellEnd"/>
      <w:r w:rsidRPr="00F63663">
        <w:rPr>
          <w:lang w:val="tr-TR"/>
        </w:rPr>
        <w:t xml:space="preserve"> at </w:t>
      </w:r>
      <w:proofErr w:type="spellStart"/>
      <w:r w:rsidRPr="00F63663">
        <w:rPr>
          <w:lang w:val="tr-TR"/>
        </w:rPr>
        <w:t>each</w:t>
      </w:r>
      <w:proofErr w:type="spellEnd"/>
      <w:r w:rsidRPr="00F63663">
        <w:rPr>
          <w:lang w:val="tr-TR"/>
        </w:rPr>
        <w:t xml:space="preserve"> </w:t>
      </w:r>
      <w:proofErr w:type="spellStart"/>
      <w:r w:rsidRPr="00F63663">
        <w:rPr>
          <w:lang w:val="tr-TR"/>
        </w:rPr>
        <w:t>stage</w:t>
      </w:r>
      <w:proofErr w:type="spellEnd"/>
      <w:r w:rsidRPr="00F63663">
        <w:rPr>
          <w:lang w:val="tr-TR"/>
        </w:rPr>
        <w:t xml:space="preserve"> of </w:t>
      </w:r>
      <w:proofErr w:type="spellStart"/>
      <w:r w:rsidRPr="00F63663">
        <w:rPr>
          <w:lang w:val="tr-TR"/>
        </w:rPr>
        <w:t>the</w:t>
      </w:r>
      <w:proofErr w:type="spellEnd"/>
      <w:r w:rsidRPr="00F63663">
        <w:rPr>
          <w:lang w:val="tr-TR"/>
        </w:rPr>
        <w:t xml:space="preserve"> </w:t>
      </w:r>
      <w:proofErr w:type="spellStart"/>
      <w:r w:rsidRPr="00F63663">
        <w:rPr>
          <w:lang w:val="tr-TR"/>
        </w:rPr>
        <w:t>modification</w:t>
      </w:r>
      <w:proofErr w:type="spellEnd"/>
      <w:r w:rsidRPr="00F63663">
        <w:rPr>
          <w:lang w:val="tr-TR"/>
        </w:rPr>
        <w:t xml:space="preserve">. </w:t>
      </w:r>
      <w:proofErr w:type="spellStart"/>
      <w:r w:rsidRPr="00F63663">
        <w:rPr>
          <w:lang w:val="tr-TR"/>
        </w:rPr>
        <w:t>The</w:t>
      </w:r>
      <w:proofErr w:type="spellEnd"/>
      <w:r w:rsidRPr="00F63663">
        <w:rPr>
          <w:lang w:val="tr-TR"/>
        </w:rPr>
        <w:t xml:space="preserve"> </w:t>
      </w:r>
      <w:proofErr w:type="spellStart"/>
      <w:r w:rsidRPr="00F63663">
        <w:rPr>
          <w:lang w:val="tr-TR"/>
        </w:rPr>
        <w:t>suggested</w:t>
      </w:r>
      <w:proofErr w:type="spellEnd"/>
      <w:r w:rsidRPr="00F63663">
        <w:rPr>
          <w:lang w:val="tr-TR"/>
        </w:rPr>
        <w:t xml:space="preserve"> </w:t>
      </w:r>
      <w:proofErr w:type="gramStart"/>
      <w:r w:rsidRPr="00F63663">
        <w:rPr>
          <w:lang w:val="tr-TR"/>
        </w:rPr>
        <w:t>sensor</w:t>
      </w:r>
      <w:proofErr w:type="gramEnd"/>
      <w:r w:rsidRPr="00F63663">
        <w:rPr>
          <w:lang w:val="tr-TR"/>
        </w:rPr>
        <w:t xml:space="preserve"> </w:t>
      </w:r>
      <w:proofErr w:type="spellStart"/>
      <w:r w:rsidRPr="00F63663">
        <w:rPr>
          <w:lang w:val="tr-TR"/>
        </w:rPr>
        <w:t>was</w:t>
      </w:r>
      <w:proofErr w:type="spellEnd"/>
      <w:r w:rsidRPr="00F63663">
        <w:rPr>
          <w:lang w:val="tr-TR"/>
        </w:rPr>
        <w:t xml:space="preserve"> </w:t>
      </w:r>
      <w:proofErr w:type="spellStart"/>
      <w:r w:rsidRPr="00F63663">
        <w:rPr>
          <w:lang w:val="tr-TR"/>
        </w:rPr>
        <w:t>demonstrated</w:t>
      </w:r>
      <w:proofErr w:type="spellEnd"/>
      <w:r w:rsidRPr="00F63663">
        <w:rPr>
          <w:lang w:val="tr-TR"/>
        </w:rPr>
        <w:t xml:space="preserve"> </w:t>
      </w:r>
      <w:proofErr w:type="spellStart"/>
      <w:r w:rsidRPr="00F63663">
        <w:rPr>
          <w:lang w:val="tr-TR"/>
        </w:rPr>
        <w:t>good</w:t>
      </w:r>
      <w:proofErr w:type="spellEnd"/>
      <w:r w:rsidRPr="00F63663">
        <w:rPr>
          <w:lang w:val="tr-TR"/>
        </w:rPr>
        <w:t xml:space="preserve"> </w:t>
      </w:r>
      <w:proofErr w:type="spellStart"/>
      <w:r w:rsidRPr="00F63663">
        <w:rPr>
          <w:lang w:val="tr-TR"/>
        </w:rPr>
        <w:t>analytical</w:t>
      </w:r>
      <w:proofErr w:type="spellEnd"/>
      <w:r w:rsidRPr="00F63663">
        <w:rPr>
          <w:lang w:val="tr-TR"/>
        </w:rPr>
        <w:t xml:space="preserve"> </w:t>
      </w:r>
      <w:proofErr w:type="spellStart"/>
      <w:r w:rsidRPr="00F63663">
        <w:rPr>
          <w:lang w:val="tr-TR"/>
        </w:rPr>
        <w:t>performance</w:t>
      </w:r>
      <w:proofErr w:type="spellEnd"/>
      <w:r w:rsidR="00CE7C58" w:rsidRPr="00F63663">
        <w:rPr>
          <w:lang w:val="tr-TR"/>
        </w:rPr>
        <w:t xml:space="preserve"> </w:t>
      </w:r>
      <w:proofErr w:type="spellStart"/>
      <w:r w:rsidR="00CE7C58" w:rsidRPr="00F63663">
        <w:rPr>
          <w:lang w:val="tr-TR"/>
        </w:rPr>
        <w:t>to</w:t>
      </w:r>
      <w:proofErr w:type="spellEnd"/>
      <w:r w:rsidR="00CE7C58" w:rsidRPr="00F63663">
        <w:rPr>
          <w:lang w:val="tr-TR"/>
        </w:rPr>
        <w:t xml:space="preserve"> </w:t>
      </w:r>
      <w:proofErr w:type="spellStart"/>
      <w:r w:rsidR="00CE7C58" w:rsidRPr="00F63663">
        <w:rPr>
          <w:lang w:val="tr-TR"/>
        </w:rPr>
        <w:t>determine</w:t>
      </w:r>
      <w:proofErr w:type="spellEnd"/>
      <w:r w:rsidR="00CE7C58" w:rsidRPr="00F63663">
        <w:rPr>
          <w:lang w:val="tr-TR"/>
        </w:rPr>
        <w:t xml:space="preserve"> </w:t>
      </w:r>
      <w:proofErr w:type="spellStart"/>
      <w:r w:rsidR="00CE7C58" w:rsidRPr="00F63663">
        <w:rPr>
          <w:lang w:val="tr-TR"/>
        </w:rPr>
        <w:t>ziram</w:t>
      </w:r>
      <w:proofErr w:type="spellEnd"/>
      <w:r w:rsidR="00CE7C58" w:rsidRPr="00F63663">
        <w:rPr>
          <w:lang w:val="tr-TR"/>
        </w:rPr>
        <w:t xml:space="preserve"> </w:t>
      </w:r>
      <w:proofErr w:type="spellStart"/>
      <w:r w:rsidR="00CE7C58" w:rsidRPr="00F63663">
        <w:rPr>
          <w:lang w:val="tr-TR"/>
        </w:rPr>
        <w:t>pesticide</w:t>
      </w:r>
      <w:proofErr w:type="spellEnd"/>
      <w:r w:rsidR="00CE7C58" w:rsidRPr="00F63663">
        <w:rPr>
          <w:lang w:val="tr-TR"/>
        </w:rPr>
        <w:t xml:space="preserve"> in </w:t>
      </w:r>
      <w:proofErr w:type="spellStart"/>
      <w:r w:rsidR="00CE7C58" w:rsidRPr="00F63663">
        <w:rPr>
          <w:lang w:val="tr-TR"/>
        </w:rPr>
        <w:t>water</w:t>
      </w:r>
      <w:proofErr w:type="spellEnd"/>
      <w:r w:rsidR="00CE7C58" w:rsidRPr="00F63663">
        <w:rPr>
          <w:lang w:val="tr-TR"/>
        </w:rPr>
        <w:t xml:space="preserve"> </w:t>
      </w:r>
      <w:proofErr w:type="spellStart"/>
      <w:r w:rsidR="00CE7C58" w:rsidRPr="00F63663">
        <w:rPr>
          <w:lang w:val="tr-TR"/>
        </w:rPr>
        <w:t>and</w:t>
      </w:r>
      <w:proofErr w:type="spellEnd"/>
      <w:r w:rsidR="00CE7C58" w:rsidRPr="00F63663">
        <w:rPr>
          <w:lang w:val="tr-TR"/>
        </w:rPr>
        <w:t xml:space="preserve"> </w:t>
      </w:r>
      <w:proofErr w:type="spellStart"/>
      <w:r w:rsidR="00CE7C58" w:rsidRPr="00F63663">
        <w:rPr>
          <w:lang w:val="tr-TR"/>
        </w:rPr>
        <w:t>peach</w:t>
      </w:r>
      <w:proofErr w:type="spellEnd"/>
      <w:r w:rsidR="00CE7C58" w:rsidRPr="00F63663">
        <w:rPr>
          <w:lang w:val="tr-TR"/>
        </w:rPr>
        <w:t xml:space="preserve"> </w:t>
      </w:r>
      <w:proofErr w:type="spellStart"/>
      <w:r w:rsidR="00CE7C58" w:rsidRPr="00F63663">
        <w:rPr>
          <w:lang w:val="tr-TR"/>
        </w:rPr>
        <w:t>juice</w:t>
      </w:r>
      <w:proofErr w:type="spellEnd"/>
      <w:r w:rsidRPr="00F63663">
        <w:rPr>
          <w:lang w:val="tr-TR"/>
        </w:rPr>
        <w:t xml:space="preserve">, </w:t>
      </w:r>
      <w:proofErr w:type="spellStart"/>
      <w:r w:rsidRPr="00F63663">
        <w:rPr>
          <w:lang w:val="tr-TR"/>
        </w:rPr>
        <w:t>including</w:t>
      </w:r>
      <w:proofErr w:type="spellEnd"/>
      <w:r w:rsidRPr="00F63663">
        <w:rPr>
          <w:lang w:val="tr-TR"/>
        </w:rPr>
        <w:t xml:space="preserve"> a </w:t>
      </w:r>
      <w:proofErr w:type="spellStart"/>
      <w:r w:rsidRPr="00F63663">
        <w:rPr>
          <w:lang w:val="tr-TR"/>
        </w:rPr>
        <w:t>very</w:t>
      </w:r>
      <w:proofErr w:type="spellEnd"/>
      <w:r w:rsidRPr="00F63663">
        <w:rPr>
          <w:lang w:val="tr-TR"/>
        </w:rPr>
        <w:t xml:space="preserve"> </w:t>
      </w:r>
      <w:proofErr w:type="spellStart"/>
      <w:r w:rsidRPr="00F63663">
        <w:rPr>
          <w:lang w:val="tr-TR"/>
        </w:rPr>
        <w:t>low</w:t>
      </w:r>
      <w:proofErr w:type="spellEnd"/>
      <w:r w:rsidRPr="00F63663">
        <w:rPr>
          <w:lang w:val="tr-TR"/>
        </w:rPr>
        <w:t xml:space="preserve"> </w:t>
      </w:r>
      <w:proofErr w:type="spellStart"/>
      <w:r w:rsidRPr="00F63663">
        <w:rPr>
          <w:lang w:val="tr-TR"/>
        </w:rPr>
        <w:t>detection</w:t>
      </w:r>
      <w:proofErr w:type="spellEnd"/>
      <w:r w:rsidRPr="00F63663">
        <w:rPr>
          <w:lang w:val="tr-TR"/>
        </w:rPr>
        <w:t xml:space="preserve"> limit, a </w:t>
      </w:r>
      <w:proofErr w:type="spellStart"/>
      <w:r w:rsidRPr="00F63663">
        <w:rPr>
          <w:lang w:val="tr-TR"/>
        </w:rPr>
        <w:t>large</w:t>
      </w:r>
      <w:proofErr w:type="spellEnd"/>
      <w:r w:rsidRPr="00F63663">
        <w:rPr>
          <w:lang w:val="tr-TR"/>
        </w:rPr>
        <w:t xml:space="preserve"> </w:t>
      </w:r>
      <w:proofErr w:type="spellStart"/>
      <w:r w:rsidRPr="00F63663">
        <w:rPr>
          <w:lang w:val="tr-TR"/>
        </w:rPr>
        <w:t>linear</w:t>
      </w:r>
      <w:proofErr w:type="spellEnd"/>
      <w:r w:rsidRPr="00F63663">
        <w:rPr>
          <w:lang w:val="tr-TR"/>
        </w:rPr>
        <w:t xml:space="preserve"> </w:t>
      </w:r>
      <w:proofErr w:type="spellStart"/>
      <w:r w:rsidRPr="00F63663">
        <w:rPr>
          <w:lang w:val="tr-TR"/>
        </w:rPr>
        <w:t>range</w:t>
      </w:r>
      <w:proofErr w:type="spellEnd"/>
      <w:r w:rsidRPr="00F63663">
        <w:rPr>
          <w:lang w:val="tr-TR"/>
        </w:rPr>
        <w:t xml:space="preserve">, </w:t>
      </w:r>
      <w:proofErr w:type="spellStart"/>
      <w:r w:rsidRPr="00F63663">
        <w:rPr>
          <w:lang w:val="tr-TR"/>
        </w:rPr>
        <w:t>and</w:t>
      </w:r>
      <w:proofErr w:type="spellEnd"/>
      <w:r w:rsidRPr="00F63663">
        <w:rPr>
          <w:lang w:val="tr-TR"/>
        </w:rPr>
        <w:t xml:space="preserve"> a </w:t>
      </w:r>
      <w:proofErr w:type="spellStart"/>
      <w:r w:rsidRPr="00F63663">
        <w:rPr>
          <w:lang w:val="tr-TR"/>
        </w:rPr>
        <w:t>low</w:t>
      </w:r>
      <w:proofErr w:type="spellEnd"/>
      <w:r w:rsidRPr="00F63663">
        <w:rPr>
          <w:lang w:val="tr-TR"/>
        </w:rPr>
        <w:t xml:space="preserve"> RSD.</w:t>
      </w:r>
    </w:p>
    <w:p w:rsidR="00605E6B" w:rsidRPr="00F63663" w:rsidRDefault="00605E6B" w:rsidP="00F30DFF">
      <w:pPr>
        <w:pStyle w:val="Keywords"/>
      </w:pPr>
    </w:p>
    <w:p w:rsidR="00503147" w:rsidRPr="00F63663" w:rsidRDefault="00503147" w:rsidP="00503147">
      <w:pPr>
        <w:pStyle w:val="Keywords"/>
        <w:ind w:left="0"/>
      </w:pPr>
    </w:p>
    <w:p w:rsidR="0020415E" w:rsidRPr="00F63663" w:rsidRDefault="00941E5F" w:rsidP="00503147">
      <w:pPr>
        <w:pStyle w:val="Keywords"/>
        <w:ind w:left="0"/>
      </w:pPr>
      <w:r w:rsidRPr="00F63663">
        <w:rPr>
          <w:b/>
        </w:rPr>
        <w:t>Keywords:</w:t>
      </w:r>
      <w:r w:rsidR="00997B0F" w:rsidRPr="00F63663">
        <w:t xml:space="preserve"> </w:t>
      </w:r>
      <w:proofErr w:type="spellStart"/>
      <w:r w:rsidR="00C9399F">
        <w:rPr>
          <w:lang w:val="tr-TR"/>
        </w:rPr>
        <w:t>R</w:t>
      </w:r>
      <w:r w:rsidR="00605E6B" w:rsidRPr="00F63663">
        <w:rPr>
          <w:lang w:val="tr-TR"/>
        </w:rPr>
        <w:t>educed</w:t>
      </w:r>
      <w:proofErr w:type="spellEnd"/>
      <w:r w:rsidR="00605E6B" w:rsidRPr="00F63663">
        <w:rPr>
          <w:lang w:val="tr-TR"/>
        </w:rPr>
        <w:t xml:space="preserve"> </w:t>
      </w:r>
      <w:proofErr w:type="spellStart"/>
      <w:r w:rsidR="00605E6B" w:rsidRPr="00F63663">
        <w:rPr>
          <w:lang w:val="tr-TR"/>
        </w:rPr>
        <w:t>graphene</w:t>
      </w:r>
      <w:proofErr w:type="spellEnd"/>
      <w:r w:rsidR="00605E6B" w:rsidRPr="00F63663">
        <w:rPr>
          <w:lang w:val="tr-TR"/>
        </w:rPr>
        <w:t xml:space="preserve"> </w:t>
      </w:r>
      <w:proofErr w:type="spellStart"/>
      <w:r w:rsidR="00605E6B" w:rsidRPr="00F63663">
        <w:rPr>
          <w:lang w:val="tr-TR"/>
        </w:rPr>
        <w:t>oxide</w:t>
      </w:r>
      <w:proofErr w:type="spellEnd"/>
      <w:r w:rsidR="00605E6B" w:rsidRPr="00F63663">
        <w:rPr>
          <w:lang w:val="tr-TR"/>
        </w:rPr>
        <w:t xml:space="preserve">; </w:t>
      </w:r>
      <w:proofErr w:type="spellStart"/>
      <w:r w:rsidR="00C9399F">
        <w:rPr>
          <w:lang w:val="tr-TR"/>
        </w:rPr>
        <w:t>ziram</w:t>
      </w:r>
      <w:proofErr w:type="spellEnd"/>
      <w:r w:rsidR="00C9399F">
        <w:rPr>
          <w:lang w:val="tr-TR"/>
        </w:rPr>
        <w:t xml:space="preserve">; </w:t>
      </w:r>
      <w:proofErr w:type="spellStart"/>
      <w:r w:rsidR="00605E6B" w:rsidRPr="00F63663">
        <w:rPr>
          <w:lang w:val="tr-TR"/>
        </w:rPr>
        <w:t>nanomaterials</w:t>
      </w:r>
      <w:proofErr w:type="spellEnd"/>
      <w:r w:rsidR="00605E6B" w:rsidRPr="00F63663">
        <w:rPr>
          <w:lang w:val="tr-TR"/>
        </w:rPr>
        <w:t xml:space="preserve">; </w:t>
      </w:r>
      <w:proofErr w:type="spellStart"/>
      <w:r w:rsidR="00605E6B" w:rsidRPr="00F63663">
        <w:rPr>
          <w:lang w:val="tr-TR"/>
        </w:rPr>
        <w:t>sensors</w:t>
      </w:r>
      <w:proofErr w:type="spellEnd"/>
      <w:r w:rsidR="00C9399F">
        <w:rPr>
          <w:lang w:val="tr-TR"/>
        </w:rPr>
        <w:t xml:space="preserve">, </w:t>
      </w:r>
    </w:p>
    <w:p w:rsidR="003472A4" w:rsidRPr="00F63663" w:rsidRDefault="003472A4">
      <w:pPr>
        <w:spacing w:line="240" w:lineRule="auto"/>
        <w:rPr>
          <w:rFonts w:cs="Arial"/>
          <w:b/>
          <w:bCs/>
          <w:kern w:val="32"/>
          <w:szCs w:val="32"/>
        </w:rPr>
      </w:pPr>
      <w:r w:rsidRPr="00F63663">
        <w:br w:type="page"/>
      </w:r>
    </w:p>
    <w:p w:rsidR="00997B0F" w:rsidRPr="00F63663" w:rsidRDefault="00EB3302" w:rsidP="00503147">
      <w:pPr>
        <w:pStyle w:val="Balk1"/>
        <w:numPr>
          <w:ilvl w:val="0"/>
          <w:numId w:val="37"/>
        </w:numPr>
      </w:pPr>
      <w:r w:rsidRPr="00F63663">
        <w:lastRenderedPageBreak/>
        <w:t xml:space="preserve">Introduction </w:t>
      </w:r>
    </w:p>
    <w:p w:rsidR="00D7121E" w:rsidRPr="00BE05BF" w:rsidRDefault="00004CBC" w:rsidP="00503147">
      <w:pPr>
        <w:spacing w:line="360" w:lineRule="auto"/>
        <w:ind w:firstLine="360"/>
        <w:jc w:val="both"/>
        <w:rPr>
          <w:vertAlign w:val="superscript"/>
        </w:rPr>
      </w:pPr>
      <w:r w:rsidRPr="00F63663">
        <w:t xml:space="preserve">Materials having sizes or properties ranging from 1 to 100 nm in one or more dimensions are called nanomaterials. Superior thermal, mechanical, electrical, and biological properties not available in conventional materials are the important characteristics </w:t>
      </w:r>
      <w:r w:rsidRPr="00BE05BF">
        <w:t>of these materials</w:t>
      </w:r>
      <w:r w:rsidR="00760900" w:rsidRPr="00BE05BF">
        <w:t>.</w:t>
      </w:r>
      <w:r w:rsidR="00760900" w:rsidRPr="00BE05BF">
        <w:rPr>
          <w:vertAlign w:val="superscript"/>
        </w:rPr>
        <w:t>1</w:t>
      </w:r>
    </w:p>
    <w:p w:rsidR="00004CBC" w:rsidRPr="00BE05BF" w:rsidRDefault="00004CBC" w:rsidP="00503147">
      <w:pPr>
        <w:spacing w:line="360" w:lineRule="auto"/>
        <w:ind w:firstLine="360"/>
        <w:jc w:val="both"/>
        <w:rPr>
          <w:vertAlign w:val="superscript"/>
        </w:rPr>
      </w:pPr>
      <w:r w:rsidRPr="00BE05BF">
        <w:t>The combination of these distinctive properties with their remarkable recognition abilities has resulted in improved performance. Apart from their high mechanical strength and low weight, nanomaterials' surface features, including area, roughness, energetics, and electron distributions, are primarily the result of their unique properties.</w:t>
      </w:r>
      <w:r w:rsidR="00E17E56" w:rsidRPr="00BE05BF">
        <w:t xml:space="preserve"> </w:t>
      </w:r>
      <w:r w:rsidR="00DF00ED" w:rsidRPr="00BE05BF">
        <w:t>It is obvious that nanomaterials, which has applications such as providing clean drinking water, improving air quality, developing new energy sources and at the same time removing dangerous and toxic substances from our environment, will help create a sustainable environment.</w:t>
      </w:r>
      <w:r w:rsidR="00BB0805" w:rsidRPr="00BE05BF">
        <w:rPr>
          <w:vertAlign w:val="superscript"/>
        </w:rPr>
        <w:t>2</w:t>
      </w:r>
    </w:p>
    <w:p w:rsidR="00EB3302" w:rsidRPr="00BE05BF" w:rsidRDefault="00004CBC" w:rsidP="00004CBC">
      <w:pPr>
        <w:spacing w:after="160" w:line="360" w:lineRule="auto"/>
        <w:ind w:firstLine="720"/>
        <w:jc w:val="both"/>
        <w:rPr>
          <w:rFonts w:eastAsia="Calibri"/>
          <w:vertAlign w:val="superscript"/>
          <w:lang w:val="tr-TR" w:eastAsia="en-US"/>
        </w:rPr>
      </w:pPr>
      <w:proofErr w:type="spellStart"/>
      <w:r w:rsidRPr="00BE05BF">
        <w:rPr>
          <w:rFonts w:eastAsia="Calibri"/>
          <w:lang w:val="tr-TR" w:eastAsia="en-US"/>
        </w:rPr>
        <w:t>Graphene</w:t>
      </w:r>
      <w:proofErr w:type="spellEnd"/>
      <w:r w:rsidRPr="00BE05BF">
        <w:rPr>
          <w:rFonts w:eastAsia="Calibri"/>
          <w:lang w:val="tr-TR" w:eastAsia="en-US"/>
        </w:rPr>
        <w:t xml:space="preserve"> is </w:t>
      </w:r>
      <w:proofErr w:type="spellStart"/>
      <w:r w:rsidRPr="00BE05BF">
        <w:rPr>
          <w:rFonts w:eastAsia="Calibri"/>
          <w:lang w:val="tr-TR" w:eastAsia="en-US"/>
        </w:rPr>
        <w:t>one</w:t>
      </w:r>
      <w:proofErr w:type="spellEnd"/>
      <w:r w:rsidRPr="00BE05BF">
        <w:rPr>
          <w:rFonts w:eastAsia="Calibri"/>
          <w:lang w:val="tr-TR" w:eastAsia="en-US"/>
        </w:rPr>
        <w:t xml:space="preserve"> of </w:t>
      </w:r>
      <w:proofErr w:type="spellStart"/>
      <w:r w:rsidRPr="00BE05BF">
        <w:rPr>
          <w:rFonts w:eastAsia="Calibri"/>
          <w:lang w:val="tr-TR" w:eastAsia="en-US"/>
        </w:rPr>
        <w:t>the</w:t>
      </w:r>
      <w:proofErr w:type="spellEnd"/>
      <w:r w:rsidRPr="00BE05BF">
        <w:rPr>
          <w:rFonts w:eastAsia="Calibri"/>
          <w:lang w:val="tr-TR" w:eastAsia="en-US"/>
        </w:rPr>
        <w:t xml:space="preserve"> </w:t>
      </w:r>
      <w:proofErr w:type="spellStart"/>
      <w:r w:rsidRPr="00BE05BF">
        <w:rPr>
          <w:rFonts w:eastAsia="Calibri"/>
          <w:lang w:val="tr-TR" w:eastAsia="en-US"/>
        </w:rPr>
        <w:t>most</w:t>
      </w:r>
      <w:proofErr w:type="spellEnd"/>
      <w:r w:rsidRPr="00BE05BF">
        <w:rPr>
          <w:rFonts w:eastAsia="Calibri"/>
          <w:lang w:val="tr-TR" w:eastAsia="en-US"/>
        </w:rPr>
        <w:t xml:space="preserve"> </w:t>
      </w:r>
      <w:proofErr w:type="spellStart"/>
      <w:r w:rsidRPr="00BE05BF">
        <w:rPr>
          <w:rFonts w:eastAsia="Calibri"/>
          <w:lang w:val="tr-TR" w:eastAsia="en-US"/>
        </w:rPr>
        <w:t>important</w:t>
      </w:r>
      <w:proofErr w:type="spellEnd"/>
      <w:r w:rsidRPr="00BE05BF">
        <w:rPr>
          <w:rFonts w:eastAsia="Calibri"/>
          <w:lang w:val="tr-TR" w:eastAsia="en-US"/>
        </w:rPr>
        <w:t xml:space="preserve"> </w:t>
      </w:r>
      <w:proofErr w:type="spellStart"/>
      <w:r w:rsidRPr="00BE05BF">
        <w:rPr>
          <w:rFonts w:eastAsia="Calibri"/>
          <w:lang w:val="tr-TR" w:eastAsia="en-US"/>
        </w:rPr>
        <w:t>nanomaterials</w:t>
      </w:r>
      <w:proofErr w:type="spellEnd"/>
      <w:r w:rsidRPr="00BE05BF">
        <w:rPr>
          <w:rFonts w:eastAsia="Calibri"/>
          <w:lang w:val="tr-TR" w:eastAsia="en-US"/>
        </w:rPr>
        <w:t xml:space="preserve">, </w:t>
      </w:r>
      <w:proofErr w:type="spellStart"/>
      <w:r w:rsidRPr="00BE05BF">
        <w:rPr>
          <w:rFonts w:eastAsia="Calibri"/>
          <w:lang w:val="tr-TR" w:eastAsia="en-US"/>
        </w:rPr>
        <w:t>with</w:t>
      </w:r>
      <w:proofErr w:type="spellEnd"/>
      <w:r w:rsidRPr="00BE05BF">
        <w:rPr>
          <w:rFonts w:eastAsia="Calibri"/>
          <w:lang w:val="tr-TR" w:eastAsia="en-US"/>
        </w:rPr>
        <w:t xml:space="preserve"> a </w:t>
      </w:r>
      <w:proofErr w:type="spellStart"/>
      <w:r w:rsidRPr="00BE05BF">
        <w:rPr>
          <w:rFonts w:eastAsia="Calibri"/>
          <w:lang w:val="tr-TR" w:eastAsia="en-US"/>
        </w:rPr>
        <w:t>wide</w:t>
      </w:r>
      <w:proofErr w:type="spellEnd"/>
      <w:r w:rsidRPr="00BE05BF">
        <w:rPr>
          <w:rFonts w:eastAsia="Calibri"/>
          <w:lang w:val="tr-TR" w:eastAsia="en-US"/>
        </w:rPr>
        <w:t xml:space="preserve"> </w:t>
      </w:r>
      <w:proofErr w:type="spellStart"/>
      <w:r w:rsidRPr="00BE05BF">
        <w:rPr>
          <w:rFonts w:eastAsia="Calibri"/>
          <w:lang w:val="tr-TR" w:eastAsia="en-US"/>
        </w:rPr>
        <w:t>range</w:t>
      </w:r>
      <w:proofErr w:type="spellEnd"/>
      <w:r w:rsidRPr="00BE05BF">
        <w:rPr>
          <w:rFonts w:eastAsia="Calibri"/>
          <w:lang w:val="tr-TR" w:eastAsia="en-US"/>
        </w:rPr>
        <w:t xml:space="preserve"> of </w:t>
      </w:r>
      <w:proofErr w:type="spellStart"/>
      <w:r w:rsidRPr="00BE05BF">
        <w:rPr>
          <w:rFonts w:eastAsia="Calibri"/>
          <w:lang w:val="tr-TR" w:eastAsia="en-US"/>
        </w:rPr>
        <w:t>applications</w:t>
      </w:r>
      <w:proofErr w:type="spellEnd"/>
      <w:r w:rsidRPr="00BE05BF">
        <w:rPr>
          <w:rFonts w:eastAsia="Calibri"/>
          <w:lang w:val="tr-TR" w:eastAsia="en-US"/>
        </w:rPr>
        <w:t xml:space="preserve"> </w:t>
      </w:r>
      <w:proofErr w:type="spellStart"/>
      <w:r w:rsidRPr="00BE05BF">
        <w:rPr>
          <w:rFonts w:eastAsia="Calibri"/>
          <w:lang w:val="tr-TR" w:eastAsia="en-US"/>
        </w:rPr>
        <w:t>that</w:t>
      </w:r>
      <w:proofErr w:type="spellEnd"/>
      <w:r w:rsidRPr="00BE05BF">
        <w:rPr>
          <w:rFonts w:eastAsia="Calibri"/>
          <w:lang w:val="tr-TR" w:eastAsia="en-US"/>
        </w:rPr>
        <w:t xml:space="preserve"> </w:t>
      </w:r>
      <w:proofErr w:type="spellStart"/>
      <w:r w:rsidRPr="00BE05BF">
        <w:rPr>
          <w:rFonts w:eastAsia="Calibri"/>
          <w:lang w:val="tr-TR" w:eastAsia="en-US"/>
        </w:rPr>
        <w:t>are</w:t>
      </w:r>
      <w:proofErr w:type="spellEnd"/>
      <w:r w:rsidRPr="00BE05BF">
        <w:rPr>
          <w:rFonts w:eastAsia="Calibri"/>
          <w:lang w:val="tr-TR" w:eastAsia="en-US"/>
        </w:rPr>
        <w:t xml:space="preserve"> expanding.</w:t>
      </w:r>
      <w:r w:rsidR="00111B1B" w:rsidRPr="00BE05BF">
        <w:rPr>
          <w:rFonts w:eastAsia="Calibri"/>
          <w:vertAlign w:val="superscript"/>
          <w:lang w:val="tr-TR" w:eastAsia="en-US"/>
        </w:rPr>
        <w:t>3,4</w:t>
      </w:r>
      <w:r w:rsidRPr="00BE05BF">
        <w:rPr>
          <w:rFonts w:eastAsia="Calibri"/>
          <w:lang w:val="tr-TR" w:eastAsia="en-US"/>
        </w:rPr>
        <w:t xml:space="preserve"> </w:t>
      </w:r>
      <w:proofErr w:type="spellStart"/>
      <w:r w:rsidRPr="00BE05BF">
        <w:rPr>
          <w:rFonts w:eastAsia="Calibri"/>
          <w:lang w:val="tr-TR" w:eastAsia="en-US"/>
        </w:rPr>
        <w:t>It</w:t>
      </w:r>
      <w:proofErr w:type="spellEnd"/>
      <w:r w:rsidR="00EB3302" w:rsidRPr="00BE05BF">
        <w:rPr>
          <w:rFonts w:eastAsia="Calibri"/>
          <w:lang w:val="tr-TR" w:eastAsia="en-US"/>
        </w:rPr>
        <w:t xml:space="preserve"> is </w:t>
      </w:r>
      <w:proofErr w:type="spellStart"/>
      <w:r w:rsidR="00EB3302" w:rsidRPr="00BE05BF">
        <w:rPr>
          <w:rFonts w:eastAsia="Calibri"/>
          <w:lang w:val="tr-TR" w:eastAsia="en-US"/>
        </w:rPr>
        <w:t>made</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up</w:t>
      </w:r>
      <w:proofErr w:type="spellEnd"/>
      <w:r w:rsidR="00EB3302" w:rsidRPr="00BE05BF">
        <w:rPr>
          <w:rFonts w:eastAsia="Calibri"/>
          <w:lang w:val="tr-TR" w:eastAsia="en-US"/>
        </w:rPr>
        <w:t xml:space="preserve"> of sp</w:t>
      </w:r>
      <w:r w:rsidR="00EB3302" w:rsidRPr="00BE05BF">
        <w:rPr>
          <w:rFonts w:eastAsia="Calibri"/>
          <w:vertAlign w:val="superscript"/>
          <w:lang w:val="tr-TR" w:eastAsia="en-US"/>
        </w:rPr>
        <w:t>2</w:t>
      </w:r>
      <w:r w:rsidR="00EB3302" w:rsidRPr="00BE05BF">
        <w:rPr>
          <w:rFonts w:eastAsia="Calibri"/>
          <w:lang w:val="tr-TR" w:eastAsia="en-US"/>
        </w:rPr>
        <w:t xml:space="preserve"> </w:t>
      </w:r>
      <w:proofErr w:type="spellStart"/>
      <w:r w:rsidR="00EB3302" w:rsidRPr="00BE05BF">
        <w:rPr>
          <w:rFonts w:eastAsia="Calibri"/>
          <w:lang w:val="tr-TR" w:eastAsia="en-US"/>
        </w:rPr>
        <w:t>bonded</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carbon</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atoms</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with</w:t>
      </w:r>
      <w:proofErr w:type="spellEnd"/>
      <w:r w:rsidR="00EB3302" w:rsidRPr="00BE05BF">
        <w:rPr>
          <w:rFonts w:eastAsia="Calibri"/>
          <w:lang w:val="tr-TR" w:eastAsia="en-US"/>
        </w:rPr>
        <w:t xml:space="preserve"> a </w:t>
      </w:r>
      <w:proofErr w:type="spellStart"/>
      <w:r w:rsidR="00EB3302" w:rsidRPr="00BE05BF">
        <w:rPr>
          <w:rFonts w:eastAsia="Calibri"/>
          <w:lang w:val="tr-TR" w:eastAsia="en-US"/>
        </w:rPr>
        <w:t>single</w:t>
      </w:r>
      <w:proofErr w:type="spellEnd"/>
      <w:r w:rsidR="00EB3302" w:rsidRPr="00BE05BF">
        <w:rPr>
          <w:rFonts w:eastAsia="Calibri"/>
          <w:lang w:val="tr-TR" w:eastAsia="en-US"/>
        </w:rPr>
        <w:t xml:space="preserve"> atom </w:t>
      </w:r>
      <w:proofErr w:type="spellStart"/>
      <w:r w:rsidR="00EB3302" w:rsidRPr="00BE05BF">
        <w:rPr>
          <w:rFonts w:eastAsia="Calibri"/>
          <w:lang w:val="tr-TR" w:eastAsia="en-US"/>
        </w:rPr>
        <w:t>thickness</w:t>
      </w:r>
      <w:proofErr w:type="spellEnd"/>
      <w:r w:rsidR="00EB3302" w:rsidRPr="00BE05BF">
        <w:rPr>
          <w:rFonts w:eastAsia="Calibri"/>
          <w:lang w:val="tr-TR" w:eastAsia="en-US"/>
        </w:rPr>
        <w:t xml:space="preserve">, as is </w:t>
      </w:r>
      <w:proofErr w:type="spellStart"/>
      <w:r w:rsidR="00EB3302" w:rsidRPr="00BE05BF">
        <w:rPr>
          <w:rFonts w:eastAsia="Calibri"/>
          <w:lang w:val="tr-TR" w:eastAsia="en-US"/>
        </w:rPr>
        <w:t>well</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known</w:t>
      </w:r>
      <w:proofErr w:type="spellEnd"/>
      <w:r w:rsidR="00E17E56" w:rsidRPr="00BE05BF">
        <w:rPr>
          <w:rFonts w:eastAsia="Calibri"/>
          <w:lang w:val="tr-TR" w:eastAsia="en-US"/>
        </w:rPr>
        <w:t xml:space="preserve">. As a </w:t>
      </w:r>
      <w:proofErr w:type="spellStart"/>
      <w:r w:rsidR="00E17E56" w:rsidRPr="00BE05BF">
        <w:rPr>
          <w:rFonts w:eastAsia="Calibri"/>
          <w:lang w:val="tr-TR" w:eastAsia="en-US"/>
        </w:rPr>
        <w:t>result</w:t>
      </w:r>
      <w:proofErr w:type="spellEnd"/>
      <w:r w:rsidR="00E17E56" w:rsidRPr="00BE05BF">
        <w:rPr>
          <w:rFonts w:eastAsia="Calibri"/>
          <w:lang w:val="tr-TR" w:eastAsia="en-US"/>
        </w:rPr>
        <w:t xml:space="preserve"> of </w:t>
      </w:r>
      <w:proofErr w:type="spellStart"/>
      <w:r w:rsidR="00E17E56" w:rsidRPr="00BE05BF">
        <w:rPr>
          <w:rFonts w:eastAsia="Calibri"/>
          <w:lang w:val="tr-TR" w:eastAsia="en-US"/>
        </w:rPr>
        <w:t>these</w:t>
      </w:r>
      <w:proofErr w:type="spellEnd"/>
      <w:r w:rsidR="00E17E56" w:rsidRPr="00BE05BF">
        <w:rPr>
          <w:rFonts w:eastAsia="Calibri"/>
          <w:lang w:val="tr-TR" w:eastAsia="en-US"/>
        </w:rPr>
        <w:t xml:space="preserve"> </w:t>
      </w:r>
      <w:proofErr w:type="spellStart"/>
      <w:r w:rsidR="00E17E56" w:rsidRPr="00BE05BF">
        <w:rPr>
          <w:rFonts w:eastAsia="Calibri"/>
          <w:lang w:val="tr-TR" w:eastAsia="en-US"/>
        </w:rPr>
        <w:t>characteristics</w:t>
      </w:r>
      <w:proofErr w:type="spellEnd"/>
      <w:r w:rsidR="00E17E56" w:rsidRPr="00BE05BF">
        <w:rPr>
          <w:rFonts w:eastAsia="Calibri"/>
          <w:lang w:val="tr-TR" w:eastAsia="en-US"/>
        </w:rPr>
        <w:t xml:space="preserve">, it </w:t>
      </w:r>
      <w:proofErr w:type="spellStart"/>
      <w:r w:rsidR="00E17E56" w:rsidRPr="00BE05BF">
        <w:rPr>
          <w:rFonts w:eastAsia="Calibri"/>
          <w:lang w:val="tr-TR" w:eastAsia="en-US"/>
        </w:rPr>
        <w:t>exhibits</w:t>
      </w:r>
      <w:proofErr w:type="spellEnd"/>
      <w:r w:rsidR="00E17E56" w:rsidRPr="00BE05BF">
        <w:rPr>
          <w:rFonts w:eastAsia="Calibri"/>
          <w:lang w:val="tr-TR" w:eastAsia="en-US"/>
        </w:rPr>
        <w:t xml:space="preserve"> </w:t>
      </w:r>
      <w:proofErr w:type="spellStart"/>
      <w:r w:rsidR="00E17E56" w:rsidRPr="00BE05BF">
        <w:rPr>
          <w:rFonts w:eastAsia="Calibri"/>
          <w:lang w:val="tr-TR" w:eastAsia="en-US"/>
        </w:rPr>
        <w:t>remarkable</w:t>
      </w:r>
      <w:proofErr w:type="spellEnd"/>
      <w:r w:rsidR="00E17E56" w:rsidRPr="00BE05BF">
        <w:rPr>
          <w:rFonts w:eastAsia="Calibri"/>
          <w:lang w:val="tr-TR" w:eastAsia="en-US"/>
        </w:rPr>
        <w:t xml:space="preserve"> </w:t>
      </w:r>
      <w:proofErr w:type="spellStart"/>
      <w:r w:rsidR="00E17E56" w:rsidRPr="00BE05BF">
        <w:rPr>
          <w:rFonts w:eastAsia="Calibri"/>
          <w:lang w:val="tr-TR" w:eastAsia="en-US"/>
        </w:rPr>
        <w:t>electron</w:t>
      </w:r>
      <w:proofErr w:type="spellEnd"/>
      <w:r w:rsidR="00E17E56" w:rsidRPr="00BE05BF">
        <w:rPr>
          <w:rFonts w:eastAsia="Calibri"/>
          <w:lang w:val="tr-TR" w:eastAsia="en-US"/>
        </w:rPr>
        <w:t xml:space="preserve"> transport </w:t>
      </w:r>
      <w:proofErr w:type="spellStart"/>
      <w:r w:rsidR="00E17E56" w:rsidRPr="00BE05BF">
        <w:rPr>
          <w:rFonts w:eastAsia="Calibri"/>
          <w:lang w:val="tr-TR" w:eastAsia="en-US"/>
        </w:rPr>
        <w:t>capability</w:t>
      </w:r>
      <w:proofErr w:type="spellEnd"/>
      <w:r w:rsidR="00E17E56" w:rsidRPr="00BE05BF">
        <w:rPr>
          <w:rFonts w:eastAsia="Calibri"/>
          <w:lang w:val="tr-TR" w:eastAsia="en-US"/>
        </w:rPr>
        <w:t xml:space="preserve"> </w:t>
      </w:r>
      <w:proofErr w:type="spellStart"/>
      <w:r w:rsidR="00E17E56" w:rsidRPr="00BE05BF">
        <w:rPr>
          <w:rFonts w:eastAsia="Calibri"/>
          <w:lang w:val="tr-TR" w:eastAsia="en-US"/>
        </w:rPr>
        <w:t>and</w:t>
      </w:r>
      <w:proofErr w:type="spellEnd"/>
      <w:r w:rsidR="00E17E56" w:rsidRPr="00BE05BF">
        <w:rPr>
          <w:rFonts w:eastAsia="Calibri"/>
          <w:lang w:val="tr-TR" w:eastAsia="en-US"/>
        </w:rPr>
        <w:t xml:space="preserve"> </w:t>
      </w:r>
      <w:proofErr w:type="spellStart"/>
      <w:r w:rsidR="00E17E56" w:rsidRPr="00BE05BF">
        <w:rPr>
          <w:rFonts w:eastAsia="Calibri"/>
          <w:lang w:val="tr-TR" w:eastAsia="en-US"/>
        </w:rPr>
        <w:t>catalytic</w:t>
      </w:r>
      <w:proofErr w:type="spellEnd"/>
      <w:r w:rsidR="00E17E56" w:rsidRPr="00BE05BF">
        <w:rPr>
          <w:rFonts w:eastAsia="Calibri"/>
          <w:lang w:val="tr-TR" w:eastAsia="en-US"/>
        </w:rPr>
        <w:t xml:space="preserve"> </w:t>
      </w:r>
      <w:proofErr w:type="spellStart"/>
      <w:r w:rsidR="00E17E56" w:rsidRPr="00BE05BF">
        <w:rPr>
          <w:rFonts w:eastAsia="Calibri"/>
          <w:lang w:val="tr-TR" w:eastAsia="en-US"/>
        </w:rPr>
        <w:t>behavior</w:t>
      </w:r>
      <w:proofErr w:type="spellEnd"/>
      <w:r w:rsidR="00E17E56" w:rsidRPr="00BE05BF">
        <w:rPr>
          <w:rFonts w:eastAsia="Calibri"/>
          <w:lang w:val="tr-TR" w:eastAsia="en-US"/>
        </w:rPr>
        <w:t xml:space="preserve"> </w:t>
      </w:r>
      <w:proofErr w:type="spellStart"/>
      <w:r w:rsidR="00E17E56" w:rsidRPr="00BE05BF">
        <w:rPr>
          <w:rFonts w:eastAsia="Calibri"/>
          <w:lang w:val="tr-TR" w:eastAsia="en-US"/>
        </w:rPr>
        <w:t>for</w:t>
      </w:r>
      <w:proofErr w:type="spellEnd"/>
      <w:r w:rsidR="00E17E56" w:rsidRPr="00BE05BF">
        <w:rPr>
          <w:rFonts w:eastAsia="Calibri"/>
          <w:lang w:val="tr-TR" w:eastAsia="en-US"/>
        </w:rPr>
        <w:t xml:space="preserve"> </w:t>
      </w:r>
      <w:proofErr w:type="spellStart"/>
      <w:r w:rsidR="00E17E56" w:rsidRPr="00BE05BF">
        <w:rPr>
          <w:rFonts w:eastAsia="Calibri"/>
          <w:lang w:val="tr-TR" w:eastAsia="en-US"/>
        </w:rPr>
        <w:t>particular</w:t>
      </w:r>
      <w:proofErr w:type="spellEnd"/>
      <w:r w:rsidR="00E17E56" w:rsidRPr="00BE05BF">
        <w:rPr>
          <w:rFonts w:eastAsia="Calibri"/>
          <w:lang w:val="tr-TR" w:eastAsia="en-US"/>
        </w:rPr>
        <w:t xml:space="preserve"> </w:t>
      </w:r>
      <w:proofErr w:type="spellStart"/>
      <w:r w:rsidR="00E17E56" w:rsidRPr="00BE05BF">
        <w:rPr>
          <w:rFonts w:eastAsia="Calibri"/>
          <w:lang w:val="tr-TR" w:eastAsia="en-US"/>
        </w:rPr>
        <w:t>chemicals</w:t>
      </w:r>
      <w:proofErr w:type="spellEnd"/>
      <w:r w:rsidR="00E17E56" w:rsidRPr="00BE05BF">
        <w:rPr>
          <w:rFonts w:eastAsia="Calibri"/>
          <w:lang w:val="tr-TR" w:eastAsia="en-US"/>
        </w:rPr>
        <w:t xml:space="preserve">. </w:t>
      </w:r>
      <w:r w:rsidR="00EB3302" w:rsidRPr="00BE05BF">
        <w:rPr>
          <w:rFonts w:eastAsia="Calibri"/>
          <w:lang w:val="tr-TR" w:eastAsia="en-US"/>
        </w:rPr>
        <w:t xml:space="preserve"> </w:t>
      </w:r>
      <w:proofErr w:type="spellStart"/>
      <w:r w:rsidR="00EB3302" w:rsidRPr="00BE05BF">
        <w:rPr>
          <w:rFonts w:eastAsia="Calibri"/>
          <w:lang w:val="tr-TR" w:eastAsia="en-US"/>
        </w:rPr>
        <w:t>Overall</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due</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to</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its</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high</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spesific</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surface</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area</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low</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cost</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ease</w:t>
      </w:r>
      <w:proofErr w:type="spellEnd"/>
      <w:r w:rsidR="00EB3302" w:rsidRPr="00BE05BF">
        <w:rPr>
          <w:rFonts w:eastAsia="Calibri"/>
          <w:lang w:val="tr-TR" w:eastAsia="en-US"/>
        </w:rPr>
        <w:t xml:space="preserve"> of </w:t>
      </w:r>
      <w:proofErr w:type="spellStart"/>
      <w:r w:rsidR="00EB3302" w:rsidRPr="00BE05BF">
        <w:rPr>
          <w:rFonts w:eastAsia="Calibri"/>
          <w:lang w:val="tr-TR" w:eastAsia="en-US"/>
        </w:rPr>
        <w:t>processing</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and</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safety</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and</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superior</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electrical</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conductivity</w:t>
      </w:r>
      <w:proofErr w:type="spellEnd"/>
      <w:r w:rsidR="00EB3302" w:rsidRPr="00BE05BF">
        <w:rPr>
          <w:rFonts w:eastAsia="Calibri"/>
          <w:lang w:val="tr-TR" w:eastAsia="en-US"/>
        </w:rPr>
        <w:t xml:space="preserve">, it can </w:t>
      </w:r>
      <w:proofErr w:type="spellStart"/>
      <w:r w:rsidR="00EB3302" w:rsidRPr="00BE05BF">
        <w:rPr>
          <w:rFonts w:eastAsia="Calibri"/>
          <w:lang w:val="tr-TR" w:eastAsia="en-US"/>
        </w:rPr>
        <w:t>play</w:t>
      </w:r>
      <w:proofErr w:type="spellEnd"/>
      <w:r w:rsidR="00EB3302" w:rsidRPr="00BE05BF">
        <w:rPr>
          <w:rFonts w:eastAsia="Calibri"/>
          <w:lang w:val="tr-TR" w:eastAsia="en-US"/>
        </w:rPr>
        <w:t xml:space="preserve"> a </w:t>
      </w:r>
      <w:proofErr w:type="spellStart"/>
      <w:r w:rsidR="00EB3302" w:rsidRPr="00BE05BF">
        <w:rPr>
          <w:rFonts w:eastAsia="Calibri"/>
          <w:lang w:val="tr-TR" w:eastAsia="en-US"/>
        </w:rPr>
        <w:t>vital</w:t>
      </w:r>
      <w:proofErr w:type="spellEnd"/>
      <w:r w:rsidR="00EB3302" w:rsidRPr="00BE05BF">
        <w:rPr>
          <w:rFonts w:eastAsia="Calibri"/>
          <w:lang w:val="tr-TR" w:eastAsia="en-US"/>
        </w:rPr>
        <w:t xml:space="preserve"> role in </w:t>
      </w:r>
      <w:proofErr w:type="spellStart"/>
      <w:r w:rsidR="00EB3302" w:rsidRPr="00BE05BF">
        <w:rPr>
          <w:rFonts w:eastAsia="Calibri"/>
          <w:lang w:val="tr-TR" w:eastAsia="en-US"/>
        </w:rPr>
        <w:t>increasing</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t</w:t>
      </w:r>
      <w:r w:rsidR="00E95013" w:rsidRPr="00BE05BF">
        <w:rPr>
          <w:rFonts w:eastAsia="Calibri"/>
          <w:lang w:val="tr-TR" w:eastAsia="en-US"/>
        </w:rPr>
        <w:t>he</w:t>
      </w:r>
      <w:proofErr w:type="spellEnd"/>
      <w:r w:rsidR="00E95013" w:rsidRPr="00BE05BF">
        <w:rPr>
          <w:rFonts w:eastAsia="Calibri"/>
          <w:lang w:val="tr-TR" w:eastAsia="en-US"/>
        </w:rPr>
        <w:t xml:space="preserve"> </w:t>
      </w:r>
      <w:proofErr w:type="spellStart"/>
      <w:r w:rsidR="00E95013" w:rsidRPr="00BE05BF">
        <w:rPr>
          <w:rFonts w:eastAsia="Calibri"/>
          <w:lang w:val="tr-TR" w:eastAsia="en-US"/>
        </w:rPr>
        <w:t>performance</w:t>
      </w:r>
      <w:proofErr w:type="spellEnd"/>
      <w:r w:rsidR="00E95013" w:rsidRPr="00BE05BF">
        <w:rPr>
          <w:rFonts w:eastAsia="Calibri"/>
          <w:lang w:val="tr-TR" w:eastAsia="en-US"/>
        </w:rPr>
        <w:t xml:space="preserve"> of sensors</w:t>
      </w:r>
      <w:r w:rsidR="007A1C95" w:rsidRPr="00BE05BF">
        <w:rPr>
          <w:rFonts w:eastAsia="Calibri"/>
          <w:lang w:val="tr-TR" w:eastAsia="en-US"/>
        </w:rPr>
        <w:t>.</w:t>
      </w:r>
      <w:r w:rsidR="00BB3058" w:rsidRPr="00BE05BF">
        <w:rPr>
          <w:rFonts w:eastAsia="Calibri"/>
          <w:vertAlign w:val="superscript"/>
          <w:lang w:val="tr-TR" w:eastAsia="en-US"/>
        </w:rPr>
        <w:t>5,6</w:t>
      </w:r>
      <w:r w:rsidR="00EB3302" w:rsidRPr="00BE05BF">
        <w:rPr>
          <w:rFonts w:eastAsia="Calibri"/>
          <w:lang w:val="tr-TR" w:eastAsia="en-US"/>
        </w:rPr>
        <w:t xml:space="preserve"> </w:t>
      </w:r>
      <w:proofErr w:type="spellStart"/>
      <w:r w:rsidR="00EB3302" w:rsidRPr="00BE05BF">
        <w:rPr>
          <w:rFonts w:eastAsia="Calibri"/>
          <w:lang w:val="tr-TR" w:eastAsia="en-US"/>
        </w:rPr>
        <w:t>With</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its</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potential</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application</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areas</w:t>
      </w:r>
      <w:proofErr w:type="spellEnd"/>
      <w:r w:rsidR="00EB3302" w:rsidRPr="00BE05BF">
        <w:rPr>
          <w:rFonts w:eastAsia="Calibri"/>
          <w:lang w:val="tr-TR" w:eastAsia="en-US"/>
        </w:rPr>
        <w:t xml:space="preserve">, it is </w:t>
      </w:r>
      <w:proofErr w:type="spellStart"/>
      <w:r w:rsidR="00EB3302" w:rsidRPr="00BE05BF">
        <w:rPr>
          <w:rFonts w:eastAsia="Calibri"/>
          <w:lang w:val="tr-TR" w:eastAsia="en-US"/>
        </w:rPr>
        <w:t>one</w:t>
      </w:r>
      <w:proofErr w:type="spellEnd"/>
      <w:r w:rsidR="00EB3302" w:rsidRPr="00BE05BF">
        <w:rPr>
          <w:rFonts w:eastAsia="Calibri"/>
          <w:lang w:val="tr-TR" w:eastAsia="en-US"/>
        </w:rPr>
        <w:t xml:space="preserve"> of </w:t>
      </w:r>
      <w:proofErr w:type="spellStart"/>
      <w:r w:rsidR="00EB3302" w:rsidRPr="00BE05BF">
        <w:rPr>
          <w:rFonts w:eastAsia="Calibri"/>
          <w:lang w:val="tr-TR" w:eastAsia="en-US"/>
        </w:rPr>
        <w:t>the</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most</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investigated</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materials</w:t>
      </w:r>
      <w:proofErr w:type="spellEnd"/>
      <w:r w:rsidR="00EB3302" w:rsidRPr="00BE05BF">
        <w:rPr>
          <w:rFonts w:eastAsia="Calibri"/>
          <w:lang w:val="tr-TR" w:eastAsia="en-US"/>
        </w:rPr>
        <w:t xml:space="preserve"> nowadays</w:t>
      </w:r>
      <w:r w:rsidR="007A1C95" w:rsidRPr="00BE05BF">
        <w:rPr>
          <w:rFonts w:eastAsia="Calibri"/>
          <w:lang w:val="tr-TR" w:eastAsia="en-US"/>
        </w:rPr>
        <w:t>.</w:t>
      </w:r>
      <w:r w:rsidR="00BB3058" w:rsidRPr="00BE05BF">
        <w:rPr>
          <w:rFonts w:eastAsia="Calibri"/>
          <w:vertAlign w:val="superscript"/>
          <w:lang w:val="tr-TR" w:eastAsia="en-US"/>
        </w:rPr>
        <w:t>7</w:t>
      </w:r>
    </w:p>
    <w:p w:rsidR="00EB3302" w:rsidRPr="00BE05BF" w:rsidRDefault="00EB3302" w:rsidP="00EB3302">
      <w:pPr>
        <w:spacing w:after="160" w:line="360" w:lineRule="auto"/>
        <w:ind w:firstLine="720"/>
        <w:jc w:val="both"/>
        <w:rPr>
          <w:rFonts w:eastAsia="Calibri"/>
          <w:lang w:val="tr-TR" w:eastAsia="en-US"/>
        </w:rPr>
      </w:pPr>
      <w:r w:rsidRPr="00BE05BF">
        <w:rPr>
          <w:rFonts w:eastAsia="Calibri"/>
          <w:lang w:val="tr-TR" w:eastAsia="en-US"/>
        </w:rPr>
        <w:t xml:space="preserve">Metal </w:t>
      </w:r>
      <w:proofErr w:type="spellStart"/>
      <w:r w:rsidRPr="00BE05BF">
        <w:rPr>
          <w:rFonts w:eastAsia="Calibri"/>
          <w:lang w:val="tr-TR" w:eastAsia="en-US"/>
        </w:rPr>
        <w:t>nanoparticles</w:t>
      </w:r>
      <w:proofErr w:type="spellEnd"/>
      <w:r w:rsidRPr="00BE05BF">
        <w:rPr>
          <w:rFonts w:eastAsia="Calibri"/>
          <w:lang w:val="tr-TR" w:eastAsia="en-US"/>
        </w:rPr>
        <w:t xml:space="preserve"> (NP) </w:t>
      </w:r>
      <w:proofErr w:type="spellStart"/>
      <w:r w:rsidRPr="00BE05BF">
        <w:rPr>
          <w:rFonts w:eastAsia="Calibri"/>
          <w:lang w:val="tr-TR" w:eastAsia="en-US"/>
        </w:rPr>
        <w:t>have</w:t>
      </w:r>
      <w:proofErr w:type="spellEnd"/>
      <w:r w:rsidRPr="00BE05BF">
        <w:rPr>
          <w:rFonts w:eastAsia="Calibri"/>
          <w:lang w:val="tr-TR" w:eastAsia="en-US"/>
        </w:rPr>
        <w:t xml:space="preserve"> </w:t>
      </w:r>
      <w:proofErr w:type="spellStart"/>
      <w:r w:rsidRPr="00BE05BF">
        <w:rPr>
          <w:rFonts w:eastAsia="Calibri"/>
          <w:lang w:val="tr-TR" w:eastAsia="en-US"/>
        </w:rPr>
        <w:t>qualities</w:t>
      </w:r>
      <w:proofErr w:type="spellEnd"/>
      <w:r w:rsidRPr="00BE05BF">
        <w:rPr>
          <w:rFonts w:eastAsia="Calibri"/>
          <w:lang w:val="tr-TR" w:eastAsia="en-US"/>
        </w:rPr>
        <w:t xml:space="preserve"> </w:t>
      </w:r>
      <w:proofErr w:type="spellStart"/>
      <w:r w:rsidRPr="00BE05BF">
        <w:rPr>
          <w:rFonts w:eastAsia="Calibri"/>
          <w:lang w:val="tr-TR" w:eastAsia="en-US"/>
        </w:rPr>
        <w:t>that</w:t>
      </w:r>
      <w:proofErr w:type="spellEnd"/>
      <w:r w:rsidRPr="00BE05BF">
        <w:rPr>
          <w:rFonts w:eastAsia="Calibri"/>
          <w:lang w:val="tr-TR" w:eastAsia="en-US"/>
        </w:rPr>
        <w:t xml:space="preserve"> </w:t>
      </w:r>
      <w:proofErr w:type="spellStart"/>
      <w:r w:rsidRPr="00BE05BF">
        <w:rPr>
          <w:rFonts w:eastAsia="Calibri"/>
          <w:lang w:val="tr-TR" w:eastAsia="en-US"/>
        </w:rPr>
        <w:t>are</w:t>
      </w:r>
      <w:proofErr w:type="spellEnd"/>
      <w:r w:rsidRPr="00BE05BF">
        <w:rPr>
          <w:rFonts w:eastAsia="Calibri"/>
          <w:lang w:val="tr-TR" w:eastAsia="en-US"/>
        </w:rPr>
        <w:t xml:space="preserve"> </w:t>
      </w:r>
      <w:proofErr w:type="spellStart"/>
      <w:r w:rsidRPr="00BE05BF">
        <w:rPr>
          <w:rFonts w:eastAsia="Calibri"/>
          <w:lang w:val="tr-TR" w:eastAsia="en-US"/>
        </w:rPr>
        <w:t>determined</w:t>
      </w:r>
      <w:proofErr w:type="spellEnd"/>
      <w:r w:rsidRPr="00BE05BF">
        <w:rPr>
          <w:rFonts w:eastAsia="Calibri"/>
          <w:lang w:val="tr-TR" w:eastAsia="en-US"/>
        </w:rPr>
        <w:t xml:space="preserve"> </w:t>
      </w:r>
      <w:proofErr w:type="spellStart"/>
      <w:r w:rsidRPr="00BE05BF">
        <w:rPr>
          <w:rFonts w:eastAsia="Calibri"/>
          <w:lang w:val="tr-TR" w:eastAsia="en-US"/>
        </w:rPr>
        <w:t>by</w:t>
      </w:r>
      <w:proofErr w:type="spellEnd"/>
      <w:r w:rsidRPr="00BE05BF">
        <w:rPr>
          <w:rFonts w:eastAsia="Calibri"/>
          <w:lang w:val="tr-TR" w:eastAsia="en-US"/>
        </w:rPr>
        <w:t xml:space="preserve"> </w:t>
      </w:r>
      <w:proofErr w:type="spellStart"/>
      <w:r w:rsidRPr="00BE05BF">
        <w:rPr>
          <w:rFonts w:eastAsia="Calibri"/>
          <w:lang w:val="tr-TR" w:eastAsia="en-US"/>
        </w:rPr>
        <w:t>their</w:t>
      </w:r>
      <w:proofErr w:type="spellEnd"/>
      <w:r w:rsidRPr="00BE05BF">
        <w:rPr>
          <w:rFonts w:eastAsia="Calibri"/>
          <w:lang w:val="tr-TR" w:eastAsia="en-US"/>
        </w:rPr>
        <w:t xml:space="preserve"> size </w:t>
      </w:r>
      <w:proofErr w:type="spellStart"/>
      <w:r w:rsidRPr="00BE05BF">
        <w:rPr>
          <w:rFonts w:eastAsia="Calibri"/>
          <w:lang w:val="tr-TR" w:eastAsia="en-US"/>
        </w:rPr>
        <w:t>and</w:t>
      </w:r>
      <w:proofErr w:type="spellEnd"/>
      <w:r w:rsidRPr="00BE05BF">
        <w:rPr>
          <w:rFonts w:eastAsia="Calibri"/>
          <w:lang w:val="tr-TR" w:eastAsia="en-US"/>
        </w:rPr>
        <w:t xml:space="preserve"> form. </w:t>
      </w:r>
      <w:proofErr w:type="spellStart"/>
      <w:r w:rsidRPr="00BE05BF">
        <w:rPr>
          <w:rFonts w:eastAsia="Calibri"/>
          <w:lang w:val="tr-TR" w:eastAsia="en-US"/>
        </w:rPr>
        <w:t>Chemical</w:t>
      </w:r>
      <w:proofErr w:type="spellEnd"/>
      <w:r w:rsidRPr="00BE05BF">
        <w:rPr>
          <w:rFonts w:eastAsia="Calibri"/>
          <w:lang w:val="tr-TR" w:eastAsia="en-US"/>
        </w:rPr>
        <w:t xml:space="preserve"> </w:t>
      </w:r>
      <w:proofErr w:type="spellStart"/>
      <w:r w:rsidRPr="00BE05BF">
        <w:rPr>
          <w:rFonts w:eastAsia="Calibri"/>
          <w:lang w:val="tr-TR" w:eastAsia="en-US"/>
        </w:rPr>
        <w:t>and</w:t>
      </w:r>
      <w:proofErr w:type="spellEnd"/>
      <w:r w:rsidRPr="00BE05BF">
        <w:rPr>
          <w:rFonts w:eastAsia="Calibri"/>
          <w:lang w:val="tr-TR" w:eastAsia="en-US"/>
        </w:rPr>
        <w:t xml:space="preserve"> </w:t>
      </w:r>
      <w:proofErr w:type="spellStart"/>
      <w:r w:rsidRPr="00BE05BF">
        <w:rPr>
          <w:rFonts w:eastAsia="Calibri"/>
          <w:lang w:val="tr-TR" w:eastAsia="en-US"/>
        </w:rPr>
        <w:t>biosensors</w:t>
      </w:r>
      <w:proofErr w:type="spellEnd"/>
      <w:r w:rsidRPr="00BE05BF">
        <w:rPr>
          <w:rFonts w:eastAsia="Calibri"/>
          <w:lang w:val="tr-TR" w:eastAsia="en-US"/>
        </w:rPr>
        <w:t xml:space="preserve">, </w:t>
      </w:r>
      <w:proofErr w:type="spellStart"/>
      <w:r w:rsidRPr="00BE05BF">
        <w:rPr>
          <w:rFonts w:eastAsia="Calibri"/>
          <w:lang w:val="tr-TR" w:eastAsia="en-US"/>
        </w:rPr>
        <w:t>catalyst</w:t>
      </w:r>
      <w:proofErr w:type="spellEnd"/>
      <w:r w:rsidRPr="00BE05BF">
        <w:rPr>
          <w:rFonts w:eastAsia="Calibri"/>
          <w:lang w:val="tr-TR" w:eastAsia="en-US"/>
        </w:rPr>
        <w:t xml:space="preserve"> </w:t>
      </w:r>
      <w:proofErr w:type="spellStart"/>
      <w:r w:rsidRPr="00BE05BF">
        <w:rPr>
          <w:rFonts w:eastAsia="Calibri"/>
          <w:lang w:val="tr-TR" w:eastAsia="en-US"/>
        </w:rPr>
        <w:t>synthesis</w:t>
      </w:r>
      <w:proofErr w:type="spellEnd"/>
      <w:r w:rsidRPr="00BE05BF">
        <w:rPr>
          <w:rFonts w:eastAsia="Calibri"/>
          <w:lang w:val="tr-TR" w:eastAsia="en-US"/>
        </w:rPr>
        <w:t xml:space="preserve">, </w:t>
      </w:r>
      <w:proofErr w:type="spellStart"/>
      <w:r w:rsidRPr="00BE05BF">
        <w:rPr>
          <w:rFonts w:eastAsia="Calibri"/>
          <w:lang w:val="tr-TR" w:eastAsia="en-US"/>
        </w:rPr>
        <w:t>electronic</w:t>
      </w:r>
      <w:proofErr w:type="spellEnd"/>
      <w:r w:rsidRPr="00BE05BF">
        <w:rPr>
          <w:rFonts w:eastAsia="Calibri"/>
          <w:lang w:val="tr-TR" w:eastAsia="en-US"/>
        </w:rPr>
        <w:t xml:space="preserve"> </w:t>
      </w:r>
      <w:proofErr w:type="spellStart"/>
      <w:r w:rsidRPr="00BE05BF">
        <w:rPr>
          <w:rFonts w:eastAsia="Calibri"/>
          <w:lang w:val="tr-TR" w:eastAsia="en-US"/>
        </w:rPr>
        <w:t>device</w:t>
      </w:r>
      <w:proofErr w:type="spellEnd"/>
      <w:r w:rsidRPr="00BE05BF">
        <w:rPr>
          <w:rFonts w:eastAsia="Calibri"/>
          <w:lang w:val="tr-TR" w:eastAsia="en-US"/>
        </w:rPr>
        <w:t xml:space="preserve"> </w:t>
      </w:r>
      <w:proofErr w:type="spellStart"/>
      <w:r w:rsidRPr="00BE05BF">
        <w:rPr>
          <w:rFonts w:eastAsia="Calibri"/>
          <w:lang w:val="tr-TR" w:eastAsia="en-US"/>
        </w:rPr>
        <w:t>component</w:t>
      </w:r>
      <w:proofErr w:type="spellEnd"/>
      <w:r w:rsidRPr="00BE05BF">
        <w:rPr>
          <w:rFonts w:eastAsia="Calibri"/>
          <w:lang w:val="tr-TR" w:eastAsia="en-US"/>
        </w:rPr>
        <w:t xml:space="preserve"> </w:t>
      </w:r>
      <w:proofErr w:type="spellStart"/>
      <w:r w:rsidRPr="00BE05BF">
        <w:rPr>
          <w:rFonts w:eastAsia="Calibri"/>
          <w:lang w:val="tr-TR" w:eastAsia="en-US"/>
        </w:rPr>
        <w:t>preparation</w:t>
      </w:r>
      <w:proofErr w:type="spellEnd"/>
      <w:r w:rsidRPr="00BE05BF">
        <w:rPr>
          <w:rFonts w:eastAsia="Calibri"/>
          <w:lang w:val="tr-TR" w:eastAsia="en-US"/>
        </w:rPr>
        <w:t xml:space="preserve">, </w:t>
      </w:r>
      <w:proofErr w:type="spellStart"/>
      <w:r w:rsidRPr="00BE05BF">
        <w:rPr>
          <w:rFonts w:eastAsia="Calibri"/>
          <w:lang w:val="tr-TR" w:eastAsia="en-US"/>
        </w:rPr>
        <w:t>imaging</w:t>
      </w:r>
      <w:proofErr w:type="spellEnd"/>
      <w:r w:rsidRPr="00BE05BF">
        <w:rPr>
          <w:rFonts w:eastAsia="Calibri"/>
          <w:lang w:val="tr-TR" w:eastAsia="en-US"/>
        </w:rPr>
        <w:t xml:space="preserve"> </w:t>
      </w:r>
      <w:proofErr w:type="spellStart"/>
      <w:r w:rsidRPr="00BE05BF">
        <w:rPr>
          <w:rFonts w:eastAsia="Calibri"/>
          <w:lang w:val="tr-TR" w:eastAsia="en-US"/>
        </w:rPr>
        <w:t>systems</w:t>
      </w:r>
      <w:proofErr w:type="spellEnd"/>
      <w:r w:rsidRPr="00BE05BF">
        <w:rPr>
          <w:rFonts w:eastAsia="Calibri"/>
          <w:lang w:val="tr-TR" w:eastAsia="en-US"/>
        </w:rPr>
        <w:t xml:space="preserve">, </w:t>
      </w:r>
      <w:proofErr w:type="spellStart"/>
      <w:r w:rsidRPr="00BE05BF">
        <w:rPr>
          <w:rFonts w:eastAsia="Calibri"/>
          <w:lang w:val="tr-TR" w:eastAsia="en-US"/>
        </w:rPr>
        <w:t>medical</w:t>
      </w:r>
      <w:proofErr w:type="spellEnd"/>
      <w:r w:rsidRPr="00BE05BF">
        <w:rPr>
          <w:rFonts w:eastAsia="Calibri"/>
          <w:lang w:val="tr-TR" w:eastAsia="en-US"/>
        </w:rPr>
        <w:t xml:space="preserve"> </w:t>
      </w:r>
      <w:proofErr w:type="spellStart"/>
      <w:r w:rsidRPr="00BE05BF">
        <w:rPr>
          <w:rFonts w:eastAsia="Calibri"/>
          <w:lang w:val="tr-TR" w:eastAsia="en-US"/>
        </w:rPr>
        <w:t>and</w:t>
      </w:r>
      <w:proofErr w:type="spellEnd"/>
      <w:r w:rsidRPr="00BE05BF">
        <w:rPr>
          <w:rFonts w:eastAsia="Calibri"/>
          <w:lang w:val="tr-TR" w:eastAsia="en-US"/>
        </w:rPr>
        <w:t xml:space="preserve"> </w:t>
      </w:r>
      <w:proofErr w:type="spellStart"/>
      <w:r w:rsidRPr="00BE05BF">
        <w:rPr>
          <w:rFonts w:eastAsia="Calibri"/>
          <w:lang w:val="tr-TR" w:eastAsia="en-US"/>
        </w:rPr>
        <w:t>environmental</w:t>
      </w:r>
      <w:proofErr w:type="spellEnd"/>
      <w:r w:rsidRPr="00BE05BF">
        <w:rPr>
          <w:rFonts w:eastAsia="Calibri"/>
          <w:lang w:val="tr-TR" w:eastAsia="en-US"/>
        </w:rPr>
        <w:t xml:space="preserve"> </w:t>
      </w:r>
      <w:proofErr w:type="spellStart"/>
      <w:r w:rsidRPr="00BE05BF">
        <w:rPr>
          <w:rFonts w:eastAsia="Calibri"/>
          <w:lang w:val="tr-TR" w:eastAsia="en-US"/>
        </w:rPr>
        <w:t>applications</w:t>
      </w:r>
      <w:proofErr w:type="spellEnd"/>
      <w:r w:rsidRPr="00BE05BF">
        <w:rPr>
          <w:rFonts w:eastAsia="Calibri"/>
          <w:lang w:val="tr-TR" w:eastAsia="en-US"/>
        </w:rPr>
        <w:t xml:space="preserve"> </w:t>
      </w:r>
      <w:proofErr w:type="spellStart"/>
      <w:r w:rsidRPr="00BE05BF">
        <w:rPr>
          <w:rFonts w:eastAsia="Calibri"/>
          <w:lang w:val="tr-TR" w:eastAsia="en-US"/>
        </w:rPr>
        <w:t>all</w:t>
      </w:r>
      <w:proofErr w:type="spellEnd"/>
      <w:r w:rsidRPr="00BE05BF">
        <w:rPr>
          <w:rFonts w:eastAsia="Calibri"/>
          <w:lang w:val="tr-TR" w:eastAsia="en-US"/>
        </w:rPr>
        <w:t xml:space="preserve"> </w:t>
      </w:r>
      <w:proofErr w:type="spellStart"/>
      <w:r w:rsidRPr="00BE05BF">
        <w:rPr>
          <w:rFonts w:eastAsia="Calibri"/>
          <w:lang w:val="tr-TR" w:eastAsia="en-US"/>
        </w:rPr>
        <w:t>use</w:t>
      </w:r>
      <w:proofErr w:type="spellEnd"/>
      <w:r w:rsidRPr="00BE05BF">
        <w:rPr>
          <w:rFonts w:eastAsia="Calibri"/>
          <w:lang w:val="tr-TR" w:eastAsia="en-US"/>
        </w:rPr>
        <w:t xml:space="preserve"> a </w:t>
      </w:r>
      <w:proofErr w:type="spellStart"/>
      <w:r w:rsidRPr="00BE05BF">
        <w:rPr>
          <w:rFonts w:eastAsia="Calibri"/>
          <w:lang w:val="tr-TR" w:eastAsia="en-US"/>
        </w:rPr>
        <w:t>variety</w:t>
      </w:r>
      <w:proofErr w:type="spellEnd"/>
      <w:r w:rsidRPr="00BE05BF">
        <w:rPr>
          <w:rFonts w:eastAsia="Calibri"/>
          <w:lang w:val="tr-TR" w:eastAsia="en-US"/>
        </w:rPr>
        <w:t xml:space="preserve"> of metal </w:t>
      </w:r>
      <w:proofErr w:type="spellStart"/>
      <w:r w:rsidRPr="00BE05BF">
        <w:rPr>
          <w:rFonts w:eastAsia="Calibri"/>
          <w:lang w:val="tr-TR" w:eastAsia="en-US"/>
        </w:rPr>
        <w:t>NPs</w:t>
      </w:r>
      <w:proofErr w:type="spellEnd"/>
      <w:r w:rsidRPr="00BE05BF">
        <w:rPr>
          <w:rFonts w:eastAsia="Calibri"/>
          <w:lang w:val="tr-TR" w:eastAsia="en-US"/>
        </w:rPr>
        <w:t xml:space="preserve"> in </w:t>
      </w:r>
      <w:proofErr w:type="spellStart"/>
      <w:r w:rsidRPr="00BE05BF">
        <w:rPr>
          <w:rFonts w:eastAsia="Calibri"/>
          <w:lang w:val="tr-TR" w:eastAsia="en-US"/>
        </w:rPr>
        <w:t>various</w:t>
      </w:r>
      <w:proofErr w:type="spellEnd"/>
      <w:r w:rsidRPr="00BE05BF">
        <w:rPr>
          <w:rFonts w:eastAsia="Calibri"/>
          <w:lang w:val="tr-TR" w:eastAsia="en-US"/>
        </w:rPr>
        <w:t xml:space="preserve"> </w:t>
      </w:r>
      <w:proofErr w:type="spellStart"/>
      <w:r w:rsidRPr="00BE05BF">
        <w:rPr>
          <w:rFonts w:eastAsia="Calibri"/>
          <w:lang w:val="tr-TR" w:eastAsia="en-US"/>
        </w:rPr>
        <w:t>sizes</w:t>
      </w:r>
      <w:proofErr w:type="spellEnd"/>
      <w:r w:rsidRPr="00BE05BF">
        <w:rPr>
          <w:rFonts w:eastAsia="Calibri"/>
          <w:lang w:val="tr-TR" w:eastAsia="en-US"/>
        </w:rPr>
        <w:t xml:space="preserve">, </w:t>
      </w:r>
      <w:proofErr w:type="spellStart"/>
      <w:r w:rsidRPr="00BE05BF">
        <w:rPr>
          <w:rFonts w:eastAsia="Calibri"/>
          <w:lang w:val="tr-TR" w:eastAsia="en-US"/>
        </w:rPr>
        <w:t>forms</w:t>
      </w:r>
      <w:proofErr w:type="spellEnd"/>
      <w:r w:rsidRPr="00BE05BF">
        <w:rPr>
          <w:rFonts w:eastAsia="Calibri"/>
          <w:lang w:val="tr-TR" w:eastAsia="en-US"/>
        </w:rPr>
        <w:t xml:space="preserve">, </w:t>
      </w:r>
      <w:proofErr w:type="spellStart"/>
      <w:r w:rsidRPr="00BE05BF">
        <w:rPr>
          <w:rFonts w:eastAsia="Calibri"/>
          <w:lang w:val="tr-TR" w:eastAsia="en-US"/>
        </w:rPr>
        <w:t>and</w:t>
      </w:r>
      <w:proofErr w:type="spellEnd"/>
      <w:r w:rsidRPr="00BE05BF">
        <w:rPr>
          <w:rFonts w:eastAsia="Calibri"/>
          <w:lang w:val="tr-TR" w:eastAsia="en-US"/>
        </w:rPr>
        <w:t xml:space="preserve"> morphologies.</w:t>
      </w:r>
      <w:r w:rsidR="00BB3058" w:rsidRPr="00BE05BF">
        <w:rPr>
          <w:rFonts w:eastAsia="Calibri"/>
          <w:vertAlign w:val="superscript"/>
          <w:lang w:val="tr-TR" w:eastAsia="en-US"/>
        </w:rPr>
        <w:t>8,9</w:t>
      </w:r>
      <w:r w:rsidRPr="00BE05BF">
        <w:rPr>
          <w:rFonts w:eastAsia="Calibri"/>
          <w:lang w:val="tr-TR" w:eastAsia="en-US"/>
        </w:rPr>
        <w:t xml:space="preserve"> </w:t>
      </w:r>
      <w:proofErr w:type="spellStart"/>
      <w:r w:rsidRPr="00BE05BF">
        <w:rPr>
          <w:rFonts w:eastAsia="Calibri"/>
          <w:lang w:val="tr-TR" w:eastAsia="en-US"/>
        </w:rPr>
        <w:t>Because</w:t>
      </w:r>
      <w:proofErr w:type="spellEnd"/>
      <w:r w:rsidRPr="00BE05BF">
        <w:rPr>
          <w:rFonts w:eastAsia="Calibri"/>
          <w:lang w:val="tr-TR" w:eastAsia="en-US"/>
        </w:rPr>
        <w:t xml:space="preserve"> of </w:t>
      </w:r>
      <w:proofErr w:type="spellStart"/>
      <w:r w:rsidRPr="00BE05BF">
        <w:rPr>
          <w:rFonts w:eastAsia="Calibri"/>
          <w:lang w:val="tr-TR" w:eastAsia="en-US"/>
        </w:rPr>
        <w:t>their</w:t>
      </w:r>
      <w:proofErr w:type="spellEnd"/>
      <w:r w:rsidRPr="00BE05BF">
        <w:rPr>
          <w:rFonts w:eastAsia="Calibri"/>
          <w:lang w:val="tr-TR" w:eastAsia="en-US"/>
        </w:rPr>
        <w:t xml:space="preserve"> </w:t>
      </w:r>
      <w:proofErr w:type="spellStart"/>
      <w:r w:rsidRPr="00BE05BF">
        <w:rPr>
          <w:rFonts w:eastAsia="Calibri"/>
          <w:lang w:val="tr-TR" w:eastAsia="en-US"/>
        </w:rPr>
        <w:t>biocompatibility</w:t>
      </w:r>
      <w:proofErr w:type="spellEnd"/>
      <w:r w:rsidRPr="00BE05BF">
        <w:rPr>
          <w:rFonts w:eastAsia="Calibri"/>
          <w:lang w:val="tr-TR" w:eastAsia="en-US"/>
        </w:rPr>
        <w:t xml:space="preserve"> </w:t>
      </w:r>
      <w:proofErr w:type="spellStart"/>
      <w:r w:rsidRPr="00BE05BF">
        <w:rPr>
          <w:rFonts w:eastAsia="Calibri"/>
          <w:lang w:val="tr-TR" w:eastAsia="en-US"/>
        </w:rPr>
        <w:t>and</w:t>
      </w:r>
      <w:proofErr w:type="spellEnd"/>
      <w:r w:rsidRPr="00BE05BF">
        <w:rPr>
          <w:rFonts w:eastAsia="Calibri"/>
          <w:lang w:val="tr-TR" w:eastAsia="en-US"/>
        </w:rPr>
        <w:t xml:space="preserve"> </w:t>
      </w:r>
      <w:proofErr w:type="spellStart"/>
      <w:r w:rsidRPr="00BE05BF">
        <w:rPr>
          <w:rFonts w:eastAsia="Calibri"/>
          <w:lang w:val="tr-TR" w:eastAsia="en-US"/>
        </w:rPr>
        <w:t>interest</w:t>
      </w:r>
      <w:proofErr w:type="spellEnd"/>
      <w:r w:rsidRPr="00BE05BF">
        <w:rPr>
          <w:rFonts w:eastAsia="Calibri"/>
          <w:lang w:val="tr-TR" w:eastAsia="en-US"/>
        </w:rPr>
        <w:t xml:space="preserve"> in -SH </w:t>
      </w:r>
      <w:proofErr w:type="spellStart"/>
      <w:r w:rsidRPr="00BE05BF">
        <w:rPr>
          <w:rFonts w:eastAsia="Calibri"/>
          <w:lang w:val="tr-TR" w:eastAsia="en-US"/>
        </w:rPr>
        <w:t>groups</w:t>
      </w:r>
      <w:proofErr w:type="spellEnd"/>
      <w:r w:rsidRPr="00BE05BF">
        <w:rPr>
          <w:rFonts w:eastAsia="Calibri"/>
          <w:lang w:val="tr-TR" w:eastAsia="en-US"/>
        </w:rPr>
        <w:t xml:space="preserve">, </w:t>
      </w:r>
      <w:proofErr w:type="spellStart"/>
      <w:r w:rsidRPr="00BE05BF">
        <w:rPr>
          <w:rFonts w:eastAsia="Calibri"/>
          <w:lang w:val="tr-TR" w:eastAsia="en-US"/>
        </w:rPr>
        <w:t>gold</w:t>
      </w:r>
      <w:proofErr w:type="spellEnd"/>
      <w:r w:rsidRPr="00BE05BF">
        <w:rPr>
          <w:rFonts w:eastAsia="Calibri"/>
          <w:lang w:val="tr-TR" w:eastAsia="en-US"/>
        </w:rPr>
        <w:t xml:space="preserve"> </w:t>
      </w:r>
      <w:proofErr w:type="spellStart"/>
      <w:r w:rsidRPr="00BE05BF">
        <w:rPr>
          <w:rFonts w:eastAsia="Calibri"/>
          <w:lang w:val="tr-TR" w:eastAsia="en-US"/>
        </w:rPr>
        <w:t>NPs</w:t>
      </w:r>
      <w:proofErr w:type="spellEnd"/>
      <w:r w:rsidRPr="00BE05BF">
        <w:rPr>
          <w:rFonts w:eastAsia="Calibri"/>
          <w:lang w:val="tr-TR" w:eastAsia="en-US"/>
        </w:rPr>
        <w:t xml:space="preserve"> </w:t>
      </w:r>
      <w:proofErr w:type="spellStart"/>
      <w:r w:rsidRPr="00BE05BF">
        <w:rPr>
          <w:rFonts w:eastAsia="Calibri"/>
          <w:lang w:val="tr-TR" w:eastAsia="en-US"/>
        </w:rPr>
        <w:t>have</w:t>
      </w:r>
      <w:proofErr w:type="spellEnd"/>
      <w:r w:rsidRPr="00BE05BF">
        <w:rPr>
          <w:rFonts w:eastAsia="Calibri"/>
          <w:lang w:val="tr-TR" w:eastAsia="en-US"/>
        </w:rPr>
        <w:t xml:space="preserve"> </w:t>
      </w:r>
      <w:proofErr w:type="spellStart"/>
      <w:r w:rsidRPr="00BE05BF">
        <w:rPr>
          <w:rFonts w:eastAsia="Calibri"/>
          <w:lang w:val="tr-TR" w:eastAsia="en-US"/>
        </w:rPr>
        <w:t>found</w:t>
      </w:r>
      <w:proofErr w:type="spellEnd"/>
      <w:r w:rsidRPr="00BE05BF">
        <w:rPr>
          <w:rFonts w:eastAsia="Calibri"/>
          <w:lang w:val="tr-TR" w:eastAsia="en-US"/>
        </w:rPr>
        <w:t xml:space="preserve"> </w:t>
      </w:r>
      <w:proofErr w:type="spellStart"/>
      <w:r w:rsidRPr="00BE05BF">
        <w:rPr>
          <w:rFonts w:eastAsia="Calibri"/>
          <w:lang w:val="tr-TR" w:eastAsia="en-US"/>
        </w:rPr>
        <w:t>widespread</w:t>
      </w:r>
      <w:proofErr w:type="spellEnd"/>
      <w:r w:rsidRPr="00BE05BF">
        <w:rPr>
          <w:rFonts w:eastAsia="Calibri"/>
          <w:lang w:val="tr-TR" w:eastAsia="en-US"/>
        </w:rPr>
        <w:t xml:space="preserve"> </w:t>
      </w:r>
      <w:proofErr w:type="spellStart"/>
      <w:r w:rsidRPr="00BE05BF">
        <w:rPr>
          <w:rFonts w:eastAsia="Calibri"/>
          <w:lang w:val="tr-TR" w:eastAsia="en-US"/>
        </w:rPr>
        <w:t>use</w:t>
      </w:r>
      <w:proofErr w:type="spellEnd"/>
      <w:r w:rsidRPr="00BE05BF">
        <w:rPr>
          <w:rFonts w:eastAsia="Calibri"/>
          <w:lang w:val="tr-TR" w:eastAsia="en-US"/>
        </w:rPr>
        <w:t xml:space="preserve"> in </w:t>
      </w:r>
      <w:proofErr w:type="spellStart"/>
      <w:r w:rsidRPr="00BE05BF">
        <w:rPr>
          <w:rFonts w:eastAsia="Calibri"/>
          <w:lang w:val="tr-TR" w:eastAsia="en-US"/>
        </w:rPr>
        <w:t>medicinal</w:t>
      </w:r>
      <w:proofErr w:type="spellEnd"/>
      <w:r w:rsidRPr="00BE05BF">
        <w:rPr>
          <w:rFonts w:eastAsia="Calibri"/>
          <w:lang w:val="tr-TR" w:eastAsia="en-US"/>
        </w:rPr>
        <w:t xml:space="preserve"> </w:t>
      </w:r>
      <w:proofErr w:type="spellStart"/>
      <w:r w:rsidRPr="00BE05BF">
        <w:rPr>
          <w:rFonts w:eastAsia="Calibri"/>
          <w:lang w:val="tr-TR" w:eastAsia="en-US"/>
        </w:rPr>
        <w:t>applications</w:t>
      </w:r>
      <w:proofErr w:type="spellEnd"/>
      <w:r w:rsidRPr="00BE05BF">
        <w:rPr>
          <w:rFonts w:eastAsia="Calibri"/>
          <w:lang w:val="tr-TR" w:eastAsia="en-US"/>
        </w:rPr>
        <w:t xml:space="preserve">. </w:t>
      </w:r>
      <w:proofErr w:type="spellStart"/>
      <w:r w:rsidRPr="00BE05BF">
        <w:rPr>
          <w:rFonts w:eastAsia="Calibri"/>
          <w:lang w:val="tr-TR" w:eastAsia="en-US"/>
        </w:rPr>
        <w:t>It</w:t>
      </w:r>
      <w:proofErr w:type="spellEnd"/>
      <w:r w:rsidRPr="00BE05BF">
        <w:rPr>
          <w:rFonts w:eastAsia="Calibri"/>
          <w:lang w:val="tr-TR" w:eastAsia="en-US"/>
        </w:rPr>
        <w:t xml:space="preserve"> has </w:t>
      </w:r>
      <w:proofErr w:type="spellStart"/>
      <w:r w:rsidRPr="00BE05BF">
        <w:rPr>
          <w:rFonts w:eastAsia="Calibri"/>
          <w:lang w:val="tr-TR" w:eastAsia="en-US"/>
        </w:rPr>
        <w:t>been</w:t>
      </w:r>
      <w:proofErr w:type="spellEnd"/>
      <w:r w:rsidRPr="00BE05BF">
        <w:rPr>
          <w:rFonts w:eastAsia="Calibri"/>
          <w:lang w:val="tr-TR" w:eastAsia="en-US"/>
        </w:rPr>
        <w:t xml:space="preserve"> </w:t>
      </w:r>
      <w:proofErr w:type="spellStart"/>
      <w:r w:rsidRPr="00BE05BF">
        <w:rPr>
          <w:rFonts w:eastAsia="Calibri"/>
          <w:lang w:val="tr-TR" w:eastAsia="en-US"/>
        </w:rPr>
        <w:t>stated</w:t>
      </w:r>
      <w:proofErr w:type="spellEnd"/>
      <w:r w:rsidRPr="00BE05BF">
        <w:rPr>
          <w:rFonts w:eastAsia="Calibri"/>
          <w:lang w:val="tr-TR" w:eastAsia="en-US"/>
        </w:rPr>
        <w:t xml:space="preserve"> in </w:t>
      </w:r>
      <w:proofErr w:type="spellStart"/>
      <w:r w:rsidRPr="00BE05BF">
        <w:rPr>
          <w:rFonts w:eastAsia="Calibri"/>
          <w:lang w:val="tr-TR" w:eastAsia="en-US"/>
        </w:rPr>
        <w:t>the</w:t>
      </w:r>
      <w:proofErr w:type="spellEnd"/>
      <w:r w:rsidRPr="00BE05BF">
        <w:rPr>
          <w:rFonts w:eastAsia="Calibri"/>
          <w:lang w:val="tr-TR" w:eastAsia="en-US"/>
        </w:rPr>
        <w:t xml:space="preserve"> </w:t>
      </w:r>
      <w:proofErr w:type="spellStart"/>
      <w:r w:rsidRPr="00BE05BF">
        <w:rPr>
          <w:rFonts w:eastAsia="Calibri"/>
          <w:lang w:val="tr-TR" w:eastAsia="en-US"/>
        </w:rPr>
        <w:t>literature</w:t>
      </w:r>
      <w:proofErr w:type="spellEnd"/>
      <w:r w:rsidRPr="00BE05BF">
        <w:rPr>
          <w:rFonts w:eastAsia="Calibri"/>
          <w:lang w:val="tr-TR" w:eastAsia="en-US"/>
        </w:rPr>
        <w:t xml:space="preserve"> </w:t>
      </w:r>
      <w:proofErr w:type="spellStart"/>
      <w:r w:rsidRPr="00BE05BF">
        <w:rPr>
          <w:rFonts w:eastAsia="Calibri"/>
          <w:lang w:val="tr-TR" w:eastAsia="en-US"/>
        </w:rPr>
        <w:t>that</w:t>
      </w:r>
      <w:proofErr w:type="spellEnd"/>
      <w:r w:rsidRPr="00BE05BF">
        <w:rPr>
          <w:rFonts w:eastAsia="Calibri"/>
          <w:lang w:val="tr-TR" w:eastAsia="en-US"/>
        </w:rPr>
        <w:t xml:space="preserve"> </w:t>
      </w:r>
      <w:proofErr w:type="spellStart"/>
      <w:r w:rsidRPr="00BE05BF">
        <w:rPr>
          <w:rFonts w:eastAsia="Calibri"/>
          <w:lang w:val="tr-TR" w:eastAsia="en-US"/>
        </w:rPr>
        <w:t>sensors</w:t>
      </w:r>
      <w:proofErr w:type="spellEnd"/>
      <w:r w:rsidRPr="00BE05BF">
        <w:rPr>
          <w:rFonts w:eastAsia="Calibri"/>
          <w:lang w:val="tr-TR" w:eastAsia="en-US"/>
        </w:rPr>
        <w:t xml:space="preserve"> </w:t>
      </w:r>
      <w:proofErr w:type="spellStart"/>
      <w:r w:rsidRPr="00BE05BF">
        <w:rPr>
          <w:rFonts w:eastAsia="Calibri"/>
          <w:lang w:val="tr-TR" w:eastAsia="en-US"/>
        </w:rPr>
        <w:t>made</w:t>
      </w:r>
      <w:proofErr w:type="spellEnd"/>
      <w:r w:rsidRPr="00BE05BF">
        <w:rPr>
          <w:rFonts w:eastAsia="Calibri"/>
          <w:lang w:val="tr-TR" w:eastAsia="en-US"/>
        </w:rPr>
        <w:t xml:space="preserve"> </w:t>
      </w:r>
      <w:proofErr w:type="spellStart"/>
      <w:r w:rsidRPr="00BE05BF">
        <w:rPr>
          <w:rFonts w:eastAsia="Calibri"/>
          <w:lang w:val="tr-TR" w:eastAsia="en-US"/>
        </w:rPr>
        <w:t>with</w:t>
      </w:r>
      <w:proofErr w:type="spellEnd"/>
      <w:r w:rsidRPr="00BE05BF">
        <w:rPr>
          <w:rFonts w:eastAsia="Calibri"/>
          <w:lang w:val="tr-TR" w:eastAsia="en-US"/>
        </w:rPr>
        <w:t xml:space="preserve"> </w:t>
      </w:r>
      <w:proofErr w:type="spellStart"/>
      <w:r w:rsidRPr="00BE05BF">
        <w:rPr>
          <w:rFonts w:eastAsia="Calibri"/>
          <w:lang w:val="tr-TR" w:eastAsia="en-US"/>
        </w:rPr>
        <w:t>graphene</w:t>
      </w:r>
      <w:proofErr w:type="spellEnd"/>
      <w:r w:rsidRPr="00BE05BF">
        <w:rPr>
          <w:rFonts w:eastAsia="Calibri"/>
          <w:lang w:val="tr-TR" w:eastAsia="en-US"/>
        </w:rPr>
        <w:t xml:space="preserve"> </w:t>
      </w:r>
      <w:proofErr w:type="spellStart"/>
      <w:r w:rsidRPr="00BE05BF">
        <w:rPr>
          <w:rFonts w:eastAsia="Calibri"/>
          <w:lang w:val="tr-TR" w:eastAsia="en-US"/>
        </w:rPr>
        <w:t>and</w:t>
      </w:r>
      <w:proofErr w:type="spellEnd"/>
      <w:r w:rsidRPr="00BE05BF">
        <w:rPr>
          <w:rFonts w:eastAsia="Calibri"/>
          <w:lang w:val="tr-TR" w:eastAsia="en-US"/>
        </w:rPr>
        <w:t xml:space="preserve"> </w:t>
      </w:r>
      <w:proofErr w:type="spellStart"/>
      <w:r w:rsidRPr="00BE05BF">
        <w:rPr>
          <w:rFonts w:eastAsia="Calibri"/>
          <w:lang w:val="tr-TR" w:eastAsia="en-US"/>
        </w:rPr>
        <w:t>nanoparticles</w:t>
      </w:r>
      <w:proofErr w:type="spellEnd"/>
      <w:r w:rsidRPr="00BE05BF">
        <w:rPr>
          <w:rFonts w:eastAsia="Calibri"/>
          <w:lang w:val="tr-TR" w:eastAsia="en-US"/>
        </w:rPr>
        <w:t xml:space="preserve"> </w:t>
      </w:r>
      <w:proofErr w:type="spellStart"/>
      <w:r w:rsidRPr="00BE05BF">
        <w:rPr>
          <w:rFonts w:eastAsia="Calibri"/>
          <w:lang w:val="tr-TR" w:eastAsia="en-US"/>
        </w:rPr>
        <w:t>have</w:t>
      </w:r>
      <w:proofErr w:type="spellEnd"/>
      <w:r w:rsidRPr="00BE05BF">
        <w:rPr>
          <w:rFonts w:eastAsia="Calibri"/>
          <w:lang w:val="tr-TR" w:eastAsia="en-US"/>
        </w:rPr>
        <w:t xml:space="preserve"> </w:t>
      </w:r>
      <w:proofErr w:type="spellStart"/>
      <w:r w:rsidRPr="00BE05BF">
        <w:rPr>
          <w:rFonts w:eastAsia="Calibri"/>
          <w:lang w:val="tr-TR" w:eastAsia="en-US"/>
        </w:rPr>
        <w:t>superior</w:t>
      </w:r>
      <w:proofErr w:type="spellEnd"/>
      <w:r w:rsidRPr="00BE05BF">
        <w:rPr>
          <w:rFonts w:eastAsia="Calibri"/>
          <w:lang w:val="tr-TR" w:eastAsia="en-US"/>
        </w:rPr>
        <w:t xml:space="preserve"> </w:t>
      </w:r>
      <w:proofErr w:type="spellStart"/>
      <w:r w:rsidRPr="00BE05BF">
        <w:rPr>
          <w:rFonts w:eastAsia="Calibri"/>
          <w:lang w:val="tr-TR" w:eastAsia="en-US"/>
        </w:rPr>
        <w:t>qualities</w:t>
      </w:r>
      <w:proofErr w:type="spellEnd"/>
      <w:r w:rsidRPr="00BE05BF">
        <w:rPr>
          <w:rFonts w:eastAsia="Calibri"/>
          <w:lang w:val="tr-TR" w:eastAsia="en-US"/>
        </w:rPr>
        <w:t xml:space="preserve"> </w:t>
      </w:r>
      <w:proofErr w:type="spellStart"/>
      <w:r w:rsidRPr="00BE05BF">
        <w:rPr>
          <w:rFonts w:eastAsia="Calibri"/>
          <w:lang w:val="tr-TR" w:eastAsia="en-US"/>
        </w:rPr>
        <w:t>such</w:t>
      </w:r>
      <w:proofErr w:type="spellEnd"/>
      <w:r w:rsidRPr="00BE05BF">
        <w:rPr>
          <w:rFonts w:eastAsia="Calibri"/>
          <w:lang w:val="tr-TR" w:eastAsia="en-US"/>
        </w:rPr>
        <w:t xml:space="preserve"> as </w:t>
      </w:r>
      <w:proofErr w:type="spellStart"/>
      <w:r w:rsidRPr="00BE05BF">
        <w:rPr>
          <w:rFonts w:eastAsia="Calibri"/>
          <w:lang w:val="tr-TR" w:eastAsia="en-US"/>
        </w:rPr>
        <w:t>sensitivity</w:t>
      </w:r>
      <w:proofErr w:type="spellEnd"/>
      <w:r w:rsidRPr="00BE05BF">
        <w:rPr>
          <w:rFonts w:eastAsia="Calibri"/>
          <w:lang w:val="tr-TR" w:eastAsia="en-US"/>
        </w:rPr>
        <w:t xml:space="preserve">, </w:t>
      </w:r>
      <w:proofErr w:type="spellStart"/>
      <w:r w:rsidRPr="00BE05BF">
        <w:rPr>
          <w:rFonts w:eastAsia="Calibri"/>
          <w:lang w:val="tr-TR" w:eastAsia="en-US"/>
        </w:rPr>
        <w:t>lower</w:t>
      </w:r>
      <w:proofErr w:type="spellEnd"/>
      <w:r w:rsidRPr="00BE05BF">
        <w:rPr>
          <w:rFonts w:eastAsia="Calibri"/>
          <w:lang w:val="tr-TR" w:eastAsia="en-US"/>
        </w:rPr>
        <w:t xml:space="preserve"> </w:t>
      </w:r>
      <w:proofErr w:type="spellStart"/>
      <w:r w:rsidRPr="00BE05BF">
        <w:rPr>
          <w:rFonts w:eastAsia="Calibri"/>
          <w:lang w:val="tr-TR" w:eastAsia="en-US"/>
        </w:rPr>
        <w:t>detection</w:t>
      </w:r>
      <w:proofErr w:type="spellEnd"/>
      <w:r w:rsidRPr="00BE05BF">
        <w:rPr>
          <w:rFonts w:eastAsia="Calibri"/>
          <w:lang w:val="tr-TR" w:eastAsia="en-US"/>
        </w:rPr>
        <w:t xml:space="preserve"> </w:t>
      </w:r>
      <w:proofErr w:type="spellStart"/>
      <w:r w:rsidRPr="00BE05BF">
        <w:rPr>
          <w:rFonts w:eastAsia="Calibri"/>
          <w:lang w:val="tr-TR" w:eastAsia="en-US"/>
        </w:rPr>
        <w:t>limits</w:t>
      </w:r>
      <w:proofErr w:type="spellEnd"/>
      <w:r w:rsidRPr="00BE05BF">
        <w:rPr>
          <w:rFonts w:eastAsia="Calibri"/>
          <w:lang w:val="tr-TR" w:eastAsia="en-US"/>
        </w:rPr>
        <w:t xml:space="preserve">, </w:t>
      </w:r>
      <w:proofErr w:type="spellStart"/>
      <w:r w:rsidRPr="00BE05BF">
        <w:rPr>
          <w:rFonts w:eastAsia="Calibri"/>
          <w:lang w:val="tr-TR" w:eastAsia="en-US"/>
        </w:rPr>
        <w:t>and</w:t>
      </w:r>
      <w:proofErr w:type="spellEnd"/>
      <w:r w:rsidRPr="00BE05BF">
        <w:rPr>
          <w:rFonts w:eastAsia="Calibri"/>
          <w:lang w:val="tr-TR" w:eastAsia="en-US"/>
        </w:rPr>
        <w:t xml:space="preserve"> </w:t>
      </w:r>
      <w:proofErr w:type="spellStart"/>
      <w:r w:rsidRPr="00BE05BF">
        <w:rPr>
          <w:rFonts w:eastAsia="Calibri"/>
          <w:lang w:val="tr-TR" w:eastAsia="en-US"/>
        </w:rPr>
        <w:t>faster</w:t>
      </w:r>
      <w:proofErr w:type="spellEnd"/>
      <w:r w:rsidRPr="00BE05BF">
        <w:rPr>
          <w:rFonts w:eastAsia="Calibri"/>
          <w:lang w:val="tr-TR" w:eastAsia="en-US"/>
        </w:rPr>
        <w:t xml:space="preserve"> </w:t>
      </w:r>
      <w:proofErr w:type="spellStart"/>
      <w:r w:rsidRPr="00BE05BF">
        <w:rPr>
          <w:rFonts w:eastAsia="Calibri"/>
          <w:lang w:val="tr-TR" w:eastAsia="en-US"/>
        </w:rPr>
        <w:t>electron</w:t>
      </w:r>
      <w:proofErr w:type="spellEnd"/>
      <w:r w:rsidRPr="00BE05BF">
        <w:rPr>
          <w:rFonts w:eastAsia="Calibri"/>
          <w:lang w:val="tr-TR" w:eastAsia="en-US"/>
        </w:rPr>
        <w:t xml:space="preserve"> transfer </w:t>
      </w:r>
      <w:proofErr w:type="spellStart"/>
      <w:r w:rsidRPr="00BE05BF">
        <w:rPr>
          <w:rFonts w:eastAsia="Calibri"/>
          <w:lang w:val="tr-TR" w:eastAsia="en-US"/>
        </w:rPr>
        <w:t>kinetics</w:t>
      </w:r>
      <w:proofErr w:type="spellEnd"/>
      <w:r w:rsidRPr="00BE05BF">
        <w:rPr>
          <w:rFonts w:eastAsia="Calibri"/>
          <w:lang w:val="tr-TR" w:eastAsia="en-US"/>
        </w:rPr>
        <w:t xml:space="preserve">, </w:t>
      </w:r>
      <w:proofErr w:type="spellStart"/>
      <w:r w:rsidRPr="00BE05BF">
        <w:rPr>
          <w:rFonts w:eastAsia="Calibri"/>
          <w:lang w:val="tr-TR" w:eastAsia="en-US"/>
        </w:rPr>
        <w:t>which</w:t>
      </w:r>
      <w:proofErr w:type="spellEnd"/>
      <w:r w:rsidRPr="00BE05BF">
        <w:rPr>
          <w:rFonts w:eastAsia="Calibri"/>
          <w:lang w:val="tr-TR" w:eastAsia="en-US"/>
        </w:rPr>
        <w:t xml:space="preserve"> </w:t>
      </w:r>
      <w:proofErr w:type="spellStart"/>
      <w:r w:rsidRPr="00BE05BF">
        <w:rPr>
          <w:rFonts w:eastAsia="Calibri"/>
          <w:lang w:val="tr-TR" w:eastAsia="en-US"/>
        </w:rPr>
        <w:t>increase</w:t>
      </w:r>
      <w:proofErr w:type="spellEnd"/>
      <w:r w:rsidRPr="00BE05BF">
        <w:rPr>
          <w:rFonts w:eastAsia="Calibri"/>
          <w:lang w:val="tr-TR" w:eastAsia="en-US"/>
        </w:rPr>
        <w:t xml:space="preserve"> </w:t>
      </w:r>
      <w:proofErr w:type="gramStart"/>
      <w:r w:rsidRPr="00BE05BF">
        <w:rPr>
          <w:rFonts w:eastAsia="Calibri"/>
          <w:lang w:val="tr-TR" w:eastAsia="en-US"/>
        </w:rPr>
        <w:t>sensor</w:t>
      </w:r>
      <w:proofErr w:type="gramEnd"/>
      <w:r w:rsidRPr="00BE05BF">
        <w:rPr>
          <w:rFonts w:eastAsia="Calibri"/>
          <w:lang w:val="tr-TR" w:eastAsia="en-US"/>
        </w:rPr>
        <w:t xml:space="preserve"> performance</w:t>
      </w:r>
      <w:r w:rsidR="00280F2F" w:rsidRPr="00BE05BF">
        <w:rPr>
          <w:rFonts w:eastAsia="Calibri"/>
          <w:lang w:val="tr-TR" w:eastAsia="en-US"/>
        </w:rPr>
        <w:t>.</w:t>
      </w:r>
      <w:r w:rsidR="00413DE8" w:rsidRPr="00BE05BF">
        <w:rPr>
          <w:rFonts w:eastAsia="Calibri"/>
          <w:vertAlign w:val="superscript"/>
          <w:lang w:val="tr-TR" w:eastAsia="en-US"/>
        </w:rPr>
        <w:t>1</w:t>
      </w:r>
      <w:r w:rsidR="00BB3058" w:rsidRPr="00BE05BF">
        <w:rPr>
          <w:rFonts w:eastAsia="Calibri"/>
          <w:vertAlign w:val="superscript"/>
          <w:lang w:val="tr-TR" w:eastAsia="en-US"/>
        </w:rPr>
        <w:t>0</w:t>
      </w:r>
      <w:r w:rsidR="00F71017" w:rsidRPr="00BE05BF">
        <w:rPr>
          <w:rFonts w:eastAsia="Calibri"/>
          <w:vertAlign w:val="superscript"/>
          <w:lang w:val="tr-TR" w:eastAsia="en-US"/>
        </w:rPr>
        <w:t>,11</w:t>
      </w:r>
    </w:p>
    <w:p w:rsidR="00DE1AAD" w:rsidRPr="00BE05BF" w:rsidRDefault="00DE1AAD" w:rsidP="00EB3302">
      <w:pPr>
        <w:spacing w:after="160" w:line="360" w:lineRule="auto"/>
        <w:ind w:firstLine="720"/>
        <w:jc w:val="both"/>
        <w:rPr>
          <w:rFonts w:eastAsia="Calibri"/>
          <w:vertAlign w:val="superscript"/>
          <w:lang w:val="tr-TR" w:eastAsia="en-US"/>
        </w:rPr>
      </w:pPr>
      <w:proofErr w:type="spellStart"/>
      <w:r w:rsidRPr="00BE05BF">
        <w:rPr>
          <w:rFonts w:eastAsia="Calibri"/>
          <w:lang w:val="tr-TR" w:eastAsia="en-US"/>
        </w:rPr>
        <w:t>Pesticides</w:t>
      </w:r>
      <w:proofErr w:type="spellEnd"/>
      <w:r w:rsidRPr="00BE05BF">
        <w:rPr>
          <w:rFonts w:eastAsia="Calibri"/>
          <w:lang w:val="tr-TR" w:eastAsia="en-US"/>
        </w:rPr>
        <w:t xml:space="preserve"> </w:t>
      </w:r>
      <w:proofErr w:type="spellStart"/>
      <w:r w:rsidRPr="00BE05BF">
        <w:rPr>
          <w:rFonts w:eastAsia="Calibri"/>
          <w:lang w:val="tr-TR" w:eastAsia="en-US"/>
        </w:rPr>
        <w:t>are</w:t>
      </w:r>
      <w:proofErr w:type="spellEnd"/>
      <w:r w:rsidRPr="00BE05BF">
        <w:rPr>
          <w:rFonts w:eastAsia="Calibri"/>
          <w:lang w:val="tr-TR" w:eastAsia="en-US"/>
        </w:rPr>
        <w:t xml:space="preserve"> </w:t>
      </w:r>
      <w:proofErr w:type="spellStart"/>
      <w:r w:rsidRPr="00BE05BF">
        <w:rPr>
          <w:rFonts w:eastAsia="Calibri"/>
          <w:lang w:val="tr-TR" w:eastAsia="en-US"/>
        </w:rPr>
        <w:t>widely</w:t>
      </w:r>
      <w:proofErr w:type="spellEnd"/>
      <w:r w:rsidRPr="00BE05BF">
        <w:rPr>
          <w:rFonts w:eastAsia="Calibri"/>
          <w:lang w:val="tr-TR" w:eastAsia="en-US"/>
        </w:rPr>
        <w:t xml:space="preserve"> </w:t>
      </w:r>
      <w:proofErr w:type="spellStart"/>
      <w:r w:rsidRPr="00BE05BF">
        <w:rPr>
          <w:rFonts w:eastAsia="Calibri"/>
          <w:lang w:val="tr-TR" w:eastAsia="en-US"/>
        </w:rPr>
        <w:t>employed</w:t>
      </w:r>
      <w:proofErr w:type="spellEnd"/>
      <w:r w:rsidRPr="00BE05BF">
        <w:rPr>
          <w:rFonts w:eastAsia="Calibri"/>
          <w:lang w:val="tr-TR" w:eastAsia="en-US"/>
        </w:rPr>
        <w:t xml:space="preserve"> as </w:t>
      </w:r>
      <w:proofErr w:type="spellStart"/>
      <w:r w:rsidRPr="00BE05BF">
        <w:rPr>
          <w:rFonts w:eastAsia="Calibri"/>
          <w:lang w:val="tr-TR" w:eastAsia="en-US"/>
        </w:rPr>
        <w:t>agrochemicals</w:t>
      </w:r>
      <w:proofErr w:type="spellEnd"/>
      <w:r w:rsidRPr="00BE05BF">
        <w:rPr>
          <w:rFonts w:eastAsia="Calibri"/>
          <w:lang w:val="tr-TR" w:eastAsia="en-US"/>
        </w:rPr>
        <w:t xml:space="preserve"> </w:t>
      </w:r>
      <w:proofErr w:type="spellStart"/>
      <w:r w:rsidRPr="00BE05BF">
        <w:rPr>
          <w:rFonts w:eastAsia="Calibri"/>
          <w:lang w:val="tr-TR" w:eastAsia="en-US"/>
        </w:rPr>
        <w:t>to</w:t>
      </w:r>
      <w:proofErr w:type="spellEnd"/>
      <w:r w:rsidRPr="00BE05BF">
        <w:rPr>
          <w:rFonts w:eastAsia="Calibri"/>
          <w:lang w:val="tr-TR" w:eastAsia="en-US"/>
        </w:rPr>
        <w:t xml:space="preserve"> </w:t>
      </w:r>
      <w:proofErr w:type="spellStart"/>
      <w:r w:rsidRPr="00BE05BF">
        <w:rPr>
          <w:rFonts w:eastAsia="Calibri"/>
          <w:lang w:val="tr-TR" w:eastAsia="en-US"/>
        </w:rPr>
        <w:t>enhance</w:t>
      </w:r>
      <w:proofErr w:type="spellEnd"/>
      <w:r w:rsidRPr="00BE05BF">
        <w:rPr>
          <w:rFonts w:eastAsia="Calibri"/>
          <w:lang w:val="tr-TR" w:eastAsia="en-US"/>
        </w:rPr>
        <w:t xml:space="preserve"> </w:t>
      </w:r>
      <w:proofErr w:type="spellStart"/>
      <w:r w:rsidRPr="00BE05BF">
        <w:rPr>
          <w:rFonts w:eastAsia="Calibri"/>
          <w:lang w:val="tr-TR" w:eastAsia="en-US"/>
        </w:rPr>
        <w:t>agricultural</w:t>
      </w:r>
      <w:proofErr w:type="spellEnd"/>
      <w:r w:rsidRPr="00BE05BF">
        <w:rPr>
          <w:rFonts w:eastAsia="Calibri"/>
          <w:lang w:val="tr-TR" w:eastAsia="en-US"/>
        </w:rPr>
        <w:t xml:space="preserve"> </w:t>
      </w:r>
      <w:proofErr w:type="spellStart"/>
      <w:r w:rsidRPr="00BE05BF">
        <w:rPr>
          <w:rFonts w:eastAsia="Calibri"/>
          <w:lang w:val="tr-TR" w:eastAsia="en-US"/>
        </w:rPr>
        <w:t>production</w:t>
      </w:r>
      <w:proofErr w:type="spellEnd"/>
      <w:r w:rsidRPr="00BE05BF">
        <w:rPr>
          <w:rFonts w:eastAsia="Calibri"/>
          <w:lang w:val="tr-TR" w:eastAsia="en-US"/>
        </w:rPr>
        <w:t xml:space="preserve"> </w:t>
      </w:r>
      <w:proofErr w:type="spellStart"/>
      <w:r w:rsidRPr="00BE05BF">
        <w:rPr>
          <w:rFonts w:eastAsia="Calibri"/>
          <w:lang w:val="tr-TR" w:eastAsia="en-US"/>
        </w:rPr>
        <w:t>by</w:t>
      </w:r>
      <w:proofErr w:type="spellEnd"/>
      <w:r w:rsidRPr="00BE05BF">
        <w:rPr>
          <w:rFonts w:eastAsia="Calibri"/>
          <w:lang w:val="tr-TR" w:eastAsia="en-US"/>
        </w:rPr>
        <w:t xml:space="preserve"> </w:t>
      </w:r>
      <w:proofErr w:type="spellStart"/>
      <w:r w:rsidRPr="00BE05BF">
        <w:rPr>
          <w:rFonts w:eastAsia="Calibri"/>
          <w:lang w:val="tr-TR" w:eastAsia="en-US"/>
        </w:rPr>
        <w:t>controlling</w:t>
      </w:r>
      <w:proofErr w:type="spellEnd"/>
      <w:r w:rsidRPr="00BE05BF">
        <w:rPr>
          <w:rFonts w:eastAsia="Calibri"/>
          <w:lang w:val="tr-TR" w:eastAsia="en-US"/>
        </w:rPr>
        <w:t xml:space="preserve"> </w:t>
      </w:r>
      <w:proofErr w:type="spellStart"/>
      <w:r w:rsidRPr="00BE05BF">
        <w:rPr>
          <w:rFonts w:eastAsia="Calibri"/>
          <w:lang w:val="tr-TR" w:eastAsia="en-US"/>
        </w:rPr>
        <w:t>or</w:t>
      </w:r>
      <w:proofErr w:type="spellEnd"/>
      <w:r w:rsidRPr="00BE05BF">
        <w:rPr>
          <w:rFonts w:eastAsia="Calibri"/>
          <w:lang w:val="tr-TR" w:eastAsia="en-US"/>
        </w:rPr>
        <w:t xml:space="preserve"> </w:t>
      </w:r>
      <w:proofErr w:type="spellStart"/>
      <w:r w:rsidRPr="00BE05BF">
        <w:rPr>
          <w:rFonts w:eastAsia="Calibri"/>
          <w:lang w:val="tr-TR" w:eastAsia="en-US"/>
        </w:rPr>
        <w:t>killing</w:t>
      </w:r>
      <w:proofErr w:type="spellEnd"/>
      <w:r w:rsidRPr="00BE05BF">
        <w:rPr>
          <w:rFonts w:eastAsia="Calibri"/>
          <w:lang w:val="tr-TR" w:eastAsia="en-US"/>
        </w:rPr>
        <w:t xml:space="preserve"> </w:t>
      </w:r>
      <w:proofErr w:type="spellStart"/>
      <w:r w:rsidRPr="00BE05BF">
        <w:rPr>
          <w:rFonts w:eastAsia="Calibri"/>
          <w:lang w:val="tr-TR" w:eastAsia="en-US"/>
        </w:rPr>
        <w:t>insects</w:t>
      </w:r>
      <w:proofErr w:type="spellEnd"/>
      <w:r w:rsidRPr="00BE05BF">
        <w:rPr>
          <w:rFonts w:eastAsia="Calibri"/>
          <w:lang w:val="tr-TR" w:eastAsia="en-US"/>
        </w:rPr>
        <w:t xml:space="preserve">, </w:t>
      </w:r>
      <w:proofErr w:type="spellStart"/>
      <w:r w:rsidRPr="00BE05BF">
        <w:rPr>
          <w:rFonts w:eastAsia="Calibri"/>
          <w:lang w:val="tr-TR" w:eastAsia="en-US"/>
        </w:rPr>
        <w:t>pests</w:t>
      </w:r>
      <w:proofErr w:type="spellEnd"/>
      <w:r w:rsidRPr="00BE05BF">
        <w:rPr>
          <w:rFonts w:eastAsia="Calibri"/>
          <w:lang w:val="tr-TR" w:eastAsia="en-US"/>
        </w:rPr>
        <w:t xml:space="preserve">, </w:t>
      </w:r>
      <w:proofErr w:type="spellStart"/>
      <w:r w:rsidRPr="00BE05BF">
        <w:rPr>
          <w:rFonts w:eastAsia="Calibri"/>
          <w:lang w:val="tr-TR" w:eastAsia="en-US"/>
        </w:rPr>
        <w:t>and</w:t>
      </w:r>
      <w:proofErr w:type="spellEnd"/>
      <w:r w:rsidRPr="00BE05BF">
        <w:rPr>
          <w:rFonts w:eastAsia="Calibri"/>
          <w:lang w:val="tr-TR" w:eastAsia="en-US"/>
        </w:rPr>
        <w:t xml:space="preserve"> </w:t>
      </w:r>
      <w:proofErr w:type="spellStart"/>
      <w:r w:rsidRPr="00BE05BF">
        <w:rPr>
          <w:rFonts w:eastAsia="Calibri"/>
          <w:lang w:val="tr-TR" w:eastAsia="en-US"/>
        </w:rPr>
        <w:t>fungi</w:t>
      </w:r>
      <w:proofErr w:type="spellEnd"/>
      <w:r w:rsidRPr="00BE05BF">
        <w:rPr>
          <w:rFonts w:eastAsia="Calibri"/>
          <w:lang w:val="tr-TR" w:eastAsia="en-US"/>
        </w:rPr>
        <w:t xml:space="preserve">. </w:t>
      </w:r>
      <w:proofErr w:type="spellStart"/>
      <w:r w:rsidRPr="00BE05BF">
        <w:rPr>
          <w:rFonts w:eastAsia="Calibri"/>
          <w:lang w:val="tr-TR" w:eastAsia="en-US"/>
        </w:rPr>
        <w:t>Uncontrolled</w:t>
      </w:r>
      <w:proofErr w:type="spellEnd"/>
      <w:r w:rsidRPr="00BE05BF">
        <w:rPr>
          <w:rFonts w:eastAsia="Calibri"/>
          <w:lang w:val="tr-TR" w:eastAsia="en-US"/>
        </w:rPr>
        <w:t xml:space="preserve"> </w:t>
      </w:r>
      <w:proofErr w:type="spellStart"/>
      <w:r w:rsidRPr="00BE05BF">
        <w:rPr>
          <w:rFonts w:eastAsia="Calibri"/>
          <w:lang w:val="tr-TR" w:eastAsia="en-US"/>
        </w:rPr>
        <w:t>pesticide</w:t>
      </w:r>
      <w:proofErr w:type="spellEnd"/>
      <w:r w:rsidRPr="00BE05BF">
        <w:rPr>
          <w:rFonts w:eastAsia="Calibri"/>
          <w:lang w:val="tr-TR" w:eastAsia="en-US"/>
        </w:rPr>
        <w:t xml:space="preserve"> </w:t>
      </w:r>
      <w:proofErr w:type="spellStart"/>
      <w:r w:rsidRPr="00BE05BF">
        <w:rPr>
          <w:rFonts w:eastAsia="Calibri"/>
          <w:lang w:val="tr-TR" w:eastAsia="en-US"/>
        </w:rPr>
        <w:t>use</w:t>
      </w:r>
      <w:proofErr w:type="spellEnd"/>
      <w:r w:rsidRPr="00BE05BF">
        <w:rPr>
          <w:rFonts w:eastAsia="Calibri"/>
          <w:lang w:val="tr-TR" w:eastAsia="en-US"/>
        </w:rPr>
        <w:t xml:space="preserve">, on </w:t>
      </w:r>
      <w:proofErr w:type="spellStart"/>
      <w:r w:rsidRPr="00BE05BF">
        <w:rPr>
          <w:rFonts w:eastAsia="Calibri"/>
          <w:lang w:val="tr-TR" w:eastAsia="en-US"/>
        </w:rPr>
        <w:t>the</w:t>
      </w:r>
      <w:proofErr w:type="spellEnd"/>
      <w:r w:rsidRPr="00BE05BF">
        <w:rPr>
          <w:rFonts w:eastAsia="Calibri"/>
          <w:lang w:val="tr-TR" w:eastAsia="en-US"/>
        </w:rPr>
        <w:t xml:space="preserve"> </w:t>
      </w:r>
      <w:proofErr w:type="spellStart"/>
      <w:r w:rsidRPr="00BE05BF">
        <w:rPr>
          <w:rFonts w:eastAsia="Calibri"/>
          <w:lang w:val="tr-TR" w:eastAsia="en-US"/>
        </w:rPr>
        <w:t>other</w:t>
      </w:r>
      <w:proofErr w:type="spellEnd"/>
      <w:r w:rsidRPr="00BE05BF">
        <w:rPr>
          <w:rFonts w:eastAsia="Calibri"/>
          <w:lang w:val="tr-TR" w:eastAsia="en-US"/>
        </w:rPr>
        <w:t xml:space="preserve"> </w:t>
      </w:r>
      <w:proofErr w:type="spellStart"/>
      <w:r w:rsidRPr="00BE05BF">
        <w:rPr>
          <w:rFonts w:eastAsia="Calibri"/>
          <w:lang w:val="tr-TR" w:eastAsia="en-US"/>
        </w:rPr>
        <w:t>hand</w:t>
      </w:r>
      <w:proofErr w:type="spellEnd"/>
      <w:r w:rsidRPr="00BE05BF">
        <w:rPr>
          <w:rFonts w:eastAsia="Calibri"/>
          <w:lang w:val="tr-TR" w:eastAsia="en-US"/>
        </w:rPr>
        <w:t xml:space="preserve">, </w:t>
      </w:r>
      <w:proofErr w:type="spellStart"/>
      <w:r w:rsidRPr="00BE05BF">
        <w:rPr>
          <w:rFonts w:eastAsia="Calibri"/>
          <w:lang w:val="tr-TR" w:eastAsia="en-US"/>
        </w:rPr>
        <w:t>could</w:t>
      </w:r>
      <w:proofErr w:type="spellEnd"/>
      <w:r w:rsidRPr="00BE05BF">
        <w:rPr>
          <w:rFonts w:eastAsia="Calibri"/>
          <w:lang w:val="tr-TR" w:eastAsia="en-US"/>
        </w:rPr>
        <w:t xml:space="preserve"> </w:t>
      </w:r>
      <w:proofErr w:type="spellStart"/>
      <w:r w:rsidRPr="00BE05BF">
        <w:rPr>
          <w:rFonts w:eastAsia="Calibri"/>
          <w:lang w:val="tr-TR" w:eastAsia="en-US"/>
        </w:rPr>
        <w:t>endanger</w:t>
      </w:r>
      <w:proofErr w:type="spellEnd"/>
      <w:r w:rsidRPr="00BE05BF">
        <w:rPr>
          <w:rFonts w:eastAsia="Calibri"/>
          <w:lang w:val="tr-TR" w:eastAsia="en-US"/>
        </w:rPr>
        <w:t xml:space="preserve"> </w:t>
      </w:r>
      <w:proofErr w:type="spellStart"/>
      <w:r w:rsidRPr="00BE05BF">
        <w:rPr>
          <w:rFonts w:eastAsia="Calibri"/>
          <w:lang w:val="tr-TR" w:eastAsia="en-US"/>
        </w:rPr>
        <w:t>public</w:t>
      </w:r>
      <w:proofErr w:type="spellEnd"/>
      <w:r w:rsidRPr="00BE05BF">
        <w:rPr>
          <w:rFonts w:eastAsia="Calibri"/>
          <w:lang w:val="tr-TR" w:eastAsia="en-US"/>
        </w:rPr>
        <w:t xml:space="preserve"> health</w:t>
      </w:r>
      <w:r w:rsidR="00760900" w:rsidRPr="00BE05BF">
        <w:rPr>
          <w:rFonts w:eastAsia="Calibri"/>
          <w:lang w:val="tr-TR" w:eastAsia="en-US"/>
        </w:rPr>
        <w:t>.</w:t>
      </w:r>
      <w:r w:rsidR="00413DE8" w:rsidRPr="00BE05BF">
        <w:rPr>
          <w:rFonts w:eastAsia="Calibri"/>
          <w:vertAlign w:val="superscript"/>
          <w:lang w:val="tr-TR" w:eastAsia="en-US"/>
        </w:rPr>
        <w:t>1</w:t>
      </w:r>
      <w:r w:rsidR="00F71017" w:rsidRPr="00BE05BF">
        <w:rPr>
          <w:rFonts w:eastAsia="Calibri"/>
          <w:vertAlign w:val="superscript"/>
          <w:lang w:val="tr-TR" w:eastAsia="en-US"/>
        </w:rPr>
        <w:t>2</w:t>
      </w:r>
      <w:r w:rsidR="009F552D">
        <w:rPr>
          <w:rFonts w:eastAsia="Calibri"/>
          <w:vertAlign w:val="superscript"/>
          <w:lang w:val="tr-TR" w:eastAsia="en-US"/>
        </w:rPr>
        <w:t>,</w:t>
      </w:r>
      <w:r w:rsidR="003A20A1" w:rsidRPr="00BE05BF">
        <w:rPr>
          <w:rFonts w:eastAsia="Calibri"/>
          <w:vertAlign w:val="superscript"/>
          <w:lang w:val="tr-TR" w:eastAsia="en-US"/>
        </w:rPr>
        <w:t>1</w:t>
      </w:r>
      <w:r w:rsidR="00F71017" w:rsidRPr="00BE05BF">
        <w:rPr>
          <w:rFonts w:eastAsia="Calibri"/>
          <w:vertAlign w:val="superscript"/>
          <w:lang w:val="tr-TR" w:eastAsia="en-US"/>
        </w:rPr>
        <w:t>3</w:t>
      </w:r>
      <w:r w:rsidRPr="00BE05BF">
        <w:rPr>
          <w:rFonts w:eastAsia="Calibri"/>
          <w:lang w:val="tr-TR" w:eastAsia="en-US"/>
        </w:rPr>
        <w:t xml:space="preserve"> </w:t>
      </w:r>
      <w:proofErr w:type="spellStart"/>
      <w:r w:rsidR="0014576A" w:rsidRPr="00BE05BF">
        <w:rPr>
          <w:rFonts w:eastAsia="Calibri"/>
          <w:lang w:val="tr-TR" w:eastAsia="en-US"/>
        </w:rPr>
        <w:t>Ziram</w:t>
      </w:r>
      <w:proofErr w:type="spellEnd"/>
      <w:r w:rsidR="0014576A" w:rsidRPr="00BE05BF">
        <w:rPr>
          <w:rFonts w:eastAsia="Calibri"/>
          <w:lang w:val="tr-TR" w:eastAsia="en-US"/>
        </w:rPr>
        <w:t xml:space="preserve"> is a </w:t>
      </w:r>
      <w:proofErr w:type="spellStart"/>
      <w:r w:rsidR="0014576A" w:rsidRPr="00BE05BF">
        <w:rPr>
          <w:rFonts w:eastAsia="Calibri"/>
          <w:lang w:val="tr-TR" w:eastAsia="en-US"/>
        </w:rPr>
        <w:t>dithiocarbamate</w:t>
      </w:r>
      <w:proofErr w:type="spellEnd"/>
      <w:r w:rsidR="0014576A" w:rsidRPr="00BE05BF">
        <w:rPr>
          <w:rFonts w:eastAsia="Calibri"/>
          <w:lang w:val="tr-TR" w:eastAsia="en-US"/>
        </w:rPr>
        <w:t xml:space="preserve"> (DTC) </w:t>
      </w:r>
      <w:proofErr w:type="spellStart"/>
      <w:r w:rsidR="0014576A" w:rsidRPr="00BE05BF">
        <w:rPr>
          <w:rFonts w:eastAsia="Calibri"/>
          <w:lang w:val="tr-TR" w:eastAsia="en-US"/>
        </w:rPr>
        <w:t>fungicide</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that</w:t>
      </w:r>
      <w:proofErr w:type="spellEnd"/>
      <w:r w:rsidR="0014576A" w:rsidRPr="00BE05BF">
        <w:rPr>
          <w:rFonts w:eastAsia="Calibri"/>
          <w:lang w:val="tr-TR" w:eastAsia="en-US"/>
        </w:rPr>
        <w:t xml:space="preserve"> is </w:t>
      </w:r>
      <w:proofErr w:type="spellStart"/>
      <w:r w:rsidR="0014576A" w:rsidRPr="00BE05BF">
        <w:rPr>
          <w:rFonts w:eastAsia="Calibri"/>
          <w:lang w:val="tr-TR" w:eastAsia="en-US"/>
        </w:rPr>
        <w:t>commonly</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used</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to</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control</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moulds</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black</w:t>
      </w:r>
      <w:proofErr w:type="spellEnd"/>
      <w:r w:rsidR="0014576A" w:rsidRPr="00BE05BF">
        <w:rPr>
          <w:rFonts w:eastAsia="Calibri"/>
          <w:lang w:val="tr-TR" w:eastAsia="en-US"/>
        </w:rPr>
        <w:t xml:space="preserve"> spot, rot, </w:t>
      </w:r>
      <w:proofErr w:type="spellStart"/>
      <w:r w:rsidR="0014576A" w:rsidRPr="00BE05BF">
        <w:rPr>
          <w:rFonts w:eastAsia="Calibri"/>
          <w:lang w:val="tr-TR" w:eastAsia="en-US"/>
        </w:rPr>
        <w:t>and</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blight</w:t>
      </w:r>
      <w:proofErr w:type="spellEnd"/>
      <w:r w:rsidR="0014576A" w:rsidRPr="00BE05BF">
        <w:rPr>
          <w:rFonts w:eastAsia="Calibri"/>
          <w:lang w:val="tr-TR" w:eastAsia="en-US"/>
        </w:rPr>
        <w:t xml:space="preserve">, as </w:t>
      </w:r>
      <w:proofErr w:type="spellStart"/>
      <w:r w:rsidR="0014576A" w:rsidRPr="00BE05BF">
        <w:rPr>
          <w:rFonts w:eastAsia="Calibri"/>
          <w:lang w:val="tr-TR" w:eastAsia="en-US"/>
        </w:rPr>
        <w:t>well</w:t>
      </w:r>
      <w:proofErr w:type="spellEnd"/>
      <w:r w:rsidR="0014576A" w:rsidRPr="00BE05BF">
        <w:rPr>
          <w:rFonts w:eastAsia="Calibri"/>
          <w:lang w:val="tr-TR" w:eastAsia="en-US"/>
        </w:rPr>
        <w:t xml:space="preserve"> as </w:t>
      </w:r>
      <w:proofErr w:type="spellStart"/>
      <w:r w:rsidR="0014576A" w:rsidRPr="00BE05BF">
        <w:rPr>
          <w:rFonts w:eastAsia="Calibri"/>
          <w:lang w:val="tr-TR" w:eastAsia="en-US"/>
        </w:rPr>
        <w:lastRenderedPageBreak/>
        <w:t>to</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maintain</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the</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quality</w:t>
      </w:r>
      <w:proofErr w:type="spellEnd"/>
      <w:r w:rsidR="0014576A" w:rsidRPr="00BE05BF">
        <w:rPr>
          <w:rFonts w:eastAsia="Calibri"/>
          <w:lang w:val="tr-TR" w:eastAsia="en-US"/>
        </w:rPr>
        <w:t xml:space="preserve"> of </w:t>
      </w:r>
      <w:proofErr w:type="spellStart"/>
      <w:r w:rsidR="0014576A" w:rsidRPr="00BE05BF">
        <w:rPr>
          <w:rFonts w:eastAsia="Calibri"/>
          <w:lang w:val="tr-TR" w:eastAsia="en-US"/>
        </w:rPr>
        <w:t>fruits</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and</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vegetables</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throughout</w:t>
      </w:r>
      <w:proofErr w:type="spellEnd"/>
      <w:r w:rsidR="0014576A" w:rsidRPr="00BE05BF">
        <w:rPr>
          <w:rFonts w:eastAsia="Calibri"/>
          <w:lang w:val="tr-TR" w:eastAsia="en-US"/>
        </w:rPr>
        <w:t xml:space="preserve"> transit </w:t>
      </w:r>
      <w:proofErr w:type="spellStart"/>
      <w:r w:rsidR="0014576A" w:rsidRPr="00BE05BF">
        <w:rPr>
          <w:rFonts w:eastAsia="Calibri"/>
          <w:lang w:val="tr-TR" w:eastAsia="en-US"/>
        </w:rPr>
        <w:t>and</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storage</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Ziram</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residues</w:t>
      </w:r>
      <w:proofErr w:type="spellEnd"/>
      <w:r w:rsidR="0014576A" w:rsidRPr="00BE05BF">
        <w:rPr>
          <w:rFonts w:eastAsia="Calibri"/>
          <w:lang w:val="tr-TR" w:eastAsia="en-US"/>
        </w:rPr>
        <w:t xml:space="preserve">, on </w:t>
      </w:r>
      <w:proofErr w:type="spellStart"/>
      <w:r w:rsidR="0014576A" w:rsidRPr="00BE05BF">
        <w:rPr>
          <w:rFonts w:eastAsia="Calibri"/>
          <w:lang w:val="tr-TR" w:eastAsia="en-US"/>
        </w:rPr>
        <w:t>the</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other</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hand</w:t>
      </w:r>
      <w:proofErr w:type="spellEnd"/>
      <w:r w:rsidR="0014576A" w:rsidRPr="00BE05BF">
        <w:rPr>
          <w:rFonts w:eastAsia="Calibri"/>
          <w:lang w:val="tr-TR" w:eastAsia="en-US"/>
        </w:rPr>
        <w:t xml:space="preserve">, can </w:t>
      </w:r>
      <w:proofErr w:type="spellStart"/>
      <w:r w:rsidR="0014576A" w:rsidRPr="00BE05BF">
        <w:rPr>
          <w:rFonts w:eastAsia="Calibri"/>
          <w:lang w:val="tr-TR" w:eastAsia="en-US"/>
        </w:rPr>
        <w:t>cause</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major</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health</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problems</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such</w:t>
      </w:r>
      <w:proofErr w:type="spellEnd"/>
      <w:r w:rsidR="0014576A" w:rsidRPr="00BE05BF">
        <w:rPr>
          <w:rFonts w:eastAsia="Calibri"/>
          <w:lang w:val="tr-TR" w:eastAsia="en-US"/>
        </w:rPr>
        <w:t xml:space="preserve"> as </w:t>
      </w:r>
      <w:proofErr w:type="spellStart"/>
      <w:r w:rsidR="0014576A" w:rsidRPr="00BE05BF">
        <w:rPr>
          <w:rFonts w:eastAsia="Calibri"/>
          <w:lang w:val="tr-TR" w:eastAsia="en-US"/>
        </w:rPr>
        <w:t>headaches</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and</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nausea</w:t>
      </w:r>
      <w:proofErr w:type="spellEnd"/>
      <w:r w:rsidR="0014576A" w:rsidRPr="00BE05BF">
        <w:rPr>
          <w:rFonts w:eastAsia="Calibri"/>
          <w:lang w:val="tr-TR" w:eastAsia="en-US"/>
        </w:rPr>
        <w:t xml:space="preserve">, as </w:t>
      </w:r>
      <w:proofErr w:type="spellStart"/>
      <w:r w:rsidR="0014576A" w:rsidRPr="00BE05BF">
        <w:rPr>
          <w:rFonts w:eastAsia="Calibri"/>
          <w:lang w:val="tr-TR" w:eastAsia="en-US"/>
        </w:rPr>
        <w:t>well</w:t>
      </w:r>
      <w:proofErr w:type="spellEnd"/>
      <w:r w:rsidR="0014576A" w:rsidRPr="00BE05BF">
        <w:rPr>
          <w:rFonts w:eastAsia="Calibri"/>
          <w:lang w:val="tr-TR" w:eastAsia="en-US"/>
        </w:rPr>
        <w:t xml:space="preserve"> as </w:t>
      </w:r>
      <w:proofErr w:type="spellStart"/>
      <w:r w:rsidR="0014576A" w:rsidRPr="00BE05BF">
        <w:rPr>
          <w:rFonts w:eastAsia="Calibri"/>
          <w:lang w:val="tr-TR" w:eastAsia="en-US"/>
        </w:rPr>
        <w:t>cancer</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It's</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also</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linked</w:t>
      </w:r>
      <w:proofErr w:type="spellEnd"/>
      <w:r w:rsidR="0014576A" w:rsidRPr="00BE05BF">
        <w:rPr>
          <w:rFonts w:eastAsia="Calibri"/>
          <w:lang w:val="tr-TR" w:eastAsia="en-US"/>
        </w:rPr>
        <w:t xml:space="preserve"> </w:t>
      </w:r>
      <w:proofErr w:type="spellStart"/>
      <w:r w:rsidR="0014576A" w:rsidRPr="00BE05BF">
        <w:rPr>
          <w:rFonts w:eastAsia="Calibri"/>
          <w:lang w:val="tr-TR" w:eastAsia="en-US"/>
        </w:rPr>
        <w:t>to</w:t>
      </w:r>
      <w:proofErr w:type="spellEnd"/>
      <w:r w:rsidR="0014576A" w:rsidRPr="00BE05BF">
        <w:rPr>
          <w:rFonts w:eastAsia="Calibri"/>
          <w:lang w:val="tr-TR" w:eastAsia="en-US"/>
        </w:rPr>
        <w:t xml:space="preserve"> skin </w:t>
      </w:r>
      <w:proofErr w:type="spellStart"/>
      <w:r w:rsidR="0014576A" w:rsidRPr="00F63663">
        <w:rPr>
          <w:rFonts w:eastAsia="Calibri"/>
          <w:lang w:val="tr-TR" w:eastAsia="en-US"/>
        </w:rPr>
        <w:t>allergies</w:t>
      </w:r>
      <w:proofErr w:type="spellEnd"/>
      <w:r w:rsidR="0014576A" w:rsidRPr="00F63663">
        <w:rPr>
          <w:rFonts w:eastAsia="Calibri"/>
          <w:lang w:val="tr-TR" w:eastAsia="en-US"/>
        </w:rPr>
        <w:t xml:space="preserve">, </w:t>
      </w:r>
      <w:proofErr w:type="spellStart"/>
      <w:r w:rsidR="0014576A" w:rsidRPr="00F63663">
        <w:rPr>
          <w:rFonts w:eastAsia="Calibri"/>
          <w:lang w:val="tr-TR" w:eastAsia="en-US"/>
        </w:rPr>
        <w:t>asthma</w:t>
      </w:r>
      <w:proofErr w:type="spellEnd"/>
      <w:r w:rsidR="0014576A" w:rsidRPr="00F63663">
        <w:rPr>
          <w:rFonts w:eastAsia="Calibri"/>
          <w:lang w:val="tr-TR" w:eastAsia="en-US"/>
        </w:rPr>
        <w:t xml:space="preserve">, </w:t>
      </w:r>
      <w:proofErr w:type="spellStart"/>
      <w:r w:rsidR="0014576A" w:rsidRPr="00F63663">
        <w:rPr>
          <w:rFonts w:eastAsia="Calibri"/>
          <w:lang w:val="tr-TR" w:eastAsia="en-US"/>
        </w:rPr>
        <w:t>Parkinson's</w:t>
      </w:r>
      <w:proofErr w:type="spellEnd"/>
      <w:r w:rsidR="0014576A" w:rsidRPr="00F63663">
        <w:rPr>
          <w:rFonts w:eastAsia="Calibri"/>
          <w:lang w:val="tr-TR" w:eastAsia="en-US"/>
        </w:rPr>
        <w:t xml:space="preserve"> </w:t>
      </w:r>
      <w:proofErr w:type="spellStart"/>
      <w:r w:rsidR="0014576A" w:rsidRPr="00F63663">
        <w:rPr>
          <w:rFonts w:eastAsia="Calibri"/>
          <w:lang w:val="tr-TR" w:eastAsia="en-US"/>
        </w:rPr>
        <w:t>disease</w:t>
      </w:r>
      <w:proofErr w:type="spellEnd"/>
      <w:r w:rsidR="0014576A" w:rsidRPr="00F63663">
        <w:rPr>
          <w:rFonts w:eastAsia="Calibri"/>
          <w:lang w:val="tr-TR" w:eastAsia="en-US"/>
        </w:rPr>
        <w:t xml:space="preserve"> risk, </w:t>
      </w:r>
      <w:proofErr w:type="spellStart"/>
      <w:r w:rsidR="0014576A" w:rsidRPr="00F63663">
        <w:rPr>
          <w:rFonts w:eastAsia="Calibri"/>
          <w:lang w:val="tr-TR" w:eastAsia="en-US"/>
        </w:rPr>
        <w:t>and</w:t>
      </w:r>
      <w:proofErr w:type="spellEnd"/>
      <w:r w:rsidR="0014576A" w:rsidRPr="00F63663">
        <w:rPr>
          <w:rFonts w:eastAsia="Calibri"/>
          <w:lang w:val="tr-TR" w:eastAsia="en-US"/>
        </w:rPr>
        <w:t xml:space="preserve"> </w:t>
      </w:r>
      <w:proofErr w:type="spellStart"/>
      <w:r w:rsidR="0014576A" w:rsidRPr="00F63663">
        <w:rPr>
          <w:rFonts w:eastAsia="Calibri"/>
          <w:lang w:val="tr-TR" w:eastAsia="en-US"/>
        </w:rPr>
        <w:t>inflammation</w:t>
      </w:r>
      <w:proofErr w:type="spellEnd"/>
      <w:r w:rsidR="0014576A" w:rsidRPr="00F63663">
        <w:rPr>
          <w:rFonts w:eastAsia="Calibri"/>
          <w:lang w:val="tr-TR" w:eastAsia="en-US"/>
        </w:rPr>
        <w:t xml:space="preserve"> of </w:t>
      </w:r>
      <w:proofErr w:type="spellStart"/>
      <w:r w:rsidR="0014576A" w:rsidRPr="00F63663">
        <w:rPr>
          <w:rFonts w:eastAsia="Calibri"/>
          <w:lang w:val="tr-TR" w:eastAsia="en-US"/>
        </w:rPr>
        <w:t>the</w:t>
      </w:r>
      <w:proofErr w:type="spellEnd"/>
      <w:r w:rsidR="0014576A" w:rsidRPr="00F63663">
        <w:rPr>
          <w:rFonts w:eastAsia="Calibri"/>
          <w:lang w:val="tr-TR" w:eastAsia="en-US"/>
        </w:rPr>
        <w:t xml:space="preserve"> </w:t>
      </w:r>
      <w:proofErr w:type="spellStart"/>
      <w:r w:rsidR="0014576A" w:rsidRPr="00F63663">
        <w:rPr>
          <w:rFonts w:eastAsia="Calibri"/>
          <w:lang w:val="tr-TR" w:eastAsia="en-US"/>
        </w:rPr>
        <w:t>eyes</w:t>
      </w:r>
      <w:proofErr w:type="spellEnd"/>
      <w:r w:rsidR="0014576A" w:rsidRPr="00F63663">
        <w:rPr>
          <w:rFonts w:eastAsia="Calibri"/>
          <w:lang w:val="tr-TR" w:eastAsia="en-US"/>
        </w:rPr>
        <w:t xml:space="preserve"> </w:t>
      </w:r>
      <w:proofErr w:type="spellStart"/>
      <w:r w:rsidR="0014576A" w:rsidRPr="00F63663">
        <w:rPr>
          <w:rFonts w:eastAsia="Calibri"/>
          <w:lang w:val="tr-TR" w:eastAsia="en-US"/>
        </w:rPr>
        <w:t>and</w:t>
      </w:r>
      <w:proofErr w:type="spellEnd"/>
      <w:r w:rsidR="0014576A" w:rsidRPr="00F63663">
        <w:rPr>
          <w:rFonts w:eastAsia="Calibri"/>
          <w:lang w:val="tr-TR" w:eastAsia="en-US"/>
        </w:rPr>
        <w:t xml:space="preserve"> </w:t>
      </w:r>
      <w:proofErr w:type="spellStart"/>
      <w:r w:rsidR="00BE05BF" w:rsidRPr="00BE05BF">
        <w:rPr>
          <w:rFonts w:eastAsia="Calibri"/>
          <w:lang w:val="tr-TR" w:eastAsia="en-US"/>
        </w:rPr>
        <w:t>respiratory</w:t>
      </w:r>
      <w:proofErr w:type="spellEnd"/>
      <w:r w:rsidR="00BE05BF" w:rsidRPr="00BE05BF">
        <w:rPr>
          <w:rFonts w:eastAsia="Calibri"/>
          <w:lang w:val="tr-TR" w:eastAsia="en-US"/>
        </w:rPr>
        <w:t xml:space="preserve"> tract.</w:t>
      </w:r>
      <w:r w:rsidR="00413DE8" w:rsidRPr="00BE05BF">
        <w:rPr>
          <w:rFonts w:eastAsia="Calibri"/>
          <w:vertAlign w:val="superscript"/>
          <w:lang w:val="tr-TR" w:eastAsia="en-US"/>
        </w:rPr>
        <w:t>1</w:t>
      </w:r>
      <w:r w:rsidR="00F71017" w:rsidRPr="00BE05BF">
        <w:rPr>
          <w:rFonts w:eastAsia="Calibri"/>
          <w:vertAlign w:val="superscript"/>
          <w:lang w:val="tr-TR" w:eastAsia="en-US"/>
        </w:rPr>
        <w:t>4</w:t>
      </w:r>
      <w:r w:rsidR="00BB3058" w:rsidRPr="00BE05BF">
        <w:rPr>
          <w:rFonts w:eastAsia="Calibri"/>
          <w:vertAlign w:val="superscript"/>
          <w:lang w:val="tr-TR" w:eastAsia="en-US"/>
        </w:rPr>
        <w:t>-1</w:t>
      </w:r>
      <w:r w:rsidR="00F71017" w:rsidRPr="00BE05BF">
        <w:rPr>
          <w:rFonts w:eastAsia="Calibri"/>
          <w:vertAlign w:val="superscript"/>
          <w:lang w:val="tr-TR" w:eastAsia="en-US"/>
        </w:rPr>
        <w:t>9</w:t>
      </w:r>
    </w:p>
    <w:p w:rsidR="00F00646" w:rsidRPr="00BE05BF" w:rsidRDefault="00990C12" w:rsidP="00F57EE7">
      <w:pPr>
        <w:spacing w:after="160" w:line="360" w:lineRule="auto"/>
        <w:ind w:firstLine="720"/>
        <w:jc w:val="both"/>
        <w:rPr>
          <w:rFonts w:eastAsia="Calibri"/>
          <w:lang w:eastAsia="en-US"/>
        </w:rPr>
      </w:pPr>
      <w:proofErr w:type="spellStart"/>
      <w:proofErr w:type="gramStart"/>
      <w:r w:rsidRPr="00BE05BF">
        <w:rPr>
          <w:rFonts w:eastAsia="Calibri"/>
          <w:lang w:val="tr-TR" w:eastAsia="en-US"/>
        </w:rPr>
        <w:t>Several</w:t>
      </w:r>
      <w:proofErr w:type="spellEnd"/>
      <w:r w:rsidRPr="00BE05BF">
        <w:rPr>
          <w:rFonts w:eastAsia="Calibri"/>
          <w:lang w:val="tr-TR" w:eastAsia="en-US"/>
        </w:rPr>
        <w:t xml:space="preserve"> </w:t>
      </w:r>
      <w:proofErr w:type="spellStart"/>
      <w:r w:rsidRPr="00BE05BF">
        <w:rPr>
          <w:rFonts w:eastAsia="Calibri"/>
          <w:lang w:val="tr-TR" w:eastAsia="en-US"/>
        </w:rPr>
        <w:t>analytical</w:t>
      </w:r>
      <w:proofErr w:type="spellEnd"/>
      <w:r w:rsidRPr="00BE05BF">
        <w:rPr>
          <w:rFonts w:eastAsia="Calibri"/>
          <w:lang w:val="tr-TR" w:eastAsia="en-US"/>
        </w:rPr>
        <w:t xml:space="preserve"> </w:t>
      </w:r>
      <w:proofErr w:type="spellStart"/>
      <w:r w:rsidRPr="00BE05BF">
        <w:rPr>
          <w:rFonts w:eastAsia="Calibri"/>
          <w:lang w:val="tr-TR" w:eastAsia="en-US"/>
        </w:rPr>
        <w:t>instruments</w:t>
      </w:r>
      <w:proofErr w:type="spellEnd"/>
      <w:r w:rsidRPr="00BE05BF">
        <w:rPr>
          <w:rFonts w:eastAsia="Calibri"/>
          <w:lang w:val="tr-TR" w:eastAsia="en-US"/>
        </w:rPr>
        <w:t xml:space="preserve">, </w:t>
      </w:r>
      <w:proofErr w:type="spellStart"/>
      <w:r w:rsidRPr="00BE05BF">
        <w:rPr>
          <w:rFonts w:eastAsia="Calibri"/>
          <w:lang w:val="tr-TR" w:eastAsia="en-US"/>
        </w:rPr>
        <w:t>such</w:t>
      </w:r>
      <w:proofErr w:type="spellEnd"/>
      <w:r w:rsidRPr="00BE05BF">
        <w:rPr>
          <w:rFonts w:eastAsia="Calibri"/>
          <w:lang w:val="tr-TR" w:eastAsia="en-US"/>
        </w:rPr>
        <w:t xml:space="preserve"> as </w:t>
      </w:r>
      <w:proofErr w:type="spellStart"/>
      <w:r w:rsidRPr="00BE05BF">
        <w:rPr>
          <w:rFonts w:eastAsia="Calibri"/>
          <w:lang w:val="tr-TR" w:eastAsia="en-US"/>
        </w:rPr>
        <w:t>high-performance</w:t>
      </w:r>
      <w:proofErr w:type="spellEnd"/>
      <w:r w:rsidRPr="00BE05BF">
        <w:rPr>
          <w:rFonts w:eastAsia="Calibri"/>
          <w:lang w:val="tr-TR" w:eastAsia="en-US"/>
        </w:rPr>
        <w:t xml:space="preserve"> </w:t>
      </w:r>
      <w:proofErr w:type="spellStart"/>
      <w:r w:rsidRPr="00BE05BF">
        <w:rPr>
          <w:rFonts w:eastAsia="Calibri"/>
          <w:lang w:val="tr-TR" w:eastAsia="en-US"/>
        </w:rPr>
        <w:t>liquid</w:t>
      </w:r>
      <w:proofErr w:type="spellEnd"/>
      <w:r w:rsidRPr="00BE05BF">
        <w:rPr>
          <w:rFonts w:eastAsia="Calibri"/>
          <w:lang w:val="tr-TR" w:eastAsia="en-US"/>
        </w:rPr>
        <w:t xml:space="preserve"> </w:t>
      </w:r>
      <w:proofErr w:type="spellStart"/>
      <w:r w:rsidRPr="00BE05BF">
        <w:rPr>
          <w:rFonts w:eastAsia="Calibri"/>
          <w:lang w:val="tr-TR" w:eastAsia="en-US"/>
        </w:rPr>
        <w:t>chromatography</w:t>
      </w:r>
      <w:proofErr w:type="spellEnd"/>
      <w:r w:rsidRPr="00BE05BF">
        <w:rPr>
          <w:rFonts w:eastAsia="Calibri"/>
          <w:lang w:val="tr-TR" w:eastAsia="en-US"/>
        </w:rPr>
        <w:t xml:space="preserve"> </w:t>
      </w:r>
      <w:proofErr w:type="spellStart"/>
      <w:r w:rsidR="00EB3B0C" w:rsidRPr="00BE05BF">
        <w:rPr>
          <w:rFonts w:eastAsia="Calibri"/>
          <w:bCs/>
          <w:lang w:val="tr-TR" w:eastAsia="en-US"/>
        </w:rPr>
        <w:t>followed</w:t>
      </w:r>
      <w:proofErr w:type="spellEnd"/>
      <w:r w:rsidR="00EB3B0C" w:rsidRPr="00BE05BF">
        <w:rPr>
          <w:rFonts w:eastAsia="Calibri"/>
          <w:bCs/>
          <w:lang w:val="tr-TR" w:eastAsia="en-US"/>
        </w:rPr>
        <w:t xml:space="preserve"> </w:t>
      </w:r>
      <w:proofErr w:type="spellStart"/>
      <w:r w:rsidR="00EB3B0C" w:rsidRPr="00BE05BF">
        <w:rPr>
          <w:rFonts w:eastAsia="Calibri"/>
          <w:bCs/>
          <w:lang w:val="tr-TR" w:eastAsia="en-US"/>
        </w:rPr>
        <w:t>by</w:t>
      </w:r>
      <w:proofErr w:type="spellEnd"/>
      <w:r w:rsidR="00EB3B0C" w:rsidRPr="00BE05BF">
        <w:rPr>
          <w:rFonts w:eastAsia="Calibri"/>
          <w:bCs/>
          <w:lang w:val="tr-TR" w:eastAsia="en-US"/>
        </w:rPr>
        <w:t xml:space="preserve"> </w:t>
      </w:r>
      <w:proofErr w:type="spellStart"/>
      <w:r w:rsidR="00EB3B0C" w:rsidRPr="00BE05BF">
        <w:rPr>
          <w:rFonts w:eastAsia="Calibri"/>
          <w:bCs/>
          <w:lang w:val="tr-TR" w:eastAsia="en-US"/>
        </w:rPr>
        <w:t>atomic</w:t>
      </w:r>
      <w:proofErr w:type="spellEnd"/>
      <w:r w:rsidR="00EB3B0C" w:rsidRPr="00BE05BF">
        <w:rPr>
          <w:rFonts w:eastAsia="Calibri"/>
          <w:bCs/>
          <w:lang w:val="tr-TR" w:eastAsia="en-US"/>
        </w:rPr>
        <w:t xml:space="preserve"> </w:t>
      </w:r>
      <w:proofErr w:type="spellStart"/>
      <w:r w:rsidR="00EB3B0C" w:rsidRPr="00BE05BF">
        <w:rPr>
          <w:rFonts w:eastAsia="Calibri"/>
          <w:bCs/>
          <w:lang w:val="tr-TR" w:eastAsia="en-US"/>
        </w:rPr>
        <w:t>absorption</w:t>
      </w:r>
      <w:proofErr w:type="spellEnd"/>
      <w:r w:rsidR="00EB3B0C" w:rsidRPr="00BE05BF">
        <w:rPr>
          <w:rFonts w:eastAsia="Calibri"/>
          <w:bCs/>
          <w:lang w:val="tr-TR" w:eastAsia="en-US"/>
        </w:rPr>
        <w:t xml:space="preserve"> </w:t>
      </w:r>
      <w:proofErr w:type="spellStart"/>
      <w:r w:rsidR="00EB3B0C" w:rsidRPr="00BE05BF">
        <w:rPr>
          <w:rFonts w:eastAsia="Calibri"/>
          <w:bCs/>
          <w:lang w:val="tr-TR" w:eastAsia="en-US"/>
        </w:rPr>
        <w:t>spectrometry</w:t>
      </w:r>
      <w:proofErr w:type="spellEnd"/>
      <w:r w:rsidR="00EB3B0C" w:rsidRPr="00BE05BF">
        <w:rPr>
          <w:rFonts w:eastAsia="Calibri"/>
          <w:lang w:val="tr-TR" w:eastAsia="en-US"/>
        </w:rPr>
        <w:t xml:space="preserve"> </w:t>
      </w:r>
      <w:r w:rsidRPr="00BE05BF">
        <w:rPr>
          <w:rFonts w:eastAsia="Calibri"/>
          <w:lang w:val="tr-TR" w:eastAsia="en-US"/>
        </w:rPr>
        <w:t>(HPLC</w:t>
      </w:r>
      <w:r w:rsidR="00EB3B0C" w:rsidRPr="00BE05BF">
        <w:rPr>
          <w:rFonts w:eastAsia="Calibri"/>
          <w:lang w:val="tr-TR" w:eastAsia="en-US"/>
        </w:rPr>
        <w:t>-AAS</w:t>
      </w:r>
      <w:r w:rsidRPr="00BE05BF">
        <w:rPr>
          <w:rFonts w:eastAsia="Calibri"/>
          <w:lang w:val="tr-TR" w:eastAsia="en-US"/>
        </w:rPr>
        <w:t>)</w:t>
      </w:r>
      <w:r w:rsidR="00BE05BF" w:rsidRPr="00BE05BF">
        <w:rPr>
          <w:rFonts w:eastAsia="Calibri"/>
          <w:lang w:val="tr-TR" w:eastAsia="en-US"/>
        </w:rPr>
        <w:t>,</w:t>
      </w:r>
      <w:r w:rsidR="00F71017" w:rsidRPr="00BE05BF">
        <w:rPr>
          <w:rFonts w:eastAsia="Calibri"/>
          <w:vertAlign w:val="superscript"/>
          <w:lang w:val="tr-TR" w:eastAsia="en-US"/>
        </w:rPr>
        <w:t>20</w:t>
      </w:r>
      <w:r w:rsidRPr="00BE05BF">
        <w:rPr>
          <w:rFonts w:eastAsia="Calibri"/>
          <w:lang w:val="tr-TR" w:eastAsia="en-US"/>
        </w:rPr>
        <w:t xml:space="preserve"> </w:t>
      </w:r>
      <w:proofErr w:type="spellStart"/>
      <w:r w:rsidRPr="00BE05BF">
        <w:rPr>
          <w:rFonts w:eastAsia="Calibri"/>
          <w:lang w:val="tr-TR" w:eastAsia="en-US"/>
        </w:rPr>
        <w:t>liquid</w:t>
      </w:r>
      <w:proofErr w:type="spellEnd"/>
      <w:r w:rsidRPr="00BE05BF">
        <w:rPr>
          <w:rFonts w:eastAsia="Calibri"/>
          <w:lang w:val="tr-TR" w:eastAsia="en-US"/>
        </w:rPr>
        <w:t xml:space="preserve"> </w:t>
      </w:r>
      <w:proofErr w:type="spellStart"/>
      <w:r w:rsidRPr="00BE05BF">
        <w:rPr>
          <w:rFonts w:eastAsia="Calibri"/>
          <w:lang w:val="tr-TR" w:eastAsia="en-US"/>
        </w:rPr>
        <w:t>chromatography-mass</w:t>
      </w:r>
      <w:proofErr w:type="spellEnd"/>
      <w:r w:rsidRPr="00BE05BF">
        <w:rPr>
          <w:rFonts w:eastAsia="Calibri"/>
          <w:lang w:val="tr-TR" w:eastAsia="en-US"/>
        </w:rPr>
        <w:t xml:space="preserve"> </w:t>
      </w:r>
      <w:proofErr w:type="spellStart"/>
      <w:r w:rsidRPr="00BE05BF">
        <w:rPr>
          <w:rFonts w:eastAsia="Calibri"/>
          <w:lang w:val="tr-TR" w:eastAsia="en-US"/>
        </w:rPr>
        <w:t>spectrometry</w:t>
      </w:r>
      <w:proofErr w:type="spellEnd"/>
      <w:r w:rsidRPr="00BE05BF">
        <w:rPr>
          <w:rFonts w:eastAsia="Calibri"/>
          <w:lang w:val="tr-TR" w:eastAsia="en-US"/>
        </w:rPr>
        <w:t xml:space="preserve"> (LC-MS/MS)</w:t>
      </w:r>
      <w:r w:rsidR="00BE05BF" w:rsidRPr="00BE05BF">
        <w:rPr>
          <w:rFonts w:eastAsia="Calibri"/>
          <w:lang w:val="tr-TR" w:eastAsia="en-US"/>
        </w:rPr>
        <w:t>,</w:t>
      </w:r>
      <w:r w:rsidR="00F71017" w:rsidRPr="00BE05BF">
        <w:rPr>
          <w:rFonts w:eastAsia="Calibri"/>
          <w:vertAlign w:val="superscript"/>
          <w:lang w:val="tr-TR" w:eastAsia="en-US"/>
        </w:rPr>
        <w:t>21</w:t>
      </w:r>
      <w:r w:rsidRPr="00BE05BF">
        <w:rPr>
          <w:rFonts w:eastAsia="Calibri"/>
          <w:lang w:val="tr-TR" w:eastAsia="en-US"/>
        </w:rPr>
        <w:t xml:space="preserve"> </w:t>
      </w:r>
      <w:proofErr w:type="spellStart"/>
      <w:r w:rsidRPr="00BE05BF">
        <w:rPr>
          <w:rFonts w:eastAsia="Calibri"/>
          <w:lang w:val="tr-TR" w:eastAsia="en-US"/>
        </w:rPr>
        <w:t>and</w:t>
      </w:r>
      <w:proofErr w:type="spellEnd"/>
      <w:r w:rsidRPr="00BE05BF">
        <w:rPr>
          <w:rFonts w:eastAsia="Calibri"/>
          <w:lang w:val="tr-TR" w:eastAsia="en-US"/>
        </w:rPr>
        <w:t xml:space="preserve"> </w:t>
      </w:r>
      <w:proofErr w:type="spellStart"/>
      <w:r w:rsidRPr="00BE05BF">
        <w:rPr>
          <w:rFonts w:eastAsia="Calibri"/>
          <w:lang w:val="tr-TR" w:eastAsia="en-US"/>
        </w:rPr>
        <w:t>gas</w:t>
      </w:r>
      <w:proofErr w:type="spellEnd"/>
      <w:r w:rsidRPr="00BE05BF">
        <w:rPr>
          <w:rFonts w:eastAsia="Calibri"/>
          <w:lang w:val="tr-TR" w:eastAsia="en-US"/>
        </w:rPr>
        <w:t xml:space="preserve"> </w:t>
      </w:r>
      <w:proofErr w:type="spellStart"/>
      <w:r w:rsidRPr="00BE05BF">
        <w:rPr>
          <w:rFonts w:eastAsia="Calibri"/>
          <w:lang w:val="tr-TR" w:eastAsia="en-US"/>
        </w:rPr>
        <w:t>chromatography</w:t>
      </w:r>
      <w:proofErr w:type="spellEnd"/>
      <w:r w:rsidRPr="00BE05BF">
        <w:rPr>
          <w:rFonts w:eastAsia="Calibri"/>
          <w:lang w:val="tr-TR" w:eastAsia="en-US"/>
        </w:rPr>
        <w:t>–</w:t>
      </w:r>
      <w:proofErr w:type="spellStart"/>
      <w:r w:rsidRPr="00BE05BF">
        <w:rPr>
          <w:rFonts w:eastAsia="Calibri"/>
          <w:lang w:val="tr-TR" w:eastAsia="en-US"/>
        </w:rPr>
        <w:t>mass</w:t>
      </w:r>
      <w:proofErr w:type="spellEnd"/>
      <w:r w:rsidRPr="00BE05BF">
        <w:rPr>
          <w:rFonts w:eastAsia="Calibri"/>
          <w:lang w:val="tr-TR" w:eastAsia="en-US"/>
        </w:rPr>
        <w:t xml:space="preserve"> </w:t>
      </w:r>
      <w:proofErr w:type="spellStart"/>
      <w:r w:rsidRPr="00BE05BF">
        <w:rPr>
          <w:rFonts w:eastAsia="Calibri"/>
          <w:lang w:val="tr-TR" w:eastAsia="en-US"/>
        </w:rPr>
        <w:t>spectrometry</w:t>
      </w:r>
      <w:proofErr w:type="spellEnd"/>
      <w:r w:rsidRPr="00BE05BF">
        <w:rPr>
          <w:rFonts w:eastAsia="Calibri"/>
          <w:lang w:val="tr-TR" w:eastAsia="en-US"/>
        </w:rPr>
        <w:t xml:space="preserve"> (GC–MS)</w:t>
      </w:r>
      <w:r w:rsidR="00BE05BF" w:rsidRPr="00BE05BF">
        <w:rPr>
          <w:rFonts w:eastAsia="Calibri"/>
          <w:lang w:val="tr-TR" w:eastAsia="en-US"/>
        </w:rPr>
        <w:t>,</w:t>
      </w:r>
      <w:r w:rsidR="00F71017" w:rsidRPr="00BE05BF">
        <w:rPr>
          <w:rFonts w:eastAsia="Calibri"/>
          <w:vertAlign w:val="superscript"/>
          <w:lang w:val="tr-TR" w:eastAsia="en-US"/>
        </w:rPr>
        <w:t>22</w:t>
      </w:r>
      <w:r w:rsidRPr="00BE05BF">
        <w:rPr>
          <w:rFonts w:eastAsia="Calibri"/>
          <w:lang w:val="tr-TR" w:eastAsia="en-US"/>
        </w:rPr>
        <w:t xml:space="preserve"> </w:t>
      </w:r>
      <w:proofErr w:type="spellStart"/>
      <w:r w:rsidR="003A20A1" w:rsidRPr="00BE05BF">
        <w:rPr>
          <w:rFonts w:eastAsia="Calibri"/>
          <w:lang w:val="tr-TR" w:eastAsia="en-US"/>
        </w:rPr>
        <w:t>gas</w:t>
      </w:r>
      <w:proofErr w:type="spellEnd"/>
      <w:r w:rsidR="003A20A1" w:rsidRPr="00BE05BF">
        <w:rPr>
          <w:rFonts w:eastAsia="Calibri"/>
          <w:lang w:val="tr-TR" w:eastAsia="en-US"/>
        </w:rPr>
        <w:t xml:space="preserve"> </w:t>
      </w:r>
      <w:proofErr w:type="spellStart"/>
      <w:r w:rsidR="003A20A1" w:rsidRPr="00BE05BF">
        <w:rPr>
          <w:rFonts w:eastAsia="Calibri"/>
          <w:lang w:val="tr-TR" w:eastAsia="en-US"/>
        </w:rPr>
        <w:t>chromatography</w:t>
      </w:r>
      <w:r w:rsidR="00447496" w:rsidRPr="00BE05BF">
        <w:rPr>
          <w:rFonts w:eastAsia="Calibri"/>
          <w:lang w:val="tr-TR" w:eastAsia="en-US"/>
        </w:rPr>
        <w:t>-electron</w:t>
      </w:r>
      <w:proofErr w:type="spellEnd"/>
      <w:r w:rsidR="00447496" w:rsidRPr="00BE05BF">
        <w:rPr>
          <w:rFonts w:eastAsia="Calibri"/>
          <w:lang w:val="tr-TR" w:eastAsia="en-US"/>
        </w:rPr>
        <w:t xml:space="preserve"> </w:t>
      </w:r>
      <w:proofErr w:type="spellStart"/>
      <w:r w:rsidR="00447496" w:rsidRPr="00BE05BF">
        <w:rPr>
          <w:rFonts w:eastAsia="Calibri"/>
          <w:lang w:val="tr-TR" w:eastAsia="en-US"/>
        </w:rPr>
        <w:t>capture</w:t>
      </w:r>
      <w:proofErr w:type="spellEnd"/>
      <w:r w:rsidR="00447496" w:rsidRPr="00BE05BF">
        <w:rPr>
          <w:rFonts w:eastAsia="Calibri"/>
          <w:lang w:val="tr-TR" w:eastAsia="en-US"/>
        </w:rPr>
        <w:t xml:space="preserve"> </w:t>
      </w:r>
      <w:proofErr w:type="spellStart"/>
      <w:r w:rsidR="00447496" w:rsidRPr="00BE05BF">
        <w:rPr>
          <w:rFonts w:eastAsia="Calibri"/>
          <w:lang w:val="tr-TR" w:eastAsia="en-US"/>
        </w:rPr>
        <w:t>detector</w:t>
      </w:r>
      <w:proofErr w:type="spellEnd"/>
      <w:r w:rsidR="00447496" w:rsidRPr="00BE05BF">
        <w:rPr>
          <w:rFonts w:eastAsia="Calibri"/>
          <w:lang w:val="tr-TR" w:eastAsia="en-US"/>
        </w:rPr>
        <w:t xml:space="preserve"> (GC-ECD)</w:t>
      </w:r>
      <w:r w:rsidR="00BE05BF" w:rsidRPr="00BE05BF">
        <w:rPr>
          <w:rFonts w:eastAsia="Calibri"/>
          <w:lang w:val="tr-TR" w:eastAsia="en-US"/>
        </w:rPr>
        <w:t>,</w:t>
      </w:r>
      <w:r w:rsidR="00F71017" w:rsidRPr="009F552D">
        <w:rPr>
          <w:rFonts w:eastAsia="Calibri"/>
          <w:vertAlign w:val="superscript"/>
          <w:lang w:val="tr-TR" w:eastAsia="en-US"/>
        </w:rPr>
        <w:t>23</w:t>
      </w:r>
      <w:r w:rsidR="003A20A1" w:rsidRPr="00BE05BF">
        <w:rPr>
          <w:rFonts w:eastAsia="Calibri"/>
          <w:bCs/>
          <w:lang w:val="tr-TR" w:eastAsia="en-US"/>
        </w:rPr>
        <w:t xml:space="preserve"> </w:t>
      </w:r>
      <w:proofErr w:type="spellStart"/>
      <w:r w:rsidR="00EB3B0C" w:rsidRPr="00BE05BF">
        <w:rPr>
          <w:rFonts w:eastAsia="Calibri"/>
          <w:bCs/>
          <w:lang w:val="tr-TR" w:eastAsia="en-US"/>
        </w:rPr>
        <w:t>inductively</w:t>
      </w:r>
      <w:proofErr w:type="spellEnd"/>
      <w:r w:rsidR="00EB3B0C" w:rsidRPr="00BE05BF">
        <w:rPr>
          <w:rFonts w:eastAsia="Calibri"/>
          <w:bCs/>
          <w:lang w:val="tr-TR" w:eastAsia="en-US"/>
        </w:rPr>
        <w:t xml:space="preserve"> </w:t>
      </w:r>
      <w:proofErr w:type="spellStart"/>
      <w:r w:rsidR="00EB3B0C" w:rsidRPr="00BE05BF">
        <w:rPr>
          <w:rFonts w:eastAsia="Calibri"/>
          <w:bCs/>
          <w:lang w:val="tr-TR" w:eastAsia="en-US"/>
        </w:rPr>
        <w:t>coupled</w:t>
      </w:r>
      <w:proofErr w:type="spellEnd"/>
      <w:r w:rsidR="00EB3B0C" w:rsidRPr="00BE05BF">
        <w:rPr>
          <w:rFonts w:eastAsia="Calibri"/>
          <w:bCs/>
          <w:lang w:val="tr-TR" w:eastAsia="en-US"/>
        </w:rPr>
        <w:t xml:space="preserve"> </w:t>
      </w:r>
      <w:proofErr w:type="spellStart"/>
      <w:r w:rsidR="00EB3B0C" w:rsidRPr="00BE05BF">
        <w:rPr>
          <w:rFonts w:eastAsia="Calibri"/>
          <w:bCs/>
          <w:lang w:val="tr-TR" w:eastAsia="en-US"/>
        </w:rPr>
        <w:t>plasma</w:t>
      </w:r>
      <w:proofErr w:type="spellEnd"/>
      <w:r w:rsidR="00EB3B0C" w:rsidRPr="00BE05BF">
        <w:rPr>
          <w:rFonts w:eastAsia="Calibri"/>
          <w:bCs/>
          <w:lang w:val="tr-TR" w:eastAsia="en-US"/>
        </w:rPr>
        <w:t xml:space="preserve"> </w:t>
      </w:r>
      <w:proofErr w:type="spellStart"/>
      <w:r w:rsidR="00EB3B0C" w:rsidRPr="00BE05BF">
        <w:rPr>
          <w:rFonts w:eastAsia="Calibri"/>
          <w:bCs/>
          <w:lang w:val="tr-TR" w:eastAsia="en-US"/>
        </w:rPr>
        <w:t>mass</w:t>
      </w:r>
      <w:proofErr w:type="spellEnd"/>
      <w:r w:rsidR="00EB3B0C" w:rsidRPr="00BE05BF">
        <w:rPr>
          <w:rFonts w:eastAsia="Calibri"/>
          <w:bCs/>
          <w:lang w:val="tr-TR" w:eastAsia="en-US"/>
        </w:rPr>
        <w:t xml:space="preserve"> spectrometry</w:t>
      </w:r>
      <w:r w:rsidR="00413DE8" w:rsidRPr="00BE05BF">
        <w:rPr>
          <w:rFonts w:eastAsia="Calibri"/>
          <w:bCs/>
          <w:vertAlign w:val="superscript"/>
          <w:lang w:val="tr-TR" w:eastAsia="en-US"/>
        </w:rPr>
        <w:t>2</w:t>
      </w:r>
      <w:r w:rsidR="00F71017" w:rsidRPr="00BE05BF">
        <w:rPr>
          <w:rFonts w:eastAsia="Calibri"/>
          <w:bCs/>
          <w:vertAlign w:val="superscript"/>
          <w:lang w:val="tr-TR" w:eastAsia="en-US"/>
        </w:rPr>
        <w:t>4</w:t>
      </w:r>
      <w:r w:rsidR="00EB3B0C" w:rsidRPr="00BE05BF">
        <w:rPr>
          <w:rFonts w:eastAsia="Calibri"/>
          <w:lang w:val="tr-TR" w:eastAsia="en-US"/>
        </w:rPr>
        <w:t xml:space="preserve"> </w:t>
      </w:r>
      <w:proofErr w:type="spellStart"/>
      <w:r w:rsidRPr="00BE05BF">
        <w:rPr>
          <w:rFonts w:eastAsia="Calibri"/>
          <w:lang w:val="tr-TR" w:eastAsia="en-US"/>
        </w:rPr>
        <w:t>are</w:t>
      </w:r>
      <w:proofErr w:type="spellEnd"/>
      <w:r w:rsidRPr="00BE05BF">
        <w:rPr>
          <w:rFonts w:eastAsia="Calibri"/>
          <w:lang w:val="tr-TR" w:eastAsia="en-US"/>
        </w:rPr>
        <w:t xml:space="preserve"> </w:t>
      </w:r>
      <w:proofErr w:type="spellStart"/>
      <w:r w:rsidRPr="00BE05BF">
        <w:rPr>
          <w:rFonts w:eastAsia="Calibri"/>
          <w:lang w:val="tr-TR" w:eastAsia="en-US"/>
        </w:rPr>
        <w:t>widely</w:t>
      </w:r>
      <w:proofErr w:type="spellEnd"/>
      <w:r w:rsidRPr="00BE05BF">
        <w:rPr>
          <w:rFonts w:eastAsia="Calibri"/>
          <w:lang w:val="tr-TR" w:eastAsia="en-US"/>
        </w:rPr>
        <w:t xml:space="preserve"> </w:t>
      </w:r>
      <w:proofErr w:type="spellStart"/>
      <w:r w:rsidRPr="00BE05BF">
        <w:rPr>
          <w:rFonts w:eastAsia="Calibri"/>
          <w:lang w:val="tr-TR" w:eastAsia="en-US"/>
        </w:rPr>
        <w:t>used</w:t>
      </w:r>
      <w:proofErr w:type="spellEnd"/>
      <w:r w:rsidRPr="00BE05BF">
        <w:rPr>
          <w:rFonts w:eastAsia="Calibri"/>
          <w:lang w:val="tr-TR" w:eastAsia="en-US"/>
        </w:rPr>
        <w:t xml:space="preserve"> in </w:t>
      </w:r>
      <w:proofErr w:type="spellStart"/>
      <w:r w:rsidRPr="00BE05BF">
        <w:rPr>
          <w:rFonts w:eastAsia="Calibri"/>
          <w:lang w:val="tr-TR" w:eastAsia="en-US"/>
        </w:rPr>
        <w:t>monitoring</w:t>
      </w:r>
      <w:proofErr w:type="spellEnd"/>
      <w:r w:rsidRPr="00BE05BF">
        <w:rPr>
          <w:rFonts w:eastAsia="Calibri"/>
          <w:lang w:val="tr-TR" w:eastAsia="en-US"/>
        </w:rPr>
        <w:t xml:space="preserve"> </w:t>
      </w:r>
      <w:proofErr w:type="spellStart"/>
      <w:r w:rsidRPr="00BE05BF">
        <w:rPr>
          <w:rFonts w:eastAsia="Calibri"/>
          <w:lang w:val="tr-TR" w:eastAsia="en-US"/>
        </w:rPr>
        <w:t>environmental</w:t>
      </w:r>
      <w:proofErr w:type="spellEnd"/>
      <w:r w:rsidRPr="00BE05BF">
        <w:rPr>
          <w:rFonts w:eastAsia="Calibri"/>
          <w:lang w:val="tr-TR" w:eastAsia="en-US"/>
        </w:rPr>
        <w:t xml:space="preserve"> </w:t>
      </w:r>
      <w:proofErr w:type="spellStart"/>
      <w:r w:rsidRPr="00BE05BF">
        <w:rPr>
          <w:rFonts w:eastAsia="Calibri"/>
          <w:lang w:val="tr-TR" w:eastAsia="en-US"/>
        </w:rPr>
        <w:t>contaminants</w:t>
      </w:r>
      <w:proofErr w:type="spellEnd"/>
      <w:r w:rsidRPr="00BE05BF">
        <w:rPr>
          <w:rFonts w:eastAsia="Calibri"/>
          <w:lang w:val="tr-TR" w:eastAsia="en-US"/>
        </w:rPr>
        <w:t xml:space="preserve"> </w:t>
      </w:r>
      <w:proofErr w:type="spellStart"/>
      <w:r w:rsidRPr="00BE05BF">
        <w:rPr>
          <w:rFonts w:eastAsia="Calibri"/>
          <w:lang w:val="tr-TR" w:eastAsia="en-US"/>
        </w:rPr>
        <w:t>such</w:t>
      </w:r>
      <w:proofErr w:type="spellEnd"/>
      <w:r w:rsidRPr="00BE05BF">
        <w:rPr>
          <w:rFonts w:eastAsia="Calibri"/>
          <w:lang w:val="tr-TR" w:eastAsia="en-US"/>
        </w:rPr>
        <w:t xml:space="preserve"> as</w:t>
      </w:r>
      <w:r w:rsidR="009E0CFF" w:rsidRPr="00BE05BF">
        <w:rPr>
          <w:rFonts w:eastAsia="Calibri"/>
          <w:lang w:val="tr-TR" w:eastAsia="en-US"/>
        </w:rPr>
        <w:t xml:space="preserve"> </w:t>
      </w:r>
      <w:proofErr w:type="spellStart"/>
      <w:r w:rsidR="00BE05BF">
        <w:rPr>
          <w:rFonts w:eastAsia="Calibri"/>
          <w:lang w:val="tr-TR" w:eastAsia="en-US"/>
        </w:rPr>
        <w:t>ziram</w:t>
      </w:r>
      <w:proofErr w:type="spellEnd"/>
      <w:r w:rsidR="00BE05BF">
        <w:rPr>
          <w:rFonts w:eastAsia="Calibri"/>
          <w:lang w:val="tr-TR" w:eastAsia="en-US"/>
        </w:rPr>
        <w:t xml:space="preserve"> in </w:t>
      </w:r>
      <w:proofErr w:type="spellStart"/>
      <w:r w:rsidR="00BE05BF">
        <w:rPr>
          <w:rFonts w:eastAsia="Calibri"/>
          <w:lang w:val="tr-TR" w:eastAsia="en-US"/>
        </w:rPr>
        <w:t>agricultural</w:t>
      </w:r>
      <w:proofErr w:type="spellEnd"/>
      <w:r w:rsidR="00BE05BF">
        <w:rPr>
          <w:rFonts w:eastAsia="Calibri"/>
          <w:lang w:val="tr-TR" w:eastAsia="en-US"/>
        </w:rPr>
        <w:t xml:space="preserve"> </w:t>
      </w:r>
      <w:proofErr w:type="spellStart"/>
      <w:r w:rsidR="00BE05BF">
        <w:rPr>
          <w:rFonts w:eastAsia="Calibri"/>
          <w:lang w:val="tr-TR" w:eastAsia="en-US"/>
        </w:rPr>
        <w:t>products</w:t>
      </w:r>
      <w:proofErr w:type="spellEnd"/>
      <w:r w:rsidR="00BE05BF">
        <w:rPr>
          <w:rFonts w:eastAsia="Calibri"/>
          <w:lang w:val="tr-TR" w:eastAsia="en-US"/>
        </w:rPr>
        <w:t xml:space="preserve">. </w:t>
      </w:r>
      <w:proofErr w:type="spellStart"/>
      <w:proofErr w:type="gramEnd"/>
      <w:r w:rsidR="00835F6D" w:rsidRPr="00BE05BF">
        <w:rPr>
          <w:rFonts w:eastAsia="Calibri"/>
          <w:lang w:val="tr-TR" w:eastAsia="en-US"/>
        </w:rPr>
        <w:t>Electrochemical</w:t>
      </w:r>
      <w:proofErr w:type="spellEnd"/>
      <w:r w:rsidR="00835F6D" w:rsidRPr="00BE05BF">
        <w:rPr>
          <w:rFonts w:eastAsia="Calibri"/>
          <w:lang w:val="tr-TR" w:eastAsia="en-US"/>
        </w:rPr>
        <w:t xml:space="preserve"> detection</w:t>
      </w:r>
      <w:r w:rsidR="00413DE8" w:rsidRPr="00BE05BF">
        <w:rPr>
          <w:rFonts w:eastAsia="Calibri"/>
          <w:vertAlign w:val="superscript"/>
          <w:lang w:val="tr-TR" w:eastAsia="en-US"/>
        </w:rPr>
        <w:t>2</w:t>
      </w:r>
      <w:r w:rsidR="00F71017" w:rsidRPr="00BE05BF">
        <w:rPr>
          <w:rFonts w:eastAsia="Calibri"/>
          <w:vertAlign w:val="superscript"/>
          <w:lang w:val="tr-TR" w:eastAsia="en-US"/>
        </w:rPr>
        <w:t>5</w:t>
      </w:r>
      <w:r w:rsidR="00413DE8" w:rsidRPr="00BE05BF">
        <w:rPr>
          <w:rFonts w:eastAsia="Calibri"/>
          <w:vertAlign w:val="superscript"/>
          <w:lang w:val="tr-TR" w:eastAsia="en-US"/>
        </w:rPr>
        <w:t>-</w:t>
      </w:r>
      <w:r w:rsidR="00467AEC" w:rsidRPr="00BE05BF">
        <w:rPr>
          <w:rFonts w:eastAsia="Calibri"/>
          <w:vertAlign w:val="superscript"/>
          <w:lang w:val="tr-TR" w:eastAsia="en-US"/>
        </w:rPr>
        <w:t>30</w:t>
      </w:r>
      <w:r w:rsidR="00BE05BF" w:rsidRPr="00BE05BF">
        <w:rPr>
          <w:rFonts w:eastAsia="Calibri"/>
          <w:lang w:val="tr-TR" w:eastAsia="en-US"/>
        </w:rPr>
        <w:t xml:space="preserve"> </w:t>
      </w:r>
      <w:proofErr w:type="spellStart"/>
      <w:r w:rsidR="00760900" w:rsidRPr="00BE05BF">
        <w:rPr>
          <w:rFonts w:eastAsia="Calibri"/>
          <w:lang w:val="tr-TR" w:eastAsia="en-US"/>
        </w:rPr>
        <w:t>and</w:t>
      </w:r>
      <w:proofErr w:type="spellEnd"/>
      <w:r w:rsidR="00760900" w:rsidRPr="00BE05BF">
        <w:rPr>
          <w:rFonts w:eastAsia="Calibri"/>
          <w:lang w:val="tr-TR" w:eastAsia="en-US"/>
        </w:rPr>
        <w:t xml:space="preserve"> immunoassays</w:t>
      </w:r>
      <w:r w:rsidR="00467AEC" w:rsidRPr="00BE05BF">
        <w:rPr>
          <w:rFonts w:eastAsia="Calibri"/>
          <w:vertAlign w:val="superscript"/>
          <w:lang w:val="tr-TR" w:eastAsia="en-US"/>
        </w:rPr>
        <w:t>31</w:t>
      </w:r>
      <w:r w:rsidR="00835F6D" w:rsidRPr="00BE05BF">
        <w:rPr>
          <w:rFonts w:eastAsia="Calibri"/>
          <w:lang w:val="tr-TR" w:eastAsia="en-US"/>
        </w:rPr>
        <w:t xml:space="preserve"> </w:t>
      </w:r>
      <w:proofErr w:type="spellStart"/>
      <w:r w:rsidR="00835F6D" w:rsidRPr="00BE05BF">
        <w:rPr>
          <w:rFonts w:eastAsia="Calibri"/>
          <w:lang w:val="tr-TR" w:eastAsia="en-US"/>
        </w:rPr>
        <w:t>are</w:t>
      </w:r>
      <w:proofErr w:type="spellEnd"/>
      <w:r w:rsidR="00835F6D" w:rsidRPr="00BE05BF">
        <w:rPr>
          <w:rFonts w:eastAsia="Calibri"/>
          <w:lang w:val="tr-TR" w:eastAsia="en-US"/>
        </w:rPr>
        <w:t xml:space="preserve"> </w:t>
      </w:r>
      <w:proofErr w:type="spellStart"/>
      <w:r w:rsidR="00835F6D" w:rsidRPr="00BE05BF">
        <w:rPr>
          <w:rFonts w:eastAsia="Calibri"/>
          <w:lang w:val="tr-TR" w:eastAsia="en-US"/>
        </w:rPr>
        <w:t>some</w:t>
      </w:r>
      <w:proofErr w:type="spellEnd"/>
      <w:r w:rsidR="00835F6D" w:rsidRPr="00BE05BF">
        <w:rPr>
          <w:rFonts w:eastAsia="Calibri"/>
          <w:lang w:val="tr-TR" w:eastAsia="en-US"/>
        </w:rPr>
        <w:t xml:space="preserve"> of </w:t>
      </w:r>
      <w:proofErr w:type="spellStart"/>
      <w:r w:rsidR="00835F6D" w:rsidRPr="00BE05BF">
        <w:rPr>
          <w:rFonts w:eastAsia="Calibri"/>
          <w:lang w:val="tr-TR" w:eastAsia="en-US"/>
        </w:rPr>
        <w:t>the</w:t>
      </w:r>
      <w:proofErr w:type="spellEnd"/>
      <w:r w:rsidR="00835F6D" w:rsidRPr="00BE05BF">
        <w:rPr>
          <w:rFonts w:eastAsia="Calibri"/>
          <w:lang w:val="tr-TR" w:eastAsia="en-US"/>
        </w:rPr>
        <w:t xml:space="preserve"> </w:t>
      </w:r>
      <w:proofErr w:type="spellStart"/>
      <w:r w:rsidR="00835F6D" w:rsidRPr="00BE05BF">
        <w:rPr>
          <w:rFonts w:eastAsia="Calibri"/>
          <w:lang w:val="tr-TR" w:eastAsia="en-US"/>
        </w:rPr>
        <w:t>other</w:t>
      </w:r>
      <w:proofErr w:type="spellEnd"/>
      <w:r w:rsidR="00835F6D" w:rsidRPr="00BE05BF">
        <w:rPr>
          <w:rFonts w:eastAsia="Calibri"/>
          <w:lang w:val="tr-TR" w:eastAsia="en-US"/>
        </w:rPr>
        <w:t xml:space="preserve"> </w:t>
      </w:r>
      <w:proofErr w:type="spellStart"/>
      <w:r w:rsidR="00835F6D" w:rsidRPr="00BE05BF">
        <w:rPr>
          <w:rFonts w:eastAsia="Calibri"/>
          <w:lang w:val="tr-TR" w:eastAsia="en-US"/>
        </w:rPr>
        <w:t>rapid</w:t>
      </w:r>
      <w:proofErr w:type="spellEnd"/>
      <w:r w:rsidR="00835F6D" w:rsidRPr="00BE05BF">
        <w:rPr>
          <w:rFonts w:eastAsia="Calibri"/>
          <w:lang w:val="tr-TR" w:eastAsia="en-US"/>
        </w:rPr>
        <w:t xml:space="preserve"> </w:t>
      </w:r>
      <w:proofErr w:type="spellStart"/>
      <w:r w:rsidR="00835F6D" w:rsidRPr="00BE05BF">
        <w:rPr>
          <w:rFonts w:eastAsia="Calibri"/>
          <w:lang w:val="tr-TR" w:eastAsia="en-US"/>
        </w:rPr>
        <w:t>methods</w:t>
      </w:r>
      <w:proofErr w:type="spellEnd"/>
      <w:r w:rsidR="00835F6D" w:rsidRPr="00BE05BF">
        <w:rPr>
          <w:rFonts w:eastAsia="Calibri"/>
          <w:lang w:val="tr-TR" w:eastAsia="en-US"/>
        </w:rPr>
        <w:t xml:space="preserve"> </w:t>
      </w:r>
      <w:proofErr w:type="spellStart"/>
      <w:r w:rsidR="00835F6D" w:rsidRPr="00BE05BF">
        <w:rPr>
          <w:rFonts w:eastAsia="Calibri"/>
          <w:lang w:val="tr-TR" w:eastAsia="en-US"/>
        </w:rPr>
        <w:t>for</w:t>
      </w:r>
      <w:proofErr w:type="spellEnd"/>
      <w:r w:rsidR="00835F6D" w:rsidRPr="00BE05BF">
        <w:rPr>
          <w:rFonts w:eastAsia="Calibri"/>
          <w:lang w:val="tr-TR" w:eastAsia="en-US"/>
        </w:rPr>
        <w:t xml:space="preserve"> </w:t>
      </w:r>
      <w:proofErr w:type="spellStart"/>
      <w:r w:rsidR="00835F6D" w:rsidRPr="00BE05BF">
        <w:rPr>
          <w:rFonts w:eastAsia="Calibri"/>
          <w:lang w:val="tr-TR" w:eastAsia="en-US"/>
        </w:rPr>
        <w:t>detecting</w:t>
      </w:r>
      <w:proofErr w:type="spellEnd"/>
      <w:r w:rsidR="00835F6D" w:rsidRPr="00BE05BF">
        <w:rPr>
          <w:rFonts w:eastAsia="Calibri"/>
          <w:lang w:val="tr-TR" w:eastAsia="en-US"/>
        </w:rPr>
        <w:t xml:space="preserve"> </w:t>
      </w:r>
      <w:proofErr w:type="spellStart"/>
      <w:r w:rsidR="00835F6D" w:rsidRPr="00BE05BF">
        <w:rPr>
          <w:rFonts w:eastAsia="Calibri"/>
          <w:lang w:val="tr-TR" w:eastAsia="en-US"/>
        </w:rPr>
        <w:t>trace</w:t>
      </w:r>
      <w:proofErr w:type="spellEnd"/>
      <w:r w:rsidR="00835F6D" w:rsidRPr="00BE05BF">
        <w:rPr>
          <w:rFonts w:eastAsia="Calibri"/>
          <w:lang w:val="tr-TR" w:eastAsia="en-US"/>
        </w:rPr>
        <w:t xml:space="preserve"> </w:t>
      </w:r>
      <w:proofErr w:type="spellStart"/>
      <w:r w:rsidR="00835F6D" w:rsidRPr="00BE05BF">
        <w:rPr>
          <w:rFonts w:eastAsia="Calibri"/>
          <w:lang w:val="tr-TR" w:eastAsia="en-US"/>
        </w:rPr>
        <w:t>compounds</w:t>
      </w:r>
      <w:proofErr w:type="spellEnd"/>
      <w:r w:rsidR="00835F6D" w:rsidRPr="00BE05BF">
        <w:rPr>
          <w:rFonts w:eastAsia="Calibri"/>
          <w:lang w:val="tr-TR" w:eastAsia="en-US"/>
        </w:rPr>
        <w:t xml:space="preserve"> </w:t>
      </w:r>
      <w:proofErr w:type="spellStart"/>
      <w:r w:rsidR="00835F6D" w:rsidRPr="00BE05BF">
        <w:rPr>
          <w:rFonts w:eastAsia="Calibri"/>
          <w:lang w:val="tr-TR" w:eastAsia="en-US"/>
        </w:rPr>
        <w:t>that</w:t>
      </w:r>
      <w:proofErr w:type="spellEnd"/>
      <w:r w:rsidR="00835F6D" w:rsidRPr="00BE05BF">
        <w:rPr>
          <w:rFonts w:eastAsia="Calibri"/>
          <w:lang w:val="tr-TR" w:eastAsia="en-US"/>
        </w:rPr>
        <w:t xml:space="preserve"> </w:t>
      </w:r>
      <w:proofErr w:type="spellStart"/>
      <w:r w:rsidR="00835F6D" w:rsidRPr="00BE05BF">
        <w:rPr>
          <w:rFonts w:eastAsia="Calibri"/>
          <w:lang w:val="tr-TR" w:eastAsia="en-US"/>
        </w:rPr>
        <w:t>have</w:t>
      </w:r>
      <w:proofErr w:type="spellEnd"/>
      <w:r w:rsidR="00835F6D" w:rsidRPr="00BE05BF">
        <w:rPr>
          <w:rFonts w:eastAsia="Calibri"/>
          <w:lang w:val="tr-TR" w:eastAsia="en-US"/>
        </w:rPr>
        <w:t xml:space="preserve"> </w:t>
      </w:r>
      <w:proofErr w:type="spellStart"/>
      <w:r w:rsidR="00835F6D" w:rsidRPr="00BE05BF">
        <w:rPr>
          <w:rFonts w:eastAsia="Calibri"/>
          <w:lang w:val="tr-TR" w:eastAsia="en-US"/>
        </w:rPr>
        <w:t>been</w:t>
      </w:r>
      <w:proofErr w:type="spellEnd"/>
      <w:r w:rsidR="00835F6D" w:rsidRPr="00BE05BF">
        <w:rPr>
          <w:rFonts w:eastAsia="Calibri"/>
          <w:lang w:val="tr-TR" w:eastAsia="en-US"/>
        </w:rPr>
        <w:t xml:space="preserve"> </w:t>
      </w:r>
      <w:proofErr w:type="spellStart"/>
      <w:r w:rsidR="00835F6D" w:rsidRPr="00BE05BF">
        <w:rPr>
          <w:rFonts w:eastAsia="Calibri"/>
          <w:lang w:val="tr-TR" w:eastAsia="en-US"/>
        </w:rPr>
        <w:t>proposed</w:t>
      </w:r>
      <w:proofErr w:type="spellEnd"/>
      <w:r w:rsidR="00835F6D" w:rsidRPr="00BE05BF">
        <w:rPr>
          <w:rFonts w:eastAsia="Calibri"/>
          <w:lang w:val="tr-TR" w:eastAsia="en-US"/>
        </w:rPr>
        <w:t xml:space="preserve">. </w:t>
      </w:r>
      <w:r w:rsidR="00F00646" w:rsidRPr="00BE05BF">
        <w:rPr>
          <w:rFonts w:eastAsia="Calibri"/>
          <w:lang w:eastAsia="en-US"/>
        </w:rPr>
        <w:t>Because of their numerous advantages, such as rapid response, a wide dynamic range, portability, ease of modification, and low cost, electrochemical sensors are a viable and rapid instrument for detecting pesticide residues in food and environmental samples.</w:t>
      </w:r>
    </w:p>
    <w:p w:rsidR="00EB3302" w:rsidRPr="00F63663" w:rsidRDefault="0002770F" w:rsidP="00F57EE7">
      <w:pPr>
        <w:spacing w:after="160" w:line="360" w:lineRule="auto"/>
        <w:ind w:firstLine="720"/>
        <w:jc w:val="both"/>
        <w:rPr>
          <w:rFonts w:eastAsia="Calibri"/>
          <w:lang w:val="tr-TR" w:eastAsia="en-US"/>
        </w:rPr>
      </w:pPr>
      <w:proofErr w:type="spellStart"/>
      <w:r w:rsidRPr="00BE05BF">
        <w:rPr>
          <w:rFonts w:eastAsia="Calibri"/>
          <w:lang w:val="tr-TR" w:eastAsia="en-US"/>
        </w:rPr>
        <w:t>The</w:t>
      </w:r>
      <w:proofErr w:type="spellEnd"/>
      <w:r w:rsidRPr="00BE05BF">
        <w:rPr>
          <w:rFonts w:eastAsia="Calibri"/>
          <w:lang w:val="tr-TR" w:eastAsia="en-US"/>
        </w:rPr>
        <w:t xml:space="preserve"> </w:t>
      </w:r>
      <w:proofErr w:type="spellStart"/>
      <w:r w:rsidRPr="00BE05BF">
        <w:rPr>
          <w:rFonts w:eastAsia="Calibri"/>
          <w:lang w:val="tr-TR" w:eastAsia="en-US"/>
        </w:rPr>
        <w:t>goal</w:t>
      </w:r>
      <w:proofErr w:type="spellEnd"/>
      <w:r w:rsidRPr="00BE05BF">
        <w:rPr>
          <w:rFonts w:eastAsia="Calibri"/>
          <w:lang w:val="tr-TR" w:eastAsia="en-US"/>
        </w:rPr>
        <w:t xml:space="preserve"> of </w:t>
      </w:r>
      <w:proofErr w:type="spellStart"/>
      <w:r w:rsidRPr="00BE05BF">
        <w:rPr>
          <w:rFonts w:eastAsia="Calibri"/>
          <w:lang w:val="tr-TR" w:eastAsia="en-US"/>
        </w:rPr>
        <w:t>this</w:t>
      </w:r>
      <w:proofErr w:type="spellEnd"/>
      <w:r w:rsidRPr="00BE05BF">
        <w:rPr>
          <w:rFonts w:eastAsia="Calibri"/>
          <w:lang w:val="tr-TR" w:eastAsia="en-US"/>
        </w:rPr>
        <w:t xml:space="preserve"> </w:t>
      </w:r>
      <w:proofErr w:type="spellStart"/>
      <w:r w:rsidRPr="00BE05BF">
        <w:rPr>
          <w:rFonts w:eastAsia="Calibri"/>
          <w:lang w:val="tr-TR" w:eastAsia="en-US"/>
        </w:rPr>
        <w:t>research</w:t>
      </w:r>
      <w:proofErr w:type="spellEnd"/>
      <w:r w:rsidRPr="00BE05BF">
        <w:rPr>
          <w:rFonts w:eastAsia="Calibri"/>
          <w:lang w:val="tr-TR" w:eastAsia="en-US"/>
        </w:rPr>
        <w:t xml:space="preserve"> </w:t>
      </w:r>
      <w:proofErr w:type="spellStart"/>
      <w:r w:rsidRPr="00BE05BF">
        <w:rPr>
          <w:rFonts w:eastAsia="Calibri"/>
          <w:lang w:val="tr-TR" w:eastAsia="en-US"/>
        </w:rPr>
        <w:t>was</w:t>
      </w:r>
      <w:proofErr w:type="spellEnd"/>
      <w:r w:rsidRPr="00BE05BF">
        <w:rPr>
          <w:rFonts w:eastAsia="Calibri"/>
          <w:lang w:val="tr-TR" w:eastAsia="en-US"/>
        </w:rPr>
        <w:t xml:space="preserve"> </w:t>
      </w:r>
      <w:proofErr w:type="spellStart"/>
      <w:r w:rsidRPr="00BE05BF">
        <w:rPr>
          <w:rFonts w:eastAsia="Calibri"/>
          <w:lang w:val="tr-TR" w:eastAsia="en-US"/>
        </w:rPr>
        <w:t>to</w:t>
      </w:r>
      <w:proofErr w:type="spellEnd"/>
      <w:r w:rsidRPr="00BE05BF">
        <w:rPr>
          <w:rFonts w:eastAsia="Calibri"/>
          <w:lang w:val="tr-TR" w:eastAsia="en-US"/>
        </w:rPr>
        <w:t xml:space="preserve"> </w:t>
      </w:r>
      <w:proofErr w:type="spellStart"/>
      <w:r w:rsidRPr="00BE05BF">
        <w:rPr>
          <w:rFonts w:eastAsia="Calibri"/>
          <w:lang w:val="tr-TR" w:eastAsia="en-US"/>
        </w:rPr>
        <w:t>explore</w:t>
      </w:r>
      <w:proofErr w:type="spellEnd"/>
      <w:r w:rsidRPr="00BE05BF">
        <w:rPr>
          <w:rFonts w:eastAsia="Calibri"/>
          <w:lang w:val="tr-TR" w:eastAsia="en-US"/>
        </w:rPr>
        <w:t xml:space="preserve"> </w:t>
      </w:r>
      <w:proofErr w:type="spellStart"/>
      <w:r w:rsidRPr="00BE05BF">
        <w:rPr>
          <w:rFonts w:eastAsia="Calibri"/>
          <w:lang w:val="tr-TR" w:eastAsia="en-US"/>
        </w:rPr>
        <w:t>if</w:t>
      </w:r>
      <w:proofErr w:type="spellEnd"/>
      <w:r w:rsidRPr="00BE05BF">
        <w:rPr>
          <w:rFonts w:eastAsia="Calibri"/>
          <w:lang w:val="tr-TR" w:eastAsia="en-US"/>
        </w:rPr>
        <w:t xml:space="preserve"> </w:t>
      </w:r>
      <w:proofErr w:type="spellStart"/>
      <w:r w:rsidRPr="00BE05BF">
        <w:rPr>
          <w:rFonts w:eastAsia="Calibri"/>
          <w:lang w:val="tr-TR" w:eastAsia="en-US"/>
        </w:rPr>
        <w:t>composites</w:t>
      </w:r>
      <w:proofErr w:type="spellEnd"/>
      <w:r w:rsidRPr="00BE05BF">
        <w:rPr>
          <w:rFonts w:eastAsia="Calibri"/>
          <w:lang w:val="tr-TR" w:eastAsia="en-US"/>
        </w:rPr>
        <w:t xml:space="preserve"> of </w:t>
      </w:r>
      <w:proofErr w:type="spellStart"/>
      <w:r w:rsidRPr="00BE05BF">
        <w:rPr>
          <w:rFonts w:eastAsia="Calibri"/>
          <w:lang w:val="tr-TR" w:eastAsia="en-US"/>
        </w:rPr>
        <w:t>reduced</w:t>
      </w:r>
      <w:proofErr w:type="spellEnd"/>
      <w:r w:rsidRPr="00BE05BF">
        <w:rPr>
          <w:rFonts w:eastAsia="Calibri"/>
          <w:lang w:val="tr-TR" w:eastAsia="en-US"/>
        </w:rPr>
        <w:t xml:space="preserve"> </w:t>
      </w:r>
      <w:proofErr w:type="spellStart"/>
      <w:r w:rsidRPr="00BE05BF">
        <w:rPr>
          <w:rFonts w:eastAsia="Calibri"/>
          <w:lang w:val="tr-TR" w:eastAsia="en-US"/>
        </w:rPr>
        <w:t>graphene</w:t>
      </w:r>
      <w:proofErr w:type="spellEnd"/>
      <w:r w:rsidRPr="00BE05BF">
        <w:rPr>
          <w:rFonts w:eastAsia="Calibri"/>
          <w:lang w:val="tr-TR" w:eastAsia="en-US"/>
        </w:rPr>
        <w:t xml:space="preserve"> </w:t>
      </w:r>
      <w:proofErr w:type="spellStart"/>
      <w:r w:rsidRPr="00BE05BF">
        <w:rPr>
          <w:rFonts w:eastAsia="Calibri"/>
          <w:lang w:val="tr-TR" w:eastAsia="en-US"/>
        </w:rPr>
        <w:t>oxide</w:t>
      </w:r>
      <w:proofErr w:type="spellEnd"/>
      <w:r w:rsidRPr="00BE05BF">
        <w:rPr>
          <w:rFonts w:eastAsia="Calibri"/>
          <w:lang w:val="tr-TR" w:eastAsia="en-US"/>
        </w:rPr>
        <w:t xml:space="preserve"> </w:t>
      </w:r>
      <w:proofErr w:type="spellStart"/>
      <w:r w:rsidRPr="00BE05BF">
        <w:rPr>
          <w:rFonts w:eastAsia="Calibri"/>
          <w:lang w:val="tr-TR" w:eastAsia="en-US"/>
        </w:rPr>
        <w:t>and</w:t>
      </w:r>
      <w:proofErr w:type="spellEnd"/>
      <w:r w:rsidRPr="00BE05BF">
        <w:rPr>
          <w:rFonts w:eastAsia="Calibri"/>
          <w:lang w:val="tr-TR" w:eastAsia="en-US"/>
        </w:rPr>
        <w:t xml:space="preserve"> </w:t>
      </w:r>
      <w:proofErr w:type="spellStart"/>
      <w:r w:rsidRPr="00BE05BF">
        <w:rPr>
          <w:rFonts w:eastAsia="Calibri"/>
          <w:lang w:val="tr-TR" w:eastAsia="en-US"/>
        </w:rPr>
        <w:t>gold</w:t>
      </w:r>
      <w:proofErr w:type="spellEnd"/>
      <w:r w:rsidRPr="00BE05BF">
        <w:rPr>
          <w:rFonts w:eastAsia="Calibri"/>
          <w:lang w:val="tr-TR" w:eastAsia="en-US"/>
        </w:rPr>
        <w:t xml:space="preserve"> </w:t>
      </w:r>
      <w:proofErr w:type="spellStart"/>
      <w:r w:rsidRPr="00BE05BF">
        <w:rPr>
          <w:rFonts w:eastAsia="Calibri"/>
          <w:lang w:val="tr-TR" w:eastAsia="en-US"/>
        </w:rPr>
        <w:t>nanoparticles</w:t>
      </w:r>
      <w:proofErr w:type="spellEnd"/>
      <w:r w:rsidRPr="00BE05BF">
        <w:rPr>
          <w:rFonts w:eastAsia="Calibri"/>
          <w:lang w:val="tr-TR" w:eastAsia="en-US"/>
        </w:rPr>
        <w:t xml:space="preserve"> </w:t>
      </w:r>
      <w:proofErr w:type="spellStart"/>
      <w:r w:rsidRPr="00BE05BF">
        <w:rPr>
          <w:rFonts w:eastAsia="Calibri"/>
          <w:lang w:val="tr-TR" w:eastAsia="en-US"/>
        </w:rPr>
        <w:t>might</w:t>
      </w:r>
      <w:proofErr w:type="spellEnd"/>
      <w:r w:rsidRPr="00BE05BF">
        <w:rPr>
          <w:rFonts w:eastAsia="Calibri"/>
          <w:lang w:val="tr-TR" w:eastAsia="en-US"/>
        </w:rPr>
        <w:t xml:space="preserve"> be </w:t>
      </w:r>
      <w:proofErr w:type="spellStart"/>
      <w:r w:rsidRPr="00BE05BF">
        <w:rPr>
          <w:rFonts w:eastAsia="Calibri"/>
          <w:lang w:val="tr-TR" w:eastAsia="en-US"/>
        </w:rPr>
        <w:t>employed</w:t>
      </w:r>
      <w:proofErr w:type="spellEnd"/>
      <w:r w:rsidRPr="00BE05BF">
        <w:rPr>
          <w:rFonts w:eastAsia="Calibri"/>
          <w:lang w:val="tr-TR" w:eastAsia="en-US"/>
        </w:rPr>
        <w:t xml:space="preserve"> as an </w:t>
      </w:r>
      <w:proofErr w:type="spellStart"/>
      <w:r w:rsidRPr="00BE05BF">
        <w:rPr>
          <w:rFonts w:eastAsia="Calibri"/>
          <w:lang w:val="tr-TR" w:eastAsia="en-US"/>
        </w:rPr>
        <w:t>electrochemical</w:t>
      </w:r>
      <w:proofErr w:type="spellEnd"/>
      <w:r w:rsidRPr="00BE05BF">
        <w:rPr>
          <w:rFonts w:eastAsia="Calibri"/>
          <w:lang w:val="tr-TR" w:eastAsia="en-US"/>
        </w:rPr>
        <w:t xml:space="preserve"> </w:t>
      </w:r>
      <w:proofErr w:type="gramStart"/>
      <w:r w:rsidRPr="00BE05BF">
        <w:rPr>
          <w:rFonts w:eastAsia="Calibri"/>
          <w:lang w:val="tr-TR" w:eastAsia="en-US"/>
        </w:rPr>
        <w:t>sensor</w:t>
      </w:r>
      <w:proofErr w:type="gramEnd"/>
      <w:r w:rsidRPr="00BE05BF">
        <w:rPr>
          <w:rFonts w:eastAsia="Calibri"/>
          <w:lang w:val="tr-TR" w:eastAsia="en-US"/>
        </w:rPr>
        <w:t xml:space="preserve"> </w:t>
      </w:r>
      <w:proofErr w:type="spellStart"/>
      <w:r w:rsidRPr="00BE05BF">
        <w:rPr>
          <w:rFonts w:eastAsia="Calibri"/>
          <w:lang w:val="tr-TR" w:eastAsia="en-US"/>
        </w:rPr>
        <w:t>material</w:t>
      </w:r>
      <w:proofErr w:type="spellEnd"/>
      <w:r w:rsidRPr="00BE05BF">
        <w:rPr>
          <w:rFonts w:eastAsia="Calibri"/>
          <w:lang w:val="tr-TR" w:eastAsia="en-US"/>
        </w:rPr>
        <w:t xml:space="preserve"> </w:t>
      </w:r>
      <w:proofErr w:type="spellStart"/>
      <w:r w:rsidRPr="00BE05BF">
        <w:rPr>
          <w:rFonts w:eastAsia="Calibri"/>
          <w:lang w:val="tr-TR" w:eastAsia="en-US"/>
        </w:rPr>
        <w:t>for</w:t>
      </w:r>
      <w:proofErr w:type="spellEnd"/>
      <w:r w:rsidRPr="00BE05BF">
        <w:rPr>
          <w:rFonts w:eastAsia="Calibri"/>
          <w:lang w:val="tr-TR" w:eastAsia="en-US"/>
        </w:rPr>
        <w:t xml:space="preserve"> </w:t>
      </w:r>
      <w:proofErr w:type="spellStart"/>
      <w:r w:rsidRPr="00BE05BF">
        <w:rPr>
          <w:rFonts w:eastAsia="Calibri"/>
          <w:lang w:val="tr-TR" w:eastAsia="en-US"/>
        </w:rPr>
        <w:t>low-concentration</w:t>
      </w:r>
      <w:proofErr w:type="spellEnd"/>
      <w:r w:rsidRPr="00BE05BF">
        <w:rPr>
          <w:rFonts w:eastAsia="Calibri"/>
          <w:lang w:val="tr-TR" w:eastAsia="en-US"/>
        </w:rPr>
        <w:t xml:space="preserve"> </w:t>
      </w:r>
      <w:proofErr w:type="spellStart"/>
      <w:r w:rsidRPr="00BE05BF">
        <w:rPr>
          <w:rFonts w:eastAsia="Calibri"/>
          <w:lang w:val="tr-TR" w:eastAsia="en-US"/>
        </w:rPr>
        <w:t>voltammetry-based</w:t>
      </w:r>
      <w:proofErr w:type="spellEnd"/>
      <w:r w:rsidRPr="00BE05BF">
        <w:rPr>
          <w:rFonts w:eastAsia="Calibri"/>
          <w:lang w:val="tr-TR" w:eastAsia="en-US"/>
        </w:rPr>
        <w:t xml:space="preserve"> </w:t>
      </w:r>
      <w:proofErr w:type="spellStart"/>
      <w:r w:rsidRPr="00BE05BF">
        <w:rPr>
          <w:rFonts w:eastAsia="Calibri"/>
          <w:lang w:val="tr-TR" w:eastAsia="en-US"/>
        </w:rPr>
        <w:t>pesticide</w:t>
      </w:r>
      <w:proofErr w:type="spellEnd"/>
      <w:r w:rsidRPr="00BE05BF">
        <w:rPr>
          <w:rFonts w:eastAsia="Calibri"/>
          <w:lang w:val="tr-TR" w:eastAsia="en-US"/>
        </w:rPr>
        <w:t xml:space="preserve"> </w:t>
      </w:r>
      <w:proofErr w:type="spellStart"/>
      <w:r w:rsidRPr="00BE05BF">
        <w:rPr>
          <w:rFonts w:eastAsia="Calibri"/>
          <w:lang w:val="tr-TR" w:eastAsia="en-US"/>
        </w:rPr>
        <w:t>residue</w:t>
      </w:r>
      <w:proofErr w:type="spellEnd"/>
      <w:r w:rsidRPr="00BE05BF">
        <w:rPr>
          <w:rFonts w:eastAsia="Calibri"/>
          <w:lang w:val="tr-TR" w:eastAsia="en-US"/>
        </w:rPr>
        <w:t xml:space="preserve"> </w:t>
      </w:r>
      <w:proofErr w:type="spellStart"/>
      <w:r w:rsidRPr="00BE05BF">
        <w:rPr>
          <w:rFonts w:eastAsia="Calibri"/>
          <w:lang w:val="tr-TR" w:eastAsia="en-US"/>
        </w:rPr>
        <w:t>monitoring</w:t>
      </w:r>
      <w:proofErr w:type="spellEnd"/>
      <w:r w:rsidRPr="00BE05BF">
        <w:rPr>
          <w:rFonts w:eastAsia="Calibri"/>
          <w:lang w:val="tr-TR" w:eastAsia="en-US"/>
        </w:rPr>
        <w:t>.</w:t>
      </w:r>
      <w:r w:rsidR="00315FF8" w:rsidRPr="00BE05BF">
        <w:rPr>
          <w:rFonts w:eastAsia="Calibri"/>
          <w:lang w:val="tr-TR" w:eastAsia="en-US"/>
        </w:rPr>
        <w:t xml:space="preserve"> </w:t>
      </w:r>
      <w:r w:rsidRPr="00BE05BF">
        <w:rPr>
          <w:rFonts w:eastAsia="Calibri"/>
          <w:lang w:val="tr-TR" w:eastAsia="en-US"/>
        </w:rPr>
        <w:t xml:space="preserve">A </w:t>
      </w:r>
      <w:proofErr w:type="spellStart"/>
      <w:r w:rsidRPr="00BE05BF">
        <w:rPr>
          <w:rFonts w:eastAsia="Calibri"/>
          <w:lang w:val="tr-TR" w:eastAsia="en-US"/>
        </w:rPr>
        <w:t>glassy</w:t>
      </w:r>
      <w:proofErr w:type="spellEnd"/>
      <w:r w:rsidRPr="00BE05BF">
        <w:rPr>
          <w:rFonts w:eastAsia="Calibri"/>
          <w:lang w:val="tr-TR" w:eastAsia="en-US"/>
        </w:rPr>
        <w:t xml:space="preserve"> </w:t>
      </w:r>
      <w:proofErr w:type="spellStart"/>
      <w:r w:rsidRPr="00BE05BF">
        <w:rPr>
          <w:rFonts w:eastAsia="Calibri"/>
          <w:lang w:val="tr-TR" w:eastAsia="en-US"/>
        </w:rPr>
        <w:t>carbon</w:t>
      </w:r>
      <w:proofErr w:type="spellEnd"/>
      <w:r w:rsidRPr="00BE05BF">
        <w:rPr>
          <w:rFonts w:eastAsia="Calibri"/>
          <w:lang w:val="tr-TR" w:eastAsia="en-US"/>
        </w:rPr>
        <w:t xml:space="preserve"> </w:t>
      </w:r>
      <w:proofErr w:type="spellStart"/>
      <w:r w:rsidRPr="00BE05BF">
        <w:rPr>
          <w:rFonts w:eastAsia="Calibri"/>
          <w:lang w:val="tr-TR" w:eastAsia="en-US"/>
        </w:rPr>
        <w:t>electrode</w:t>
      </w:r>
      <w:proofErr w:type="spellEnd"/>
      <w:r w:rsidRPr="00BE05BF">
        <w:rPr>
          <w:rFonts w:eastAsia="Calibri"/>
          <w:lang w:val="tr-TR" w:eastAsia="en-US"/>
        </w:rPr>
        <w:t xml:space="preserve"> (GCE) </w:t>
      </w:r>
      <w:proofErr w:type="spellStart"/>
      <w:r w:rsidRPr="00BE05BF">
        <w:rPr>
          <w:rFonts w:eastAsia="Calibri"/>
          <w:lang w:val="tr-TR" w:eastAsia="en-US"/>
        </w:rPr>
        <w:t>modified</w:t>
      </w:r>
      <w:proofErr w:type="spellEnd"/>
      <w:r w:rsidRPr="00BE05BF">
        <w:rPr>
          <w:rFonts w:eastAsia="Calibri"/>
          <w:lang w:val="tr-TR" w:eastAsia="en-US"/>
        </w:rPr>
        <w:t xml:space="preserve"> </w:t>
      </w:r>
      <w:proofErr w:type="spellStart"/>
      <w:r w:rsidRPr="00BE05BF">
        <w:rPr>
          <w:rFonts w:eastAsia="Calibri"/>
          <w:lang w:val="tr-TR" w:eastAsia="en-US"/>
        </w:rPr>
        <w:t>with</w:t>
      </w:r>
      <w:proofErr w:type="spellEnd"/>
      <w:r w:rsidRPr="00BE05BF">
        <w:rPr>
          <w:rFonts w:eastAsia="Calibri"/>
          <w:lang w:val="tr-TR" w:eastAsia="en-US"/>
        </w:rPr>
        <w:t xml:space="preserve"> RGO </w:t>
      </w:r>
      <w:proofErr w:type="spellStart"/>
      <w:r w:rsidRPr="00BE05BF">
        <w:rPr>
          <w:rFonts w:eastAsia="Calibri"/>
          <w:lang w:val="tr-TR" w:eastAsia="en-US"/>
        </w:rPr>
        <w:t>and</w:t>
      </w:r>
      <w:proofErr w:type="spellEnd"/>
      <w:r w:rsidRPr="00BE05BF">
        <w:rPr>
          <w:rFonts w:eastAsia="Calibri"/>
          <w:lang w:val="tr-TR" w:eastAsia="en-US"/>
        </w:rPr>
        <w:t xml:space="preserve"> </w:t>
      </w:r>
      <w:proofErr w:type="spellStart"/>
      <w:r w:rsidRPr="00BE05BF">
        <w:rPr>
          <w:rFonts w:eastAsia="Calibri"/>
          <w:lang w:val="tr-TR" w:eastAsia="en-US"/>
        </w:rPr>
        <w:t>AuNPs</w:t>
      </w:r>
      <w:proofErr w:type="spellEnd"/>
      <w:r w:rsidRPr="00BE05BF">
        <w:rPr>
          <w:rFonts w:eastAsia="Calibri"/>
          <w:lang w:val="tr-TR" w:eastAsia="en-US"/>
        </w:rPr>
        <w:t xml:space="preserve"> </w:t>
      </w:r>
      <w:proofErr w:type="spellStart"/>
      <w:r w:rsidRPr="00BE05BF">
        <w:rPr>
          <w:rFonts w:eastAsia="Calibri"/>
          <w:lang w:val="tr-TR" w:eastAsia="en-US"/>
        </w:rPr>
        <w:t>was</w:t>
      </w:r>
      <w:proofErr w:type="spellEnd"/>
      <w:r w:rsidRPr="00BE05BF">
        <w:rPr>
          <w:rFonts w:eastAsia="Calibri"/>
          <w:lang w:val="tr-TR" w:eastAsia="en-US"/>
        </w:rPr>
        <w:t xml:space="preserve"> </w:t>
      </w:r>
      <w:proofErr w:type="spellStart"/>
      <w:r w:rsidRPr="00BE05BF">
        <w:rPr>
          <w:rFonts w:eastAsia="Calibri"/>
          <w:lang w:val="tr-TR" w:eastAsia="en-US"/>
        </w:rPr>
        <w:t>used</w:t>
      </w:r>
      <w:proofErr w:type="spellEnd"/>
      <w:r w:rsidRPr="00BE05BF">
        <w:rPr>
          <w:rFonts w:eastAsia="Calibri"/>
          <w:lang w:val="tr-TR" w:eastAsia="en-US"/>
        </w:rPr>
        <w:t xml:space="preserve"> </w:t>
      </w:r>
      <w:proofErr w:type="spellStart"/>
      <w:r w:rsidRPr="00BE05BF">
        <w:rPr>
          <w:rFonts w:eastAsia="Calibri"/>
          <w:lang w:val="tr-TR" w:eastAsia="en-US"/>
        </w:rPr>
        <w:t>to</w:t>
      </w:r>
      <w:proofErr w:type="spellEnd"/>
      <w:r w:rsidRPr="00BE05BF">
        <w:rPr>
          <w:rFonts w:eastAsia="Calibri"/>
          <w:lang w:val="tr-TR" w:eastAsia="en-US"/>
        </w:rPr>
        <w:t xml:space="preserve"> </w:t>
      </w:r>
      <w:proofErr w:type="spellStart"/>
      <w:r w:rsidRPr="00BE05BF">
        <w:rPr>
          <w:rFonts w:eastAsia="Calibri"/>
          <w:lang w:val="tr-TR" w:eastAsia="en-US"/>
        </w:rPr>
        <w:t>create</w:t>
      </w:r>
      <w:proofErr w:type="spellEnd"/>
      <w:r w:rsidRPr="00BE05BF">
        <w:rPr>
          <w:rFonts w:eastAsia="Calibri"/>
          <w:lang w:val="tr-TR" w:eastAsia="en-US"/>
        </w:rPr>
        <w:t xml:space="preserve"> </w:t>
      </w:r>
      <w:proofErr w:type="spellStart"/>
      <w:r w:rsidRPr="00BE05BF">
        <w:rPr>
          <w:rFonts w:eastAsia="Calibri"/>
          <w:lang w:val="tr-TR" w:eastAsia="en-US"/>
        </w:rPr>
        <w:t>and</w:t>
      </w:r>
      <w:proofErr w:type="spellEnd"/>
      <w:r w:rsidRPr="00BE05BF">
        <w:rPr>
          <w:rFonts w:eastAsia="Calibri"/>
          <w:lang w:val="tr-TR" w:eastAsia="en-US"/>
        </w:rPr>
        <w:t xml:space="preserve"> </w:t>
      </w:r>
      <w:proofErr w:type="spellStart"/>
      <w:r w:rsidRPr="00BE05BF">
        <w:rPr>
          <w:rFonts w:eastAsia="Calibri"/>
          <w:lang w:val="tr-TR" w:eastAsia="en-US"/>
        </w:rPr>
        <w:t>measure</w:t>
      </w:r>
      <w:proofErr w:type="spellEnd"/>
      <w:r w:rsidRPr="00BE05BF">
        <w:rPr>
          <w:rFonts w:eastAsia="Calibri"/>
          <w:lang w:val="tr-TR" w:eastAsia="en-US"/>
        </w:rPr>
        <w:t xml:space="preserve"> a </w:t>
      </w:r>
      <w:proofErr w:type="spellStart"/>
      <w:r w:rsidRPr="00BE05BF">
        <w:rPr>
          <w:rFonts w:eastAsia="Calibri"/>
          <w:lang w:val="tr-TR" w:eastAsia="en-US"/>
        </w:rPr>
        <w:t>new</w:t>
      </w:r>
      <w:proofErr w:type="spellEnd"/>
      <w:r w:rsidRPr="00BE05BF">
        <w:rPr>
          <w:rFonts w:eastAsia="Calibri"/>
          <w:lang w:val="tr-TR" w:eastAsia="en-US"/>
        </w:rPr>
        <w:t xml:space="preserve"> </w:t>
      </w:r>
      <w:proofErr w:type="spellStart"/>
      <w:r w:rsidRPr="00BE05BF">
        <w:rPr>
          <w:rFonts w:eastAsia="Calibri"/>
          <w:lang w:val="tr-TR" w:eastAsia="en-US"/>
        </w:rPr>
        <w:t>voltammetric</w:t>
      </w:r>
      <w:proofErr w:type="spellEnd"/>
      <w:r w:rsidRPr="00BE05BF">
        <w:rPr>
          <w:rFonts w:eastAsia="Calibri"/>
          <w:lang w:val="tr-TR" w:eastAsia="en-US"/>
        </w:rPr>
        <w:t xml:space="preserve"> </w:t>
      </w:r>
      <w:proofErr w:type="gramStart"/>
      <w:r w:rsidRPr="00BE05BF">
        <w:rPr>
          <w:rFonts w:eastAsia="Calibri"/>
          <w:lang w:val="tr-TR" w:eastAsia="en-US"/>
        </w:rPr>
        <w:t>sensor</w:t>
      </w:r>
      <w:proofErr w:type="gramEnd"/>
      <w:r w:rsidRPr="00BE05BF">
        <w:rPr>
          <w:rFonts w:eastAsia="Calibri"/>
          <w:lang w:val="tr-TR" w:eastAsia="en-US"/>
        </w:rPr>
        <w:t>.</w:t>
      </w:r>
      <w:r w:rsidR="00315FF8" w:rsidRPr="00BE05BF">
        <w:rPr>
          <w:rFonts w:eastAsia="Calibri"/>
          <w:lang w:val="tr-TR" w:eastAsia="en-US"/>
        </w:rPr>
        <w:t xml:space="preserve"> </w:t>
      </w:r>
      <w:r w:rsidR="00EB3302" w:rsidRPr="00BE05BF">
        <w:rPr>
          <w:rFonts w:eastAsia="Calibri"/>
          <w:lang w:val="tr-TR" w:eastAsia="en-US"/>
        </w:rPr>
        <w:t xml:space="preserve">Using a </w:t>
      </w:r>
      <w:proofErr w:type="spellStart"/>
      <w:r w:rsidR="00EB3302" w:rsidRPr="00BE05BF">
        <w:rPr>
          <w:rFonts w:eastAsia="Calibri"/>
          <w:lang w:val="tr-TR" w:eastAsia="en-US"/>
        </w:rPr>
        <w:t>scanning</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electron</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microscope</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the</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surface</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specimens</w:t>
      </w:r>
      <w:proofErr w:type="spellEnd"/>
      <w:r w:rsidR="00EB3302" w:rsidRPr="00BE05BF">
        <w:rPr>
          <w:rFonts w:eastAsia="Calibri"/>
          <w:lang w:val="tr-TR" w:eastAsia="en-US"/>
        </w:rPr>
        <w:t xml:space="preserve"> of </w:t>
      </w:r>
      <w:proofErr w:type="spellStart"/>
      <w:r w:rsidR="00EB3302" w:rsidRPr="00BE05BF">
        <w:rPr>
          <w:rFonts w:eastAsia="Calibri"/>
          <w:lang w:val="tr-TR" w:eastAsia="en-US"/>
        </w:rPr>
        <w:t>the</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produced</w:t>
      </w:r>
      <w:proofErr w:type="spellEnd"/>
      <w:r w:rsidR="00EB3302" w:rsidRPr="00BE05BF">
        <w:rPr>
          <w:rFonts w:eastAsia="Calibri"/>
          <w:lang w:val="tr-TR" w:eastAsia="en-US"/>
        </w:rPr>
        <w:t xml:space="preserve"> RGO/</w:t>
      </w:r>
      <w:proofErr w:type="spellStart"/>
      <w:r w:rsidR="00EB3302" w:rsidRPr="00BE05BF">
        <w:rPr>
          <w:rFonts w:eastAsia="Calibri"/>
          <w:lang w:val="tr-TR" w:eastAsia="en-US"/>
        </w:rPr>
        <w:t>AuNPs</w:t>
      </w:r>
      <w:proofErr w:type="spellEnd"/>
      <w:r w:rsidR="00EB3302" w:rsidRPr="00BE05BF">
        <w:rPr>
          <w:rFonts w:eastAsia="Calibri"/>
          <w:lang w:val="tr-TR" w:eastAsia="en-US"/>
        </w:rPr>
        <w:t xml:space="preserve">/GCE </w:t>
      </w:r>
      <w:proofErr w:type="spellStart"/>
      <w:r w:rsidR="00EB3302" w:rsidRPr="00BE05BF">
        <w:rPr>
          <w:rFonts w:eastAsia="Calibri"/>
          <w:lang w:val="tr-TR" w:eastAsia="en-US"/>
        </w:rPr>
        <w:t>were</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examined</w:t>
      </w:r>
      <w:proofErr w:type="spellEnd"/>
      <w:r w:rsidR="00EB3302" w:rsidRPr="00BE05BF">
        <w:rPr>
          <w:rFonts w:eastAsia="Calibri"/>
          <w:lang w:val="tr-TR" w:eastAsia="en-US"/>
        </w:rPr>
        <w:t xml:space="preserve"> (SEM). </w:t>
      </w:r>
      <w:proofErr w:type="spellStart"/>
      <w:r w:rsidR="00EB3302" w:rsidRPr="00BE05BF">
        <w:rPr>
          <w:rFonts w:eastAsia="Calibri"/>
          <w:lang w:val="tr-TR" w:eastAsia="en-US"/>
        </w:rPr>
        <w:t>For</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AuNPs</w:t>
      </w:r>
      <w:proofErr w:type="spellEnd"/>
      <w:r w:rsidR="00EB3302" w:rsidRPr="00BE05BF">
        <w:rPr>
          <w:rFonts w:eastAsia="Calibri"/>
          <w:lang w:val="tr-TR" w:eastAsia="en-US"/>
        </w:rPr>
        <w:t xml:space="preserve"> </w:t>
      </w:r>
      <w:proofErr w:type="spellStart"/>
      <w:r w:rsidR="00EB3302" w:rsidRPr="00BE05BF">
        <w:rPr>
          <w:rFonts w:eastAsia="Calibri"/>
          <w:lang w:val="tr-TR" w:eastAsia="en-US"/>
        </w:rPr>
        <w:t>electrodeposition</w:t>
      </w:r>
      <w:proofErr w:type="spellEnd"/>
      <w:r w:rsidR="00EB3302" w:rsidRPr="00BE05BF">
        <w:rPr>
          <w:rFonts w:eastAsia="Calibri"/>
          <w:lang w:val="tr-TR" w:eastAsia="en-US"/>
        </w:rPr>
        <w:t xml:space="preserve"> </w:t>
      </w:r>
      <w:proofErr w:type="spellStart"/>
      <w:r w:rsidR="00EB3302" w:rsidRPr="00F63663">
        <w:rPr>
          <w:rFonts w:eastAsia="Calibri"/>
          <w:lang w:val="tr-TR" w:eastAsia="en-US"/>
        </w:rPr>
        <w:t>and</w:t>
      </w:r>
      <w:proofErr w:type="spellEnd"/>
      <w:r w:rsidR="00EB3302" w:rsidRPr="00F63663">
        <w:rPr>
          <w:rFonts w:eastAsia="Calibri"/>
          <w:lang w:val="tr-TR" w:eastAsia="en-US"/>
        </w:rPr>
        <w:t xml:space="preserve"> </w:t>
      </w:r>
      <w:proofErr w:type="spellStart"/>
      <w:r w:rsidR="00EB3302" w:rsidRPr="00F63663">
        <w:rPr>
          <w:rFonts w:eastAsia="Calibri"/>
          <w:lang w:val="tr-TR" w:eastAsia="en-US"/>
        </w:rPr>
        <w:t>ziram</w:t>
      </w:r>
      <w:proofErr w:type="spellEnd"/>
      <w:r w:rsidR="00EB3302" w:rsidRPr="00F63663">
        <w:rPr>
          <w:rFonts w:eastAsia="Calibri"/>
          <w:lang w:val="tr-TR" w:eastAsia="en-US"/>
        </w:rPr>
        <w:t xml:space="preserve"> </w:t>
      </w:r>
      <w:proofErr w:type="spellStart"/>
      <w:r w:rsidR="00EB3302" w:rsidRPr="00F63663">
        <w:rPr>
          <w:rFonts w:eastAsia="Calibri"/>
          <w:lang w:val="tr-TR" w:eastAsia="en-US"/>
        </w:rPr>
        <w:t>determination</w:t>
      </w:r>
      <w:proofErr w:type="spellEnd"/>
      <w:r w:rsidR="00EB3302" w:rsidRPr="00F63663">
        <w:rPr>
          <w:rFonts w:eastAsia="Calibri"/>
          <w:lang w:val="tr-TR" w:eastAsia="en-US"/>
        </w:rPr>
        <w:t xml:space="preserve">, </w:t>
      </w:r>
      <w:proofErr w:type="spellStart"/>
      <w:r w:rsidR="00EB3302" w:rsidRPr="00F63663">
        <w:rPr>
          <w:rFonts w:eastAsia="Calibri"/>
          <w:lang w:val="tr-TR" w:eastAsia="en-US"/>
        </w:rPr>
        <w:t>cyclic</w:t>
      </w:r>
      <w:proofErr w:type="spellEnd"/>
      <w:r w:rsidR="00EB3302" w:rsidRPr="00F63663">
        <w:rPr>
          <w:rFonts w:eastAsia="Calibri"/>
          <w:lang w:val="tr-TR" w:eastAsia="en-US"/>
        </w:rPr>
        <w:t xml:space="preserve"> </w:t>
      </w:r>
      <w:proofErr w:type="spellStart"/>
      <w:r w:rsidR="00EB3302" w:rsidRPr="00F63663">
        <w:rPr>
          <w:rFonts w:eastAsia="Calibri"/>
          <w:lang w:val="tr-TR" w:eastAsia="en-US"/>
        </w:rPr>
        <w:t>voltammetry</w:t>
      </w:r>
      <w:proofErr w:type="spellEnd"/>
      <w:r w:rsidR="00EB3302" w:rsidRPr="00F63663">
        <w:rPr>
          <w:rFonts w:eastAsia="Calibri"/>
          <w:lang w:val="tr-TR" w:eastAsia="en-US"/>
        </w:rPr>
        <w:t xml:space="preserve"> (CV) </w:t>
      </w:r>
      <w:proofErr w:type="spellStart"/>
      <w:r w:rsidR="00EB3302" w:rsidRPr="00F63663">
        <w:rPr>
          <w:rFonts w:eastAsia="Calibri"/>
          <w:lang w:val="tr-TR" w:eastAsia="en-US"/>
        </w:rPr>
        <w:t>and</w:t>
      </w:r>
      <w:proofErr w:type="spellEnd"/>
      <w:r w:rsidR="00EB3302" w:rsidRPr="00F63663">
        <w:rPr>
          <w:rFonts w:eastAsia="Calibri"/>
          <w:lang w:val="tr-TR" w:eastAsia="en-US"/>
        </w:rPr>
        <w:t xml:space="preserve"> </w:t>
      </w:r>
      <w:proofErr w:type="spellStart"/>
      <w:r w:rsidR="00EB3302" w:rsidRPr="00F63663">
        <w:rPr>
          <w:rFonts w:eastAsia="Calibri"/>
          <w:lang w:val="tr-TR" w:eastAsia="en-US"/>
        </w:rPr>
        <w:t>differential</w:t>
      </w:r>
      <w:proofErr w:type="spellEnd"/>
      <w:r w:rsidR="00EB3302" w:rsidRPr="00F63663">
        <w:rPr>
          <w:rFonts w:eastAsia="Calibri"/>
          <w:lang w:val="tr-TR" w:eastAsia="en-US"/>
        </w:rPr>
        <w:t xml:space="preserve"> </w:t>
      </w:r>
      <w:proofErr w:type="spellStart"/>
      <w:r w:rsidR="00EB3302" w:rsidRPr="00F63663">
        <w:rPr>
          <w:rFonts w:eastAsia="Calibri"/>
          <w:lang w:val="tr-TR" w:eastAsia="en-US"/>
        </w:rPr>
        <w:t>pulse</w:t>
      </w:r>
      <w:proofErr w:type="spellEnd"/>
      <w:r w:rsidR="00EB3302" w:rsidRPr="00F63663">
        <w:rPr>
          <w:rFonts w:eastAsia="Calibri"/>
          <w:lang w:val="tr-TR" w:eastAsia="en-US"/>
        </w:rPr>
        <w:t xml:space="preserve"> </w:t>
      </w:r>
      <w:proofErr w:type="spellStart"/>
      <w:r w:rsidR="00EB3302" w:rsidRPr="00F63663">
        <w:rPr>
          <w:rFonts w:eastAsia="Calibri"/>
          <w:lang w:val="tr-TR" w:eastAsia="en-US"/>
        </w:rPr>
        <w:t>voltammetry</w:t>
      </w:r>
      <w:proofErr w:type="spellEnd"/>
      <w:r w:rsidR="00EB3302" w:rsidRPr="00F63663">
        <w:rPr>
          <w:rFonts w:eastAsia="Calibri"/>
          <w:lang w:val="tr-TR" w:eastAsia="en-US"/>
        </w:rPr>
        <w:t xml:space="preserve"> (DPV) </w:t>
      </w:r>
      <w:proofErr w:type="spellStart"/>
      <w:r w:rsidR="00EB3302" w:rsidRPr="00F63663">
        <w:rPr>
          <w:rFonts w:eastAsia="Calibri"/>
          <w:lang w:val="tr-TR" w:eastAsia="en-US"/>
        </w:rPr>
        <w:t>were</w:t>
      </w:r>
      <w:proofErr w:type="spellEnd"/>
      <w:r w:rsidR="00EB3302" w:rsidRPr="00F63663">
        <w:rPr>
          <w:rFonts w:eastAsia="Calibri"/>
          <w:lang w:val="tr-TR" w:eastAsia="en-US"/>
        </w:rPr>
        <w:t xml:space="preserve"> </w:t>
      </w:r>
      <w:proofErr w:type="spellStart"/>
      <w:r w:rsidR="00EB3302" w:rsidRPr="00F63663">
        <w:rPr>
          <w:rFonts w:eastAsia="Calibri"/>
          <w:lang w:val="tr-TR" w:eastAsia="en-US"/>
        </w:rPr>
        <w:t>utilized</w:t>
      </w:r>
      <w:proofErr w:type="spellEnd"/>
      <w:r w:rsidR="00EB3302" w:rsidRPr="00F63663">
        <w:rPr>
          <w:rFonts w:eastAsia="Calibri"/>
          <w:lang w:val="tr-TR" w:eastAsia="en-US"/>
        </w:rPr>
        <w:t xml:space="preserve">. </w:t>
      </w:r>
      <w:proofErr w:type="spellStart"/>
      <w:r w:rsidR="00EB3302" w:rsidRPr="00F63663">
        <w:rPr>
          <w:rFonts w:eastAsia="Calibri"/>
          <w:lang w:val="tr-TR" w:eastAsia="en-US"/>
        </w:rPr>
        <w:t>Furthermore</w:t>
      </w:r>
      <w:proofErr w:type="spellEnd"/>
      <w:r w:rsidR="00EB3302" w:rsidRPr="00F63663">
        <w:rPr>
          <w:rFonts w:eastAsia="Calibri"/>
          <w:lang w:val="tr-TR" w:eastAsia="en-US"/>
        </w:rPr>
        <w:t xml:space="preserve">, </w:t>
      </w:r>
      <w:r w:rsidR="00F57EE7" w:rsidRPr="00F63663">
        <w:rPr>
          <w:rFonts w:eastAsia="Calibri"/>
          <w:lang w:val="tr-TR" w:eastAsia="en-US"/>
        </w:rPr>
        <w:t xml:space="preserve">limit of </w:t>
      </w:r>
      <w:proofErr w:type="spellStart"/>
      <w:r w:rsidR="00F57EE7" w:rsidRPr="00F63663">
        <w:rPr>
          <w:rFonts w:eastAsia="Calibri"/>
          <w:lang w:val="tr-TR" w:eastAsia="en-US"/>
        </w:rPr>
        <w:t>detection</w:t>
      </w:r>
      <w:proofErr w:type="spellEnd"/>
      <w:r w:rsidR="00F57EE7" w:rsidRPr="00F63663">
        <w:rPr>
          <w:rFonts w:eastAsia="Calibri"/>
          <w:lang w:val="tr-TR" w:eastAsia="en-US"/>
        </w:rPr>
        <w:t xml:space="preserve">, limit of </w:t>
      </w:r>
      <w:proofErr w:type="spellStart"/>
      <w:r w:rsidR="00F57EE7" w:rsidRPr="00F63663">
        <w:rPr>
          <w:rFonts w:eastAsia="Calibri"/>
          <w:lang w:val="tr-TR" w:eastAsia="en-US"/>
        </w:rPr>
        <w:t>quantification</w:t>
      </w:r>
      <w:proofErr w:type="spellEnd"/>
      <w:r w:rsidR="00F57EE7" w:rsidRPr="00F63663">
        <w:rPr>
          <w:rFonts w:eastAsia="Calibri"/>
          <w:lang w:val="tr-TR" w:eastAsia="en-US"/>
        </w:rPr>
        <w:t xml:space="preserve">, </w:t>
      </w:r>
      <w:proofErr w:type="spellStart"/>
      <w:r w:rsidR="00F57EE7" w:rsidRPr="00F63663">
        <w:rPr>
          <w:rFonts w:eastAsia="Calibri"/>
          <w:lang w:val="tr-TR" w:eastAsia="en-US"/>
        </w:rPr>
        <w:t>linearity</w:t>
      </w:r>
      <w:proofErr w:type="spellEnd"/>
      <w:r w:rsidR="00F57EE7" w:rsidRPr="00F63663">
        <w:rPr>
          <w:rFonts w:eastAsia="Calibri"/>
          <w:lang w:val="tr-TR" w:eastAsia="en-US"/>
        </w:rPr>
        <w:t xml:space="preserve">, </w:t>
      </w:r>
      <w:proofErr w:type="spellStart"/>
      <w:r w:rsidR="00F57EE7" w:rsidRPr="00F63663">
        <w:rPr>
          <w:rFonts w:eastAsia="Calibri"/>
          <w:lang w:val="tr-TR" w:eastAsia="en-US"/>
        </w:rPr>
        <w:t>repeatability</w:t>
      </w:r>
      <w:proofErr w:type="spellEnd"/>
      <w:r w:rsidR="00F57EE7" w:rsidRPr="00F63663">
        <w:rPr>
          <w:rFonts w:eastAsia="Calibri"/>
          <w:lang w:val="tr-TR" w:eastAsia="en-US"/>
        </w:rPr>
        <w:t xml:space="preserve">, </w:t>
      </w:r>
      <w:proofErr w:type="spellStart"/>
      <w:r w:rsidR="00F57EE7" w:rsidRPr="00F63663">
        <w:rPr>
          <w:rFonts w:eastAsia="Calibri"/>
          <w:lang w:val="tr-TR" w:eastAsia="en-US"/>
        </w:rPr>
        <w:t>reproducibility</w:t>
      </w:r>
      <w:proofErr w:type="spellEnd"/>
      <w:r w:rsidR="00F57EE7" w:rsidRPr="00F63663">
        <w:rPr>
          <w:rFonts w:eastAsia="Calibri"/>
          <w:lang w:val="tr-TR" w:eastAsia="en-US"/>
        </w:rPr>
        <w:t xml:space="preserve"> </w:t>
      </w:r>
      <w:proofErr w:type="spellStart"/>
      <w:r w:rsidR="00F57EE7" w:rsidRPr="00F63663">
        <w:rPr>
          <w:rFonts w:eastAsia="Calibri"/>
          <w:lang w:val="tr-TR" w:eastAsia="en-US"/>
        </w:rPr>
        <w:t>and</w:t>
      </w:r>
      <w:proofErr w:type="spellEnd"/>
      <w:r w:rsidR="00F57EE7" w:rsidRPr="00F63663">
        <w:rPr>
          <w:rFonts w:eastAsia="Calibri"/>
          <w:lang w:val="tr-TR" w:eastAsia="en-US"/>
        </w:rPr>
        <w:t xml:space="preserve"> </w:t>
      </w:r>
      <w:proofErr w:type="spellStart"/>
      <w:r w:rsidR="00F57EE7" w:rsidRPr="00F63663">
        <w:rPr>
          <w:rFonts w:eastAsia="Calibri"/>
          <w:lang w:val="tr-TR" w:eastAsia="en-US"/>
        </w:rPr>
        <w:t>pH</w:t>
      </w:r>
      <w:proofErr w:type="spellEnd"/>
      <w:r w:rsidR="00F57EE7" w:rsidRPr="00F63663">
        <w:rPr>
          <w:rFonts w:eastAsia="Calibri"/>
          <w:lang w:val="tr-TR" w:eastAsia="en-US"/>
        </w:rPr>
        <w:t xml:space="preserve"> of </w:t>
      </w:r>
      <w:proofErr w:type="spellStart"/>
      <w:r w:rsidR="00F57EE7" w:rsidRPr="00F63663">
        <w:rPr>
          <w:rFonts w:eastAsia="Calibri"/>
          <w:lang w:val="tr-TR" w:eastAsia="en-US"/>
        </w:rPr>
        <w:t>the</w:t>
      </w:r>
      <w:proofErr w:type="spellEnd"/>
      <w:r w:rsidR="00F57EE7" w:rsidRPr="00F63663">
        <w:rPr>
          <w:rFonts w:eastAsia="Calibri"/>
          <w:lang w:val="tr-TR" w:eastAsia="en-US"/>
        </w:rPr>
        <w:t xml:space="preserve"> </w:t>
      </w:r>
      <w:proofErr w:type="gramStart"/>
      <w:r w:rsidR="00F57EE7" w:rsidRPr="00F63663">
        <w:rPr>
          <w:rFonts w:eastAsia="Calibri"/>
          <w:lang w:val="tr-TR" w:eastAsia="en-US"/>
        </w:rPr>
        <w:t>sensor</w:t>
      </w:r>
      <w:proofErr w:type="gramEnd"/>
      <w:r w:rsidR="00F57EE7" w:rsidRPr="00F63663">
        <w:rPr>
          <w:rFonts w:eastAsia="Calibri"/>
          <w:lang w:val="tr-TR" w:eastAsia="en-US"/>
        </w:rPr>
        <w:t xml:space="preserve"> </w:t>
      </w:r>
      <w:proofErr w:type="spellStart"/>
      <w:r w:rsidR="00F57EE7" w:rsidRPr="00F63663">
        <w:rPr>
          <w:rFonts w:eastAsia="Calibri"/>
          <w:lang w:val="tr-TR" w:eastAsia="en-US"/>
        </w:rPr>
        <w:t>were</w:t>
      </w:r>
      <w:proofErr w:type="spellEnd"/>
      <w:r w:rsidR="00F57EE7" w:rsidRPr="00F63663">
        <w:rPr>
          <w:rFonts w:eastAsia="Calibri"/>
          <w:lang w:val="tr-TR" w:eastAsia="en-US"/>
        </w:rPr>
        <w:t xml:space="preserve"> </w:t>
      </w:r>
      <w:proofErr w:type="spellStart"/>
      <w:r w:rsidR="00F57EE7" w:rsidRPr="00F63663">
        <w:rPr>
          <w:rFonts w:eastAsia="Calibri"/>
          <w:lang w:val="tr-TR" w:eastAsia="en-US"/>
        </w:rPr>
        <w:t>investigated</w:t>
      </w:r>
      <w:proofErr w:type="spellEnd"/>
      <w:r w:rsidR="00F57EE7" w:rsidRPr="00F63663">
        <w:rPr>
          <w:rFonts w:eastAsia="Calibri"/>
          <w:lang w:val="tr-TR" w:eastAsia="en-US"/>
        </w:rPr>
        <w:t xml:space="preserve"> in </w:t>
      </w:r>
      <w:proofErr w:type="spellStart"/>
      <w:r w:rsidR="00F57EE7" w:rsidRPr="00F63663">
        <w:rPr>
          <w:rFonts w:eastAsia="Calibri"/>
          <w:lang w:val="tr-TR" w:eastAsia="en-US"/>
        </w:rPr>
        <w:t>detail</w:t>
      </w:r>
      <w:proofErr w:type="spellEnd"/>
      <w:r w:rsidR="00F57EE7" w:rsidRPr="00F63663">
        <w:rPr>
          <w:rFonts w:eastAsia="Calibri"/>
          <w:lang w:val="tr-TR" w:eastAsia="en-US"/>
        </w:rPr>
        <w:t xml:space="preserve">. </w:t>
      </w:r>
      <w:r w:rsidR="00F57EE7" w:rsidRPr="00F63663">
        <w:t xml:space="preserve">The </w:t>
      </w:r>
      <w:r w:rsidR="00F57EE7" w:rsidRPr="00F63663">
        <w:rPr>
          <w:rFonts w:eastAsia="Calibri"/>
          <w:lang w:val="tr-TR" w:eastAsia="en-US"/>
        </w:rPr>
        <w:t>RGO/</w:t>
      </w:r>
      <w:proofErr w:type="spellStart"/>
      <w:r w:rsidR="00F57EE7" w:rsidRPr="00F63663">
        <w:rPr>
          <w:rFonts w:eastAsia="Calibri"/>
          <w:lang w:val="tr-TR" w:eastAsia="en-US"/>
        </w:rPr>
        <w:t>AuNPs</w:t>
      </w:r>
      <w:proofErr w:type="spellEnd"/>
      <w:r w:rsidR="00F57EE7" w:rsidRPr="00F63663">
        <w:rPr>
          <w:rFonts w:eastAsia="Calibri"/>
          <w:lang w:val="tr-TR" w:eastAsia="en-US"/>
        </w:rPr>
        <w:t xml:space="preserve">/GCE </w:t>
      </w:r>
      <w:r w:rsidR="00F57EE7" w:rsidRPr="00F63663">
        <w:t xml:space="preserve">has been successfully used as electrochemical sensor to determining of </w:t>
      </w:r>
      <w:proofErr w:type="spellStart"/>
      <w:r w:rsidR="00F57EE7" w:rsidRPr="00F63663">
        <w:t>ziram</w:t>
      </w:r>
      <w:proofErr w:type="spellEnd"/>
      <w:r w:rsidR="00F57EE7" w:rsidRPr="00F63663">
        <w:t xml:space="preserve"> fungicide in </w:t>
      </w:r>
      <w:r w:rsidR="00CD619E" w:rsidRPr="00F63663">
        <w:t>peach juice and tap water</w:t>
      </w:r>
      <w:r w:rsidR="00F57EE7" w:rsidRPr="00F63663">
        <w:t xml:space="preserve"> samples.</w:t>
      </w:r>
    </w:p>
    <w:p w:rsidR="00EF0F45" w:rsidRPr="00F63663" w:rsidRDefault="00271AA7" w:rsidP="00C34A62">
      <w:pPr>
        <w:pStyle w:val="Balk1"/>
        <w:numPr>
          <w:ilvl w:val="0"/>
          <w:numId w:val="37"/>
        </w:numPr>
      </w:pPr>
      <w:r w:rsidRPr="00F63663">
        <w:t>Experimental</w:t>
      </w:r>
      <w:r w:rsidR="00095E61" w:rsidRPr="00F63663">
        <w:tab/>
      </w:r>
    </w:p>
    <w:p w:rsidR="00FF6CE8" w:rsidRPr="00C34A62" w:rsidRDefault="00C34A62" w:rsidP="00C34A62">
      <w:pPr>
        <w:pStyle w:val="Balk2"/>
        <w:numPr>
          <w:ilvl w:val="1"/>
          <w:numId w:val="37"/>
        </w:numPr>
        <w:rPr>
          <w:i w:val="0"/>
        </w:rPr>
      </w:pPr>
      <w:r>
        <w:rPr>
          <w:i w:val="0"/>
        </w:rPr>
        <w:t xml:space="preserve"> </w:t>
      </w:r>
      <w:r w:rsidR="00271AA7" w:rsidRPr="00C34A62">
        <w:rPr>
          <w:i w:val="0"/>
        </w:rPr>
        <w:t xml:space="preserve">Reagents </w:t>
      </w:r>
    </w:p>
    <w:p w:rsidR="00271AA7" w:rsidRPr="00F63663" w:rsidRDefault="00271AA7" w:rsidP="00271AA7">
      <w:pPr>
        <w:spacing w:line="360" w:lineRule="auto"/>
        <w:jc w:val="both"/>
      </w:pPr>
      <w:proofErr w:type="spellStart"/>
      <w:r w:rsidRPr="00F63663">
        <w:t>Grafit</w:t>
      </w:r>
      <w:proofErr w:type="spellEnd"/>
      <w:r w:rsidRPr="00F63663">
        <w:t xml:space="preserve"> (Alfa </w:t>
      </w:r>
      <w:proofErr w:type="spellStart"/>
      <w:r w:rsidRPr="00F63663">
        <w:t>Aeser</w:t>
      </w:r>
      <w:proofErr w:type="spellEnd"/>
      <w:r w:rsidRPr="00F63663">
        <w:t xml:space="preserve">, &lt;20 µm), </w:t>
      </w:r>
      <w:r w:rsidRPr="00F63663">
        <w:rPr>
          <w:lang w:val="en-US"/>
        </w:rPr>
        <w:t>HAuCl</w:t>
      </w:r>
      <w:r w:rsidRPr="00F63663">
        <w:rPr>
          <w:vertAlign w:val="subscript"/>
          <w:lang w:val="en-US"/>
        </w:rPr>
        <w:t>4</w:t>
      </w:r>
      <w:r w:rsidRPr="00F63663">
        <w:rPr>
          <w:lang w:val="en-US"/>
        </w:rPr>
        <w:t>.H</w:t>
      </w:r>
      <w:r w:rsidRPr="00F63663">
        <w:rPr>
          <w:vertAlign w:val="subscript"/>
          <w:lang w:val="en-US"/>
        </w:rPr>
        <w:t>2</w:t>
      </w:r>
      <w:r w:rsidRPr="00F63663">
        <w:rPr>
          <w:lang w:val="en-US"/>
        </w:rPr>
        <w:t>O 99.995%</w:t>
      </w:r>
      <w:r w:rsidRPr="00F63663">
        <w:t xml:space="preserve">, zinc(II) </w:t>
      </w:r>
      <w:proofErr w:type="spellStart"/>
      <w:r w:rsidRPr="00F63663">
        <w:t>dimethylditiyocarbamate</w:t>
      </w:r>
      <w:proofErr w:type="spellEnd"/>
      <w:r w:rsidRPr="00F63663">
        <w:t xml:space="preserve"> (</w:t>
      </w:r>
      <w:r w:rsidRPr="00F63663">
        <w:rPr>
          <w:lang w:val="en-US"/>
        </w:rPr>
        <w:t>99.9</w:t>
      </w:r>
      <w:proofErr w:type="gramStart"/>
      <w:r w:rsidRPr="00F63663">
        <w:rPr>
          <w:lang w:val="en-US"/>
        </w:rPr>
        <w:t>%)</w:t>
      </w:r>
      <w:r w:rsidRPr="00F63663">
        <w:t>,  K</w:t>
      </w:r>
      <w:proofErr w:type="gramEnd"/>
      <w:r w:rsidRPr="00F63663">
        <w:rPr>
          <w:vertAlign w:val="subscript"/>
        </w:rPr>
        <w:t>3</w:t>
      </w:r>
      <w:r w:rsidRPr="00F63663">
        <w:rPr>
          <w:bCs/>
        </w:rPr>
        <w:t>[Fe(CN)</w:t>
      </w:r>
      <w:r w:rsidRPr="00F63663">
        <w:rPr>
          <w:bCs/>
          <w:vertAlign w:val="subscript"/>
        </w:rPr>
        <w:t>6</w:t>
      </w:r>
      <w:r w:rsidRPr="00F63663">
        <w:rPr>
          <w:bCs/>
        </w:rPr>
        <w:t>], K</w:t>
      </w:r>
      <w:r w:rsidRPr="00F63663">
        <w:rPr>
          <w:bCs/>
          <w:vertAlign w:val="subscript"/>
        </w:rPr>
        <w:t>4</w:t>
      </w:r>
      <w:r w:rsidRPr="00F63663">
        <w:rPr>
          <w:bCs/>
        </w:rPr>
        <w:t>[Fe(CN)</w:t>
      </w:r>
      <w:r w:rsidRPr="00F63663">
        <w:rPr>
          <w:bCs/>
          <w:vertAlign w:val="subscript"/>
        </w:rPr>
        <w:t>6</w:t>
      </w:r>
      <w:r w:rsidRPr="00F63663">
        <w:rPr>
          <w:bCs/>
        </w:rPr>
        <w:t>]</w:t>
      </w:r>
      <w:r w:rsidRPr="00F63663">
        <w:t xml:space="preserve">, </w:t>
      </w:r>
      <w:r w:rsidR="002044B5" w:rsidRPr="00F63663">
        <w:t>hydrogen peroxide</w:t>
      </w:r>
      <w:r w:rsidR="00B63DD1" w:rsidRPr="00F63663">
        <w:t>,</w:t>
      </w:r>
      <w:r w:rsidRPr="00F63663">
        <w:t xml:space="preserve"> </w:t>
      </w:r>
      <w:r w:rsidR="00B63DD1" w:rsidRPr="00F63663">
        <w:t xml:space="preserve">boric acid, o-phosphoric acid  </w:t>
      </w:r>
      <w:r w:rsidRPr="00F63663">
        <w:t xml:space="preserve">and </w:t>
      </w:r>
      <w:proofErr w:type="spellStart"/>
      <w:r w:rsidRPr="00F63663">
        <w:t>sulfuric</w:t>
      </w:r>
      <w:proofErr w:type="spellEnd"/>
      <w:r w:rsidRPr="00F63663">
        <w:t xml:space="preserve"> acid were provided by Sigma Aldrich; Merck supplied sodium nitrate </w:t>
      </w:r>
      <w:r w:rsidRPr="00F63663">
        <w:lastRenderedPageBreak/>
        <w:t>(NaNO</w:t>
      </w:r>
      <w:r w:rsidRPr="00F63663">
        <w:rPr>
          <w:vertAlign w:val="subscript"/>
        </w:rPr>
        <w:t>3</w:t>
      </w:r>
      <w:r w:rsidRPr="00F63663">
        <w:t>), potassium permanganate (KMnO</w:t>
      </w:r>
      <w:r w:rsidRPr="00F63663">
        <w:rPr>
          <w:vertAlign w:val="subscript"/>
        </w:rPr>
        <w:t>4</w:t>
      </w:r>
      <w:r w:rsidRPr="00F63663">
        <w:t>), sodium hydroxide, sodium acetate, hydrochloric acid</w:t>
      </w:r>
      <w:r w:rsidR="002044B5" w:rsidRPr="00F63663">
        <w:t>,</w:t>
      </w:r>
      <w:r w:rsidRPr="00F63663">
        <w:t xml:space="preserve"> </w:t>
      </w:r>
      <w:r w:rsidR="00B63DD1" w:rsidRPr="00F63663">
        <w:t>sodium dihydrogenphosphate.2H</w:t>
      </w:r>
      <w:r w:rsidR="00B63DD1" w:rsidRPr="00F63663">
        <w:rPr>
          <w:vertAlign w:val="subscript"/>
        </w:rPr>
        <w:t>2</w:t>
      </w:r>
      <w:r w:rsidR="00B63DD1" w:rsidRPr="00F63663">
        <w:t>O, sodium monohydrogenphosphate.7H</w:t>
      </w:r>
      <w:r w:rsidR="00B63DD1" w:rsidRPr="00F63663">
        <w:rPr>
          <w:vertAlign w:val="subscript"/>
        </w:rPr>
        <w:t>2</w:t>
      </w:r>
      <w:r w:rsidR="00B63DD1" w:rsidRPr="00F63663">
        <w:t xml:space="preserve">O </w:t>
      </w:r>
      <w:r w:rsidRPr="00F63663">
        <w:t xml:space="preserve">and potassium chloride. The Britton Robinson (BR) buffer solution and all other solutions were made with </w:t>
      </w:r>
      <w:proofErr w:type="spellStart"/>
      <w:r w:rsidRPr="00F63663">
        <w:t>ultra pure</w:t>
      </w:r>
      <w:proofErr w:type="spellEnd"/>
      <w:r w:rsidRPr="00F63663">
        <w:t xml:space="preserve"> water. All experiments were carried out at room temperature. </w:t>
      </w:r>
    </w:p>
    <w:p w:rsidR="00271AA7" w:rsidRPr="00C34A62" w:rsidRDefault="00C34A62" w:rsidP="00C34A62">
      <w:pPr>
        <w:pStyle w:val="Balk2"/>
        <w:numPr>
          <w:ilvl w:val="1"/>
          <w:numId w:val="37"/>
        </w:numPr>
        <w:rPr>
          <w:i w:val="0"/>
        </w:rPr>
      </w:pPr>
      <w:r w:rsidRPr="00C34A62">
        <w:rPr>
          <w:i w:val="0"/>
        </w:rPr>
        <w:t xml:space="preserve"> </w:t>
      </w:r>
      <w:r w:rsidR="00271AA7" w:rsidRPr="00C34A62">
        <w:rPr>
          <w:i w:val="0"/>
        </w:rPr>
        <w:t>Instrumentation</w:t>
      </w:r>
    </w:p>
    <w:p w:rsidR="00271AA7" w:rsidRPr="00F63663" w:rsidRDefault="00271AA7" w:rsidP="00271AA7">
      <w:pPr>
        <w:spacing w:line="360" w:lineRule="auto"/>
        <w:jc w:val="both"/>
      </w:pPr>
      <w:r w:rsidRPr="00F63663">
        <w:t xml:space="preserve">The CH Instruments 660B model </w:t>
      </w:r>
      <w:proofErr w:type="spellStart"/>
      <w:r w:rsidRPr="00F63663">
        <w:t>Ivium</w:t>
      </w:r>
      <w:proofErr w:type="spellEnd"/>
      <w:r w:rsidRPr="00F63663">
        <w:t xml:space="preserve"> </w:t>
      </w:r>
      <w:proofErr w:type="spellStart"/>
      <w:r w:rsidRPr="00F63663">
        <w:t>potansiyostat</w:t>
      </w:r>
      <w:proofErr w:type="spellEnd"/>
      <w:r w:rsidRPr="00F63663">
        <w:t>/</w:t>
      </w:r>
      <w:proofErr w:type="spellStart"/>
      <w:r w:rsidRPr="00F63663">
        <w:t>galvanostat</w:t>
      </w:r>
      <w:proofErr w:type="spellEnd"/>
      <w:r w:rsidRPr="00F63663">
        <w:t xml:space="preserve"> Electrochemical </w:t>
      </w:r>
      <w:proofErr w:type="spellStart"/>
      <w:r w:rsidRPr="00F63663">
        <w:t>Analyzer</w:t>
      </w:r>
      <w:proofErr w:type="spellEnd"/>
      <w:r w:rsidRPr="00F63663">
        <w:t xml:space="preserve"> (</w:t>
      </w:r>
      <w:proofErr w:type="spellStart"/>
      <w:r w:rsidRPr="00F63663">
        <w:t>Ivium</w:t>
      </w:r>
      <w:proofErr w:type="spellEnd"/>
      <w:r w:rsidRPr="00F63663">
        <w:t xml:space="preserve"> Technologies, Netherlands) was used for all electrochemical experiments. A triple electrode system was used in the experiments, including an Ag/</w:t>
      </w:r>
      <w:proofErr w:type="spellStart"/>
      <w:r w:rsidRPr="00F63663">
        <w:t>AgCl</w:t>
      </w:r>
      <w:proofErr w:type="spellEnd"/>
      <w:r w:rsidRPr="00F63663">
        <w:t xml:space="preserve"> reference electrode, a glassy carbon working electrode, and a Pt wire counter electrode. </w:t>
      </w:r>
    </w:p>
    <w:p w:rsidR="00271AA7" w:rsidRPr="00F63663" w:rsidRDefault="00271AA7" w:rsidP="00271AA7">
      <w:pPr>
        <w:spacing w:line="360" w:lineRule="auto"/>
        <w:ind w:firstLine="720"/>
        <w:jc w:val="both"/>
      </w:pPr>
      <w:r w:rsidRPr="00F63663">
        <w:t>Carl Zeiss AG's EVO® 50 Series was used to capture scanning electron microscopic (SEM) pictures. An ORION Model 720A pH/ion meter and a combined glass electrode were used to obtain the pH readings. The pH-meter was ca</w:t>
      </w:r>
      <w:r w:rsidR="007A1C95" w:rsidRPr="00F63663">
        <w:t>librated with commercial pH 4.0;</w:t>
      </w:r>
      <w:r w:rsidRPr="00F63663">
        <w:t xml:space="preserve"> 7.0 and 10.0 buffer solutions prior to the measurements. When not in use, the glass electrode was immersed in deionized water.</w:t>
      </w:r>
    </w:p>
    <w:p w:rsidR="00271AA7" w:rsidRPr="00C34A62" w:rsidRDefault="00C34A62" w:rsidP="00C34A62">
      <w:pPr>
        <w:pStyle w:val="Balk2"/>
        <w:numPr>
          <w:ilvl w:val="1"/>
          <w:numId w:val="37"/>
        </w:numPr>
        <w:rPr>
          <w:i w:val="0"/>
        </w:rPr>
      </w:pPr>
      <w:r w:rsidRPr="00C34A62">
        <w:rPr>
          <w:i w:val="0"/>
        </w:rPr>
        <w:t xml:space="preserve"> </w:t>
      </w:r>
      <w:r w:rsidR="00271AA7" w:rsidRPr="00C34A62">
        <w:rPr>
          <w:i w:val="0"/>
        </w:rPr>
        <w:t xml:space="preserve">Graphene </w:t>
      </w:r>
      <w:r>
        <w:rPr>
          <w:i w:val="0"/>
        </w:rPr>
        <w:t>O</w:t>
      </w:r>
      <w:r w:rsidR="00271AA7" w:rsidRPr="00C34A62">
        <w:rPr>
          <w:i w:val="0"/>
        </w:rPr>
        <w:t xml:space="preserve">xide </w:t>
      </w:r>
      <w:r>
        <w:rPr>
          <w:i w:val="0"/>
        </w:rPr>
        <w:t>S</w:t>
      </w:r>
      <w:r w:rsidR="00271AA7" w:rsidRPr="00C34A62">
        <w:rPr>
          <w:i w:val="0"/>
        </w:rPr>
        <w:t>ynthesis</w:t>
      </w:r>
    </w:p>
    <w:p w:rsidR="00271AA7" w:rsidRPr="00F63663" w:rsidRDefault="00271AA7" w:rsidP="00271AA7">
      <w:pPr>
        <w:spacing w:line="360" w:lineRule="auto"/>
        <w:jc w:val="both"/>
      </w:pPr>
      <w:r w:rsidRPr="00F63663">
        <w:t xml:space="preserve">Graphene oxide is synthesized from graphite powder using a modified Hummer </w:t>
      </w:r>
      <w:r w:rsidRPr="00BE05BF">
        <w:t>process</w:t>
      </w:r>
      <w:r w:rsidR="00760900" w:rsidRPr="00BE05BF">
        <w:t>.</w:t>
      </w:r>
      <w:r w:rsidR="00413DE8" w:rsidRPr="00BE05BF">
        <w:rPr>
          <w:vertAlign w:val="superscript"/>
        </w:rPr>
        <w:t>3</w:t>
      </w:r>
      <w:r w:rsidR="00467AEC" w:rsidRPr="00BE05BF">
        <w:rPr>
          <w:vertAlign w:val="superscript"/>
        </w:rPr>
        <w:t>2</w:t>
      </w:r>
      <w:r w:rsidR="00BE05BF" w:rsidRPr="00BE05BF">
        <w:t xml:space="preserve"> </w:t>
      </w:r>
      <w:r w:rsidRPr="00BE05BF">
        <w:t xml:space="preserve">5 g graphite </w:t>
      </w:r>
      <w:r w:rsidRPr="00F63663">
        <w:rPr>
          <w:color w:val="000000" w:themeColor="text1"/>
        </w:rPr>
        <w:t>powder, 2.5 g sodium nitrate (NaNO</w:t>
      </w:r>
      <w:r w:rsidRPr="00F63663">
        <w:rPr>
          <w:color w:val="000000" w:themeColor="text1"/>
          <w:vertAlign w:val="subscript"/>
        </w:rPr>
        <w:t>3</w:t>
      </w:r>
      <w:r w:rsidRPr="00F63663">
        <w:rPr>
          <w:color w:val="000000" w:themeColor="text1"/>
        </w:rPr>
        <w:t xml:space="preserve">), and 115 mL 96.4 % </w:t>
      </w:r>
      <w:proofErr w:type="spellStart"/>
      <w:r w:rsidRPr="00F63663">
        <w:t>sulfuric</w:t>
      </w:r>
      <w:proofErr w:type="spellEnd"/>
      <w:r w:rsidRPr="00F63663">
        <w:t xml:space="preserve"> acid (H</w:t>
      </w:r>
      <w:r w:rsidRPr="00F63663">
        <w:rPr>
          <w:vertAlign w:val="subscript"/>
        </w:rPr>
        <w:t>2</w:t>
      </w:r>
      <w:r w:rsidRPr="00F63663">
        <w:t>SO</w:t>
      </w:r>
      <w:r w:rsidRPr="00F63663">
        <w:rPr>
          <w:vertAlign w:val="subscript"/>
        </w:rPr>
        <w:t>4</w:t>
      </w:r>
      <w:r w:rsidRPr="00F63663">
        <w:t>) were mixed in the first step of the synthesis process. In an ice bath, the entire mixture was agitated for 1 hour. In an ice bath, 15 g potassium permanganate (KMnO</w:t>
      </w:r>
      <w:r w:rsidRPr="00F63663">
        <w:rPr>
          <w:vertAlign w:val="subscript"/>
        </w:rPr>
        <w:t>4</w:t>
      </w:r>
      <w:r w:rsidRPr="00F63663">
        <w:t>) was gently added to the mixture. T</w:t>
      </w:r>
      <w:r w:rsidR="00FD1E1A" w:rsidRPr="00F63663">
        <w:t xml:space="preserve">he temperature was kept below 5 </w:t>
      </w:r>
      <w:proofErr w:type="spellStart"/>
      <w:r w:rsidRPr="00F63663">
        <w:rPr>
          <w:vertAlign w:val="superscript"/>
        </w:rPr>
        <w:t>o</w:t>
      </w:r>
      <w:r w:rsidRPr="00F63663">
        <w:t>C</w:t>
      </w:r>
      <w:proofErr w:type="spellEnd"/>
      <w:r w:rsidRPr="00F63663">
        <w:t xml:space="preserve"> for the permanganate addition. The solution was taken out of the ice bath and </w:t>
      </w:r>
      <w:proofErr w:type="spellStart"/>
      <w:r w:rsidRPr="00F63663">
        <w:t>stired</w:t>
      </w:r>
      <w:proofErr w:type="spellEnd"/>
      <w:r w:rsidRPr="00F63663">
        <w:t xml:space="preserve"> for 2 hours until it turned dark green.</w:t>
      </w:r>
    </w:p>
    <w:p w:rsidR="00271AA7" w:rsidRPr="00F63663" w:rsidRDefault="00271AA7" w:rsidP="00271AA7">
      <w:pPr>
        <w:spacing w:line="360" w:lineRule="auto"/>
        <w:ind w:firstLine="720"/>
        <w:jc w:val="both"/>
      </w:pPr>
      <w:r w:rsidRPr="00F63663">
        <w:t xml:space="preserve">The temperature of the mixture was kept between 35-40 </w:t>
      </w:r>
      <w:proofErr w:type="spellStart"/>
      <w:r w:rsidRPr="00F63663">
        <w:rPr>
          <w:vertAlign w:val="superscript"/>
        </w:rPr>
        <w:t>o</w:t>
      </w:r>
      <w:r w:rsidRPr="00F63663">
        <w:t>C</w:t>
      </w:r>
      <w:proofErr w:type="spellEnd"/>
      <w:r w:rsidRPr="00F63663">
        <w:t xml:space="preserve"> during these procedures. 500 mL deionized water was gently added to the mixture in the second step of the synthesis process, and stirring was continued for 1 hour. To remove excess KMnO</w:t>
      </w:r>
      <w:r w:rsidRPr="00F63663">
        <w:rPr>
          <w:vertAlign w:val="subscript"/>
        </w:rPr>
        <w:t>4</w:t>
      </w:r>
      <w:r w:rsidRPr="00F63663">
        <w:t>, 8.4 mL of hydrogen peroxide (H</w:t>
      </w:r>
      <w:r w:rsidRPr="00F63663">
        <w:rPr>
          <w:vertAlign w:val="subscript"/>
        </w:rPr>
        <w:t>2</w:t>
      </w:r>
      <w:r w:rsidRPr="00F63663">
        <w:t>O</w:t>
      </w:r>
      <w:r w:rsidRPr="00F63663">
        <w:rPr>
          <w:vertAlign w:val="subscript"/>
        </w:rPr>
        <w:t>2</w:t>
      </w:r>
      <w:r w:rsidRPr="00F63663">
        <w:t xml:space="preserve">, 35.7%) was gently dropped and stirred for 10 minutes. The exothermic process happened, and the temperature was allowed to fall to room temperature. </w:t>
      </w:r>
    </w:p>
    <w:p w:rsidR="00271AA7" w:rsidRPr="00F63663" w:rsidRDefault="00271AA7" w:rsidP="00271AA7">
      <w:pPr>
        <w:spacing w:line="360" w:lineRule="auto"/>
        <w:ind w:firstLine="720"/>
        <w:jc w:val="both"/>
      </w:pPr>
      <w:r w:rsidRPr="00F63663">
        <w:t xml:space="preserve">Following a 10-minute centrifugation at 5000 rpm, 10 mL hydrochloric acid and 30 mL deionized water were added. After that, the supernatant was decanted, and the </w:t>
      </w:r>
      <w:r w:rsidRPr="00F63663">
        <w:lastRenderedPageBreak/>
        <w:t xml:space="preserve">remaining residue was rewashed three times with an </w:t>
      </w:r>
      <w:proofErr w:type="spellStart"/>
      <w:r w:rsidRPr="00F63663">
        <w:t>HCl</w:t>
      </w:r>
      <w:proofErr w:type="spellEnd"/>
      <w:r w:rsidRPr="00F63663">
        <w:t>/deionized water mixture until pH 7 was achieved. As a result, the prepared GO was vacuum-dried overnight at 50°C for 24 hours.</w:t>
      </w:r>
    </w:p>
    <w:p w:rsidR="00271AA7" w:rsidRPr="00C34A62" w:rsidRDefault="00C34A62" w:rsidP="00C34A62">
      <w:pPr>
        <w:pStyle w:val="Balk2"/>
        <w:numPr>
          <w:ilvl w:val="1"/>
          <w:numId w:val="37"/>
        </w:numPr>
        <w:rPr>
          <w:i w:val="0"/>
        </w:rPr>
      </w:pPr>
      <w:r w:rsidRPr="00C34A62">
        <w:rPr>
          <w:i w:val="0"/>
        </w:rPr>
        <w:t xml:space="preserve"> </w:t>
      </w:r>
      <w:r w:rsidR="00271AA7" w:rsidRPr="00C34A62">
        <w:rPr>
          <w:i w:val="0"/>
        </w:rPr>
        <w:t>RGO/</w:t>
      </w:r>
      <w:proofErr w:type="spellStart"/>
      <w:r w:rsidR="00271AA7" w:rsidRPr="00C34A62">
        <w:rPr>
          <w:i w:val="0"/>
        </w:rPr>
        <w:t>AuNPs</w:t>
      </w:r>
      <w:proofErr w:type="spellEnd"/>
      <w:r w:rsidR="00271AA7" w:rsidRPr="00C34A62">
        <w:rPr>
          <w:i w:val="0"/>
        </w:rPr>
        <w:t xml:space="preserve">/GCE </w:t>
      </w:r>
      <w:r>
        <w:rPr>
          <w:i w:val="0"/>
        </w:rPr>
        <w:t>N</w:t>
      </w:r>
      <w:r w:rsidR="00271AA7" w:rsidRPr="00C34A62">
        <w:rPr>
          <w:i w:val="0"/>
        </w:rPr>
        <w:t xml:space="preserve">anocomposite </w:t>
      </w:r>
      <w:r>
        <w:rPr>
          <w:i w:val="0"/>
        </w:rPr>
        <w:t>S</w:t>
      </w:r>
      <w:r w:rsidR="00271AA7" w:rsidRPr="00C34A62">
        <w:rPr>
          <w:i w:val="0"/>
        </w:rPr>
        <w:t xml:space="preserve">ensor </w:t>
      </w:r>
      <w:r>
        <w:rPr>
          <w:i w:val="0"/>
        </w:rPr>
        <w:t>F</w:t>
      </w:r>
      <w:r w:rsidR="00271AA7" w:rsidRPr="00C34A62">
        <w:rPr>
          <w:i w:val="0"/>
        </w:rPr>
        <w:t>abrication</w:t>
      </w:r>
    </w:p>
    <w:p w:rsidR="00271AA7" w:rsidRPr="00F63663" w:rsidRDefault="00271AA7" w:rsidP="00271AA7">
      <w:pPr>
        <w:spacing w:line="360" w:lineRule="auto"/>
        <w:jc w:val="both"/>
      </w:pPr>
      <w:r w:rsidRPr="00F63663">
        <w:t>The non-modified GCE (</w:t>
      </w:r>
      <w:proofErr w:type="spellStart"/>
      <w:r w:rsidRPr="00F63663">
        <w:t>nGCE</w:t>
      </w:r>
      <w:proofErr w:type="spellEnd"/>
      <w:r w:rsidRPr="00F63663">
        <w:t>) was polished manually with Al</w:t>
      </w:r>
      <w:r w:rsidRPr="00F63663">
        <w:rPr>
          <w:vertAlign w:val="subscript"/>
        </w:rPr>
        <w:t>2</w:t>
      </w:r>
      <w:r w:rsidRPr="00F63663">
        <w:t>O</w:t>
      </w:r>
      <w:r w:rsidRPr="00F63663">
        <w:rPr>
          <w:vertAlign w:val="subscript"/>
        </w:rPr>
        <w:t>3</w:t>
      </w:r>
      <w:r w:rsidRPr="00F63663">
        <w:t xml:space="preserve"> suspension (0.3 m, ATM GMBH, Germany), rinsed with deionized water, and sonicated in ethanol and double-distilled water for 5 minutes, respectively. </w:t>
      </w:r>
    </w:p>
    <w:p w:rsidR="00271AA7" w:rsidRPr="00F63663" w:rsidRDefault="00271AA7" w:rsidP="00271AA7">
      <w:pPr>
        <w:spacing w:line="360" w:lineRule="auto"/>
        <w:ind w:firstLine="720"/>
        <w:jc w:val="both"/>
      </w:pPr>
      <w:r w:rsidRPr="00F63663">
        <w:t xml:space="preserve">GO was dispersed into sodium acetate buffer by stirring at room temperature, and the resultant liquid was </w:t>
      </w:r>
      <w:proofErr w:type="spellStart"/>
      <w:r w:rsidRPr="00F63663">
        <w:t>ultrasonicated</w:t>
      </w:r>
      <w:proofErr w:type="spellEnd"/>
      <w:r w:rsidRPr="00F63663">
        <w:t xml:space="preserve"> for 4 hours, providing a homogeneous b</w:t>
      </w:r>
      <w:r w:rsidR="007A1C95" w:rsidRPr="00F63663">
        <w:t xml:space="preserve">lack dispersion containing 1 mg </w:t>
      </w:r>
      <w:r w:rsidRPr="00F63663">
        <w:t>mL</w:t>
      </w:r>
      <w:r w:rsidR="007A1C95" w:rsidRPr="00F63663">
        <w:rPr>
          <w:vertAlign w:val="superscript"/>
        </w:rPr>
        <w:t>-1</w:t>
      </w:r>
      <w:r w:rsidRPr="00F63663">
        <w:t xml:space="preserve"> GO.</w:t>
      </w:r>
    </w:p>
    <w:p w:rsidR="00271AA7" w:rsidRPr="00F63663" w:rsidRDefault="00271AA7" w:rsidP="00271AA7">
      <w:pPr>
        <w:spacing w:line="360" w:lineRule="auto"/>
        <w:ind w:firstLine="720"/>
        <w:jc w:val="both"/>
      </w:pPr>
      <w:r w:rsidRPr="00F63663">
        <w:t>The buffer solution of sodium acetate serves as both a buffer and an intercalant. The intercalation of sodium ions inhibits restacking of the electrochemically reduced graphene sheets, resulting in a larger electrochemically active surface area for the RGO modified electrode. The electrode was cleaned with deionized water after electrochemical reduction and placed in a 50°C oven for 15 minutes to thoroughly evaporate the solvent and increase RGO molecule adherence to the electrode surface.</w:t>
      </w:r>
    </w:p>
    <w:p w:rsidR="00271AA7" w:rsidRPr="00F63663" w:rsidRDefault="00271AA7" w:rsidP="00271AA7">
      <w:pPr>
        <w:spacing w:line="360" w:lineRule="auto"/>
        <w:ind w:firstLine="720"/>
        <w:jc w:val="both"/>
      </w:pPr>
      <w:r w:rsidRPr="00F63663">
        <w:t>The GO dispersion was then dropped 5</w:t>
      </w:r>
      <w:r w:rsidR="005817D4" w:rsidRPr="00F63663">
        <w:t xml:space="preserve"> </w:t>
      </w:r>
      <w:r w:rsidRPr="00F63663">
        <w:t xml:space="preserve">µL onto a pre-cleaned GCE and let </w:t>
      </w:r>
      <w:proofErr w:type="spellStart"/>
      <w:r w:rsidRPr="00F63663">
        <w:t>to</w:t>
      </w:r>
      <w:proofErr w:type="spellEnd"/>
      <w:r w:rsidRPr="00F63663">
        <w:t xml:space="preserve"> dry at room temperature. The GO/GCE was placed in an electrochemical cell containing an acetate buffer solution (pH = 5) and 50 cyclic </w:t>
      </w:r>
      <w:proofErr w:type="spellStart"/>
      <w:r w:rsidRPr="00F63663">
        <w:t>voltammetric</w:t>
      </w:r>
      <w:proofErr w:type="spellEnd"/>
      <w:r w:rsidRPr="00F63663">
        <w:t xml:space="preserve"> scans between (+0.4) V and (0.4) V were done at a scan rate of 0.050 V/s. As a result, the GO treated GCE was electrochemically reduced to RGO and dried in the open air for 10 minutes. RGO/GCE was then immersed in a 3 </w:t>
      </w:r>
      <w:proofErr w:type="spellStart"/>
      <w:r w:rsidRPr="00F63663">
        <w:t>mmol</w:t>
      </w:r>
      <w:proofErr w:type="spellEnd"/>
      <w:r w:rsidR="007A1C95" w:rsidRPr="00F63663">
        <w:t xml:space="preserve"> </w:t>
      </w:r>
      <w:r w:rsidRPr="00F63663">
        <w:t>L</w:t>
      </w:r>
      <w:r w:rsidR="007A1C95" w:rsidRPr="00F63663">
        <w:rPr>
          <w:vertAlign w:val="superscript"/>
        </w:rPr>
        <w:t>-1</w:t>
      </w:r>
      <w:r w:rsidRPr="00F63663">
        <w:t xml:space="preserve"> HAuClO</w:t>
      </w:r>
      <w:r w:rsidRPr="00F63663">
        <w:rPr>
          <w:vertAlign w:val="subscript"/>
        </w:rPr>
        <w:t>4</w:t>
      </w:r>
      <w:r w:rsidRPr="00F63663">
        <w:t>.H</w:t>
      </w:r>
      <w:r w:rsidRPr="00F63663">
        <w:rPr>
          <w:vertAlign w:val="subscript"/>
        </w:rPr>
        <w:t>2</w:t>
      </w:r>
      <w:r w:rsidRPr="00F63663">
        <w:t xml:space="preserve">O solution prepared in 0.01 </w:t>
      </w:r>
      <w:proofErr w:type="spellStart"/>
      <w:r w:rsidRPr="00F63663">
        <w:t>mol</w:t>
      </w:r>
      <w:proofErr w:type="spellEnd"/>
      <w:r w:rsidR="007A1C95" w:rsidRPr="00F63663">
        <w:t xml:space="preserve"> </w:t>
      </w:r>
      <w:r w:rsidRPr="00F63663">
        <w:t>L</w:t>
      </w:r>
      <w:r w:rsidR="007A1C95" w:rsidRPr="00F63663">
        <w:rPr>
          <w:vertAlign w:val="superscript"/>
        </w:rPr>
        <w:t>-1</w:t>
      </w:r>
      <w:r w:rsidRPr="00F63663">
        <w:t xml:space="preserve"> Na</w:t>
      </w:r>
      <w:r w:rsidRPr="00F63663">
        <w:rPr>
          <w:vertAlign w:val="subscript"/>
        </w:rPr>
        <w:t>2</w:t>
      </w:r>
      <w:r w:rsidRPr="00F63663">
        <w:t>SO</w:t>
      </w:r>
      <w:r w:rsidRPr="00F63663">
        <w:rPr>
          <w:vertAlign w:val="subscript"/>
        </w:rPr>
        <w:t>4</w:t>
      </w:r>
      <w:r w:rsidRPr="00F63663">
        <w:t xml:space="preserve"> and 0.01 </w:t>
      </w:r>
      <w:proofErr w:type="spellStart"/>
      <w:r w:rsidRPr="00F63663">
        <w:t>mol</w:t>
      </w:r>
      <w:proofErr w:type="spellEnd"/>
      <w:r w:rsidR="007A1C95" w:rsidRPr="00F63663">
        <w:t xml:space="preserve"> </w:t>
      </w:r>
      <w:r w:rsidRPr="00F63663">
        <w:t>L</w:t>
      </w:r>
      <w:r w:rsidR="007A1C95" w:rsidRPr="00F63663">
        <w:rPr>
          <w:vertAlign w:val="superscript"/>
        </w:rPr>
        <w:t>-1</w:t>
      </w:r>
      <w:r w:rsidRPr="00F63663">
        <w:t xml:space="preserve"> H</w:t>
      </w:r>
      <w:r w:rsidRPr="00F63663">
        <w:rPr>
          <w:vertAlign w:val="subscript"/>
        </w:rPr>
        <w:t>2</w:t>
      </w:r>
      <w:r w:rsidRPr="00F63663">
        <w:t>SO</w:t>
      </w:r>
      <w:r w:rsidRPr="00F63663">
        <w:rPr>
          <w:vertAlign w:val="subscript"/>
        </w:rPr>
        <w:t>4</w:t>
      </w:r>
      <w:r w:rsidRPr="00F63663">
        <w:t xml:space="preserve"> solution in the measurement cell. To electrodeposit Au nanoparticles (</w:t>
      </w:r>
      <w:proofErr w:type="spellStart"/>
      <w:r w:rsidRPr="00F63663">
        <w:t>AuNPs</w:t>
      </w:r>
      <w:proofErr w:type="spellEnd"/>
      <w:r w:rsidRPr="00F63663">
        <w:t>) on the RGO/GCE, 20 consecutive cycles in the potential range of 0.2 to +1.0 V at a scan rate of 0.050 V</w:t>
      </w:r>
      <w:r w:rsidR="007A1C95" w:rsidRPr="00F63663">
        <w:t xml:space="preserve"> </w:t>
      </w:r>
      <w:r w:rsidRPr="00F63663">
        <w:t>s</w:t>
      </w:r>
      <w:r w:rsidR="007A1C95" w:rsidRPr="00F63663">
        <w:rPr>
          <w:vertAlign w:val="superscript"/>
        </w:rPr>
        <w:t>-1</w:t>
      </w:r>
      <w:r w:rsidRPr="00F63663">
        <w:t xml:space="preserve"> were utilized. The modified sensor was </w:t>
      </w:r>
      <w:proofErr w:type="spellStart"/>
      <w:r w:rsidRPr="00F63663">
        <w:t>labeled</w:t>
      </w:r>
      <w:proofErr w:type="spellEnd"/>
      <w:r w:rsidRPr="00F63663">
        <w:t xml:space="preserve"> RGO/GCE/</w:t>
      </w:r>
      <w:proofErr w:type="spellStart"/>
      <w:r w:rsidRPr="00F63663">
        <w:t>AuNPs</w:t>
      </w:r>
      <w:proofErr w:type="spellEnd"/>
      <w:r w:rsidRPr="00F63663">
        <w:t>, dried, and used as an electrochemical sensor. When it wasn't in use, the sensor was kept at room temperature.</w:t>
      </w:r>
    </w:p>
    <w:p w:rsidR="00271AA7" w:rsidRPr="00C34A62" w:rsidRDefault="00C34A62" w:rsidP="00C34A62">
      <w:pPr>
        <w:pStyle w:val="Balk2"/>
        <w:numPr>
          <w:ilvl w:val="1"/>
          <w:numId w:val="37"/>
        </w:numPr>
        <w:rPr>
          <w:i w:val="0"/>
        </w:rPr>
      </w:pPr>
      <w:r w:rsidRPr="00C34A62">
        <w:rPr>
          <w:i w:val="0"/>
        </w:rPr>
        <w:t xml:space="preserve"> </w:t>
      </w:r>
      <w:r w:rsidR="00271AA7" w:rsidRPr="00C34A62">
        <w:rPr>
          <w:i w:val="0"/>
        </w:rPr>
        <w:t xml:space="preserve">Electrochemical </w:t>
      </w:r>
      <w:r>
        <w:rPr>
          <w:i w:val="0"/>
        </w:rPr>
        <w:t>M</w:t>
      </w:r>
      <w:r w:rsidR="00271AA7" w:rsidRPr="00C34A62">
        <w:rPr>
          <w:i w:val="0"/>
        </w:rPr>
        <w:t>easurements</w:t>
      </w:r>
    </w:p>
    <w:p w:rsidR="00271AA7" w:rsidRPr="00F63663" w:rsidRDefault="00271AA7" w:rsidP="00271AA7">
      <w:pPr>
        <w:spacing w:line="360" w:lineRule="auto"/>
        <w:jc w:val="both"/>
      </w:pPr>
      <w:r w:rsidRPr="00F63663">
        <w:t>Appropriate volumes of supporting electrolyte (</w:t>
      </w:r>
      <w:proofErr w:type="spellStart"/>
      <w:r w:rsidRPr="00F63663">
        <w:t>KCl</w:t>
      </w:r>
      <w:proofErr w:type="spellEnd"/>
      <w:r w:rsidRPr="00F63663">
        <w:t xml:space="preserve">) and pesticide standard solution were added to the electrochemical cell with a total volume of 5.0 mL in the cyclic voltammetry and differential pulse voltammetry methods used in this study. To record the background signals, </w:t>
      </w:r>
      <w:proofErr w:type="spellStart"/>
      <w:r w:rsidRPr="00F63663">
        <w:t>voltammogram</w:t>
      </w:r>
      <w:proofErr w:type="spellEnd"/>
      <w:r w:rsidRPr="00F63663">
        <w:t xml:space="preserve"> of the supporting electrolyte was obtained before adding the </w:t>
      </w:r>
      <w:r w:rsidRPr="00F63663">
        <w:lastRenderedPageBreak/>
        <w:t>pesticide solution to be examined. At a scanning rate of 0.050 V</w:t>
      </w:r>
      <w:r w:rsidR="007A1C95" w:rsidRPr="00F63663">
        <w:t xml:space="preserve"> </w:t>
      </w:r>
      <w:r w:rsidRPr="00F63663">
        <w:t>s</w:t>
      </w:r>
      <w:r w:rsidR="007A1C95" w:rsidRPr="00F63663">
        <w:rPr>
          <w:vertAlign w:val="superscript"/>
        </w:rPr>
        <w:t>-1</w:t>
      </w:r>
      <w:r w:rsidRPr="00F63663">
        <w:t xml:space="preserve">, cyclic </w:t>
      </w:r>
      <w:proofErr w:type="spellStart"/>
      <w:r w:rsidRPr="00F63663">
        <w:t>voltammetric</w:t>
      </w:r>
      <w:proofErr w:type="spellEnd"/>
      <w:r w:rsidRPr="00F63663">
        <w:t xml:space="preserve"> measurements were taken. According to the potential </w:t>
      </w:r>
      <w:proofErr w:type="spellStart"/>
      <w:r w:rsidRPr="00F63663">
        <w:t>signaled</w:t>
      </w:r>
      <w:proofErr w:type="spellEnd"/>
      <w:r w:rsidRPr="00F63663">
        <w:t xml:space="preserve"> by the pesticides, the most appropriate potential range was employed in both methods. Cyclic </w:t>
      </w:r>
      <w:proofErr w:type="spellStart"/>
      <w:r w:rsidRPr="00F63663">
        <w:t>voltammograms</w:t>
      </w:r>
      <w:proofErr w:type="spellEnd"/>
      <w:r w:rsidRPr="00F63663">
        <w:t xml:space="preserve"> of the GCE and modified electrode were acquired by scanning the potential between 0.80 V and +1.00 V vs. Ag/</w:t>
      </w:r>
      <w:proofErr w:type="spellStart"/>
      <w:r w:rsidRPr="00F63663">
        <w:t>AgCl</w:t>
      </w:r>
      <w:proofErr w:type="spellEnd"/>
      <w:r w:rsidRPr="00F63663">
        <w:t xml:space="preserve"> at a scan rate of 0.050 V</w:t>
      </w:r>
      <w:r w:rsidR="007A1C95" w:rsidRPr="00F63663">
        <w:t xml:space="preserve"> </w:t>
      </w:r>
      <w:r w:rsidRPr="00F63663">
        <w:t>s</w:t>
      </w:r>
      <w:r w:rsidR="007A1C95" w:rsidRPr="00F63663">
        <w:rPr>
          <w:vertAlign w:val="superscript"/>
        </w:rPr>
        <w:t>-1</w:t>
      </w:r>
      <w:r w:rsidRPr="00F63663">
        <w:t xml:space="preserve">. All other </w:t>
      </w:r>
      <w:proofErr w:type="spellStart"/>
      <w:r w:rsidRPr="00F63663">
        <w:t>voltammetric</w:t>
      </w:r>
      <w:proofErr w:type="spellEnd"/>
      <w:r w:rsidRPr="00F63663">
        <w:t xml:space="preserve"> measurements were performed in a BR buffer solution at room temperature (25 ± 1 </w:t>
      </w:r>
      <w:r w:rsidRPr="00F63663">
        <w:rPr>
          <w:vertAlign w:val="superscript"/>
        </w:rPr>
        <w:t>◦</w:t>
      </w:r>
      <w:r w:rsidRPr="00F63663">
        <w:t>C) (0.04 M, pH 8.0)</w:t>
      </w:r>
    </w:p>
    <w:p w:rsidR="00271AA7" w:rsidRPr="00C34A62" w:rsidRDefault="00C34A62" w:rsidP="00C34A62">
      <w:pPr>
        <w:pStyle w:val="Balk2"/>
        <w:numPr>
          <w:ilvl w:val="1"/>
          <w:numId w:val="37"/>
        </w:numPr>
        <w:rPr>
          <w:i w:val="0"/>
        </w:rPr>
      </w:pPr>
      <w:r w:rsidRPr="00C34A62">
        <w:rPr>
          <w:i w:val="0"/>
        </w:rPr>
        <w:t xml:space="preserve"> </w:t>
      </w:r>
      <w:r w:rsidR="00271AA7" w:rsidRPr="00C34A62">
        <w:rPr>
          <w:i w:val="0"/>
        </w:rPr>
        <w:t xml:space="preserve">Optimization of the </w:t>
      </w:r>
      <w:r>
        <w:rPr>
          <w:i w:val="0"/>
        </w:rPr>
        <w:t>E</w:t>
      </w:r>
      <w:r w:rsidR="00271AA7" w:rsidRPr="00C34A62">
        <w:rPr>
          <w:i w:val="0"/>
        </w:rPr>
        <w:t xml:space="preserve">xperimental </w:t>
      </w:r>
      <w:r>
        <w:rPr>
          <w:i w:val="0"/>
        </w:rPr>
        <w:t>C</w:t>
      </w:r>
      <w:r w:rsidR="00271AA7" w:rsidRPr="00C34A62">
        <w:rPr>
          <w:i w:val="0"/>
        </w:rPr>
        <w:t xml:space="preserve">onditions for </w:t>
      </w:r>
      <w:proofErr w:type="spellStart"/>
      <w:r>
        <w:rPr>
          <w:i w:val="0"/>
        </w:rPr>
        <w:t>Z</w:t>
      </w:r>
      <w:r w:rsidR="00271AA7" w:rsidRPr="00C34A62">
        <w:rPr>
          <w:i w:val="0"/>
        </w:rPr>
        <w:t>iram</w:t>
      </w:r>
      <w:proofErr w:type="spellEnd"/>
    </w:p>
    <w:p w:rsidR="00271AA7" w:rsidRPr="00F63663" w:rsidRDefault="00271AA7" w:rsidP="00271AA7">
      <w:pPr>
        <w:spacing w:line="360" w:lineRule="auto"/>
        <w:jc w:val="both"/>
      </w:pPr>
      <w:r w:rsidRPr="00F63663">
        <w:t xml:space="preserve">To create a highly sensitive method with a low detection limit, it's crucial to identify the most effective experimental conditions. On bare and modified GCE, the </w:t>
      </w:r>
      <w:r w:rsidR="007A1C95" w:rsidRPr="00F63663">
        <w:t>e</w:t>
      </w:r>
      <w:r w:rsidRPr="00F63663">
        <w:t xml:space="preserve">ffect of scan rate, pH, and supporting electrolyte on the </w:t>
      </w:r>
      <w:proofErr w:type="spellStart"/>
      <w:r w:rsidRPr="00F63663">
        <w:t>voltammetric</w:t>
      </w:r>
      <w:proofErr w:type="spellEnd"/>
      <w:r w:rsidRPr="00F63663">
        <w:t xml:space="preserve"> response of </w:t>
      </w:r>
      <w:proofErr w:type="spellStart"/>
      <w:r w:rsidRPr="00F63663">
        <w:t>ziram</w:t>
      </w:r>
      <w:proofErr w:type="spellEnd"/>
      <w:r w:rsidRPr="00F63663">
        <w:t xml:space="preserve"> was examined. The sensitivity of the assay was shown by putting the constructed sensor to the test with real samples.</w:t>
      </w:r>
    </w:p>
    <w:p w:rsidR="00271AA7" w:rsidRPr="00C34A62" w:rsidRDefault="00C34A62" w:rsidP="00C34A62">
      <w:pPr>
        <w:pStyle w:val="Balk2"/>
        <w:numPr>
          <w:ilvl w:val="1"/>
          <w:numId w:val="37"/>
        </w:numPr>
        <w:rPr>
          <w:i w:val="0"/>
        </w:rPr>
      </w:pPr>
      <w:r w:rsidRPr="00C34A62">
        <w:rPr>
          <w:i w:val="0"/>
        </w:rPr>
        <w:t xml:space="preserve"> </w:t>
      </w:r>
      <w:r w:rsidR="00271AA7" w:rsidRPr="00C34A62">
        <w:rPr>
          <w:i w:val="0"/>
        </w:rPr>
        <w:t xml:space="preserve">Real </w:t>
      </w:r>
      <w:r>
        <w:rPr>
          <w:i w:val="0"/>
        </w:rPr>
        <w:t>S</w:t>
      </w:r>
      <w:r w:rsidR="00271AA7" w:rsidRPr="00C34A62">
        <w:rPr>
          <w:i w:val="0"/>
        </w:rPr>
        <w:t xml:space="preserve">ample </w:t>
      </w:r>
      <w:r>
        <w:rPr>
          <w:i w:val="0"/>
        </w:rPr>
        <w:t>A</w:t>
      </w:r>
      <w:r w:rsidR="00271AA7" w:rsidRPr="00C34A62">
        <w:rPr>
          <w:i w:val="0"/>
        </w:rPr>
        <w:t xml:space="preserve">pplication of the </w:t>
      </w:r>
      <w:r>
        <w:rPr>
          <w:i w:val="0"/>
        </w:rPr>
        <w:t>S</w:t>
      </w:r>
      <w:r w:rsidR="00271AA7" w:rsidRPr="00C34A62">
        <w:rPr>
          <w:i w:val="0"/>
        </w:rPr>
        <w:t>ensor</w:t>
      </w:r>
    </w:p>
    <w:p w:rsidR="00833061" w:rsidRPr="00F63663" w:rsidRDefault="00833061" w:rsidP="00833061">
      <w:pPr>
        <w:spacing w:line="360" w:lineRule="auto"/>
        <w:jc w:val="both"/>
      </w:pPr>
      <w:r w:rsidRPr="00F63663">
        <w:t xml:space="preserve">Tap water and peach juice samples were </w:t>
      </w:r>
      <w:proofErr w:type="spellStart"/>
      <w:r w:rsidRPr="00F63663">
        <w:t>analyzed</w:t>
      </w:r>
      <w:proofErr w:type="spellEnd"/>
      <w:r w:rsidRPr="00F63663">
        <w:t xml:space="preserve"> using the spiking approach to determine the applicability of the RGO/</w:t>
      </w:r>
      <w:proofErr w:type="spellStart"/>
      <w:r w:rsidRPr="00F63663">
        <w:t>AuNPs</w:t>
      </w:r>
      <w:proofErr w:type="spellEnd"/>
      <w:r w:rsidRPr="00F63663">
        <w:t>/GCE sensor.</w:t>
      </w:r>
    </w:p>
    <w:p w:rsidR="00507E0E" w:rsidRPr="00F63663" w:rsidRDefault="00507E0E" w:rsidP="00507E0E">
      <w:pPr>
        <w:spacing w:line="360" w:lineRule="auto"/>
        <w:ind w:firstLine="720"/>
        <w:jc w:val="both"/>
        <w:rPr>
          <w:bCs/>
        </w:rPr>
      </w:pPr>
      <w:r w:rsidRPr="00F63663">
        <w:rPr>
          <w:bCs/>
        </w:rPr>
        <w:t xml:space="preserve">Tap water samples were taken from our laboratory and spiked with a certain amount of standard </w:t>
      </w:r>
      <w:proofErr w:type="spellStart"/>
      <w:r w:rsidRPr="00F63663">
        <w:rPr>
          <w:bCs/>
        </w:rPr>
        <w:t>ziram</w:t>
      </w:r>
      <w:proofErr w:type="spellEnd"/>
      <w:r w:rsidRPr="00F63663">
        <w:rPr>
          <w:bCs/>
        </w:rPr>
        <w:t xml:space="preserve"> solution. To maintain a homogeneous mixture, it was agitated for 3 hours in an ultrasonic bath. This solution was added to electrochemical cells containing 100 </w:t>
      </w:r>
      <w:proofErr w:type="spellStart"/>
      <w:r w:rsidRPr="00F63663">
        <w:rPr>
          <w:bCs/>
        </w:rPr>
        <w:t>mM</w:t>
      </w:r>
      <w:proofErr w:type="spellEnd"/>
      <w:r w:rsidRPr="00F63663">
        <w:rPr>
          <w:bCs/>
        </w:rPr>
        <w:t xml:space="preserve"> </w:t>
      </w:r>
      <w:proofErr w:type="spellStart"/>
      <w:r w:rsidRPr="00F63663">
        <w:rPr>
          <w:bCs/>
        </w:rPr>
        <w:t>KCl</w:t>
      </w:r>
      <w:proofErr w:type="spellEnd"/>
      <w:r w:rsidRPr="00F63663">
        <w:rPr>
          <w:bCs/>
        </w:rPr>
        <w:t xml:space="preserve"> in Britton-Robinson (BR) buffer solution (0.04 M, pH 8.0) in quantities of 250 µL, 500 µL, and 1500 µL. The DPV method was used to </w:t>
      </w:r>
      <w:proofErr w:type="spellStart"/>
      <w:r w:rsidRPr="00F63663">
        <w:rPr>
          <w:bCs/>
        </w:rPr>
        <w:t>analyze</w:t>
      </w:r>
      <w:proofErr w:type="spellEnd"/>
      <w:r w:rsidRPr="00F63663">
        <w:rPr>
          <w:bCs/>
        </w:rPr>
        <w:t xml:space="preserve"> the samples.</w:t>
      </w:r>
    </w:p>
    <w:p w:rsidR="00507E0E" w:rsidRPr="00F63663" w:rsidRDefault="00507E0E" w:rsidP="00507E0E">
      <w:pPr>
        <w:spacing w:line="360" w:lineRule="auto"/>
        <w:jc w:val="both"/>
        <w:rPr>
          <w:bCs/>
        </w:rPr>
      </w:pPr>
      <w:r w:rsidRPr="00F63663">
        <w:rPr>
          <w:bCs/>
        </w:rPr>
        <w:t xml:space="preserve">Peach juice was also tested to the method's application. Peaches were picked from a farmer's garden that practices organic farming and avoids using pesticides. The peach juice obtained by squeezing the fruit was filtered through the filter paper and the pulp was removed. In 25 mL of peach juice, a known amount of 1.01 </w:t>
      </w:r>
      <w:proofErr w:type="spellStart"/>
      <w:r w:rsidRPr="00F63663">
        <w:rPr>
          <w:bCs/>
        </w:rPr>
        <w:t>mM</w:t>
      </w:r>
      <w:proofErr w:type="spellEnd"/>
      <w:r w:rsidRPr="00F63663">
        <w:rPr>
          <w:bCs/>
        </w:rPr>
        <w:t xml:space="preserve"> </w:t>
      </w:r>
      <w:proofErr w:type="spellStart"/>
      <w:r w:rsidRPr="00F63663">
        <w:rPr>
          <w:bCs/>
        </w:rPr>
        <w:t>ziram</w:t>
      </w:r>
      <w:proofErr w:type="spellEnd"/>
      <w:r w:rsidRPr="00F63663">
        <w:rPr>
          <w:bCs/>
        </w:rPr>
        <w:t xml:space="preserve"> stock solution was added. To get a homogenous mixture, it was sonicated for 2-3 hours in an ultrasonic bath. 25 mL acetone was added to the mixture before it was transferred to centrifuge tubes. The organic phase was filtered via a Buchner funnel using </w:t>
      </w:r>
      <w:proofErr w:type="spellStart"/>
      <w:r w:rsidRPr="00F63663">
        <w:rPr>
          <w:bCs/>
        </w:rPr>
        <w:t>Whatman</w:t>
      </w:r>
      <w:proofErr w:type="spellEnd"/>
      <w:r w:rsidRPr="00F63663">
        <w:rPr>
          <w:bCs/>
        </w:rPr>
        <w:t xml:space="preserve"> filter paper (No.4) after centrifugation at 4000 rpm for 10 minutes. To remove the solvent, the filtrate was transferred to a 250 mL rotating vacuum evaporator vessel. After the solvent had evaporated, the residue was dissolved in acetone to yield a total volume of 5.0 </w:t>
      </w:r>
      <w:proofErr w:type="spellStart"/>
      <w:r w:rsidRPr="00F63663">
        <w:rPr>
          <w:bCs/>
        </w:rPr>
        <w:t>mL.</w:t>
      </w:r>
      <w:proofErr w:type="spellEnd"/>
      <w:r w:rsidRPr="00F63663">
        <w:rPr>
          <w:bCs/>
        </w:rPr>
        <w:t xml:space="preserve"> The </w:t>
      </w:r>
      <w:r w:rsidRPr="00F63663">
        <w:rPr>
          <w:bCs/>
        </w:rPr>
        <w:lastRenderedPageBreak/>
        <w:t xml:space="preserve">blank sample was made by following the identical steps as the peach juice sample that did not contain </w:t>
      </w:r>
      <w:proofErr w:type="spellStart"/>
      <w:r w:rsidRPr="00F63663">
        <w:rPr>
          <w:bCs/>
        </w:rPr>
        <w:t>ziram</w:t>
      </w:r>
      <w:proofErr w:type="spellEnd"/>
      <w:r w:rsidRPr="00F63663">
        <w:rPr>
          <w:bCs/>
        </w:rPr>
        <w:t>.</w:t>
      </w:r>
    </w:p>
    <w:p w:rsidR="00507E0E" w:rsidRPr="00F63663" w:rsidRDefault="00507E0E" w:rsidP="00C34A62">
      <w:pPr>
        <w:pStyle w:val="Balk1"/>
        <w:numPr>
          <w:ilvl w:val="0"/>
          <w:numId w:val="37"/>
        </w:numPr>
      </w:pPr>
      <w:r w:rsidRPr="00F63663">
        <w:t xml:space="preserve">Results and </w:t>
      </w:r>
      <w:r w:rsidR="00C34A62">
        <w:t>D</w:t>
      </w:r>
      <w:r w:rsidRPr="00F63663">
        <w:t>iscussion</w:t>
      </w:r>
    </w:p>
    <w:p w:rsidR="00507E0E" w:rsidRPr="00F63663" w:rsidRDefault="00507E0E" w:rsidP="00507E0E">
      <w:pPr>
        <w:spacing w:line="360" w:lineRule="auto"/>
        <w:jc w:val="both"/>
      </w:pPr>
      <w:r w:rsidRPr="00F63663">
        <w:t>The main purpose of our research was to see how RGO/GCE/</w:t>
      </w:r>
      <w:proofErr w:type="spellStart"/>
      <w:r w:rsidRPr="00F63663">
        <w:t>AuNPs</w:t>
      </w:r>
      <w:proofErr w:type="spellEnd"/>
      <w:r w:rsidRPr="00F63663">
        <w:t xml:space="preserve"> composite sensors may be used in electroanalytical applications. As far as we know, just a few investigations on </w:t>
      </w:r>
      <w:proofErr w:type="spellStart"/>
      <w:r w:rsidRPr="00F63663">
        <w:t>ziram</w:t>
      </w:r>
      <w:proofErr w:type="spellEnd"/>
      <w:r w:rsidRPr="00F63663">
        <w:t xml:space="preserve"> determination utilizing nanocomposite sensors have been published. For the determination of </w:t>
      </w:r>
      <w:proofErr w:type="spellStart"/>
      <w:r w:rsidRPr="00F63663">
        <w:t>ziram</w:t>
      </w:r>
      <w:proofErr w:type="spellEnd"/>
      <w:r w:rsidRPr="00F63663">
        <w:t xml:space="preserve">, we constructed a glassy carbon electrode with RGO and </w:t>
      </w:r>
      <w:proofErr w:type="spellStart"/>
      <w:r w:rsidRPr="00F63663">
        <w:t>AuNPs</w:t>
      </w:r>
      <w:proofErr w:type="spellEnd"/>
      <w:r w:rsidRPr="00F63663">
        <w:t>.</w:t>
      </w:r>
    </w:p>
    <w:p w:rsidR="00507E0E" w:rsidRPr="00C34A62" w:rsidRDefault="00C34A62" w:rsidP="00C34A62">
      <w:pPr>
        <w:pStyle w:val="Balk2"/>
        <w:numPr>
          <w:ilvl w:val="1"/>
          <w:numId w:val="37"/>
        </w:numPr>
        <w:rPr>
          <w:rFonts w:cs="Times New Roman"/>
          <w:b w:val="0"/>
          <w:i w:val="0"/>
          <w:szCs w:val="24"/>
        </w:rPr>
      </w:pPr>
      <w:r>
        <w:rPr>
          <w:rFonts w:cs="Times New Roman"/>
          <w:i w:val="0"/>
          <w:szCs w:val="24"/>
        </w:rPr>
        <w:t>Characterization of G</w:t>
      </w:r>
      <w:r w:rsidR="00507E0E" w:rsidRPr="00C34A62">
        <w:rPr>
          <w:rFonts w:cs="Times New Roman"/>
          <w:i w:val="0"/>
          <w:szCs w:val="24"/>
        </w:rPr>
        <w:t xml:space="preserve">raphene </w:t>
      </w:r>
      <w:r>
        <w:rPr>
          <w:rFonts w:cs="Times New Roman"/>
          <w:i w:val="0"/>
          <w:szCs w:val="24"/>
        </w:rPr>
        <w:t>O</w:t>
      </w:r>
      <w:r w:rsidR="00507E0E" w:rsidRPr="00C34A62">
        <w:rPr>
          <w:rFonts w:cs="Times New Roman"/>
          <w:i w:val="0"/>
          <w:szCs w:val="24"/>
        </w:rPr>
        <w:t>xide</w:t>
      </w:r>
    </w:p>
    <w:p w:rsidR="00507E0E" w:rsidRPr="00F63663" w:rsidRDefault="00507E0E" w:rsidP="00507E0E">
      <w:pPr>
        <w:spacing w:line="360" w:lineRule="auto"/>
        <w:jc w:val="both"/>
      </w:pPr>
      <w:r w:rsidRPr="00F63663">
        <w:t xml:space="preserve">Graphene oxide nanostructures were investigated using a Zeiss </w:t>
      </w:r>
      <w:proofErr w:type="spellStart"/>
      <w:r w:rsidRPr="00F63663">
        <w:t>Evo</w:t>
      </w:r>
      <w:proofErr w:type="spellEnd"/>
      <w:r w:rsidRPr="00F63663">
        <w:t xml:space="preserve"> 60 EP model Scanning Electron Microscope (SEM) with magnifications of 2500 X and 5000 X, respectively, and accelerating voltages of 15 kV and 10 kV. (Fig.1).</w:t>
      </w:r>
    </w:p>
    <w:p w:rsidR="00507E0E" w:rsidRDefault="00507E0E" w:rsidP="00507E0E">
      <w:pPr>
        <w:spacing w:line="360" w:lineRule="auto"/>
        <w:jc w:val="both"/>
        <w:rPr>
          <w:bCs/>
        </w:rPr>
      </w:pPr>
    </w:p>
    <w:p w:rsidR="00B260A3" w:rsidRPr="00B00C89" w:rsidRDefault="00B260A3" w:rsidP="00B260A3">
      <w:pPr>
        <w:rPr>
          <w:b/>
          <w:bCs/>
        </w:rPr>
      </w:pPr>
    </w:p>
    <w:p w:rsidR="00B260A3" w:rsidRPr="00B00C89" w:rsidRDefault="00B260A3" w:rsidP="00B260A3">
      <w:pPr>
        <w:rPr>
          <w:b/>
        </w:rPr>
      </w:pPr>
      <w:r w:rsidRPr="00B00C89">
        <w:rPr>
          <w:b/>
          <w:noProof/>
          <w:lang w:val="tr-TR" w:eastAsia="tr-TR"/>
        </w:rPr>
        <w:drawing>
          <wp:inline distT="0" distB="0" distL="0" distR="0" wp14:anchorId="0EC44A53" wp14:editId="1B64076E">
            <wp:extent cx="4457700" cy="3343275"/>
            <wp:effectExtent l="0" t="0" r="0" b="9525"/>
            <wp:docPr id="2" name="Resim 2" descr="E:\14.2.2020\Fig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14.2.2020\Fig 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7904" cy="3343428"/>
                    </a:xfrm>
                    <a:prstGeom prst="rect">
                      <a:avLst/>
                    </a:prstGeom>
                    <a:noFill/>
                    <a:ln>
                      <a:noFill/>
                    </a:ln>
                  </pic:spPr>
                </pic:pic>
              </a:graphicData>
            </a:graphic>
          </wp:inline>
        </w:drawing>
      </w:r>
      <w:r w:rsidRPr="00B00C89">
        <w:rPr>
          <w:b/>
        </w:rPr>
        <w:t xml:space="preserve">         </w:t>
      </w:r>
    </w:p>
    <w:p w:rsidR="00B260A3" w:rsidRDefault="00B260A3" w:rsidP="00B260A3">
      <w:pPr>
        <w:rPr>
          <w:b/>
        </w:rPr>
      </w:pPr>
      <w:r w:rsidRPr="00B00C89">
        <w:rPr>
          <w:b/>
        </w:rPr>
        <w:lastRenderedPageBreak/>
        <w:t xml:space="preserve"> </w:t>
      </w:r>
      <w:r w:rsidRPr="00B00C89">
        <w:rPr>
          <w:b/>
          <w:noProof/>
          <w:lang w:val="tr-TR" w:eastAsia="tr-TR"/>
        </w:rPr>
        <w:drawing>
          <wp:inline distT="0" distB="0" distL="0" distR="0" wp14:anchorId="677DC00E" wp14:editId="5E3DC2A9">
            <wp:extent cx="4439920" cy="3329940"/>
            <wp:effectExtent l="0" t="0" r="0" b="3810"/>
            <wp:docPr id="5" name="Resim 5" descr="E:\14.2.2020\Fig 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4.2.2020\Fig 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7344" cy="3335508"/>
                    </a:xfrm>
                    <a:prstGeom prst="rect">
                      <a:avLst/>
                    </a:prstGeom>
                    <a:noFill/>
                    <a:ln>
                      <a:noFill/>
                    </a:ln>
                  </pic:spPr>
                </pic:pic>
              </a:graphicData>
            </a:graphic>
          </wp:inline>
        </w:drawing>
      </w:r>
    </w:p>
    <w:p w:rsidR="00B260A3" w:rsidRDefault="00B260A3" w:rsidP="00B260A3">
      <w:pPr>
        <w:rPr>
          <w:b/>
        </w:rPr>
      </w:pPr>
    </w:p>
    <w:p w:rsidR="00B260A3" w:rsidRPr="00B00C89" w:rsidRDefault="00B260A3" w:rsidP="00B260A3">
      <w:pPr>
        <w:rPr>
          <w:b/>
        </w:rPr>
      </w:pPr>
    </w:p>
    <w:p w:rsidR="00B260A3" w:rsidRPr="00B00C89" w:rsidRDefault="00B260A3" w:rsidP="00B260A3">
      <w:pPr>
        <w:rPr>
          <w:b/>
        </w:rPr>
      </w:pPr>
      <w:r w:rsidRPr="00B00C89">
        <w:rPr>
          <w:b/>
          <w:noProof/>
          <w:lang w:val="tr-TR" w:eastAsia="tr-TR"/>
        </w:rPr>
        <w:drawing>
          <wp:inline distT="0" distB="0" distL="0" distR="0" wp14:anchorId="0261A49D" wp14:editId="76F4DEFE">
            <wp:extent cx="4561839" cy="3421380"/>
            <wp:effectExtent l="0" t="0" r="0" b="7620"/>
            <wp:docPr id="10" name="Resim 10" descr="E:\14.2.2020\Fig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14.2.2020\Fig 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4582675" cy="3437007"/>
                    </a:xfrm>
                    <a:prstGeom prst="rect">
                      <a:avLst/>
                    </a:prstGeom>
                    <a:noFill/>
                    <a:ln>
                      <a:noFill/>
                    </a:ln>
                  </pic:spPr>
                </pic:pic>
              </a:graphicData>
            </a:graphic>
          </wp:inline>
        </w:drawing>
      </w:r>
    </w:p>
    <w:p w:rsidR="00507E0E" w:rsidRPr="00F63663" w:rsidRDefault="00507E0E" w:rsidP="00507E0E">
      <w:pPr>
        <w:spacing w:line="360" w:lineRule="auto"/>
        <w:rPr>
          <w:b/>
          <w:color w:val="000000" w:themeColor="text1"/>
        </w:rPr>
      </w:pPr>
      <w:r w:rsidRPr="00F63663">
        <w:rPr>
          <w:b/>
          <w:color w:val="000000" w:themeColor="text1"/>
        </w:rPr>
        <w:t xml:space="preserve">Figure 1. </w:t>
      </w:r>
      <w:r w:rsidRPr="00F63663">
        <w:rPr>
          <w:color w:val="000000" w:themeColor="text1"/>
        </w:rPr>
        <w:t>SEM images of synthesized graphene oxide</w:t>
      </w:r>
      <w:r w:rsidRPr="00F63663">
        <w:rPr>
          <w:b/>
          <w:color w:val="000000" w:themeColor="text1"/>
        </w:rPr>
        <w:t xml:space="preserve">. </w:t>
      </w:r>
    </w:p>
    <w:p w:rsidR="00507E0E" w:rsidRPr="00C34A62" w:rsidRDefault="00C34A62" w:rsidP="00C34A62">
      <w:pPr>
        <w:pStyle w:val="Balk2"/>
        <w:numPr>
          <w:ilvl w:val="1"/>
          <w:numId w:val="37"/>
        </w:numPr>
        <w:rPr>
          <w:i w:val="0"/>
        </w:rPr>
      </w:pPr>
      <w:r>
        <w:rPr>
          <w:i w:val="0"/>
        </w:rPr>
        <w:lastRenderedPageBreak/>
        <w:t xml:space="preserve"> </w:t>
      </w:r>
      <w:r w:rsidR="00507E0E" w:rsidRPr="00C34A62">
        <w:rPr>
          <w:i w:val="0"/>
        </w:rPr>
        <w:t>Optimization of RGO/</w:t>
      </w:r>
      <w:proofErr w:type="spellStart"/>
      <w:r w:rsidR="00507E0E" w:rsidRPr="00C34A62">
        <w:rPr>
          <w:i w:val="0"/>
        </w:rPr>
        <w:t>AuNPs</w:t>
      </w:r>
      <w:proofErr w:type="spellEnd"/>
      <w:r w:rsidR="00507E0E" w:rsidRPr="00C34A62">
        <w:rPr>
          <w:i w:val="0"/>
        </w:rPr>
        <w:t xml:space="preserve"> </w:t>
      </w:r>
      <w:r>
        <w:rPr>
          <w:i w:val="0"/>
        </w:rPr>
        <w:t>S</w:t>
      </w:r>
      <w:r w:rsidR="00507E0E" w:rsidRPr="00C34A62">
        <w:rPr>
          <w:i w:val="0"/>
        </w:rPr>
        <w:t xml:space="preserve">ensor </w:t>
      </w:r>
      <w:r>
        <w:rPr>
          <w:i w:val="0"/>
        </w:rPr>
        <w:t>F</w:t>
      </w:r>
      <w:r w:rsidR="00507E0E" w:rsidRPr="00C34A62">
        <w:rPr>
          <w:i w:val="0"/>
        </w:rPr>
        <w:t>abrication</w:t>
      </w:r>
    </w:p>
    <w:p w:rsidR="00507E0E" w:rsidRPr="00F63663" w:rsidRDefault="00507E0E" w:rsidP="00507E0E">
      <w:pPr>
        <w:spacing w:line="360" w:lineRule="auto"/>
        <w:jc w:val="both"/>
      </w:pPr>
      <w:r w:rsidRPr="00F63663">
        <w:t xml:space="preserve">The </w:t>
      </w:r>
      <w:proofErr w:type="spellStart"/>
      <w:r w:rsidRPr="00F63663">
        <w:t>electrop</w:t>
      </w:r>
      <w:r w:rsidR="007A1C95" w:rsidRPr="00F63663">
        <w:t>o</w:t>
      </w:r>
      <w:r w:rsidRPr="00F63663">
        <w:t>l</w:t>
      </w:r>
      <w:r w:rsidR="007A1C95" w:rsidRPr="00F63663">
        <w:t>i</w:t>
      </w:r>
      <w:r w:rsidRPr="00F63663">
        <w:t>merization</w:t>
      </w:r>
      <w:proofErr w:type="spellEnd"/>
      <w:r w:rsidRPr="00F63663">
        <w:t xml:space="preserve"> cycle</w:t>
      </w:r>
      <w:r w:rsidR="00433107" w:rsidRPr="00F63663">
        <w:t>s</w:t>
      </w:r>
      <w:r w:rsidRPr="00F63663">
        <w:t xml:space="preserve"> w</w:t>
      </w:r>
      <w:r w:rsidR="00433107" w:rsidRPr="00F63663">
        <w:t>ere</w:t>
      </w:r>
      <w:r w:rsidRPr="00F63663">
        <w:t xml:space="preserve"> investigated to achieve the best responses for </w:t>
      </w:r>
      <w:proofErr w:type="spellStart"/>
      <w:r w:rsidRPr="00F63663">
        <w:t>ziram</w:t>
      </w:r>
      <w:proofErr w:type="spellEnd"/>
      <w:r w:rsidRPr="00F63663">
        <w:t xml:space="preserve"> determination. The amount of GO was examined in the concentration range of 0.5 mg/L to 2 mg</w:t>
      </w:r>
      <w:r w:rsidR="007A1C95" w:rsidRPr="00F63663">
        <w:t xml:space="preserve"> </w:t>
      </w:r>
      <w:r w:rsidRPr="00F63663">
        <w:t>L</w:t>
      </w:r>
      <w:r w:rsidR="007A1C95" w:rsidRPr="00F63663">
        <w:rPr>
          <w:vertAlign w:val="superscript"/>
        </w:rPr>
        <w:t>-1</w:t>
      </w:r>
      <w:r w:rsidRPr="00F63663">
        <w:t>, with 1 mg</w:t>
      </w:r>
      <w:r w:rsidR="007A1C95" w:rsidRPr="00F63663">
        <w:t xml:space="preserve"> </w:t>
      </w:r>
      <w:r w:rsidRPr="00F63663">
        <w:t>mL</w:t>
      </w:r>
      <w:r w:rsidR="007A1C95" w:rsidRPr="00F63663">
        <w:rPr>
          <w:vertAlign w:val="superscript"/>
        </w:rPr>
        <w:t>-1</w:t>
      </w:r>
      <w:r w:rsidRPr="00F63663">
        <w:t xml:space="preserve"> as the best value. Fig. 2 shows the cyclic </w:t>
      </w:r>
      <w:proofErr w:type="spellStart"/>
      <w:r w:rsidRPr="00F63663">
        <w:t>voltammogram</w:t>
      </w:r>
      <w:proofErr w:type="spellEnd"/>
      <w:r w:rsidRPr="00F63663">
        <w:t xml:space="preserve"> of electrochemical reduction peak of graphene oxide at -1.14 V.  Electrons act as a reducing agent, causing RGO to occur on the GCE surface. </w:t>
      </w:r>
      <w:r w:rsidR="007A1C95" w:rsidRPr="00F63663">
        <w:rPr>
          <w:color w:val="000000" w:themeColor="text1"/>
        </w:rPr>
        <w:t>Wang et al.</w:t>
      </w:r>
      <w:r w:rsidRPr="00F63663">
        <w:rPr>
          <w:color w:val="000000" w:themeColor="text1"/>
        </w:rPr>
        <w:t xml:space="preserve"> </w:t>
      </w:r>
      <w:r w:rsidRPr="00F63663">
        <w:t>reported the electrochemical reduction mecha</w:t>
      </w:r>
      <w:r w:rsidR="007A1C95" w:rsidRPr="00F63663">
        <w:t xml:space="preserve">nism of </w:t>
      </w:r>
      <w:r w:rsidR="007A1C95" w:rsidRPr="00F63663">
        <w:rPr>
          <w:color w:val="000000" w:themeColor="text1"/>
        </w:rPr>
        <w:t xml:space="preserve">graphene </w:t>
      </w:r>
      <w:r w:rsidR="007A1C95" w:rsidRPr="00BE05BF">
        <w:t xml:space="preserve">oxide with two </w:t>
      </w:r>
      <w:r w:rsidRPr="00BE05BF">
        <w:t>assumptions.</w:t>
      </w:r>
      <w:r w:rsidR="00413DE8" w:rsidRPr="00BE05BF">
        <w:rPr>
          <w:vertAlign w:val="superscript"/>
        </w:rPr>
        <w:t>3</w:t>
      </w:r>
      <w:r w:rsidR="00467AEC" w:rsidRPr="00BE05BF">
        <w:rPr>
          <w:vertAlign w:val="superscript"/>
        </w:rPr>
        <w:t>3</w:t>
      </w:r>
      <w:r w:rsidRPr="00BE05BF">
        <w:t xml:space="preserve"> </w:t>
      </w:r>
      <w:r w:rsidRPr="00F63663">
        <w:rPr>
          <w:color w:val="000000" w:themeColor="text1"/>
        </w:rPr>
        <w:t xml:space="preserve">The reduction of newly formed hydrogen atoms produced near the electrode surface during </w:t>
      </w:r>
      <w:r w:rsidRPr="00F63663">
        <w:t>the water electrolysis process was one of the expectations. The following reaction takes place during water electrolysis.</w:t>
      </w:r>
    </w:p>
    <w:p w:rsidR="00507E0E" w:rsidRPr="00F63663" w:rsidRDefault="00507E0E" w:rsidP="00507E0E">
      <w:pPr>
        <w:spacing w:line="360" w:lineRule="auto"/>
        <w:jc w:val="both"/>
        <w:rPr>
          <w:iCs/>
        </w:rPr>
      </w:pPr>
      <m:oMathPara>
        <m:oMath>
          <m:r>
            <m:rPr>
              <m:sty m:val="p"/>
            </m:rPr>
            <w:rPr>
              <w:rFonts w:ascii="Cambria Math" w:hAnsi="Cambria Math"/>
            </w:rPr>
            <m:t>2</m:t>
          </m:r>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sSup>
            <m:sSupPr>
              <m:ctrlPr>
                <w:rPr>
                  <w:rFonts w:ascii="Cambria Math" w:hAnsi="Cambria Math"/>
                  <w:iCs/>
                </w:rPr>
              </m:ctrlPr>
            </m:sSupPr>
            <m:e>
              <m:r>
                <m:rPr>
                  <m:sty m:val="p"/>
                </m:rPr>
                <w:rPr>
                  <w:rFonts w:ascii="Cambria Math" w:hAnsi="Cambria Math"/>
                </w:rPr>
                <m:t>2e</m:t>
              </m:r>
            </m:e>
            <m:sup>
              <m:r>
                <m:rPr>
                  <m:sty m:val="p"/>
                </m:rPr>
                <w:rPr>
                  <w:rFonts w:ascii="Cambria Math" w:hAnsi="Cambria Math"/>
                </w:rPr>
                <m:t>-</m:t>
              </m:r>
            </m:sup>
          </m:sSup>
          <m:r>
            <m:rPr>
              <m:sty m:val="p"/>
            </m:rPr>
            <w:rPr>
              <w:rFonts w:ascii="Cambria Math" w:hAnsi="Cambria Math"/>
            </w:rPr>
            <m:t>→</m:t>
          </m:r>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2(g)</m:t>
              </m:r>
            </m:sub>
          </m:sSub>
          <m:r>
            <m:rPr>
              <m:sty m:val="p"/>
            </m:rPr>
            <w:rPr>
              <w:rFonts w:ascii="Cambria Math" w:hAnsi="Cambria Math"/>
            </w:rPr>
            <m:t>+2</m:t>
          </m:r>
          <m:sSup>
            <m:sSupPr>
              <m:ctrlPr>
                <w:rPr>
                  <w:rFonts w:ascii="Cambria Math" w:hAnsi="Cambria Math"/>
                  <w:iCs/>
                </w:rPr>
              </m:ctrlPr>
            </m:sSupPr>
            <m:e>
              <m:r>
                <m:rPr>
                  <m:sty m:val="p"/>
                </m:rPr>
                <w:rPr>
                  <w:rFonts w:ascii="Cambria Math" w:hAnsi="Cambria Math"/>
                </w:rPr>
                <m:t>OH</m:t>
              </m:r>
            </m:e>
            <m:sup>
              <m:r>
                <m:rPr>
                  <m:sty m:val="p"/>
                </m:rPr>
                <w:rPr>
                  <w:rFonts w:ascii="Cambria Math" w:hAnsi="Cambria Math"/>
                </w:rPr>
                <m:t>-</m:t>
              </m:r>
            </m:sup>
          </m:sSup>
        </m:oMath>
      </m:oMathPara>
    </w:p>
    <w:p w:rsidR="00507E0E" w:rsidRDefault="00507E0E" w:rsidP="00507E0E">
      <w:pPr>
        <w:spacing w:line="360" w:lineRule="auto"/>
        <w:ind w:firstLine="720"/>
        <w:jc w:val="both"/>
      </w:pPr>
      <w:r w:rsidRPr="00F63663">
        <w:t>Hydrogen gas produced at the edges of graphene oxide can also contribute to the reduction process of graphene oxide.</w:t>
      </w:r>
    </w:p>
    <w:p w:rsidR="004A3B97" w:rsidRPr="00F63663" w:rsidRDefault="004A3B97" w:rsidP="00507E0E">
      <w:pPr>
        <w:spacing w:line="360" w:lineRule="auto"/>
        <w:ind w:firstLine="720"/>
        <w:jc w:val="both"/>
      </w:pPr>
    </w:p>
    <w:p w:rsidR="00E35696" w:rsidRPr="00F63663" w:rsidRDefault="00FC033C" w:rsidP="00507E0E">
      <w:pPr>
        <w:spacing w:line="360" w:lineRule="auto"/>
        <w:ind w:firstLine="720"/>
        <w:jc w:val="both"/>
      </w:pPr>
      <w:r w:rsidRPr="00FC033C">
        <w:rPr>
          <w:noProof/>
          <w:lang w:val="tr-TR" w:eastAsia="tr-TR"/>
        </w:rPr>
        <w:drawing>
          <wp:inline distT="0" distB="0" distL="0" distR="0" wp14:anchorId="75CDAA7A" wp14:editId="44B8489E">
            <wp:extent cx="4404719" cy="244602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29289" cy="2459664"/>
                    </a:xfrm>
                    <a:prstGeom prst="rect">
                      <a:avLst/>
                    </a:prstGeom>
                  </pic:spPr>
                </pic:pic>
              </a:graphicData>
            </a:graphic>
          </wp:inline>
        </w:drawing>
      </w:r>
      <w:r w:rsidRPr="00FC033C">
        <w:t xml:space="preserve"> </w:t>
      </w:r>
    </w:p>
    <w:p w:rsidR="00507E0E" w:rsidRPr="00F63663" w:rsidRDefault="00507E0E" w:rsidP="007613B4">
      <w:pPr>
        <w:spacing w:line="360" w:lineRule="auto"/>
        <w:ind w:firstLine="720"/>
        <w:rPr>
          <w:b/>
        </w:rPr>
      </w:pPr>
      <w:r w:rsidRPr="00F63663">
        <w:rPr>
          <w:b/>
        </w:rPr>
        <w:t xml:space="preserve">Figure 2. </w:t>
      </w:r>
      <w:r w:rsidRPr="00F63663">
        <w:t xml:space="preserve">Cyclic </w:t>
      </w:r>
      <w:proofErr w:type="spellStart"/>
      <w:r w:rsidRPr="00F63663">
        <w:t>voltammogram</w:t>
      </w:r>
      <w:proofErr w:type="spellEnd"/>
      <w:r w:rsidRPr="00F63663">
        <w:t xml:space="preserve"> of electrochemical reduction of graphene oxide.</w:t>
      </w:r>
    </w:p>
    <w:p w:rsidR="00507E0E" w:rsidRPr="00F63663" w:rsidRDefault="00507E0E" w:rsidP="00507E0E">
      <w:pPr>
        <w:spacing w:line="360" w:lineRule="auto"/>
        <w:ind w:firstLine="720"/>
        <w:jc w:val="both"/>
      </w:pPr>
    </w:p>
    <w:p w:rsidR="00507E0E" w:rsidRPr="00F63663" w:rsidRDefault="00507E0E" w:rsidP="00507E0E">
      <w:pPr>
        <w:spacing w:line="360" w:lineRule="auto"/>
        <w:ind w:firstLine="720"/>
        <w:jc w:val="both"/>
      </w:pPr>
      <w:r w:rsidRPr="00F63663">
        <w:t xml:space="preserve">During the electrochemical reduction process, a </w:t>
      </w:r>
      <w:proofErr w:type="spellStart"/>
      <w:r w:rsidRPr="00F63663">
        <w:t>cathodic</w:t>
      </w:r>
      <w:proofErr w:type="spellEnd"/>
      <w:r w:rsidRPr="00F63663">
        <w:t xml:space="preserve"> peak was observed due to the formation of reduced </w:t>
      </w:r>
      <w:proofErr w:type="spellStart"/>
      <w:r w:rsidRPr="00F63663">
        <w:t>graphen</w:t>
      </w:r>
      <w:proofErr w:type="spellEnd"/>
      <w:r w:rsidRPr="00F63663">
        <w:t xml:space="preserve"> oxide. The continuous deposition of conducting reduced graphene oxide on the electrode surface was evidenced by the linear increase in peak current with consecutive cycles. The current intensity stabilized after approximately 15-20 cycles and the electrochemically active surface area reached its maximum value. Then, the RGO/GCE was washed with ultrapure water.</w:t>
      </w:r>
    </w:p>
    <w:p w:rsidR="00507E0E" w:rsidRPr="00F63663" w:rsidRDefault="00507E0E" w:rsidP="00507E0E">
      <w:pPr>
        <w:spacing w:line="360" w:lineRule="auto"/>
        <w:jc w:val="both"/>
      </w:pPr>
      <w:r w:rsidRPr="00F63663">
        <w:lastRenderedPageBreak/>
        <w:t xml:space="preserve">According to the literature, gold nanoparticles were successfully deposited on the RGO/GCE </w:t>
      </w:r>
      <w:r w:rsidRPr="00BE05BF">
        <w:t>surface.</w:t>
      </w:r>
      <w:r w:rsidR="00413DE8" w:rsidRPr="00BE05BF">
        <w:rPr>
          <w:vertAlign w:val="superscript"/>
        </w:rPr>
        <w:t>3</w:t>
      </w:r>
      <w:r w:rsidR="00467AEC" w:rsidRPr="00BE05BF">
        <w:rPr>
          <w:vertAlign w:val="superscript"/>
        </w:rPr>
        <w:t>4</w:t>
      </w:r>
      <w:r w:rsidRPr="00BE05BF">
        <w:t xml:space="preserve"> Shortly, electrodeposition </w:t>
      </w:r>
      <w:r w:rsidRPr="00F63663">
        <w:t xml:space="preserve">of </w:t>
      </w:r>
      <w:proofErr w:type="spellStart"/>
      <w:r w:rsidRPr="00F63663">
        <w:t>AuNPs</w:t>
      </w:r>
      <w:proofErr w:type="spellEnd"/>
      <w:r w:rsidRPr="00F63663">
        <w:t xml:space="preserve"> were performed by using CV method between −0.4 V and +0.4 V at a scan rate of 0.05 V</w:t>
      </w:r>
      <w:r w:rsidR="00433107" w:rsidRPr="00F63663">
        <w:t xml:space="preserve"> </w:t>
      </w:r>
      <w:r w:rsidRPr="00F63663">
        <w:t>s</w:t>
      </w:r>
      <w:r w:rsidR="00433107" w:rsidRPr="00F63663">
        <w:rPr>
          <w:vertAlign w:val="superscript"/>
        </w:rPr>
        <w:t>-1</w:t>
      </w:r>
      <w:r w:rsidRPr="00F63663">
        <w:t xml:space="preserve"> in 0.01 </w:t>
      </w:r>
      <w:proofErr w:type="spellStart"/>
      <w:r w:rsidRPr="00F63663">
        <w:t>mol</w:t>
      </w:r>
      <w:proofErr w:type="spellEnd"/>
      <w:r w:rsidR="00433107" w:rsidRPr="00F63663">
        <w:t xml:space="preserve"> </w:t>
      </w:r>
      <w:r w:rsidRPr="00F63663">
        <w:t>L</w:t>
      </w:r>
      <w:r w:rsidR="00433107" w:rsidRPr="00F63663">
        <w:rPr>
          <w:vertAlign w:val="superscript"/>
        </w:rPr>
        <w:t>-1</w:t>
      </w:r>
      <w:r w:rsidRPr="00F63663">
        <w:t xml:space="preserve"> H</w:t>
      </w:r>
      <w:r w:rsidRPr="00F63663">
        <w:rPr>
          <w:vertAlign w:val="subscript"/>
        </w:rPr>
        <w:t>2</w:t>
      </w:r>
      <w:r w:rsidRPr="00F63663">
        <w:t>SO</w:t>
      </w:r>
      <w:r w:rsidRPr="00F63663">
        <w:rPr>
          <w:vertAlign w:val="subscript"/>
        </w:rPr>
        <w:t>4</w:t>
      </w:r>
      <w:r w:rsidRPr="00F63663">
        <w:t xml:space="preserve"> solution containing 3 </w:t>
      </w:r>
      <w:proofErr w:type="spellStart"/>
      <w:r w:rsidRPr="00F63663">
        <w:t>mmol</w:t>
      </w:r>
      <w:proofErr w:type="spellEnd"/>
      <w:r w:rsidR="00433107" w:rsidRPr="00F63663">
        <w:t xml:space="preserve"> </w:t>
      </w:r>
      <w:r w:rsidRPr="00F63663">
        <w:t>L</w:t>
      </w:r>
      <w:r w:rsidR="00433107" w:rsidRPr="00F63663">
        <w:rPr>
          <w:vertAlign w:val="superscript"/>
        </w:rPr>
        <w:t>-1</w:t>
      </w:r>
      <w:r w:rsidRPr="00F63663">
        <w:t xml:space="preserve"> HAuClO</w:t>
      </w:r>
      <w:r w:rsidRPr="00F63663">
        <w:rPr>
          <w:vertAlign w:val="subscript"/>
        </w:rPr>
        <w:t>4</w:t>
      </w:r>
      <w:r w:rsidRPr="00F63663">
        <w:t xml:space="preserve"> and 0.01 </w:t>
      </w:r>
      <w:proofErr w:type="spellStart"/>
      <w:r w:rsidRPr="00F63663">
        <w:t>mol</w:t>
      </w:r>
      <w:proofErr w:type="spellEnd"/>
      <w:r w:rsidR="00433107" w:rsidRPr="00F63663">
        <w:t xml:space="preserve"> </w:t>
      </w:r>
      <w:r w:rsidRPr="00F63663">
        <w:t>L</w:t>
      </w:r>
      <w:r w:rsidR="00433107" w:rsidRPr="00F63663">
        <w:rPr>
          <w:vertAlign w:val="superscript"/>
        </w:rPr>
        <w:t>-1</w:t>
      </w:r>
      <w:r w:rsidRPr="00F63663">
        <w:t xml:space="preserve"> Na</w:t>
      </w:r>
      <w:r w:rsidRPr="00F63663">
        <w:rPr>
          <w:vertAlign w:val="subscript"/>
        </w:rPr>
        <w:t>2</w:t>
      </w:r>
      <w:r w:rsidRPr="00F63663">
        <w:t>SO</w:t>
      </w:r>
      <w:r w:rsidRPr="00F63663">
        <w:rPr>
          <w:vertAlign w:val="subscript"/>
        </w:rPr>
        <w:t>4</w:t>
      </w:r>
      <w:r w:rsidRPr="00F63663">
        <w:t xml:space="preserve"> (Figure 3). The presence of </w:t>
      </w:r>
      <w:proofErr w:type="spellStart"/>
      <w:r w:rsidRPr="00F63663">
        <w:t>AuNPs</w:t>
      </w:r>
      <w:proofErr w:type="spellEnd"/>
      <w:r w:rsidRPr="00F63663">
        <w:t xml:space="preserve"> with RGO changed the </w:t>
      </w:r>
      <w:proofErr w:type="spellStart"/>
      <w:r w:rsidRPr="00F63663">
        <w:t>color</w:t>
      </w:r>
      <w:proofErr w:type="spellEnd"/>
      <w:r w:rsidRPr="00F63663">
        <w:t xml:space="preserve"> of the GCE surface from black to blackish red during electrochemical deposition. The composite RGO/GCE/</w:t>
      </w:r>
      <w:proofErr w:type="spellStart"/>
      <w:r w:rsidRPr="00F63663">
        <w:t>AuNPs</w:t>
      </w:r>
      <w:proofErr w:type="spellEnd"/>
      <w:r w:rsidRPr="00F63663">
        <w:t xml:space="preserve"> sensor was then rinsed with ultrapure water and dried in the open air.</w:t>
      </w:r>
    </w:p>
    <w:p w:rsidR="00507E0E" w:rsidRDefault="00507E0E" w:rsidP="009A741E">
      <w:pPr>
        <w:spacing w:line="240" w:lineRule="auto"/>
        <w:rPr>
          <w:b/>
          <w:noProof/>
          <w:lang w:val="tr-TR" w:eastAsia="tr-TR"/>
        </w:rPr>
      </w:pPr>
    </w:p>
    <w:p w:rsidR="00E46DA2" w:rsidRPr="00F63663" w:rsidRDefault="00FC033C" w:rsidP="009A741E">
      <w:pPr>
        <w:spacing w:line="240" w:lineRule="auto"/>
        <w:rPr>
          <w:b/>
        </w:rPr>
      </w:pPr>
      <w:r w:rsidRPr="00FC033C">
        <w:rPr>
          <w:b/>
          <w:noProof/>
          <w:lang w:val="tr-TR" w:eastAsia="tr-TR"/>
        </w:rPr>
        <w:drawing>
          <wp:inline distT="0" distB="0" distL="0" distR="0" wp14:anchorId="4DC8E31A" wp14:editId="734BDB9A">
            <wp:extent cx="4564380" cy="2883208"/>
            <wp:effectExtent l="0" t="0" r="762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86878" cy="2897420"/>
                    </a:xfrm>
                    <a:prstGeom prst="rect">
                      <a:avLst/>
                    </a:prstGeom>
                  </pic:spPr>
                </pic:pic>
              </a:graphicData>
            </a:graphic>
          </wp:inline>
        </w:drawing>
      </w:r>
    </w:p>
    <w:p w:rsidR="00507E0E" w:rsidRPr="00F63663" w:rsidRDefault="00507E0E" w:rsidP="00507E0E">
      <w:pPr>
        <w:spacing w:line="240" w:lineRule="auto"/>
        <w:jc w:val="both"/>
      </w:pPr>
      <w:r w:rsidRPr="00F63663">
        <w:rPr>
          <w:b/>
        </w:rPr>
        <w:t xml:space="preserve">Figure 3. </w:t>
      </w:r>
      <w:r w:rsidRPr="00F63663">
        <w:t xml:space="preserve">Repetitive cyclic </w:t>
      </w:r>
      <w:proofErr w:type="spellStart"/>
      <w:r w:rsidRPr="00F63663">
        <w:t>voltammogram</w:t>
      </w:r>
      <w:proofErr w:type="spellEnd"/>
      <w:r w:rsidRPr="00F63663">
        <w:t xml:space="preserve"> of 3 </w:t>
      </w:r>
      <w:proofErr w:type="spellStart"/>
      <w:r w:rsidRPr="00F63663">
        <w:t>mM</w:t>
      </w:r>
      <w:proofErr w:type="spellEnd"/>
      <w:r w:rsidRPr="00F63663">
        <w:t xml:space="preserve"> HAuCl</w:t>
      </w:r>
      <w:r w:rsidR="00433107" w:rsidRPr="00F63663">
        <w:t>O</w:t>
      </w:r>
      <w:r w:rsidRPr="00F63663">
        <w:rPr>
          <w:vertAlign w:val="subscript"/>
        </w:rPr>
        <w:t>4</w:t>
      </w:r>
      <w:r w:rsidRPr="00F63663">
        <w:t xml:space="preserve"> solution at a scan rate of 0.050 V</w:t>
      </w:r>
      <w:r w:rsidR="00433107" w:rsidRPr="00F63663">
        <w:t xml:space="preserve"> </w:t>
      </w:r>
      <w:r w:rsidRPr="00F63663">
        <w:t>s</w:t>
      </w:r>
      <w:r w:rsidR="00433107" w:rsidRPr="00F63663">
        <w:rPr>
          <w:vertAlign w:val="superscript"/>
        </w:rPr>
        <w:t>-1</w:t>
      </w:r>
      <w:r w:rsidRPr="00F63663">
        <w:t xml:space="preserve">. </w:t>
      </w:r>
    </w:p>
    <w:p w:rsidR="00C34A62" w:rsidRDefault="00C34A62" w:rsidP="00C34A62">
      <w:pPr>
        <w:pStyle w:val="Balk2"/>
        <w:numPr>
          <w:ilvl w:val="1"/>
          <w:numId w:val="37"/>
        </w:numPr>
        <w:rPr>
          <w:i w:val="0"/>
        </w:rPr>
      </w:pPr>
      <w:r>
        <w:rPr>
          <w:i w:val="0"/>
        </w:rPr>
        <w:t xml:space="preserve"> </w:t>
      </w:r>
      <w:r w:rsidR="00507E0E" w:rsidRPr="00C34A62">
        <w:rPr>
          <w:i w:val="0"/>
        </w:rPr>
        <w:t xml:space="preserve">Electrochemical </w:t>
      </w:r>
      <w:r>
        <w:rPr>
          <w:i w:val="0"/>
        </w:rPr>
        <w:t>C</w:t>
      </w:r>
      <w:r w:rsidR="00507E0E" w:rsidRPr="00C34A62">
        <w:rPr>
          <w:i w:val="0"/>
        </w:rPr>
        <w:t>haracterization of RGO/</w:t>
      </w:r>
      <w:proofErr w:type="spellStart"/>
      <w:r w:rsidR="00507E0E" w:rsidRPr="00C34A62">
        <w:rPr>
          <w:i w:val="0"/>
        </w:rPr>
        <w:t>AuNPs</w:t>
      </w:r>
      <w:proofErr w:type="spellEnd"/>
      <w:r w:rsidR="00507E0E" w:rsidRPr="00C34A62">
        <w:rPr>
          <w:i w:val="0"/>
        </w:rPr>
        <w:t>/GCE</w:t>
      </w:r>
    </w:p>
    <w:p w:rsidR="00507E0E" w:rsidRPr="00C34A62" w:rsidRDefault="00C34A62" w:rsidP="00C34A62">
      <w:pPr>
        <w:pStyle w:val="Balk2"/>
        <w:ind w:left="360"/>
        <w:rPr>
          <w:i w:val="0"/>
        </w:rPr>
      </w:pPr>
      <w:r>
        <w:rPr>
          <w:i w:val="0"/>
        </w:rPr>
        <w:t>N</w:t>
      </w:r>
      <w:r w:rsidR="00507E0E" w:rsidRPr="00C34A62">
        <w:rPr>
          <w:i w:val="0"/>
        </w:rPr>
        <w:t xml:space="preserve">anocomposite </w:t>
      </w:r>
    </w:p>
    <w:p w:rsidR="00507E0E" w:rsidRPr="00F63663" w:rsidRDefault="00507E0E" w:rsidP="00507E0E">
      <w:pPr>
        <w:spacing w:line="360" w:lineRule="auto"/>
        <w:jc w:val="both"/>
      </w:pPr>
      <w:r w:rsidRPr="00F63663">
        <w:rPr>
          <w:bCs/>
        </w:rPr>
        <w:t xml:space="preserve">The cyclic </w:t>
      </w:r>
      <w:proofErr w:type="spellStart"/>
      <w:r w:rsidRPr="00F63663">
        <w:rPr>
          <w:bCs/>
        </w:rPr>
        <w:t>voltammogram</w:t>
      </w:r>
      <w:proofErr w:type="spellEnd"/>
      <w:r w:rsidRPr="00F63663">
        <w:rPr>
          <w:bCs/>
        </w:rPr>
        <w:t xml:space="preserve"> (CV) of the </w:t>
      </w:r>
      <w:bookmarkStart w:id="0" w:name="_Hlk72272704"/>
      <w:r w:rsidRPr="00F63663">
        <w:rPr>
          <w:bCs/>
        </w:rPr>
        <w:t>[Fe(CN)</w:t>
      </w:r>
      <w:r w:rsidRPr="00F63663">
        <w:rPr>
          <w:bCs/>
          <w:vertAlign w:val="subscript"/>
        </w:rPr>
        <w:t>6</w:t>
      </w:r>
      <w:r w:rsidRPr="00F63663">
        <w:rPr>
          <w:bCs/>
        </w:rPr>
        <w:t>]</w:t>
      </w:r>
      <w:r w:rsidRPr="00F63663">
        <w:rPr>
          <w:bCs/>
          <w:vertAlign w:val="superscript"/>
        </w:rPr>
        <w:t>3-/4-</w:t>
      </w:r>
      <w:bookmarkEnd w:id="0"/>
      <w:r w:rsidRPr="00F63663">
        <w:rPr>
          <w:bCs/>
        </w:rPr>
        <w:t xml:space="preserve"> redox probe is a useful method for investigating the characteristics of surface-modified electrodes. For this, </w:t>
      </w:r>
      <w:r w:rsidRPr="00F63663">
        <w:t xml:space="preserve">electrochemical characteristics of the modified and unmodified sensors were investigated in </w:t>
      </w:r>
      <w:r w:rsidRPr="00F63663">
        <w:rPr>
          <w:bCs/>
        </w:rPr>
        <w:t xml:space="preserve">100 </w:t>
      </w:r>
      <w:proofErr w:type="spellStart"/>
      <w:r w:rsidRPr="00F63663">
        <w:rPr>
          <w:bCs/>
        </w:rPr>
        <w:t>mM</w:t>
      </w:r>
      <w:proofErr w:type="spellEnd"/>
      <w:r w:rsidRPr="00F63663">
        <w:rPr>
          <w:bCs/>
        </w:rPr>
        <w:t xml:space="preserve"> </w:t>
      </w:r>
      <w:proofErr w:type="spellStart"/>
      <w:r w:rsidRPr="00F63663">
        <w:rPr>
          <w:bCs/>
        </w:rPr>
        <w:t>KCl</w:t>
      </w:r>
      <w:proofErr w:type="spellEnd"/>
      <w:r w:rsidRPr="00F63663">
        <w:rPr>
          <w:bCs/>
        </w:rPr>
        <w:t xml:space="preserve"> containing 5.0 </w:t>
      </w:r>
      <w:proofErr w:type="spellStart"/>
      <w:r w:rsidRPr="00F63663">
        <w:rPr>
          <w:bCs/>
        </w:rPr>
        <w:t>mM</w:t>
      </w:r>
      <w:proofErr w:type="spellEnd"/>
      <w:r w:rsidRPr="00F63663">
        <w:rPr>
          <w:bCs/>
        </w:rPr>
        <w:t xml:space="preserve"> of [Fe(CN)</w:t>
      </w:r>
      <w:r w:rsidRPr="00F63663">
        <w:rPr>
          <w:bCs/>
          <w:vertAlign w:val="subscript"/>
        </w:rPr>
        <w:t>6</w:t>
      </w:r>
      <w:r w:rsidRPr="00F63663">
        <w:rPr>
          <w:bCs/>
        </w:rPr>
        <w:t>]</w:t>
      </w:r>
      <w:r w:rsidRPr="00F63663">
        <w:rPr>
          <w:bCs/>
          <w:vertAlign w:val="superscript"/>
        </w:rPr>
        <w:t xml:space="preserve">3-/4- </w:t>
      </w:r>
      <w:r w:rsidRPr="00F63663">
        <w:rPr>
          <w:bCs/>
        </w:rPr>
        <w:t>ions. Figure 4</w:t>
      </w:r>
      <w:r w:rsidRPr="00F63663">
        <w:t xml:space="preserve"> shows the CVs recorded for (a) GCE (curve a), (b) RGO/GCE (curve b), and (c) </w:t>
      </w:r>
      <w:proofErr w:type="spellStart"/>
      <w:r w:rsidRPr="00F63663">
        <w:t>AuNPs</w:t>
      </w:r>
      <w:proofErr w:type="spellEnd"/>
      <w:r w:rsidRPr="00F63663">
        <w:t xml:space="preserve">/RGO/GCE (curve c). In these three </w:t>
      </w:r>
      <w:proofErr w:type="spellStart"/>
      <w:r w:rsidRPr="00F63663">
        <w:t>voltammograms</w:t>
      </w:r>
      <w:proofErr w:type="spellEnd"/>
      <w:r w:rsidRPr="00F63663">
        <w:t xml:space="preserve">, reversible peaks of </w:t>
      </w:r>
      <w:r w:rsidRPr="00F63663">
        <w:rPr>
          <w:bCs/>
        </w:rPr>
        <w:t>[Fe(CN)</w:t>
      </w:r>
      <w:r w:rsidRPr="00F63663">
        <w:rPr>
          <w:bCs/>
          <w:vertAlign w:val="subscript"/>
        </w:rPr>
        <w:t>6</w:t>
      </w:r>
      <w:r w:rsidRPr="00F63663">
        <w:rPr>
          <w:bCs/>
        </w:rPr>
        <w:t>]</w:t>
      </w:r>
      <w:r w:rsidRPr="00F63663">
        <w:rPr>
          <w:bCs/>
          <w:vertAlign w:val="superscript"/>
        </w:rPr>
        <w:t>3-/4-</w:t>
      </w:r>
      <w:r w:rsidRPr="00F63663">
        <w:t xml:space="preserve"> were observed. Although all </w:t>
      </w:r>
      <w:proofErr w:type="spellStart"/>
      <w:r w:rsidRPr="00F63663">
        <w:t>voltammograms</w:t>
      </w:r>
      <w:proofErr w:type="spellEnd"/>
      <w:r w:rsidRPr="00F63663">
        <w:t xml:space="preserve"> showed a pair of redox peaks corresponding to Fe</w:t>
      </w:r>
      <w:r w:rsidRPr="00F63663">
        <w:rPr>
          <w:vertAlign w:val="superscript"/>
        </w:rPr>
        <w:t>3+</w:t>
      </w:r>
      <w:r w:rsidRPr="00F63663">
        <w:t>/Fe</w:t>
      </w:r>
      <w:r w:rsidRPr="00F63663">
        <w:rPr>
          <w:vertAlign w:val="superscript"/>
        </w:rPr>
        <w:t>2+</w:t>
      </w:r>
      <w:r w:rsidRPr="00F63663">
        <w:t xml:space="preserve">, the current intensity varied. </w:t>
      </w:r>
    </w:p>
    <w:p w:rsidR="00507E0E" w:rsidRPr="00BE05BF" w:rsidRDefault="00507E0E" w:rsidP="002A4357">
      <w:pPr>
        <w:spacing w:line="360" w:lineRule="auto"/>
        <w:ind w:firstLine="720"/>
        <w:jc w:val="both"/>
        <w:rPr>
          <w:vertAlign w:val="superscript"/>
        </w:rPr>
      </w:pPr>
      <w:r w:rsidRPr="00F63663">
        <w:t xml:space="preserve">The GO/GCE peak currents were lower than the bare GCE because of the insulating property of GO. Because of the RGO's large surface area and great conductivity, it was observed that peak currents increased slightly once the GCE surface </w:t>
      </w:r>
      <w:r w:rsidRPr="00F63663">
        <w:lastRenderedPageBreak/>
        <w:t xml:space="preserve">was modified with RGO. When the surface was modified with gold nanoparticles, the peak currents were significantly increased compared to the currents obtained with GCE and RGO/GCE. These changes can be interpreted as that </w:t>
      </w:r>
      <w:proofErr w:type="spellStart"/>
      <w:r w:rsidRPr="00F63663">
        <w:t>AuNPs</w:t>
      </w:r>
      <w:proofErr w:type="spellEnd"/>
      <w:r w:rsidRPr="00F63663">
        <w:t xml:space="preserve"> assisting electron transfer between the redox probe and the electrode. This finding supports the idea that combining the two nanomaterials, RGO and </w:t>
      </w:r>
      <w:proofErr w:type="spellStart"/>
      <w:r w:rsidRPr="00F63663">
        <w:t>AuNPs</w:t>
      </w:r>
      <w:proofErr w:type="spellEnd"/>
      <w:r w:rsidRPr="00F63663">
        <w:t xml:space="preserve">, increased the electrode's sensitivity by raising the current intensity or enhance the current due to </w:t>
      </w:r>
      <w:proofErr w:type="spellStart"/>
      <w:proofErr w:type="gramStart"/>
      <w:r w:rsidRPr="00F63663">
        <w:t>electrocatalytical</w:t>
      </w:r>
      <w:proofErr w:type="spellEnd"/>
      <w:r w:rsidRPr="00F63663">
        <w:t xml:space="preserve">  effect</w:t>
      </w:r>
      <w:proofErr w:type="gramEnd"/>
      <w:r w:rsidRPr="00F63663">
        <w:t xml:space="preserve"> and </w:t>
      </w:r>
      <w:r w:rsidRPr="00BE05BF">
        <w:t>large surface area</w:t>
      </w:r>
      <w:r w:rsidR="00433107" w:rsidRPr="00BE05BF">
        <w:t>.</w:t>
      </w:r>
      <w:r w:rsidR="00413DE8" w:rsidRPr="00BE05BF">
        <w:rPr>
          <w:vertAlign w:val="superscript"/>
        </w:rPr>
        <w:t>3</w:t>
      </w:r>
      <w:r w:rsidR="00467AEC" w:rsidRPr="00BE05BF">
        <w:rPr>
          <w:vertAlign w:val="superscript"/>
        </w:rPr>
        <w:t>5</w:t>
      </w:r>
    </w:p>
    <w:p w:rsidR="00FC033C" w:rsidRPr="00F63663" w:rsidRDefault="00FC033C" w:rsidP="00FC033C">
      <w:pPr>
        <w:spacing w:line="360" w:lineRule="auto"/>
        <w:ind w:firstLine="720"/>
        <w:rPr>
          <w:color w:val="000000" w:themeColor="text1"/>
        </w:rPr>
      </w:pPr>
    </w:p>
    <w:p w:rsidR="00411906" w:rsidRPr="00F63663" w:rsidRDefault="004D41E3" w:rsidP="00FC033C">
      <w:pPr>
        <w:spacing w:line="360" w:lineRule="auto"/>
        <w:ind w:firstLine="720"/>
        <w:jc w:val="both"/>
        <w:rPr>
          <w:bCs/>
          <w:noProof/>
          <w:color w:val="FF0000"/>
          <w:lang w:val="tr-TR" w:eastAsia="tr-TR"/>
        </w:rPr>
      </w:pPr>
      <w:r w:rsidRPr="00F63663">
        <w:rPr>
          <w:bCs/>
          <w:noProof/>
          <w:color w:val="FF0000"/>
          <w:lang w:val="tr-TR" w:eastAsia="tr-TR"/>
        </w:rPr>
        <w:t xml:space="preserve"> </w:t>
      </w:r>
      <w:r w:rsidR="00FC033C" w:rsidRPr="00FC033C">
        <w:rPr>
          <w:bCs/>
          <w:noProof/>
          <w:color w:val="FF0000"/>
          <w:lang w:val="tr-TR" w:eastAsia="tr-TR"/>
        </w:rPr>
        <w:drawing>
          <wp:anchor distT="0" distB="0" distL="114300" distR="114300" simplePos="0" relativeHeight="251658240" behindDoc="1" locked="0" layoutInCell="1" allowOverlap="1">
            <wp:simplePos x="0" y="0"/>
            <wp:positionH relativeFrom="column">
              <wp:posOffset>497205</wp:posOffset>
            </wp:positionH>
            <wp:positionV relativeFrom="paragraph">
              <wp:posOffset>2540</wp:posOffset>
            </wp:positionV>
            <wp:extent cx="4747260" cy="3290570"/>
            <wp:effectExtent l="0" t="0" r="0" b="5080"/>
            <wp:wrapTopAndBottom/>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747260" cy="3290570"/>
                    </a:xfrm>
                    <a:prstGeom prst="rect">
                      <a:avLst/>
                    </a:prstGeom>
                  </pic:spPr>
                </pic:pic>
              </a:graphicData>
            </a:graphic>
          </wp:anchor>
        </w:drawing>
      </w:r>
    </w:p>
    <w:p w:rsidR="00507E0E" w:rsidRPr="00F63663" w:rsidRDefault="00507E0E" w:rsidP="00F84FC7">
      <w:pPr>
        <w:keepNext/>
        <w:spacing w:line="360" w:lineRule="auto"/>
        <w:rPr>
          <w:color w:val="000000" w:themeColor="text1"/>
        </w:rPr>
      </w:pPr>
      <w:r w:rsidRPr="00F63663">
        <w:rPr>
          <w:b/>
          <w:color w:val="000000" w:themeColor="text1"/>
        </w:rPr>
        <w:t>Figure 4.</w:t>
      </w:r>
      <w:r w:rsidRPr="00F63663">
        <w:rPr>
          <w:color w:val="000000" w:themeColor="text1"/>
        </w:rPr>
        <w:t xml:space="preserve"> Cyclic </w:t>
      </w:r>
      <w:proofErr w:type="spellStart"/>
      <w:r w:rsidR="00433107" w:rsidRPr="00F63663">
        <w:rPr>
          <w:color w:val="000000" w:themeColor="text1"/>
        </w:rPr>
        <w:t>v</w:t>
      </w:r>
      <w:r w:rsidR="0063228F" w:rsidRPr="00F63663">
        <w:rPr>
          <w:color w:val="000000" w:themeColor="text1"/>
        </w:rPr>
        <w:t>oltammograms</w:t>
      </w:r>
      <w:proofErr w:type="spellEnd"/>
      <w:r w:rsidR="0063228F" w:rsidRPr="00F63663">
        <w:rPr>
          <w:color w:val="000000" w:themeColor="text1"/>
        </w:rPr>
        <w:t xml:space="preserve"> of GCE, </w:t>
      </w:r>
      <w:r w:rsidRPr="00F63663">
        <w:rPr>
          <w:color w:val="000000" w:themeColor="text1"/>
        </w:rPr>
        <w:t xml:space="preserve">RGO/GCE </w:t>
      </w:r>
      <w:r w:rsidR="00C85689" w:rsidRPr="00F63663">
        <w:rPr>
          <w:color w:val="000000" w:themeColor="text1"/>
        </w:rPr>
        <w:t>and</w:t>
      </w:r>
      <w:r w:rsidR="0063228F" w:rsidRPr="00F63663">
        <w:rPr>
          <w:color w:val="000000" w:themeColor="text1"/>
        </w:rPr>
        <w:t xml:space="preserve"> </w:t>
      </w:r>
      <w:proofErr w:type="spellStart"/>
      <w:r w:rsidR="0063228F" w:rsidRPr="00F63663">
        <w:rPr>
          <w:color w:val="000000" w:themeColor="text1"/>
        </w:rPr>
        <w:t>AuNPs</w:t>
      </w:r>
      <w:proofErr w:type="spellEnd"/>
      <w:r w:rsidR="0063228F" w:rsidRPr="00F63663">
        <w:rPr>
          <w:color w:val="000000" w:themeColor="text1"/>
        </w:rPr>
        <w:t xml:space="preserve">/RGO/GCE </w:t>
      </w:r>
      <w:r w:rsidRPr="00F63663">
        <w:rPr>
          <w:color w:val="000000" w:themeColor="text1"/>
        </w:rPr>
        <w:t>in 5</w:t>
      </w:r>
      <w:r w:rsidR="00433107" w:rsidRPr="00F63663">
        <w:rPr>
          <w:color w:val="000000" w:themeColor="text1"/>
        </w:rPr>
        <w:t>.</w:t>
      </w:r>
      <w:r w:rsidRPr="00F63663">
        <w:rPr>
          <w:color w:val="000000" w:themeColor="text1"/>
        </w:rPr>
        <w:t xml:space="preserve">0 </w:t>
      </w:r>
      <w:proofErr w:type="spellStart"/>
      <w:r w:rsidRPr="00F63663">
        <w:rPr>
          <w:color w:val="000000" w:themeColor="text1"/>
        </w:rPr>
        <w:t>mM</w:t>
      </w:r>
      <w:proofErr w:type="spellEnd"/>
      <w:r w:rsidRPr="00F63663">
        <w:rPr>
          <w:color w:val="000000" w:themeColor="text1"/>
        </w:rPr>
        <w:t xml:space="preserve"> [Fe(CN)</w:t>
      </w:r>
      <w:r w:rsidRPr="00F63663">
        <w:rPr>
          <w:color w:val="000000" w:themeColor="text1"/>
          <w:vertAlign w:val="subscript"/>
        </w:rPr>
        <w:t>6</w:t>
      </w:r>
      <w:r w:rsidRPr="00F63663">
        <w:rPr>
          <w:color w:val="000000" w:themeColor="text1"/>
        </w:rPr>
        <w:t>]</w:t>
      </w:r>
      <w:r w:rsidRPr="00F63663">
        <w:rPr>
          <w:color w:val="000000" w:themeColor="text1"/>
          <w:vertAlign w:val="superscript"/>
        </w:rPr>
        <w:t>3-/4-</w:t>
      </w:r>
      <w:r w:rsidR="0063228F" w:rsidRPr="00F63663">
        <w:rPr>
          <w:color w:val="000000" w:themeColor="text1"/>
        </w:rPr>
        <w:t xml:space="preserve"> containing 100 </w:t>
      </w:r>
      <w:proofErr w:type="spellStart"/>
      <w:r w:rsidR="0063228F" w:rsidRPr="00F63663">
        <w:rPr>
          <w:color w:val="000000" w:themeColor="text1"/>
        </w:rPr>
        <w:t>mM</w:t>
      </w:r>
      <w:proofErr w:type="spellEnd"/>
      <w:r w:rsidR="0063228F" w:rsidRPr="00F63663">
        <w:rPr>
          <w:color w:val="000000" w:themeColor="text1"/>
        </w:rPr>
        <w:t xml:space="preserve"> </w:t>
      </w:r>
      <w:proofErr w:type="spellStart"/>
      <w:r w:rsidR="0063228F" w:rsidRPr="00F63663">
        <w:rPr>
          <w:color w:val="000000" w:themeColor="text1"/>
        </w:rPr>
        <w:t>KCl</w:t>
      </w:r>
      <w:proofErr w:type="spellEnd"/>
    </w:p>
    <w:p w:rsidR="00507E0E" w:rsidRPr="0030196E" w:rsidRDefault="0030196E" w:rsidP="0030196E">
      <w:pPr>
        <w:pStyle w:val="Balk2"/>
        <w:numPr>
          <w:ilvl w:val="1"/>
          <w:numId w:val="37"/>
        </w:numPr>
        <w:rPr>
          <w:i w:val="0"/>
        </w:rPr>
      </w:pPr>
      <w:r>
        <w:rPr>
          <w:i w:val="0"/>
        </w:rPr>
        <w:t xml:space="preserve"> </w:t>
      </w:r>
      <w:r w:rsidR="00507E0E" w:rsidRPr="0030196E">
        <w:rPr>
          <w:i w:val="0"/>
        </w:rPr>
        <w:t xml:space="preserve">Electrochemical </w:t>
      </w:r>
      <w:r>
        <w:rPr>
          <w:i w:val="0"/>
        </w:rPr>
        <w:t>P</w:t>
      </w:r>
      <w:r w:rsidR="00507E0E" w:rsidRPr="0030196E">
        <w:rPr>
          <w:i w:val="0"/>
        </w:rPr>
        <w:t xml:space="preserve">erformance of the </w:t>
      </w:r>
      <w:r>
        <w:rPr>
          <w:i w:val="0"/>
        </w:rPr>
        <w:t>S</w:t>
      </w:r>
      <w:r w:rsidR="00507E0E" w:rsidRPr="0030196E">
        <w:rPr>
          <w:i w:val="0"/>
        </w:rPr>
        <w:t>ensors</w:t>
      </w:r>
    </w:p>
    <w:p w:rsidR="00507E0E" w:rsidRPr="00F63663" w:rsidRDefault="00507E0E" w:rsidP="00507E0E">
      <w:pPr>
        <w:spacing w:line="360" w:lineRule="auto"/>
        <w:jc w:val="both"/>
        <w:rPr>
          <w:b/>
        </w:rPr>
      </w:pPr>
      <w:r w:rsidRPr="00F63663">
        <w:t xml:space="preserve">In 0.04 </w:t>
      </w:r>
      <w:proofErr w:type="spellStart"/>
      <w:r w:rsidRPr="00F63663">
        <w:t>mol</w:t>
      </w:r>
      <w:proofErr w:type="spellEnd"/>
      <w:r w:rsidR="00433107" w:rsidRPr="00F63663">
        <w:t xml:space="preserve"> </w:t>
      </w:r>
      <w:r w:rsidRPr="00F63663">
        <w:t>L</w:t>
      </w:r>
      <w:r w:rsidR="00433107" w:rsidRPr="00F63663">
        <w:rPr>
          <w:vertAlign w:val="superscript"/>
        </w:rPr>
        <w:t>-1</w:t>
      </w:r>
      <w:r w:rsidRPr="00F63663">
        <w:t xml:space="preserve"> BR buffer solution (pH 8.0), the CV responses of the bare GCE, RGO/GCE, and </w:t>
      </w:r>
      <w:proofErr w:type="spellStart"/>
      <w:r w:rsidRPr="00F63663">
        <w:t>AuNPs</w:t>
      </w:r>
      <w:proofErr w:type="spellEnd"/>
      <w:r w:rsidRPr="00F63663">
        <w:t xml:space="preserve">/RGO/GCE sensors to </w:t>
      </w:r>
      <w:proofErr w:type="spellStart"/>
      <w:r w:rsidRPr="00F63663">
        <w:t>ziram</w:t>
      </w:r>
      <w:proofErr w:type="spellEnd"/>
      <w:r w:rsidRPr="00F63663">
        <w:t xml:space="preserve"> were individually examined (Fig. 5). </w:t>
      </w:r>
      <w:r w:rsidR="000963AB" w:rsidRPr="00F63663">
        <w:t>The highest peak current</w:t>
      </w:r>
      <w:r w:rsidRPr="00F63663">
        <w:t xml:space="preserve"> </w:t>
      </w:r>
      <w:r w:rsidR="000963AB" w:rsidRPr="00F63663">
        <w:t>was</w:t>
      </w:r>
      <w:r w:rsidRPr="00F63663">
        <w:t xml:space="preserve"> obtained for gold nanoparticle/reduced </w:t>
      </w:r>
      <w:proofErr w:type="spellStart"/>
      <w:r w:rsidRPr="00F63663">
        <w:t>graphen</w:t>
      </w:r>
      <w:proofErr w:type="spellEnd"/>
      <w:r w:rsidRPr="00F63663">
        <w:t xml:space="preserve"> oxide decorated GCE compared to the bare GCE and RGO/GCE. The obtained results suggested that the </w:t>
      </w:r>
      <w:proofErr w:type="spellStart"/>
      <w:r w:rsidRPr="00F63663">
        <w:t>AgNPs</w:t>
      </w:r>
      <w:proofErr w:type="spellEnd"/>
      <w:r w:rsidRPr="00F63663">
        <w:t xml:space="preserve">/RGO/GCE composite could have a substantial catalytic activity, enhancing the electrochemical oxidation of </w:t>
      </w:r>
      <w:proofErr w:type="spellStart"/>
      <w:r w:rsidRPr="00F63663">
        <w:t>ziram</w:t>
      </w:r>
      <w:proofErr w:type="spellEnd"/>
      <w:r w:rsidRPr="00F63663">
        <w:t xml:space="preserve">. The improved electrochemical performance of the modified electrode can be due to the synergistic effects of </w:t>
      </w:r>
      <w:proofErr w:type="spellStart"/>
      <w:r w:rsidRPr="00F63663">
        <w:t>AgNPs</w:t>
      </w:r>
      <w:proofErr w:type="spellEnd"/>
      <w:r w:rsidRPr="00F63663">
        <w:t xml:space="preserve"> and RGO, which may benefit electron transfer kinetics.</w:t>
      </w:r>
    </w:p>
    <w:p w:rsidR="00507E0E" w:rsidRPr="00F63663" w:rsidRDefault="00FC033C" w:rsidP="00507E0E">
      <w:pPr>
        <w:spacing w:line="360" w:lineRule="auto"/>
        <w:jc w:val="both"/>
        <w:rPr>
          <w:b/>
        </w:rPr>
      </w:pPr>
      <w:r w:rsidRPr="00FC033C">
        <w:rPr>
          <w:b/>
          <w:noProof/>
          <w:lang w:val="tr-TR" w:eastAsia="tr-TR"/>
        </w:rPr>
        <w:lastRenderedPageBreak/>
        <w:drawing>
          <wp:inline distT="0" distB="0" distL="0" distR="0" wp14:anchorId="6ED2CF79" wp14:editId="29059767">
            <wp:extent cx="4418330" cy="2727960"/>
            <wp:effectExtent l="0" t="0" r="127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28205" cy="2734057"/>
                    </a:xfrm>
                    <a:prstGeom prst="rect">
                      <a:avLst/>
                    </a:prstGeom>
                  </pic:spPr>
                </pic:pic>
              </a:graphicData>
            </a:graphic>
          </wp:inline>
        </w:drawing>
      </w:r>
    </w:p>
    <w:p w:rsidR="00D201A9" w:rsidRPr="00F63663" w:rsidRDefault="000963AB" w:rsidP="00D201A9">
      <w:pPr>
        <w:spacing w:line="360" w:lineRule="auto"/>
        <w:rPr>
          <w:color w:val="000000" w:themeColor="text1"/>
        </w:rPr>
      </w:pPr>
      <w:r w:rsidRPr="00F63663">
        <w:rPr>
          <w:b/>
          <w:noProof/>
          <w:color w:val="FF0000"/>
          <w:lang w:val="tr-TR" w:eastAsia="tr-TR"/>
        </w:rPr>
        <w:t xml:space="preserve"> </w:t>
      </w:r>
      <w:r w:rsidR="00D201A9" w:rsidRPr="00F63663">
        <w:rPr>
          <w:b/>
          <w:noProof/>
          <w:color w:val="000000" w:themeColor="text1"/>
          <w:lang w:val="tr-TR" w:eastAsia="tr-TR"/>
        </w:rPr>
        <w:t xml:space="preserve">Figure 5. </w:t>
      </w:r>
      <w:r w:rsidR="00D201A9" w:rsidRPr="00F63663">
        <w:rPr>
          <w:noProof/>
          <w:color w:val="000000" w:themeColor="text1"/>
          <w:lang w:val="tr-TR" w:eastAsia="tr-TR"/>
        </w:rPr>
        <w:t>The cyclic voltammograms of ziram at the bare GCE, RGO/GCE and AuNPs/RGO/GCE</w:t>
      </w:r>
    </w:p>
    <w:p w:rsidR="00586D0C" w:rsidRPr="00F63663" w:rsidRDefault="00586D0C" w:rsidP="00507E0E">
      <w:pPr>
        <w:spacing w:line="360" w:lineRule="auto"/>
        <w:jc w:val="both"/>
        <w:rPr>
          <w:color w:val="FF0000"/>
        </w:rPr>
      </w:pPr>
    </w:p>
    <w:p w:rsidR="00507E0E" w:rsidRPr="0030196E" w:rsidRDefault="0030196E" w:rsidP="0030196E">
      <w:pPr>
        <w:pStyle w:val="Balk2"/>
        <w:numPr>
          <w:ilvl w:val="1"/>
          <w:numId w:val="37"/>
        </w:numPr>
        <w:rPr>
          <w:i w:val="0"/>
        </w:rPr>
      </w:pPr>
      <w:r w:rsidRPr="0030196E">
        <w:rPr>
          <w:i w:val="0"/>
        </w:rPr>
        <w:t xml:space="preserve"> </w:t>
      </w:r>
      <w:r w:rsidR="00507E0E" w:rsidRPr="0030196E">
        <w:rPr>
          <w:i w:val="0"/>
        </w:rPr>
        <w:t xml:space="preserve">Optimization of </w:t>
      </w:r>
      <w:r>
        <w:rPr>
          <w:i w:val="0"/>
        </w:rPr>
        <w:t>E</w:t>
      </w:r>
      <w:r w:rsidR="00507E0E" w:rsidRPr="0030196E">
        <w:rPr>
          <w:i w:val="0"/>
        </w:rPr>
        <w:t xml:space="preserve">xperimental </w:t>
      </w:r>
      <w:r>
        <w:rPr>
          <w:i w:val="0"/>
        </w:rPr>
        <w:t>C</w:t>
      </w:r>
      <w:r w:rsidR="00507E0E" w:rsidRPr="0030196E">
        <w:rPr>
          <w:i w:val="0"/>
        </w:rPr>
        <w:t>onditions</w:t>
      </w:r>
    </w:p>
    <w:p w:rsidR="00507E0E" w:rsidRPr="00F63663" w:rsidRDefault="00507E0E" w:rsidP="00507E0E">
      <w:pPr>
        <w:spacing w:line="360" w:lineRule="auto"/>
        <w:jc w:val="both"/>
      </w:pPr>
      <w:r w:rsidRPr="00F63663">
        <w:t xml:space="preserve">The pH of the supporting solution has critical importance in obtaining good analytical performance for a developed sensor. Therefore, the effect of pH was investigated for </w:t>
      </w:r>
      <w:proofErr w:type="spellStart"/>
      <w:r w:rsidRPr="00F63663">
        <w:t>ziram</w:t>
      </w:r>
      <w:proofErr w:type="spellEnd"/>
      <w:r w:rsidRPr="00F63663">
        <w:t xml:space="preserve"> in 0.04 M BR buffer solutions.  This study was carried out at 1.52 x 10</w:t>
      </w:r>
      <w:r w:rsidRPr="00F63663">
        <w:rPr>
          <w:vertAlign w:val="superscript"/>
        </w:rPr>
        <w:t>-3</w:t>
      </w:r>
      <w:r w:rsidRPr="00F63663">
        <w:t xml:space="preserve"> </w:t>
      </w:r>
      <w:proofErr w:type="spellStart"/>
      <w:r w:rsidR="00433107" w:rsidRPr="00F63663">
        <w:t>mol</w:t>
      </w:r>
      <w:proofErr w:type="spellEnd"/>
      <w:r w:rsidR="00433107" w:rsidRPr="00F63663">
        <w:t xml:space="preserve"> L</w:t>
      </w:r>
      <w:r w:rsidR="00433107" w:rsidRPr="00F63663">
        <w:rPr>
          <w:vertAlign w:val="superscript"/>
        </w:rPr>
        <w:t>-1</w:t>
      </w:r>
      <w:r w:rsidRPr="00F63663">
        <w:t xml:space="preserve"> constant </w:t>
      </w:r>
      <w:proofErr w:type="spellStart"/>
      <w:r w:rsidRPr="00F63663">
        <w:t>ziram</w:t>
      </w:r>
      <w:proofErr w:type="spellEnd"/>
      <w:r w:rsidRPr="00F63663">
        <w:t xml:space="preserve"> concentration over the pH range from 5.01 to 10.03. The response current increases as the pH rises from 5.01 to 8.0, then decreases as the pH increases further (Fig. 6). As seen from the Figure, maximum peak current was appeared at pH 8.01 and these pH value was used for the analysis of </w:t>
      </w:r>
      <w:proofErr w:type="spellStart"/>
      <w:r w:rsidRPr="00F63663">
        <w:t>ziram</w:t>
      </w:r>
      <w:proofErr w:type="spellEnd"/>
      <w:r w:rsidRPr="00F63663">
        <w:t xml:space="preserve">. The peak heights of these </w:t>
      </w:r>
      <w:proofErr w:type="spellStart"/>
      <w:r w:rsidRPr="00F63663">
        <w:t>voltammograms</w:t>
      </w:r>
      <w:proofErr w:type="spellEnd"/>
      <w:r w:rsidRPr="00F63663">
        <w:t xml:space="preserve"> are given in Table 1.</w:t>
      </w:r>
    </w:p>
    <w:p w:rsidR="00507E0E" w:rsidRPr="00F63663" w:rsidRDefault="00507E0E" w:rsidP="00507E0E">
      <w:pPr>
        <w:spacing w:line="360" w:lineRule="auto"/>
        <w:jc w:val="both"/>
        <w:rPr>
          <w:color w:val="FF0000"/>
        </w:rPr>
      </w:pPr>
    </w:p>
    <w:p w:rsidR="00423322" w:rsidRPr="00F63663" w:rsidRDefault="00423322" w:rsidP="00507E0E">
      <w:pPr>
        <w:spacing w:line="360" w:lineRule="auto"/>
        <w:jc w:val="both"/>
        <w:rPr>
          <w:color w:val="FF0000"/>
        </w:rPr>
      </w:pPr>
      <w:r w:rsidRPr="00F63663">
        <w:rPr>
          <w:noProof/>
          <w:lang w:val="tr-TR" w:eastAsia="tr-TR"/>
        </w:rPr>
        <w:lastRenderedPageBreak/>
        <w:drawing>
          <wp:inline distT="0" distB="0" distL="0" distR="0" wp14:anchorId="4FEC5D7B" wp14:editId="39CB29A6">
            <wp:extent cx="4838700" cy="2804160"/>
            <wp:effectExtent l="0" t="0" r="0" b="0"/>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07E0E" w:rsidRPr="00F63663" w:rsidRDefault="00507E0E" w:rsidP="00507E0E">
      <w:pPr>
        <w:spacing w:line="360" w:lineRule="auto"/>
        <w:jc w:val="both"/>
      </w:pPr>
      <w:r w:rsidRPr="00F63663">
        <w:rPr>
          <w:b/>
        </w:rPr>
        <w:t>Figure 6.</w:t>
      </w:r>
      <w:r w:rsidRPr="00F63663">
        <w:t xml:space="preserve"> The effect of pH on the current intensity of </w:t>
      </w:r>
      <w:proofErr w:type="spellStart"/>
      <w:r w:rsidRPr="00F63663">
        <w:t>AuNPs</w:t>
      </w:r>
      <w:proofErr w:type="spellEnd"/>
      <w:r w:rsidRPr="00F63663">
        <w:t>/RGO/GCE</w:t>
      </w:r>
    </w:p>
    <w:p w:rsidR="00D27D8D" w:rsidRPr="00F63663" w:rsidRDefault="00D27D8D" w:rsidP="00D27D8D">
      <w:pPr>
        <w:spacing w:line="240" w:lineRule="auto"/>
        <w:jc w:val="both"/>
        <w:rPr>
          <w:b/>
        </w:rPr>
      </w:pPr>
    </w:p>
    <w:p w:rsidR="00D27D8D" w:rsidRPr="00F63663" w:rsidRDefault="00D27D8D" w:rsidP="00D27D8D">
      <w:pPr>
        <w:spacing w:line="240" w:lineRule="auto"/>
        <w:jc w:val="both"/>
        <w:rPr>
          <w:b/>
        </w:rPr>
      </w:pPr>
      <w:r w:rsidRPr="00F63663">
        <w:rPr>
          <w:b/>
        </w:rPr>
        <w:t xml:space="preserve">Table 1. </w:t>
      </w:r>
      <w:r w:rsidRPr="00F63663">
        <w:t>Variation of peak potential and peak current of 1.52 x 10</w:t>
      </w:r>
      <w:r w:rsidRPr="00F63663">
        <w:rPr>
          <w:vertAlign w:val="superscript"/>
        </w:rPr>
        <w:t>-3</w:t>
      </w:r>
      <w:r w:rsidRPr="00F63663">
        <w:t xml:space="preserve"> M </w:t>
      </w:r>
      <w:proofErr w:type="spellStart"/>
      <w:r w:rsidRPr="00F63663">
        <w:t>ziram</w:t>
      </w:r>
      <w:proofErr w:type="spellEnd"/>
      <w:r w:rsidRPr="00F63663">
        <w:t xml:space="preserve"> solution at a scan rate of 0.050 V</w:t>
      </w:r>
      <w:r w:rsidR="00433107" w:rsidRPr="00F63663">
        <w:t xml:space="preserve"> </w:t>
      </w:r>
      <w:r w:rsidRPr="00F63663">
        <w:t>s</w:t>
      </w:r>
      <w:r w:rsidR="00433107" w:rsidRPr="00F63663">
        <w:rPr>
          <w:vertAlign w:val="superscript"/>
        </w:rPr>
        <w:t>-1</w:t>
      </w:r>
      <w:r w:rsidRPr="00F63663">
        <w:t xml:space="preserve"> and different pH in 0.04 </w:t>
      </w:r>
      <w:proofErr w:type="spellStart"/>
      <w:r w:rsidRPr="00F63663">
        <w:t>mol</w:t>
      </w:r>
      <w:proofErr w:type="spellEnd"/>
      <w:r w:rsidR="00433107" w:rsidRPr="00F63663">
        <w:t xml:space="preserve"> </w:t>
      </w:r>
      <w:r w:rsidRPr="00F63663">
        <w:t>L</w:t>
      </w:r>
      <w:r w:rsidR="00433107" w:rsidRPr="00F63663">
        <w:rPr>
          <w:vertAlign w:val="superscript"/>
        </w:rPr>
        <w:t>-1</w:t>
      </w:r>
      <w:r w:rsidRPr="00F63663">
        <w:t xml:space="preserve"> BR buffer solutions.</w:t>
      </w:r>
    </w:p>
    <w:tbl>
      <w:tblPr>
        <w:tblStyle w:val="TabloKlavuzu"/>
        <w:tblW w:w="8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6"/>
        <w:gridCol w:w="3278"/>
        <w:gridCol w:w="3563"/>
      </w:tblGrid>
      <w:tr w:rsidR="00D27D8D" w:rsidRPr="00F63663" w:rsidTr="00E95013">
        <w:trPr>
          <w:trHeight w:val="252"/>
        </w:trPr>
        <w:tc>
          <w:tcPr>
            <w:tcW w:w="1996" w:type="dxa"/>
            <w:tcBorders>
              <w:top w:val="single" w:sz="4" w:space="0" w:color="auto"/>
              <w:bottom w:val="single" w:sz="4" w:space="0" w:color="auto"/>
            </w:tcBorders>
          </w:tcPr>
          <w:p w:rsidR="00D27D8D" w:rsidRPr="00F63663" w:rsidRDefault="00D27D8D" w:rsidP="00E95013">
            <w:pPr>
              <w:spacing w:after="160" w:line="276" w:lineRule="auto"/>
              <w:rPr>
                <w:rFonts w:ascii="Times New Roman" w:hAnsi="Times New Roman" w:cs="Times New Roman"/>
                <w:b/>
                <w:bCs/>
                <w:iCs/>
              </w:rPr>
            </w:pPr>
            <w:proofErr w:type="spellStart"/>
            <w:r w:rsidRPr="00F63663">
              <w:rPr>
                <w:rFonts w:ascii="Times New Roman" w:hAnsi="Times New Roman" w:cs="Times New Roman"/>
                <w:b/>
                <w:bCs/>
                <w:iCs/>
              </w:rPr>
              <w:t>pH</w:t>
            </w:r>
            <w:proofErr w:type="spellEnd"/>
          </w:p>
        </w:tc>
        <w:tc>
          <w:tcPr>
            <w:tcW w:w="3278" w:type="dxa"/>
            <w:tcBorders>
              <w:top w:val="single" w:sz="4" w:space="0" w:color="auto"/>
              <w:bottom w:val="single" w:sz="4" w:space="0" w:color="auto"/>
            </w:tcBorders>
          </w:tcPr>
          <w:p w:rsidR="00D27D8D" w:rsidRPr="00F63663" w:rsidRDefault="00D27D8D" w:rsidP="00E95013">
            <w:pPr>
              <w:spacing w:after="160" w:line="276" w:lineRule="auto"/>
              <w:jc w:val="center"/>
              <w:rPr>
                <w:rFonts w:ascii="Times New Roman" w:hAnsi="Times New Roman" w:cs="Times New Roman"/>
                <w:b/>
                <w:bCs/>
                <w:iCs/>
              </w:rPr>
            </w:pPr>
            <w:proofErr w:type="spellStart"/>
            <w:r w:rsidRPr="00F63663">
              <w:rPr>
                <w:rFonts w:ascii="Times New Roman" w:hAnsi="Times New Roman" w:cs="Times New Roman"/>
                <w:b/>
                <w:bCs/>
                <w:iCs/>
              </w:rPr>
              <w:t>Peak</w:t>
            </w:r>
            <w:proofErr w:type="spellEnd"/>
            <w:r w:rsidRPr="00F63663">
              <w:rPr>
                <w:rFonts w:ascii="Times New Roman" w:hAnsi="Times New Roman" w:cs="Times New Roman"/>
                <w:b/>
                <w:bCs/>
                <w:iCs/>
              </w:rPr>
              <w:t xml:space="preserve"> </w:t>
            </w:r>
            <w:proofErr w:type="spellStart"/>
            <w:r w:rsidRPr="00F63663">
              <w:rPr>
                <w:rFonts w:ascii="Times New Roman" w:hAnsi="Times New Roman" w:cs="Times New Roman"/>
                <w:b/>
                <w:bCs/>
                <w:iCs/>
              </w:rPr>
              <w:t>current</w:t>
            </w:r>
            <w:proofErr w:type="spellEnd"/>
            <w:r w:rsidRPr="00F63663">
              <w:rPr>
                <w:rFonts w:ascii="Times New Roman" w:hAnsi="Times New Roman" w:cs="Times New Roman"/>
                <w:b/>
                <w:bCs/>
                <w:iCs/>
              </w:rPr>
              <w:t xml:space="preserve"> (µA)</w:t>
            </w:r>
          </w:p>
        </w:tc>
        <w:tc>
          <w:tcPr>
            <w:tcW w:w="3563" w:type="dxa"/>
            <w:tcBorders>
              <w:top w:val="single" w:sz="4" w:space="0" w:color="auto"/>
              <w:bottom w:val="single" w:sz="4" w:space="0" w:color="auto"/>
            </w:tcBorders>
          </w:tcPr>
          <w:p w:rsidR="00D27D8D" w:rsidRPr="00F63663" w:rsidRDefault="00D27D8D" w:rsidP="00E95013">
            <w:pPr>
              <w:spacing w:after="160" w:line="276" w:lineRule="auto"/>
              <w:jc w:val="center"/>
              <w:rPr>
                <w:rFonts w:ascii="Times New Roman" w:hAnsi="Times New Roman" w:cs="Times New Roman"/>
                <w:b/>
                <w:bCs/>
                <w:iCs/>
              </w:rPr>
            </w:pPr>
            <w:proofErr w:type="spellStart"/>
            <w:r w:rsidRPr="00F63663">
              <w:rPr>
                <w:rFonts w:ascii="Times New Roman" w:hAnsi="Times New Roman" w:cs="Times New Roman"/>
                <w:b/>
                <w:bCs/>
                <w:iCs/>
              </w:rPr>
              <w:t>Peak</w:t>
            </w:r>
            <w:proofErr w:type="spellEnd"/>
            <w:r w:rsidRPr="00F63663">
              <w:rPr>
                <w:rFonts w:ascii="Times New Roman" w:hAnsi="Times New Roman" w:cs="Times New Roman"/>
                <w:b/>
                <w:bCs/>
                <w:iCs/>
              </w:rPr>
              <w:t xml:space="preserve"> </w:t>
            </w:r>
            <w:proofErr w:type="spellStart"/>
            <w:r w:rsidRPr="00F63663">
              <w:rPr>
                <w:rFonts w:ascii="Times New Roman" w:hAnsi="Times New Roman" w:cs="Times New Roman"/>
                <w:b/>
                <w:bCs/>
                <w:iCs/>
              </w:rPr>
              <w:t>potential</w:t>
            </w:r>
            <w:proofErr w:type="spellEnd"/>
            <w:r w:rsidRPr="00F63663">
              <w:rPr>
                <w:rFonts w:ascii="Times New Roman" w:hAnsi="Times New Roman" w:cs="Times New Roman"/>
                <w:b/>
                <w:bCs/>
                <w:iCs/>
              </w:rPr>
              <w:t xml:space="preserve"> (V)</w:t>
            </w:r>
          </w:p>
        </w:tc>
      </w:tr>
      <w:tr w:rsidR="00D27D8D" w:rsidRPr="00F63663" w:rsidTr="00E95013">
        <w:trPr>
          <w:trHeight w:val="252"/>
        </w:trPr>
        <w:tc>
          <w:tcPr>
            <w:tcW w:w="1996" w:type="dxa"/>
            <w:tcBorders>
              <w:top w:val="single" w:sz="4" w:space="0" w:color="auto"/>
            </w:tcBorders>
          </w:tcPr>
          <w:p w:rsidR="00D27D8D" w:rsidRPr="00F63663" w:rsidRDefault="00D27D8D" w:rsidP="00E95013">
            <w:pPr>
              <w:spacing w:after="160" w:line="276" w:lineRule="auto"/>
              <w:jc w:val="both"/>
              <w:rPr>
                <w:rFonts w:ascii="Times New Roman" w:hAnsi="Times New Roman" w:cs="Times New Roman"/>
                <w:bCs/>
                <w:iCs/>
              </w:rPr>
            </w:pPr>
            <w:r w:rsidRPr="00F63663">
              <w:rPr>
                <w:rFonts w:ascii="Times New Roman" w:hAnsi="Times New Roman" w:cs="Times New Roman"/>
                <w:bCs/>
                <w:iCs/>
              </w:rPr>
              <w:t>5.01</w:t>
            </w:r>
          </w:p>
        </w:tc>
        <w:tc>
          <w:tcPr>
            <w:tcW w:w="3278" w:type="dxa"/>
            <w:tcBorders>
              <w:top w:val="single" w:sz="4" w:space="0" w:color="auto"/>
            </w:tcBorders>
          </w:tcPr>
          <w:p w:rsidR="00D27D8D" w:rsidRPr="00F63663" w:rsidRDefault="00D27D8D" w:rsidP="00E95013">
            <w:pPr>
              <w:spacing w:after="160" w:line="276" w:lineRule="auto"/>
              <w:jc w:val="center"/>
              <w:rPr>
                <w:rFonts w:ascii="Times New Roman" w:hAnsi="Times New Roman" w:cs="Times New Roman"/>
                <w:bCs/>
                <w:iCs/>
              </w:rPr>
            </w:pPr>
            <w:r w:rsidRPr="00F63663">
              <w:rPr>
                <w:rFonts w:ascii="Times New Roman" w:hAnsi="Times New Roman" w:cs="Times New Roman"/>
                <w:bCs/>
                <w:iCs/>
              </w:rPr>
              <w:t>2.027</w:t>
            </w:r>
          </w:p>
        </w:tc>
        <w:tc>
          <w:tcPr>
            <w:tcW w:w="3563" w:type="dxa"/>
            <w:tcBorders>
              <w:top w:val="single" w:sz="4" w:space="0" w:color="auto"/>
            </w:tcBorders>
          </w:tcPr>
          <w:p w:rsidR="00D27D8D" w:rsidRPr="00F63663" w:rsidRDefault="00D27D8D" w:rsidP="00E95013">
            <w:pPr>
              <w:spacing w:after="160" w:line="276" w:lineRule="auto"/>
              <w:jc w:val="center"/>
              <w:rPr>
                <w:rFonts w:ascii="Times New Roman" w:hAnsi="Times New Roman" w:cs="Times New Roman"/>
                <w:bCs/>
                <w:iCs/>
              </w:rPr>
            </w:pPr>
            <w:r w:rsidRPr="00F63663">
              <w:rPr>
                <w:rFonts w:ascii="Times New Roman" w:hAnsi="Times New Roman" w:cs="Times New Roman"/>
                <w:bCs/>
                <w:iCs/>
              </w:rPr>
              <w:t>0.722</w:t>
            </w:r>
          </w:p>
        </w:tc>
      </w:tr>
      <w:tr w:rsidR="00D27D8D" w:rsidRPr="00F63663" w:rsidTr="00E95013">
        <w:trPr>
          <w:trHeight w:val="252"/>
        </w:trPr>
        <w:tc>
          <w:tcPr>
            <w:tcW w:w="1996" w:type="dxa"/>
          </w:tcPr>
          <w:p w:rsidR="00D27D8D" w:rsidRPr="00F63663" w:rsidRDefault="00D27D8D" w:rsidP="00E95013">
            <w:pPr>
              <w:spacing w:after="160" w:line="276" w:lineRule="auto"/>
              <w:jc w:val="both"/>
              <w:rPr>
                <w:rFonts w:ascii="Times New Roman" w:hAnsi="Times New Roman" w:cs="Times New Roman"/>
                <w:bCs/>
                <w:iCs/>
              </w:rPr>
            </w:pPr>
            <w:r w:rsidRPr="00F63663">
              <w:rPr>
                <w:rFonts w:ascii="Times New Roman" w:hAnsi="Times New Roman" w:cs="Times New Roman"/>
                <w:bCs/>
                <w:iCs/>
              </w:rPr>
              <w:t>6.04</w:t>
            </w:r>
          </w:p>
        </w:tc>
        <w:tc>
          <w:tcPr>
            <w:tcW w:w="3278" w:type="dxa"/>
          </w:tcPr>
          <w:p w:rsidR="00D27D8D" w:rsidRPr="00F63663" w:rsidRDefault="00D27D8D" w:rsidP="00E95013">
            <w:pPr>
              <w:spacing w:after="160" w:line="276" w:lineRule="auto"/>
              <w:jc w:val="center"/>
              <w:rPr>
                <w:rFonts w:ascii="Times New Roman" w:hAnsi="Times New Roman" w:cs="Times New Roman"/>
                <w:bCs/>
                <w:iCs/>
              </w:rPr>
            </w:pPr>
            <w:r w:rsidRPr="00F63663">
              <w:rPr>
                <w:rFonts w:ascii="Times New Roman" w:hAnsi="Times New Roman" w:cs="Times New Roman"/>
                <w:bCs/>
                <w:iCs/>
              </w:rPr>
              <w:t>5.256</w:t>
            </w:r>
          </w:p>
        </w:tc>
        <w:tc>
          <w:tcPr>
            <w:tcW w:w="3563" w:type="dxa"/>
          </w:tcPr>
          <w:p w:rsidR="00D27D8D" w:rsidRPr="00F63663" w:rsidRDefault="00D27D8D" w:rsidP="00E95013">
            <w:pPr>
              <w:spacing w:after="160" w:line="276" w:lineRule="auto"/>
              <w:jc w:val="center"/>
              <w:rPr>
                <w:rFonts w:ascii="Times New Roman" w:hAnsi="Times New Roman" w:cs="Times New Roman"/>
                <w:bCs/>
                <w:iCs/>
              </w:rPr>
            </w:pPr>
            <w:r w:rsidRPr="00F63663">
              <w:rPr>
                <w:rFonts w:ascii="Times New Roman" w:hAnsi="Times New Roman" w:cs="Times New Roman"/>
                <w:bCs/>
                <w:iCs/>
              </w:rPr>
              <w:t>0.744</w:t>
            </w:r>
          </w:p>
        </w:tc>
      </w:tr>
      <w:tr w:rsidR="00D27D8D" w:rsidRPr="00F63663" w:rsidTr="00E95013">
        <w:trPr>
          <w:trHeight w:val="252"/>
        </w:trPr>
        <w:tc>
          <w:tcPr>
            <w:tcW w:w="1996" w:type="dxa"/>
          </w:tcPr>
          <w:p w:rsidR="00D27D8D" w:rsidRPr="00F63663" w:rsidRDefault="00D27D8D" w:rsidP="00E95013">
            <w:pPr>
              <w:spacing w:after="160" w:line="276" w:lineRule="auto"/>
              <w:jc w:val="both"/>
              <w:rPr>
                <w:rFonts w:ascii="Times New Roman" w:hAnsi="Times New Roman" w:cs="Times New Roman"/>
                <w:bCs/>
                <w:iCs/>
              </w:rPr>
            </w:pPr>
            <w:r w:rsidRPr="00F63663">
              <w:rPr>
                <w:rFonts w:ascii="Times New Roman" w:hAnsi="Times New Roman" w:cs="Times New Roman"/>
                <w:bCs/>
                <w:iCs/>
              </w:rPr>
              <w:t>7.00</w:t>
            </w:r>
          </w:p>
        </w:tc>
        <w:tc>
          <w:tcPr>
            <w:tcW w:w="3278" w:type="dxa"/>
          </w:tcPr>
          <w:p w:rsidR="00D27D8D" w:rsidRPr="00F63663" w:rsidRDefault="00D27D8D" w:rsidP="00E95013">
            <w:pPr>
              <w:spacing w:after="160" w:line="276" w:lineRule="auto"/>
              <w:jc w:val="center"/>
              <w:rPr>
                <w:rFonts w:ascii="Times New Roman" w:hAnsi="Times New Roman" w:cs="Times New Roman"/>
                <w:bCs/>
                <w:iCs/>
              </w:rPr>
            </w:pPr>
            <w:r w:rsidRPr="00F63663">
              <w:rPr>
                <w:rFonts w:ascii="Times New Roman" w:hAnsi="Times New Roman" w:cs="Times New Roman"/>
                <w:bCs/>
                <w:iCs/>
              </w:rPr>
              <w:t>5.445</w:t>
            </w:r>
          </w:p>
        </w:tc>
        <w:tc>
          <w:tcPr>
            <w:tcW w:w="3563" w:type="dxa"/>
          </w:tcPr>
          <w:p w:rsidR="00D27D8D" w:rsidRPr="00F63663" w:rsidRDefault="00D27D8D" w:rsidP="00E95013">
            <w:pPr>
              <w:spacing w:after="160" w:line="276" w:lineRule="auto"/>
              <w:jc w:val="center"/>
              <w:rPr>
                <w:rFonts w:ascii="Times New Roman" w:hAnsi="Times New Roman" w:cs="Times New Roman"/>
                <w:bCs/>
                <w:iCs/>
              </w:rPr>
            </w:pPr>
            <w:r w:rsidRPr="00F63663">
              <w:rPr>
                <w:rFonts w:ascii="Times New Roman" w:hAnsi="Times New Roman" w:cs="Times New Roman"/>
                <w:bCs/>
                <w:iCs/>
              </w:rPr>
              <w:t>0.676</w:t>
            </w:r>
          </w:p>
        </w:tc>
      </w:tr>
      <w:tr w:rsidR="00D27D8D" w:rsidRPr="00F63663" w:rsidTr="00E95013">
        <w:trPr>
          <w:trHeight w:val="252"/>
        </w:trPr>
        <w:tc>
          <w:tcPr>
            <w:tcW w:w="1996" w:type="dxa"/>
          </w:tcPr>
          <w:p w:rsidR="00D27D8D" w:rsidRPr="00F63663" w:rsidRDefault="00D27D8D" w:rsidP="00E95013">
            <w:pPr>
              <w:spacing w:after="160" w:line="276" w:lineRule="auto"/>
              <w:jc w:val="both"/>
              <w:rPr>
                <w:rFonts w:ascii="Times New Roman" w:hAnsi="Times New Roman" w:cs="Times New Roman"/>
                <w:bCs/>
                <w:iCs/>
              </w:rPr>
            </w:pPr>
            <w:r w:rsidRPr="00F63663">
              <w:rPr>
                <w:rFonts w:ascii="Times New Roman" w:hAnsi="Times New Roman" w:cs="Times New Roman"/>
                <w:bCs/>
                <w:iCs/>
              </w:rPr>
              <w:t>8.01</w:t>
            </w:r>
          </w:p>
        </w:tc>
        <w:tc>
          <w:tcPr>
            <w:tcW w:w="3278" w:type="dxa"/>
          </w:tcPr>
          <w:p w:rsidR="00D27D8D" w:rsidRPr="00F63663" w:rsidRDefault="00D27D8D" w:rsidP="00E95013">
            <w:pPr>
              <w:spacing w:after="160" w:line="276" w:lineRule="auto"/>
              <w:jc w:val="center"/>
              <w:rPr>
                <w:rFonts w:ascii="Times New Roman" w:hAnsi="Times New Roman" w:cs="Times New Roman"/>
                <w:bCs/>
                <w:iCs/>
              </w:rPr>
            </w:pPr>
            <w:r w:rsidRPr="00F63663">
              <w:rPr>
                <w:rFonts w:ascii="Times New Roman" w:hAnsi="Times New Roman" w:cs="Times New Roman"/>
                <w:bCs/>
                <w:iCs/>
              </w:rPr>
              <w:t>6.605</w:t>
            </w:r>
          </w:p>
        </w:tc>
        <w:tc>
          <w:tcPr>
            <w:tcW w:w="3563" w:type="dxa"/>
          </w:tcPr>
          <w:p w:rsidR="00D27D8D" w:rsidRPr="00F63663" w:rsidRDefault="00D27D8D" w:rsidP="00E95013">
            <w:pPr>
              <w:spacing w:after="160" w:line="276" w:lineRule="auto"/>
              <w:jc w:val="center"/>
              <w:rPr>
                <w:rFonts w:ascii="Times New Roman" w:hAnsi="Times New Roman" w:cs="Times New Roman"/>
                <w:bCs/>
                <w:iCs/>
              </w:rPr>
            </w:pPr>
            <w:r w:rsidRPr="00F63663">
              <w:rPr>
                <w:rFonts w:ascii="Times New Roman" w:hAnsi="Times New Roman" w:cs="Times New Roman"/>
                <w:bCs/>
                <w:iCs/>
              </w:rPr>
              <w:t>0.710</w:t>
            </w:r>
          </w:p>
        </w:tc>
      </w:tr>
      <w:tr w:rsidR="00D27D8D" w:rsidRPr="00F63663" w:rsidTr="00E95013">
        <w:trPr>
          <w:trHeight w:val="252"/>
        </w:trPr>
        <w:tc>
          <w:tcPr>
            <w:tcW w:w="1996" w:type="dxa"/>
          </w:tcPr>
          <w:p w:rsidR="00D27D8D" w:rsidRPr="00F63663" w:rsidRDefault="00D27D8D" w:rsidP="00E95013">
            <w:pPr>
              <w:spacing w:after="160" w:line="276" w:lineRule="auto"/>
              <w:jc w:val="both"/>
              <w:rPr>
                <w:rFonts w:ascii="Times New Roman" w:hAnsi="Times New Roman" w:cs="Times New Roman"/>
                <w:bCs/>
                <w:iCs/>
              </w:rPr>
            </w:pPr>
            <w:r w:rsidRPr="00F63663">
              <w:rPr>
                <w:rFonts w:ascii="Times New Roman" w:hAnsi="Times New Roman" w:cs="Times New Roman"/>
                <w:bCs/>
                <w:iCs/>
              </w:rPr>
              <w:t>9.08</w:t>
            </w:r>
          </w:p>
        </w:tc>
        <w:tc>
          <w:tcPr>
            <w:tcW w:w="3278" w:type="dxa"/>
          </w:tcPr>
          <w:p w:rsidR="00D27D8D" w:rsidRPr="00F63663" w:rsidRDefault="00D27D8D" w:rsidP="00E95013">
            <w:pPr>
              <w:spacing w:after="160" w:line="276" w:lineRule="auto"/>
              <w:jc w:val="center"/>
              <w:rPr>
                <w:rFonts w:ascii="Times New Roman" w:hAnsi="Times New Roman" w:cs="Times New Roman"/>
                <w:bCs/>
                <w:iCs/>
              </w:rPr>
            </w:pPr>
            <w:r w:rsidRPr="00F63663">
              <w:rPr>
                <w:rFonts w:ascii="Times New Roman" w:hAnsi="Times New Roman" w:cs="Times New Roman"/>
                <w:bCs/>
                <w:iCs/>
              </w:rPr>
              <w:t>5.430</w:t>
            </w:r>
          </w:p>
        </w:tc>
        <w:tc>
          <w:tcPr>
            <w:tcW w:w="3563" w:type="dxa"/>
          </w:tcPr>
          <w:p w:rsidR="00D27D8D" w:rsidRPr="00F63663" w:rsidRDefault="00D27D8D" w:rsidP="00E95013">
            <w:pPr>
              <w:spacing w:after="160" w:line="276" w:lineRule="auto"/>
              <w:jc w:val="center"/>
              <w:rPr>
                <w:rFonts w:ascii="Times New Roman" w:hAnsi="Times New Roman" w:cs="Times New Roman"/>
                <w:bCs/>
                <w:iCs/>
              </w:rPr>
            </w:pPr>
            <w:r w:rsidRPr="00F63663">
              <w:rPr>
                <w:rFonts w:ascii="Times New Roman" w:hAnsi="Times New Roman" w:cs="Times New Roman"/>
                <w:bCs/>
                <w:iCs/>
              </w:rPr>
              <w:t>0.652</w:t>
            </w:r>
          </w:p>
        </w:tc>
      </w:tr>
      <w:tr w:rsidR="00D27D8D" w:rsidRPr="00F63663" w:rsidTr="00E95013">
        <w:trPr>
          <w:trHeight w:val="180"/>
        </w:trPr>
        <w:tc>
          <w:tcPr>
            <w:tcW w:w="1996" w:type="dxa"/>
            <w:tcBorders>
              <w:bottom w:val="single" w:sz="4" w:space="0" w:color="auto"/>
            </w:tcBorders>
          </w:tcPr>
          <w:p w:rsidR="00D27D8D" w:rsidRPr="00F63663" w:rsidRDefault="00D27D8D" w:rsidP="00E95013">
            <w:pPr>
              <w:spacing w:after="160" w:line="276" w:lineRule="auto"/>
              <w:jc w:val="both"/>
              <w:rPr>
                <w:rFonts w:ascii="Times New Roman" w:hAnsi="Times New Roman" w:cs="Times New Roman"/>
                <w:bCs/>
                <w:iCs/>
              </w:rPr>
            </w:pPr>
            <w:r w:rsidRPr="00F63663">
              <w:rPr>
                <w:rFonts w:ascii="Times New Roman" w:hAnsi="Times New Roman" w:cs="Times New Roman"/>
                <w:bCs/>
                <w:iCs/>
              </w:rPr>
              <w:t>10.03</w:t>
            </w:r>
          </w:p>
        </w:tc>
        <w:tc>
          <w:tcPr>
            <w:tcW w:w="3278" w:type="dxa"/>
            <w:tcBorders>
              <w:bottom w:val="single" w:sz="4" w:space="0" w:color="auto"/>
            </w:tcBorders>
          </w:tcPr>
          <w:p w:rsidR="00D27D8D" w:rsidRPr="00F63663" w:rsidRDefault="00D27D8D" w:rsidP="00E95013">
            <w:pPr>
              <w:spacing w:after="160" w:line="276" w:lineRule="auto"/>
              <w:jc w:val="center"/>
              <w:rPr>
                <w:rFonts w:ascii="Times New Roman" w:hAnsi="Times New Roman" w:cs="Times New Roman"/>
                <w:bCs/>
                <w:iCs/>
              </w:rPr>
            </w:pPr>
            <w:r w:rsidRPr="00F63663">
              <w:rPr>
                <w:rFonts w:ascii="Times New Roman" w:hAnsi="Times New Roman" w:cs="Times New Roman"/>
                <w:bCs/>
                <w:iCs/>
              </w:rPr>
              <w:t>3.815</w:t>
            </w:r>
          </w:p>
        </w:tc>
        <w:tc>
          <w:tcPr>
            <w:tcW w:w="3563" w:type="dxa"/>
            <w:tcBorders>
              <w:bottom w:val="single" w:sz="4" w:space="0" w:color="auto"/>
            </w:tcBorders>
          </w:tcPr>
          <w:p w:rsidR="00D27D8D" w:rsidRPr="00F63663" w:rsidRDefault="00D27D8D" w:rsidP="00E95013">
            <w:pPr>
              <w:spacing w:after="160" w:line="276" w:lineRule="auto"/>
              <w:jc w:val="center"/>
              <w:rPr>
                <w:rFonts w:ascii="Times New Roman" w:hAnsi="Times New Roman" w:cs="Times New Roman"/>
                <w:bCs/>
                <w:iCs/>
              </w:rPr>
            </w:pPr>
            <w:r w:rsidRPr="00F63663">
              <w:rPr>
                <w:rFonts w:ascii="Times New Roman" w:hAnsi="Times New Roman" w:cs="Times New Roman"/>
                <w:bCs/>
                <w:iCs/>
              </w:rPr>
              <w:t>0.748</w:t>
            </w:r>
          </w:p>
        </w:tc>
      </w:tr>
    </w:tbl>
    <w:p w:rsidR="00D27D8D" w:rsidRPr="00F63663" w:rsidRDefault="00D27D8D" w:rsidP="00D27D8D">
      <w:pPr>
        <w:spacing w:line="360" w:lineRule="auto"/>
        <w:jc w:val="both"/>
      </w:pPr>
    </w:p>
    <w:p w:rsidR="00D27D8D" w:rsidRPr="00DA1C32" w:rsidRDefault="00D27D8D" w:rsidP="00D27D8D">
      <w:pPr>
        <w:spacing w:line="360" w:lineRule="auto"/>
        <w:ind w:firstLine="720"/>
        <w:jc w:val="both"/>
        <w:rPr>
          <w:vertAlign w:val="superscript"/>
        </w:rPr>
      </w:pPr>
      <w:r w:rsidRPr="00F63663">
        <w:t>The scan rate is an important parameter to evaluate the behaviour of the electrochemical sensor. In our study, the experiments were carried out at different potential scan rates between the 0.050 to 0.300 V</w:t>
      </w:r>
      <w:r w:rsidR="00433107" w:rsidRPr="00F63663">
        <w:t xml:space="preserve"> </w:t>
      </w:r>
      <w:r w:rsidRPr="00F63663">
        <w:t>s</w:t>
      </w:r>
      <w:r w:rsidR="00433107" w:rsidRPr="00F63663">
        <w:rPr>
          <w:vertAlign w:val="superscript"/>
        </w:rPr>
        <w:t>-1</w:t>
      </w:r>
      <w:r w:rsidRPr="00F63663">
        <w:t xml:space="preserve"> in 1.0×10</w:t>
      </w:r>
      <w:r w:rsidRPr="00F63663">
        <w:rPr>
          <w:vertAlign w:val="superscript"/>
        </w:rPr>
        <w:t>-4</w:t>
      </w:r>
      <w:r w:rsidRPr="00F63663">
        <w:t xml:space="preserve"> </w:t>
      </w:r>
      <w:proofErr w:type="spellStart"/>
      <w:r w:rsidRPr="00F63663">
        <w:t>mol</w:t>
      </w:r>
      <w:proofErr w:type="spellEnd"/>
      <w:r w:rsidR="00433107" w:rsidRPr="00F63663">
        <w:t xml:space="preserve"> </w:t>
      </w:r>
      <w:r w:rsidRPr="00F63663">
        <w:t>L</w:t>
      </w:r>
      <w:r w:rsidR="00433107" w:rsidRPr="00F63663">
        <w:rPr>
          <w:vertAlign w:val="superscript"/>
        </w:rPr>
        <w:t>-1</w:t>
      </w:r>
      <w:r w:rsidRPr="00F63663">
        <w:t xml:space="preserve"> solution of </w:t>
      </w:r>
      <w:proofErr w:type="spellStart"/>
      <w:r w:rsidRPr="00F63663">
        <w:t>ziram</w:t>
      </w:r>
      <w:proofErr w:type="spellEnd"/>
      <w:r w:rsidRPr="00F63663">
        <w:t xml:space="preserve"> at 0.04 </w:t>
      </w:r>
      <w:proofErr w:type="spellStart"/>
      <w:r w:rsidRPr="00F63663">
        <w:t>mol</w:t>
      </w:r>
      <w:proofErr w:type="spellEnd"/>
      <w:r w:rsidR="00433107" w:rsidRPr="00F63663">
        <w:t xml:space="preserve"> </w:t>
      </w:r>
      <w:r w:rsidRPr="00F63663">
        <w:t>L</w:t>
      </w:r>
      <w:r w:rsidR="00433107" w:rsidRPr="00F63663">
        <w:rPr>
          <w:vertAlign w:val="superscript"/>
        </w:rPr>
        <w:t>-1</w:t>
      </w:r>
      <w:r w:rsidRPr="00F63663">
        <w:t xml:space="preserve"> BR buffer solution (pH=8.0). The variation of the peak current of </w:t>
      </w:r>
      <w:proofErr w:type="spellStart"/>
      <w:r w:rsidRPr="00F63663">
        <w:t>ziram</w:t>
      </w:r>
      <w:proofErr w:type="spellEnd"/>
      <w:r w:rsidRPr="00F63663">
        <w:t xml:space="preserve"> versus the square root of the scan rate was plotted (Figure 7).  It has been observed that the anodic peak current increases with the </w:t>
      </w:r>
      <w:r w:rsidRPr="00DA1C32">
        <w:t xml:space="preserve">increase in the scan rate and good linearity was shows the oxidation of </w:t>
      </w:r>
      <w:proofErr w:type="spellStart"/>
      <w:r w:rsidRPr="00DA1C32">
        <w:t>ziram</w:t>
      </w:r>
      <w:proofErr w:type="spellEnd"/>
      <w:r w:rsidRPr="00DA1C32">
        <w:t xml:space="preserve"> is controlled mainly diffusion </w:t>
      </w:r>
      <w:r w:rsidR="00FD1E1A" w:rsidRPr="00DA1C32">
        <w:t>process.</w:t>
      </w:r>
      <w:r w:rsidR="00413DE8" w:rsidRPr="00DA1C32">
        <w:rPr>
          <w:vertAlign w:val="superscript"/>
        </w:rPr>
        <w:t>3</w:t>
      </w:r>
      <w:r w:rsidR="00467AEC" w:rsidRPr="00DA1C32">
        <w:rPr>
          <w:vertAlign w:val="superscript"/>
        </w:rPr>
        <w:t>6</w:t>
      </w:r>
    </w:p>
    <w:p w:rsidR="00DA1C32" w:rsidRPr="00413DE8" w:rsidRDefault="00DA1C32" w:rsidP="00D27D8D">
      <w:pPr>
        <w:spacing w:line="360" w:lineRule="auto"/>
        <w:ind w:firstLine="720"/>
        <w:jc w:val="both"/>
        <w:rPr>
          <w:color w:val="00B0F0"/>
        </w:rPr>
      </w:pPr>
    </w:p>
    <w:p w:rsidR="00D27D8D" w:rsidRPr="00F63663" w:rsidRDefault="00D27D8D" w:rsidP="00D27D8D">
      <w:pPr>
        <w:spacing w:line="360" w:lineRule="auto"/>
        <w:jc w:val="both"/>
        <w:rPr>
          <w:b/>
        </w:rPr>
      </w:pPr>
    </w:p>
    <w:p w:rsidR="006B76A8" w:rsidRPr="00F63663" w:rsidRDefault="006B76A8" w:rsidP="006B76A8">
      <w:pPr>
        <w:spacing w:line="360" w:lineRule="auto"/>
        <w:rPr>
          <w:b/>
        </w:rPr>
      </w:pPr>
      <w:r w:rsidRPr="00F63663">
        <w:rPr>
          <w:noProof/>
          <w:lang w:val="tr-TR" w:eastAsia="tr-TR"/>
        </w:rPr>
        <w:lastRenderedPageBreak/>
        <w:drawing>
          <wp:inline distT="0" distB="0" distL="0" distR="0" wp14:anchorId="16CCD8DC" wp14:editId="4BA83BF9">
            <wp:extent cx="5143500" cy="2933700"/>
            <wp:effectExtent l="0" t="0" r="0" b="0"/>
            <wp:docPr id="9" name="Grafik 9">
              <a:extLst xmlns:a="http://schemas.openxmlformats.org/drawingml/2006/main">
                <a:ext uri="{FF2B5EF4-FFF2-40B4-BE49-F238E27FC236}">
                  <a16:creationId xmlns:a16="http://schemas.microsoft.com/office/drawing/2014/main" id="{4083ED46-030F-41F4-A074-D39D230104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27D8D" w:rsidRPr="00F63663" w:rsidRDefault="00D27D8D" w:rsidP="00D27D8D">
      <w:pPr>
        <w:spacing w:line="360" w:lineRule="auto"/>
        <w:jc w:val="both"/>
      </w:pPr>
      <w:r w:rsidRPr="00F63663">
        <w:rPr>
          <w:b/>
        </w:rPr>
        <w:t>Figure 7.</w:t>
      </w:r>
      <w:r w:rsidRPr="00F63663">
        <w:t xml:space="preserve"> The plot of peak current against the square root of scan rate</w:t>
      </w:r>
    </w:p>
    <w:p w:rsidR="00D27D8D" w:rsidRPr="0030196E" w:rsidRDefault="0030196E" w:rsidP="0030196E">
      <w:pPr>
        <w:pStyle w:val="Balk2"/>
        <w:numPr>
          <w:ilvl w:val="1"/>
          <w:numId w:val="37"/>
        </w:numPr>
        <w:rPr>
          <w:i w:val="0"/>
        </w:rPr>
      </w:pPr>
      <w:r>
        <w:rPr>
          <w:i w:val="0"/>
        </w:rPr>
        <w:t xml:space="preserve"> </w:t>
      </w:r>
      <w:r w:rsidR="00D27D8D" w:rsidRPr="0030196E">
        <w:rPr>
          <w:i w:val="0"/>
        </w:rPr>
        <w:t xml:space="preserve">Analytical </w:t>
      </w:r>
      <w:r>
        <w:rPr>
          <w:i w:val="0"/>
        </w:rPr>
        <w:t>P</w:t>
      </w:r>
      <w:r w:rsidR="00D27D8D" w:rsidRPr="0030196E">
        <w:rPr>
          <w:i w:val="0"/>
        </w:rPr>
        <w:t xml:space="preserve">erformance </w:t>
      </w:r>
      <w:r>
        <w:rPr>
          <w:i w:val="0"/>
        </w:rPr>
        <w:t>P</w:t>
      </w:r>
      <w:r w:rsidR="00D27D8D" w:rsidRPr="0030196E">
        <w:rPr>
          <w:i w:val="0"/>
        </w:rPr>
        <w:t xml:space="preserve">arameters of the </w:t>
      </w:r>
      <w:r>
        <w:rPr>
          <w:i w:val="0"/>
        </w:rPr>
        <w:t>S</w:t>
      </w:r>
      <w:r w:rsidR="00D27D8D" w:rsidRPr="0030196E">
        <w:rPr>
          <w:i w:val="0"/>
        </w:rPr>
        <w:t>ensor</w:t>
      </w:r>
    </w:p>
    <w:p w:rsidR="00D27D8D" w:rsidRPr="00F63663" w:rsidRDefault="00D27D8D" w:rsidP="00D27D8D">
      <w:pPr>
        <w:spacing w:line="360" w:lineRule="auto"/>
        <w:jc w:val="both"/>
      </w:pPr>
      <w:r w:rsidRPr="00F63663">
        <w:t xml:space="preserve">The correlation between </w:t>
      </w:r>
      <w:proofErr w:type="spellStart"/>
      <w:r w:rsidRPr="00F63663">
        <w:t>ziram</w:t>
      </w:r>
      <w:proofErr w:type="spellEnd"/>
      <w:r w:rsidRPr="00F63663">
        <w:t xml:space="preserve"> concentrations and anodic peak currents was examined utilizing the DPV method in BR buffer solution (pH 8.0) with the </w:t>
      </w:r>
      <w:proofErr w:type="spellStart"/>
      <w:r w:rsidRPr="00F63663">
        <w:t>AuNPs</w:t>
      </w:r>
      <w:proofErr w:type="spellEnd"/>
      <w:r w:rsidRPr="00F63663">
        <w:t>/RGO/GCE composite sensor under optimized experimental conditions.  The calibration graph was shown in Fig. 8. Over the range of 1.50 × 10</w:t>
      </w:r>
      <w:r w:rsidRPr="00F63663">
        <w:rPr>
          <w:vertAlign w:val="superscript"/>
        </w:rPr>
        <w:t>-5</w:t>
      </w:r>
      <w:r w:rsidRPr="00F63663">
        <w:t xml:space="preserve"> </w:t>
      </w:r>
      <w:proofErr w:type="spellStart"/>
      <w:r w:rsidRPr="00F63663">
        <w:t>mol</w:t>
      </w:r>
      <w:proofErr w:type="spellEnd"/>
      <w:r w:rsidR="00433107" w:rsidRPr="00F63663">
        <w:t xml:space="preserve"> </w:t>
      </w:r>
      <w:r w:rsidRPr="00F63663">
        <w:t>L</w:t>
      </w:r>
      <w:r w:rsidR="00433107" w:rsidRPr="00F63663">
        <w:rPr>
          <w:vertAlign w:val="superscript"/>
        </w:rPr>
        <w:t>-1</w:t>
      </w:r>
      <w:r w:rsidRPr="00F63663">
        <w:t xml:space="preserve"> to 1.63 × 10</w:t>
      </w:r>
      <w:r w:rsidRPr="00F63663">
        <w:rPr>
          <w:vertAlign w:val="superscript"/>
        </w:rPr>
        <w:t>-7</w:t>
      </w:r>
      <w:r w:rsidRPr="00F63663">
        <w:t xml:space="preserve"> </w:t>
      </w:r>
      <w:proofErr w:type="spellStart"/>
      <w:r w:rsidRPr="00F63663">
        <w:t>mol</w:t>
      </w:r>
      <w:proofErr w:type="spellEnd"/>
      <w:r w:rsidR="00433107" w:rsidRPr="00F63663">
        <w:t xml:space="preserve"> </w:t>
      </w:r>
      <w:r w:rsidRPr="00F63663">
        <w:t>L</w:t>
      </w:r>
      <w:r w:rsidR="00433107" w:rsidRPr="00F63663">
        <w:rPr>
          <w:vertAlign w:val="superscript"/>
        </w:rPr>
        <w:t>-1</w:t>
      </w:r>
      <w:r w:rsidRPr="00F63663">
        <w:t xml:space="preserve">, the peak current increases linearly with the increasing </w:t>
      </w:r>
      <w:proofErr w:type="spellStart"/>
      <w:r w:rsidRPr="00F63663">
        <w:t>ziram</w:t>
      </w:r>
      <w:proofErr w:type="spellEnd"/>
      <w:r w:rsidRPr="00F63663">
        <w:t xml:space="preserve"> concentration. The linearity between the anodic peak current and the </w:t>
      </w:r>
      <w:proofErr w:type="spellStart"/>
      <w:r w:rsidRPr="00F63663">
        <w:t>ziram</w:t>
      </w:r>
      <w:proofErr w:type="spellEnd"/>
      <w:r w:rsidRPr="00F63663">
        <w:t xml:space="preserve"> concentration is shown in the following equation;</w:t>
      </w:r>
    </w:p>
    <w:p w:rsidR="00122A52" w:rsidRPr="00F63663" w:rsidRDefault="00122A52" w:rsidP="00D27D8D">
      <w:pPr>
        <w:spacing w:line="360" w:lineRule="auto"/>
        <w:jc w:val="both"/>
      </w:pPr>
    </w:p>
    <w:p w:rsidR="00271AA7" w:rsidRPr="00F63663" w:rsidRDefault="00015B70" w:rsidP="00271AA7">
      <w:pPr>
        <w:pStyle w:val="Paragraph"/>
      </w:pP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pa</m:t>
            </m:r>
          </m:sub>
        </m:sSub>
        <m:d>
          <m:dPr>
            <m:ctrlPr>
              <w:rPr>
                <w:rFonts w:ascii="Cambria Math" w:hAnsi="Cambria Math"/>
              </w:rPr>
            </m:ctrlPr>
          </m:dPr>
          <m:e>
            <m:r>
              <m:rPr>
                <m:sty m:val="p"/>
              </m:rPr>
              <w:rPr>
                <w:rFonts w:ascii="Cambria Math" w:hAnsi="Cambria Math"/>
              </w:rPr>
              <m:t>μA</m:t>
            </m:r>
          </m:e>
        </m:d>
        <m:r>
          <m:rPr>
            <m:sty m:val="p"/>
          </m:rPr>
          <w:rPr>
            <w:rFonts w:ascii="Cambria Math" w:hAnsi="Cambria Math"/>
          </w:rPr>
          <m:t>=</m:t>
        </m:r>
        <m:sSup>
          <m:sSupPr>
            <m:ctrlPr>
              <w:rPr>
                <w:rFonts w:ascii="Cambria Math" w:hAnsi="Cambria Math"/>
              </w:rPr>
            </m:ctrlPr>
          </m:sSupPr>
          <m:e>
            <m:r>
              <m:rPr>
                <m:sty m:val="p"/>
              </m:rPr>
              <w:rPr>
                <w:rFonts w:ascii="Cambria Math" w:hAnsi="Cambria Math"/>
              </w:rPr>
              <m:t>2x10</m:t>
            </m:r>
          </m:e>
          <m:sup>
            <m:r>
              <m:rPr>
                <m:sty m:val="p"/>
              </m:rPr>
              <w:rPr>
                <w:rFonts w:ascii="Cambria Math" w:hAnsi="Cambria Math"/>
              </w:rPr>
              <m:t>7</m:t>
            </m:r>
          </m:sup>
        </m:sSup>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ziram</m:t>
            </m:r>
          </m:sub>
        </m:sSub>
        <m:d>
          <m:dPr>
            <m:ctrlPr>
              <w:rPr>
                <w:rFonts w:ascii="Cambria Math" w:hAnsi="Cambria Math"/>
              </w:rPr>
            </m:ctrlPr>
          </m:dPr>
          <m:e>
            <m:r>
              <m:rPr>
                <m:sty m:val="p"/>
              </m:rPr>
              <w:rPr>
                <w:rFonts w:ascii="Cambria Math" w:hAnsi="Cambria Math"/>
              </w:rPr>
              <m:t>μM</m:t>
            </m:r>
          </m:e>
        </m:d>
        <m:r>
          <m:rPr>
            <m:sty m:val="p"/>
          </m:rPr>
          <w:rPr>
            <w:rFonts w:ascii="Cambria Math" w:hAnsi="Cambria Math"/>
          </w:rPr>
          <m:t>+5.5336          (</m:t>
        </m:r>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r>
          <m:rPr>
            <m:sty m:val="p"/>
          </m:rPr>
          <w:rPr>
            <w:rFonts w:ascii="Cambria Math" w:hAnsi="Cambria Math"/>
          </w:rPr>
          <m:t>=0.9996)</m:t>
        </m:r>
      </m:oMath>
      <w:r w:rsidR="00D27D8D" w:rsidRPr="00F63663">
        <w:t xml:space="preserve">                                     (1)</w:t>
      </w:r>
    </w:p>
    <w:p w:rsidR="00D01099" w:rsidRPr="00F63663" w:rsidRDefault="00D01099" w:rsidP="00D27D8D">
      <w:pPr>
        <w:rPr>
          <w:b/>
        </w:rPr>
      </w:pPr>
    </w:p>
    <w:p w:rsidR="00DF30C9" w:rsidRPr="00F63663" w:rsidRDefault="00DF30C9" w:rsidP="00D27D8D">
      <w:pPr>
        <w:rPr>
          <w:b/>
        </w:rPr>
      </w:pPr>
    </w:p>
    <w:p w:rsidR="00324A38" w:rsidRDefault="00E91DE1" w:rsidP="007A7F72">
      <w:pPr>
        <w:rPr>
          <w:b/>
        </w:rPr>
      </w:pPr>
      <w:r w:rsidRPr="00E91DE1">
        <w:rPr>
          <w:b/>
          <w:noProof/>
          <w:lang w:val="tr-TR" w:eastAsia="tr-TR"/>
        </w:rPr>
        <w:lastRenderedPageBreak/>
        <w:drawing>
          <wp:inline distT="0" distB="0" distL="0" distR="0" wp14:anchorId="4FF01364" wp14:editId="6ED28823">
            <wp:extent cx="4621747" cy="2830530"/>
            <wp:effectExtent l="0" t="0" r="762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69914" cy="2860029"/>
                    </a:xfrm>
                    <a:prstGeom prst="rect">
                      <a:avLst/>
                    </a:prstGeom>
                  </pic:spPr>
                </pic:pic>
              </a:graphicData>
            </a:graphic>
          </wp:inline>
        </w:drawing>
      </w:r>
    </w:p>
    <w:p w:rsidR="00353F2E" w:rsidRPr="00F63663" w:rsidRDefault="00353F2E" w:rsidP="00324A38">
      <w:pPr>
        <w:jc w:val="both"/>
      </w:pPr>
      <w:r w:rsidRPr="00F63663">
        <w:rPr>
          <w:b/>
        </w:rPr>
        <w:t xml:space="preserve">Figure 8. </w:t>
      </w:r>
      <w:r w:rsidRPr="00F63663">
        <w:t xml:space="preserve">The calibration graph of </w:t>
      </w:r>
      <w:proofErr w:type="spellStart"/>
      <w:r w:rsidRPr="00F63663">
        <w:t>ziram</w:t>
      </w:r>
      <w:proofErr w:type="spellEnd"/>
      <w:r w:rsidRPr="00F63663">
        <w:t xml:space="preserve"> versus peak current </w:t>
      </w:r>
    </w:p>
    <w:p w:rsidR="00353F2E" w:rsidRPr="00F63663" w:rsidRDefault="00353F2E" w:rsidP="00D27D8D"/>
    <w:p w:rsidR="00D01099" w:rsidRPr="00BE05BF" w:rsidRDefault="00D01099" w:rsidP="00D01099">
      <w:pPr>
        <w:spacing w:line="360" w:lineRule="auto"/>
        <w:ind w:firstLine="720"/>
        <w:jc w:val="both"/>
      </w:pPr>
      <w:r w:rsidRPr="00666724">
        <w:rPr>
          <w:color w:val="000000" w:themeColor="text1"/>
        </w:rPr>
        <w:t>The linear range of the calibration curve is 1.50 × 10</w:t>
      </w:r>
      <w:r w:rsidRPr="00666724">
        <w:rPr>
          <w:color w:val="000000" w:themeColor="text1"/>
          <w:vertAlign w:val="superscript"/>
        </w:rPr>
        <w:t>-5</w:t>
      </w:r>
      <w:r w:rsidRPr="00666724">
        <w:rPr>
          <w:color w:val="000000" w:themeColor="text1"/>
        </w:rPr>
        <w:t xml:space="preserve"> </w:t>
      </w:r>
      <w:proofErr w:type="spellStart"/>
      <w:r w:rsidRPr="00666724">
        <w:rPr>
          <w:color w:val="000000" w:themeColor="text1"/>
        </w:rPr>
        <w:t>mol</w:t>
      </w:r>
      <w:proofErr w:type="spellEnd"/>
      <w:r w:rsidR="00433107" w:rsidRPr="00666724">
        <w:rPr>
          <w:color w:val="000000" w:themeColor="text1"/>
        </w:rPr>
        <w:t xml:space="preserve"> </w:t>
      </w:r>
      <w:r w:rsidRPr="00666724">
        <w:rPr>
          <w:color w:val="000000" w:themeColor="text1"/>
        </w:rPr>
        <w:t>L</w:t>
      </w:r>
      <w:r w:rsidR="00433107" w:rsidRPr="00666724">
        <w:rPr>
          <w:color w:val="000000" w:themeColor="text1"/>
          <w:vertAlign w:val="superscript"/>
        </w:rPr>
        <w:t>-1</w:t>
      </w:r>
      <w:r w:rsidRPr="00666724">
        <w:rPr>
          <w:color w:val="000000" w:themeColor="text1"/>
        </w:rPr>
        <w:t xml:space="preserve"> to 1.63 × 10</w:t>
      </w:r>
      <w:r w:rsidRPr="00666724">
        <w:rPr>
          <w:color w:val="000000" w:themeColor="text1"/>
          <w:vertAlign w:val="superscript"/>
        </w:rPr>
        <w:t>-7</w:t>
      </w:r>
      <w:r w:rsidRPr="00666724">
        <w:rPr>
          <w:color w:val="000000" w:themeColor="text1"/>
        </w:rPr>
        <w:t xml:space="preserve"> </w:t>
      </w:r>
      <w:proofErr w:type="spellStart"/>
      <w:r w:rsidR="00433107" w:rsidRPr="00666724">
        <w:rPr>
          <w:color w:val="000000" w:themeColor="text1"/>
        </w:rPr>
        <w:t>mol</w:t>
      </w:r>
      <w:proofErr w:type="spellEnd"/>
      <w:r w:rsidR="00433107" w:rsidRPr="00666724">
        <w:rPr>
          <w:color w:val="000000" w:themeColor="text1"/>
        </w:rPr>
        <w:t xml:space="preserve"> L</w:t>
      </w:r>
      <w:r w:rsidR="00433107" w:rsidRPr="00666724">
        <w:rPr>
          <w:color w:val="000000" w:themeColor="text1"/>
          <w:vertAlign w:val="superscript"/>
        </w:rPr>
        <w:t>-1</w:t>
      </w:r>
      <w:r w:rsidR="00433107" w:rsidRPr="00666724">
        <w:rPr>
          <w:color w:val="000000" w:themeColor="text1"/>
        </w:rPr>
        <w:t xml:space="preserve"> </w:t>
      </w:r>
      <w:r w:rsidRPr="00666724">
        <w:rPr>
          <w:color w:val="000000" w:themeColor="text1"/>
        </w:rPr>
        <w:t xml:space="preserve">with the LOD values of </w:t>
      </w:r>
      <w:r w:rsidRPr="00666724">
        <w:rPr>
          <w:bCs/>
          <w:iCs/>
          <w:color w:val="000000" w:themeColor="text1"/>
        </w:rPr>
        <w:t>1.19×10</w:t>
      </w:r>
      <w:r w:rsidRPr="00666724">
        <w:rPr>
          <w:bCs/>
          <w:iCs/>
          <w:color w:val="000000" w:themeColor="text1"/>
          <w:vertAlign w:val="superscript"/>
        </w:rPr>
        <w:t xml:space="preserve">‒7 </w:t>
      </w:r>
      <w:proofErr w:type="spellStart"/>
      <w:r w:rsidR="00433107" w:rsidRPr="00666724">
        <w:rPr>
          <w:color w:val="000000" w:themeColor="text1"/>
        </w:rPr>
        <w:t>mol</w:t>
      </w:r>
      <w:proofErr w:type="spellEnd"/>
      <w:r w:rsidR="00433107" w:rsidRPr="00666724">
        <w:rPr>
          <w:color w:val="000000" w:themeColor="text1"/>
        </w:rPr>
        <w:t xml:space="preserve"> L</w:t>
      </w:r>
      <w:r w:rsidR="00433107" w:rsidRPr="00666724">
        <w:rPr>
          <w:color w:val="000000" w:themeColor="text1"/>
          <w:vertAlign w:val="superscript"/>
        </w:rPr>
        <w:t>-1</w:t>
      </w:r>
      <w:r w:rsidR="00433107" w:rsidRPr="00666724">
        <w:rPr>
          <w:color w:val="000000" w:themeColor="text1"/>
        </w:rPr>
        <w:t xml:space="preserve"> </w:t>
      </w:r>
      <w:r w:rsidRPr="00666724">
        <w:rPr>
          <w:color w:val="000000" w:themeColor="text1"/>
        </w:rPr>
        <w:t xml:space="preserve">for </w:t>
      </w:r>
      <w:proofErr w:type="spellStart"/>
      <w:r w:rsidRPr="00666724">
        <w:rPr>
          <w:color w:val="000000" w:themeColor="text1"/>
        </w:rPr>
        <w:t>ziram</w:t>
      </w:r>
      <w:proofErr w:type="spellEnd"/>
      <w:r w:rsidRPr="00666724">
        <w:rPr>
          <w:color w:val="000000" w:themeColor="text1"/>
        </w:rPr>
        <w:t>. The formulas (</w:t>
      </w:r>
      <m:oMath>
        <m:f>
          <m:fPr>
            <m:type m:val="lin"/>
            <m:ctrlPr>
              <w:rPr>
                <w:rFonts w:ascii="Cambria Math" w:hAnsi="Cambria Math"/>
                <w:color w:val="000000" w:themeColor="text1"/>
              </w:rPr>
            </m:ctrlPr>
          </m:fPr>
          <m:num>
            <m:r>
              <m:rPr>
                <m:sty m:val="p"/>
              </m:rPr>
              <w:rPr>
                <w:rFonts w:ascii="Cambria Math" w:hAnsi="Cambria Math"/>
                <w:color w:val="000000" w:themeColor="text1"/>
              </w:rPr>
              <m:t>3×s</m:t>
            </m:r>
          </m:num>
          <m:den>
            <m:r>
              <m:rPr>
                <m:sty m:val="p"/>
              </m:rPr>
              <w:rPr>
                <w:rFonts w:ascii="Cambria Math" w:hAnsi="Cambria Math"/>
                <w:color w:val="000000" w:themeColor="text1"/>
              </w:rPr>
              <m:t>m</m:t>
            </m:r>
          </m:den>
        </m:f>
      </m:oMath>
      <w:r w:rsidRPr="00666724">
        <w:rPr>
          <w:color w:val="000000" w:themeColor="text1"/>
        </w:rPr>
        <w:t>) and (</w:t>
      </w:r>
      <m:oMath>
        <m:f>
          <m:fPr>
            <m:type m:val="lin"/>
            <m:ctrlPr>
              <w:rPr>
                <w:rFonts w:ascii="Cambria Math" w:hAnsi="Cambria Math"/>
                <w:color w:val="000000" w:themeColor="text1"/>
              </w:rPr>
            </m:ctrlPr>
          </m:fPr>
          <m:num>
            <m:r>
              <m:rPr>
                <m:sty m:val="p"/>
              </m:rPr>
              <w:rPr>
                <w:rFonts w:ascii="Cambria Math" w:hAnsi="Cambria Math"/>
                <w:color w:val="000000" w:themeColor="text1"/>
              </w:rPr>
              <m:t>10×s</m:t>
            </m:r>
          </m:num>
          <m:den>
            <m:r>
              <m:rPr>
                <m:sty m:val="p"/>
              </m:rPr>
              <w:rPr>
                <w:rFonts w:ascii="Cambria Math" w:hAnsi="Cambria Math"/>
                <w:color w:val="000000" w:themeColor="text1"/>
              </w:rPr>
              <m:t>m</m:t>
            </m:r>
          </m:den>
        </m:f>
        <m:r>
          <w:rPr>
            <w:rFonts w:ascii="Cambria Math" w:hAnsi="Cambria Math"/>
            <w:color w:val="000000" w:themeColor="text1"/>
          </w:rPr>
          <m:t>)</m:t>
        </m:r>
      </m:oMath>
      <w:r w:rsidRPr="00666724">
        <w:rPr>
          <w:color w:val="000000" w:themeColor="text1"/>
        </w:rPr>
        <w:t xml:space="preserve"> were used to calculate the method's limit of detection (LOD) and limit of </w:t>
      </w:r>
      <w:r w:rsidRPr="00BE05BF">
        <w:t>quantification (LOQ).</w:t>
      </w:r>
      <w:r w:rsidR="00413DE8" w:rsidRPr="00BE05BF">
        <w:rPr>
          <w:vertAlign w:val="superscript"/>
        </w:rPr>
        <w:t>37</w:t>
      </w:r>
      <w:r w:rsidRPr="00BE05BF">
        <w:t xml:space="preserve">   Where </w:t>
      </w:r>
      <w:r w:rsidRPr="00BE05BF">
        <w:rPr>
          <w:b/>
          <w:i/>
        </w:rPr>
        <w:t>s</w:t>
      </w:r>
      <w:r w:rsidRPr="00BE05BF">
        <w:t xml:space="preserve"> denotes the measurement's standard deviation and </w:t>
      </w:r>
      <w:r w:rsidRPr="00BE05BF">
        <w:rPr>
          <w:b/>
          <w:i/>
        </w:rPr>
        <w:t>m</w:t>
      </w:r>
      <w:r w:rsidRPr="00BE05BF">
        <w:t xml:space="preserve"> denotes the calibration curve's slope (or the sensitivity). </w:t>
      </w:r>
    </w:p>
    <w:p w:rsidR="00D01099" w:rsidRPr="00F63663" w:rsidRDefault="00D01099" w:rsidP="008D7643">
      <w:pPr>
        <w:spacing w:line="360" w:lineRule="auto"/>
        <w:ind w:firstLine="720"/>
        <w:jc w:val="both"/>
        <w:rPr>
          <w:color w:val="FF0000"/>
          <w:vertAlign w:val="superscript"/>
        </w:rPr>
      </w:pPr>
      <w:r w:rsidRPr="00BE05BF">
        <w:t xml:space="preserve">LOD value satisfies the MRLs established by the </w:t>
      </w:r>
      <w:proofErr w:type="spellStart"/>
      <w:r w:rsidRPr="00BE05BF">
        <w:t>The</w:t>
      </w:r>
      <w:proofErr w:type="spellEnd"/>
      <w:r w:rsidRPr="00BE05BF">
        <w:t xml:space="preserve"> Codex </w:t>
      </w:r>
      <w:proofErr w:type="spellStart"/>
      <w:r w:rsidRPr="00BE05BF">
        <w:t>Alimentarius</w:t>
      </w:r>
      <w:proofErr w:type="spellEnd"/>
      <w:r w:rsidRPr="00BE05BF">
        <w:t xml:space="preserve"> </w:t>
      </w:r>
      <w:proofErr w:type="spellStart"/>
      <w:r w:rsidRPr="00BE05BF">
        <w:t>Commision</w:t>
      </w:r>
      <w:proofErr w:type="spellEnd"/>
      <w:r w:rsidRPr="00BE05BF">
        <w:t xml:space="preserve"> (CAC), for stone fruits (7.0 mg</w:t>
      </w:r>
      <w:r w:rsidR="00433107" w:rsidRPr="00BE05BF">
        <w:t xml:space="preserve"> </w:t>
      </w:r>
      <w:r w:rsidRPr="00BE05BF">
        <w:t>kg</w:t>
      </w:r>
      <w:r w:rsidR="00433107" w:rsidRPr="00BE05BF">
        <w:rPr>
          <w:vertAlign w:val="superscript"/>
        </w:rPr>
        <w:t>-1</w:t>
      </w:r>
      <w:r w:rsidRPr="00BE05BF">
        <w:t>)</w:t>
      </w:r>
      <w:r w:rsidR="005817D4" w:rsidRPr="00BE05BF">
        <w:t>.</w:t>
      </w:r>
      <w:r w:rsidR="00413DE8" w:rsidRPr="00BE05BF">
        <w:rPr>
          <w:vertAlign w:val="superscript"/>
        </w:rPr>
        <w:t>38</w:t>
      </w:r>
      <w:r w:rsidRPr="00BE05BF">
        <w:t xml:space="preserve"> Particular pesticide limit levels have also been set at 0.1 </w:t>
      </w:r>
      <w:proofErr w:type="spellStart"/>
      <w:r w:rsidRPr="00BE05BF">
        <w:t>μg</w:t>
      </w:r>
      <w:proofErr w:type="spellEnd"/>
      <w:r w:rsidR="00433107" w:rsidRPr="00BE05BF">
        <w:t xml:space="preserve"> </w:t>
      </w:r>
      <w:r w:rsidRPr="00BE05BF">
        <w:t>L</w:t>
      </w:r>
      <w:r w:rsidR="00433107" w:rsidRPr="00BE05BF">
        <w:rPr>
          <w:vertAlign w:val="superscript"/>
        </w:rPr>
        <w:t>-1</w:t>
      </w:r>
      <w:r w:rsidRPr="00BE05BF">
        <w:t xml:space="preserve"> by the European Union. This </w:t>
      </w:r>
      <w:r w:rsidRPr="00F63663">
        <w:t xml:space="preserve">value was decided as the LOD for all pesticides found in drinking water. </w:t>
      </w:r>
      <w:r w:rsidRPr="00F63663">
        <w:rPr>
          <w:lang w:val="en"/>
        </w:rPr>
        <w:t xml:space="preserve">That means the method is </w:t>
      </w:r>
      <w:r w:rsidRPr="00F63663">
        <w:t xml:space="preserve">sensitive enough and the developed sensor can be used with high reliability in detecting the maximum allowable residue level of </w:t>
      </w:r>
      <w:proofErr w:type="spellStart"/>
      <w:r w:rsidRPr="00F63663">
        <w:t>ziram</w:t>
      </w:r>
      <w:proofErr w:type="spellEnd"/>
      <w:r w:rsidRPr="00F63663">
        <w:t xml:space="preserve"> in fresh fruits and water.</w:t>
      </w:r>
      <w:r w:rsidRPr="00F63663">
        <w:rPr>
          <w:color w:val="FF0000"/>
        </w:rPr>
        <w:t xml:space="preserve"> </w:t>
      </w:r>
      <w:r w:rsidRPr="00F63663">
        <w:t>All validation and regression parameters are tabulated in Table </w:t>
      </w:r>
      <w:hyperlink r:id="rId18" w:anchor="elan202100196-tbl-0001" w:tooltip="Link to table" w:history="1">
        <w:r w:rsidR="00122A52" w:rsidRPr="00F63663">
          <w:rPr>
            <w:rStyle w:val="Kpr"/>
            <w:bCs/>
            <w:color w:val="000000" w:themeColor="text1"/>
            <w:u w:val="none"/>
          </w:rPr>
          <w:t>2</w:t>
        </w:r>
      </w:hyperlink>
      <w:r w:rsidRPr="00F63663">
        <w:rPr>
          <w:color w:val="000000" w:themeColor="text1"/>
        </w:rPr>
        <w:t>.</w:t>
      </w:r>
    </w:p>
    <w:p w:rsidR="00D01099" w:rsidRPr="00F63663" w:rsidRDefault="00D01099" w:rsidP="00D01099">
      <w:pPr>
        <w:spacing w:line="360" w:lineRule="auto"/>
        <w:ind w:firstLine="720"/>
        <w:jc w:val="both"/>
        <w:rPr>
          <w:color w:val="000000" w:themeColor="text1"/>
        </w:rPr>
      </w:pPr>
    </w:p>
    <w:p w:rsidR="00122A52" w:rsidRPr="00F63663" w:rsidRDefault="00122A52" w:rsidP="00D01099">
      <w:pPr>
        <w:spacing w:line="360" w:lineRule="auto"/>
        <w:ind w:firstLine="720"/>
        <w:jc w:val="both"/>
        <w:rPr>
          <w:color w:val="000000" w:themeColor="text1"/>
        </w:rPr>
      </w:pPr>
    </w:p>
    <w:p w:rsidR="00D01099" w:rsidRPr="00F63663" w:rsidRDefault="00D01099" w:rsidP="00D01099">
      <w:pPr>
        <w:spacing w:line="360" w:lineRule="auto"/>
        <w:ind w:firstLine="720"/>
        <w:jc w:val="both"/>
        <w:rPr>
          <w:color w:val="000000" w:themeColor="text1"/>
        </w:rPr>
      </w:pPr>
    </w:p>
    <w:p w:rsidR="00D01099" w:rsidRPr="00F63663" w:rsidRDefault="00D01099" w:rsidP="00D01099">
      <w:pPr>
        <w:spacing w:line="360" w:lineRule="auto"/>
        <w:ind w:firstLine="720"/>
        <w:jc w:val="both"/>
        <w:rPr>
          <w:color w:val="000000" w:themeColor="text1"/>
        </w:rPr>
      </w:pPr>
    </w:p>
    <w:p w:rsidR="00D01099" w:rsidRPr="00F63663" w:rsidRDefault="00D01099" w:rsidP="00D01099">
      <w:pPr>
        <w:spacing w:line="360" w:lineRule="auto"/>
        <w:ind w:firstLine="720"/>
        <w:jc w:val="both"/>
        <w:rPr>
          <w:color w:val="000000" w:themeColor="text1"/>
        </w:rPr>
      </w:pPr>
    </w:p>
    <w:p w:rsidR="00D01099" w:rsidRPr="00F63663" w:rsidRDefault="00D01099" w:rsidP="00D01099">
      <w:pPr>
        <w:spacing w:line="360" w:lineRule="auto"/>
        <w:ind w:firstLine="720"/>
        <w:jc w:val="both"/>
        <w:rPr>
          <w:color w:val="000000" w:themeColor="text1"/>
        </w:rPr>
      </w:pPr>
    </w:p>
    <w:p w:rsidR="00D01099" w:rsidRDefault="00D01099" w:rsidP="00D01099">
      <w:pPr>
        <w:spacing w:line="360" w:lineRule="auto"/>
        <w:ind w:firstLine="720"/>
        <w:jc w:val="both"/>
      </w:pPr>
    </w:p>
    <w:p w:rsidR="00324A38" w:rsidRPr="00F63663" w:rsidRDefault="00324A38" w:rsidP="00D01099">
      <w:pPr>
        <w:spacing w:line="360" w:lineRule="auto"/>
        <w:ind w:firstLine="720"/>
        <w:jc w:val="both"/>
      </w:pPr>
    </w:p>
    <w:p w:rsidR="00D01099" w:rsidRPr="00F63663" w:rsidRDefault="00D01099" w:rsidP="00D01099">
      <w:pPr>
        <w:spacing w:line="240" w:lineRule="auto"/>
        <w:jc w:val="both"/>
      </w:pPr>
      <w:r w:rsidRPr="00F63663">
        <w:rPr>
          <w:b/>
          <w:bCs/>
        </w:rPr>
        <w:t xml:space="preserve">Table </w:t>
      </w:r>
      <w:r w:rsidR="00122A52" w:rsidRPr="00F63663">
        <w:rPr>
          <w:b/>
          <w:bCs/>
        </w:rPr>
        <w:t>2</w:t>
      </w:r>
      <w:r w:rsidRPr="00F63663">
        <w:rPr>
          <w:b/>
          <w:bCs/>
        </w:rPr>
        <w:t>.</w:t>
      </w:r>
      <w:r w:rsidRPr="00F63663">
        <w:t xml:space="preserve"> Analytical performance of the RGO/</w:t>
      </w:r>
      <w:proofErr w:type="spellStart"/>
      <w:r w:rsidRPr="00F63663">
        <w:t>AuNPs</w:t>
      </w:r>
      <w:proofErr w:type="spellEnd"/>
      <w:r w:rsidRPr="00F63663">
        <w:t xml:space="preserve">/GCE sensor for </w:t>
      </w:r>
      <w:proofErr w:type="spellStart"/>
      <w:r w:rsidRPr="00F63663">
        <w:t>ziram</w:t>
      </w:r>
      <w:proofErr w:type="spellEnd"/>
      <w:r w:rsidRPr="00F63663">
        <w:t>.</w:t>
      </w:r>
    </w:p>
    <w:tbl>
      <w:tblPr>
        <w:tblStyle w:val="TabloKlavuzu"/>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61"/>
      </w:tblGrid>
      <w:tr w:rsidR="00D01099" w:rsidRPr="00F63663" w:rsidTr="00E95013">
        <w:tc>
          <w:tcPr>
            <w:tcW w:w="4390" w:type="dxa"/>
            <w:tcBorders>
              <w:top w:val="single" w:sz="4" w:space="0" w:color="auto"/>
              <w:bottom w:val="single" w:sz="4" w:space="0" w:color="auto"/>
            </w:tcBorders>
          </w:tcPr>
          <w:p w:rsidR="00D01099" w:rsidRPr="00F63663" w:rsidRDefault="00D01099" w:rsidP="00E95013">
            <w:pPr>
              <w:rPr>
                <w:rFonts w:ascii="Times New Roman" w:hAnsi="Times New Roman" w:cs="Times New Roman"/>
                <w:b/>
                <w:bCs/>
              </w:rPr>
            </w:pPr>
            <w:proofErr w:type="spellStart"/>
            <w:r w:rsidRPr="00F63663">
              <w:rPr>
                <w:rFonts w:ascii="Times New Roman" w:hAnsi="Times New Roman" w:cs="Times New Roman"/>
                <w:b/>
                <w:bCs/>
              </w:rPr>
              <w:t>Parameters</w:t>
            </w:r>
            <w:proofErr w:type="spellEnd"/>
          </w:p>
        </w:tc>
        <w:tc>
          <w:tcPr>
            <w:tcW w:w="4961" w:type="dxa"/>
            <w:tcBorders>
              <w:top w:val="single" w:sz="4" w:space="0" w:color="auto"/>
              <w:bottom w:val="single" w:sz="4" w:space="0" w:color="auto"/>
            </w:tcBorders>
          </w:tcPr>
          <w:p w:rsidR="00D01099" w:rsidRPr="00F63663" w:rsidRDefault="00D01099" w:rsidP="00E95013">
            <w:pPr>
              <w:rPr>
                <w:rFonts w:ascii="Times New Roman" w:hAnsi="Times New Roman" w:cs="Times New Roman"/>
                <w:b/>
                <w:bCs/>
              </w:rPr>
            </w:pPr>
            <w:r w:rsidRPr="00F63663">
              <w:rPr>
                <w:rFonts w:ascii="Times New Roman" w:hAnsi="Times New Roman" w:cs="Times New Roman"/>
                <w:b/>
                <w:bCs/>
              </w:rPr>
              <w:t>Value</w:t>
            </w:r>
          </w:p>
        </w:tc>
      </w:tr>
      <w:tr w:rsidR="00D01099" w:rsidRPr="00F63663" w:rsidTr="00E95013">
        <w:tc>
          <w:tcPr>
            <w:tcW w:w="4390" w:type="dxa"/>
            <w:tcBorders>
              <w:top w:val="single" w:sz="4" w:space="0" w:color="auto"/>
            </w:tcBorders>
          </w:tcPr>
          <w:p w:rsidR="00D01099" w:rsidRPr="00F63663" w:rsidRDefault="00D01099" w:rsidP="00E95013">
            <w:pPr>
              <w:spacing w:line="360" w:lineRule="auto"/>
              <w:jc w:val="both"/>
              <w:rPr>
                <w:rFonts w:ascii="Times New Roman" w:hAnsi="Times New Roman" w:cs="Times New Roman"/>
              </w:rPr>
            </w:pPr>
            <w:proofErr w:type="spellStart"/>
            <w:r w:rsidRPr="00F63663">
              <w:rPr>
                <w:rFonts w:ascii="Times New Roman" w:hAnsi="Times New Roman" w:cs="Times New Roman"/>
              </w:rPr>
              <w:t>Linear</w:t>
            </w:r>
            <w:proofErr w:type="spellEnd"/>
            <w:r w:rsidRPr="00F63663">
              <w:rPr>
                <w:rFonts w:ascii="Times New Roman" w:hAnsi="Times New Roman" w:cs="Times New Roman"/>
              </w:rPr>
              <w:t xml:space="preserve"> </w:t>
            </w:r>
            <w:proofErr w:type="spellStart"/>
            <w:r w:rsidRPr="00F63663">
              <w:rPr>
                <w:rFonts w:ascii="Times New Roman" w:hAnsi="Times New Roman" w:cs="Times New Roman"/>
              </w:rPr>
              <w:t>working</w:t>
            </w:r>
            <w:proofErr w:type="spellEnd"/>
            <w:r w:rsidRPr="00F63663">
              <w:rPr>
                <w:rFonts w:ascii="Times New Roman" w:hAnsi="Times New Roman" w:cs="Times New Roman"/>
              </w:rPr>
              <w:t xml:space="preserve"> </w:t>
            </w:r>
            <w:proofErr w:type="spellStart"/>
            <w:r w:rsidRPr="00F63663">
              <w:rPr>
                <w:rFonts w:ascii="Times New Roman" w:hAnsi="Times New Roman" w:cs="Times New Roman"/>
              </w:rPr>
              <w:t>range</w:t>
            </w:r>
            <w:proofErr w:type="spellEnd"/>
            <w:r w:rsidRPr="00F63663">
              <w:rPr>
                <w:rFonts w:ascii="Times New Roman" w:hAnsi="Times New Roman" w:cs="Times New Roman"/>
              </w:rPr>
              <w:t xml:space="preserve">, </w:t>
            </w:r>
            <w:proofErr w:type="spellStart"/>
            <w:r w:rsidR="00433107" w:rsidRPr="00F63663">
              <w:rPr>
                <w:rFonts w:ascii="Times New Roman" w:hAnsi="Times New Roman" w:cs="Times New Roman"/>
                <w:color w:val="000000" w:themeColor="text1"/>
              </w:rPr>
              <w:t>mol</w:t>
            </w:r>
            <w:proofErr w:type="spellEnd"/>
            <w:r w:rsidR="00433107" w:rsidRPr="00F63663">
              <w:rPr>
                <w:rFonts w:ascii="Times New Roman" w:hAnsi="Times New Roman" w:cs="Times New Roman"/>
                <w:color w:val="000000" w:themeColor="text1"/>
              </w:rPr>
              <w:t xml:space="preserve"> L</w:t>
            </w:r>
            <w:r w:rsidR="00433107" w:rsidRPr="00F63663">
              <w:rPr>
                <w:rFonts w:ascii="Times New Roman" w:hAnsi="Times New Roman" w:cs="Times New Roman"/>
                <w:color w:val="000000" w:themeColor="text1"/>
                <w:vertAlign w:val="superscript"/>
              </w:rPr>
              <w:t>-1</w:t>
            </w:r>
          </w:p>
        </w:tc>
        <w:tc>
          <w:tcPr>
            <w:tcW w:w="4961" w:type="dxa"/>
            <w:tcBorders>
              <w:top w:val="single" w:sz="4" w:space="0" w:color="auto"/>
            </w:tcBorders>
            <w:vAlign w:val="center"/>
          </w:tcPr>
          <w:p w:rsidR="00D01099" w:rsidRPr="00F63663" w:rsidRDefault="00D01099" w:rsidP="00E95013">
            <w:pPr>
              <w:spacing w:line="360" w:lineRule="auto"/>
              <w:rPr>
                <w:rFonts w:ascii="Times New Roman" w:hAnsi="Times New Roman" w:cs="Times New Roman"/>
              </w:rPr>
            </w:pPr>
            <w:r w:rsidRPr="00F63663">
              <w:rPr>
                <w:rFonts w:ascii="Times New Roman" w:hAnsi="Times New Roman" w:cs="Times New Roman"/>
              </w:rPr>
              <w:t>1.50 × 10</w:t>
            </w:r>
            <w:r w:rsidRPr="00F63663">
              <w:rPr>
                <w:rFonts w:ascii="Times New Roman" w:hAnsi="Times New Roman" w:cs="Times New Roman"/>
                <w:vertAlign w:val="superscript"/>
              </w:rPr>
              <w:t>-5</w:t>
            </w:r>
            <w:r w:rsidRPr="00F63663">
              <w:rPr>
                <w:rFonts w:ascii="Times New Roman" w:hAnsi="Times New Roman" w:cs="Times New Roman"/>
              </w:rPr>
              <w:t xml:space="preserve"> - 1.63 × 10</w:t>
            </w:r>
            <w:r w:rsidRPr="00F63663">
              <w:rPr>
                <w:rFonts w:ascii="Times New Roman" w:hAnsi="Times New Roman" w:cs="Times New Roman"/>
                <w:vertAlign w:val="superscript"/>
              </w:rPr>
              <w:t>-7</w:t>
            </w:r>
            <w:r w:rsidRPr="00F63663">
              <w:rPr>
                <w:rFonts w:ascii="Times New Roman" w:hAnsi="Times New Roman" w:cs="Times New Roman"/>
              </w:rPr>
              <w:t xml:space="preserve"> </w:t>
            </w:r>
          </w:p>
        </w:tc>
      </w:tr>
      <w:tr w:rsidR="00D01099" w:rsidRPr="00F63663" w:rsidTr="00E95013">
        <w:tc>
          <w:tcPr>
            <w:tcW w:w="4390" w:type="dxa"/>
          </w:tcPr>
          <w:p w:rsidR="00D01099" w:rsidRPr="00F63663" w:rsidRDefault="00D01099" w:rsidP="00E95013">
            <w:pPr>
              <w:spacing w:line="360" w:lineRule="auto"/>
              <w:jc w:val="both"/>
              <w:rPr>
                <w:rFonts w:ascii="Times New Roman" w:hAnsi="Times New Roman" w:cs="Times New Roman"/>
              </w:rPr>
            </w:pPr>
            <w:r w:rsidRPr="00F63663">
              <w:rPr>
                <w:rFonts w:ascii="Times New Roman" w:hAnsi="Times New Roman" w:cs="Times New Roman"/>
              </w:rPr>
              <w:t>LOD (</w:t>
            </w:r>
            <w:proofErr w:type="spellStart"/>
            <w:r w:rsidRPr="00F63663">
              <w:rPr>
                <w:rFonts w:ascii="Times New Roman" w:hAnsi="Times New Roman" w:cs="Times New Roman"/>
              </w:rPr>
              <w:t>mol</w:t>
            </w:r>
            <w:proofErr w:type="spellEnd"/>
            <w:r w:rsidRPr="00F63663">
              <w:rPr>
                <w:rFonts w:ascii="Times New Roman" w:hAnsi="Times New Roman" w:cs="Times New Roman"/>
              </w:rPr>
              <w:t xml:space="preserve">/L) </w:t>
            </w:r>
          </w:p>
        </w:tc>
        <w:tc>
          <w:tcPr>
            <w:tcW w:w="4961" w:type="dxa"/>
            <w:vAlign w:val="center"/>
          </w:tcPr>
          <w:p w:rsidR="00D01099" w:rsidRPr="00F63663" w:rsidRDefault="00D01099" w:rsidP="00E95013">
            <w:pPr>
              <w:spacing w:line="360" w:lineRule="auto"/>
              <w:rPr>
                <w:rFonts w:ascii="Times New Roman" w:hAnsi="Times New Roman" w:cs="Times New Roman"/>
              </w:rPr>
            </w:pPr>
            <w:r w:rsidRPr="00F63663">
              <w:rPr>
                <w:rFonts w:ascii="Times New Roman" w:hAnsi="Times New Roman" w:cs="Times New Roman"/>
                <w:bCs/>
                <w:iCs/>
              </w:rPr>
              <w:t>1.19×10</w:t>
            </w:r>
            <w:r w:rsidRPr="00F63663">
              <w:rPr>
                <w:rFonts w:ascii="Times New Roman" w:hAnsi="Times New Roman" w:cs="Times New Roman"/>
                <w:bCs/>
                <w:iCs/>
                <w:vertAlign w:val="superscript"/>
              </w:rPr>
              <w:t>‒7</w:t>
            </w:r>
          </w:p>
        </w:tc>
      </w:tr>
      <w:tr w:rsidR="00D01099" w:rsidRPr="00F63663" w:rsidTr="00E95013">
        <w:tc>
          <w:tcPr>
            <w:tcW w:w="4390" w:type="dxa"/>
          </w:tcPr>
          <w:p w:rsidR="00D01099" w:rsidRPr="00F63663" w:rsidRDefault="00D01099" w:rsidP="00E95013">
            <w:pPr>
              <w:spacing w:line="360" w:lineRule="auto"/>
              <w:jc w:val="both"/>
              <w:rPr>
                <w:rFonts w:ascii="Times New Roman" w:hAnsi="Times New Roman" w:cs="Times New Roman"/>
              </w:rPr>
            </w:pPr>
            <w:r w:rsidRPr="00F63663">
              <w:rPr>
                <w:rFonts w:ascii="Times New Roman" w:hAnsi="Times New Roman" w:cs="Times New Roman"/>
              </w:rPr>
              <w:t>LOQ (</w:t>
            </w:r>
            <w:proofErr w:type="spellStart"/>
            <w:r w:rsidRPr="00F63663">
              <w:rPr>
                <w:rFonts w:ascii="Times New Roman" w:hAnsi="Times New Roman" w:cs="Times New Roman"/>
              </w:rPr>
              <w:t>mol</w:t>
            </w:r>
            <w:proofErr w:type="spellEnd"/>
            <w:r w:rsidRPr="00F63663">
              <w:rPr>
                <w:rFonts w:ascii="Times New Roman" w:hAnsi="Times New Roman" w:cs="Times New Roman"/>
              </w:rPr>
              <w:t>/L)</w:t>
            </w:r>
          </w:p>
        </w:tc>
        <w:tc>
          <w:tcPr>
            <w:tcW w:w="4961" w:type="dxa"/>
            <w:vAlign w:val="center"/>
          </w:tcPr>
          <w:p w:rsidR="00D01099" w:rsidRPr="00F63663" w:rsidRDefault="00D01099" w:rsidP="00E95013">
            <w:pPr>
              <w:spacing w:line="360" w:lineRule="auto"/>
              <w:rPr>
                <w:rFonts w:ascii="Times New Roman" w:hAnsi="Times New Roman" w:cs="Times New Roman"/>
                <w:bCs/>
                <w:iCs/>
              </w:rPr>
            </w:pPr>
            <w:r w:rsidRPr="00F63663">
              <w:rPr>
                <w:rFonts w:ascii="Times New Roman" w:hAnsi="Times New Roman" w:cs="Times New Roman"/>
                <w:bCs/>
                <w:iCs/>
                <w:lang w:val="en-GB"/>
              </w:rPr>
              <w:t>7.80×10</w:t>
            </w:r>
            <w:r w:rsidRPr="00F63663">
              <w:rPr>
                <w:rFonts w:ascii="Times New Roman" w:hAnsi="Times New Roman" w:cs="Times New Roman"/>
                <w:bCs/>
                <w:iCs/>
                <w:vertAlign w:val="superscript"/>
                <w:lang w:val="en-GB"/>
              </w:rPr>
              <w:t>‒7</w:t>
            </w:r>
          </w:p>
        </w:tc>
      </w:tr>
      <w:tr w:rsidR="00D01099" w:rsidRPr="00F63663" w:rsidTr="00E95013">
        <w:trPr>
          <w:trHeight w:val="423"/>
        </w:trPr>
        <w:tc>
          <w:tcPr>
            <w:tcW w:w="4390" w:type="dxa"/>
          </w:tcPr>
          <w:p w:rsidR="00D01099" w:rsidRPr="00F63663" w:rsidRDefault="00D01099" w:rsidP="00E95013">
            <w:pPr>
              <w:spacing w:line="360" w:lineRule="auto"/>
              <w:jc w:val="both"/>
              <w:rPr>
                <w:rFonts w:ascii="Times New Roman" w:hAnsi="Times New Roman" w:cs="Times New Roman"/>
              </w:rPr>
            </w:pPr>
            <w:proofErr w:type="spellStart"/>
            <w:r w:rsidRPr="00F63663">
              <w:rPr>
                <w:rFonts w:ascii="Times New Roman" w:hAnsi="Times New Roman" w:cs="Times New Roman"/>
              </w:rPr>
              <w:t>Calibration</w:t>
            </w:r>
            <w:proofErr w:type="spellEnd"/>
            <w:r w:rsidRPr="00F63663">
              <w:rPr>
                <w:rFonts w:ascii="Times New Roman" w:hAnsi="Times New Roman" w:cs="Times New Roman"/>
              </w:rPr>
              <w:t xml:space="preserve"> </w:t>
            </w:r>
            <w:proofErr w:type="spellStart"/>
            <w:r w:rsidRPr="00F63663">
              <w:rPr>
                <w:rFonts w:ascii="Times New Roman" w:hAnsi="Times New Roman" w:cs="Times New Roman"/>
              </w:rPr>
              <w:t>equation</w:t>
            </w:r>
            <w:proofErr w:type="spellEnd"/>
          </w:p>
        </w:tc>
        <w:tc>
          <w:tcPr>
            <w:tcW w:w="4961" w:type="dxa"/>
            <w:vAlign w:val="center"/>
          </w:tcPr>
          <w:p w:rsidR="00D01099" w:rsidRPr="00F63663" w:rsidRDefault="00015B70" w:rsidP="00E95013">
            <w:pPr>
              <w:spacing w:line="360" w:lineRule="auto"/>
              <w:rPr>
                <w:rFonts w:ascii="Times New Roman" w:eastAsiaTheme="minorEastAsia" w:hAnsi="Times New Roman" w:cs="Times New Roman"/>
              </w:rPr>
            </w:pPr>
            <m:oMathPara>
              <m:oMathParaPr>
                <m:jc m:val="left"/>
              </m:oMathParaPr>
              <m:oMath>
                <m:sSub>
                  <m:sSubPr>
                    <m:ctrlPr>
                      <w:rPr>
                        <w:rFonts w:ascii="Cambria Math" w:hAnsi="Cambria Math" w:cs="Times New Roman"/>
                      </w:rPr>
                    </m:ctrlPr>
                  </m:sSubPr>
                  <m:e>
                    <m:r>
                      <m:rPr>
                        <m:sty m:val="p"/>
                      </m:rPr>
                      <w:rPr>
                        <w:rFonts w:ascii="Cambria Math" w:hAnsi="Cambria Math" w:cs="Times New Roman"/>
                      </w:rPr>
                      <m:t>I</m:t>
                    </m:r>
                  </m:e>
                  <m:sub>
                    <m:r>
                      <m:rPr>
                        <m:sty m:val="p"/>
                      </m:rPr>
                      <w:rPr>
                        <w:rFonts w:ascii="Cambria Math" w:hAnsi="Cambria Math" w:cs="Times New Roman"/>
                      </w:rPr>
                      <m:t>pa</m:t>
                    </m:r>
                  </m:sub>
                </m:sSub>
                <m:d>
                  <m:dPr>
                    <m:ctrlPr>
                      <w:rPr>
                        <w:rFonts w:ascii="Cambria Math" w:hAnsi="Cambria Math" w:cs="Times New Roman"/>
                      </w:rPr>
                    </m:ctrlPr>
                  </m:dPr>
                  <m:e>
                    <m:r>
                      <m:rPr>
                        <m:sty m:val="p"/>
                      </m:rPr>
                      <w:rPr>
                        <w:rFonts w:ascii="Cambria Math" w:hAnsi="Cambria Math" w:cs="Times New Roman"/>
                      </w:rPr>
                      <m:t>μA</m:t>
                    </m:r>
                  </m:e>
                </m:d>
                <m:r>
                  <m:rPr>
                    <m:sty m:val="p"/>
                  </m:rP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2x10</m:t>
                    </m:r>
                  </m:e>
                  <m:sup>
                    <m:r>
                      <m:rPr>
                        <m:sty m:val="p"/>
                      </m:rPr>
                      <w:rPr>
                        <w:rFonts w:ascii="Cambria Math" w:hAnsi="Cambria Math" w:cs="Times New Roman"/>
                      </w:rPr>
                      <m:t>7</m:t>
                    </m:r>
                  </m:sup>
                </m:sSup>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ziram</m:t>
                    </m:r>
                  </m:sub>
                </m:sSub>
                <m:d>
                  <m:dPr>
                    <m:ctrlPr>
                      <w:rPr>
                        <w:rFonts w:ascii="Cambria Math" w:hAnsi="Cambria Math" w:cs="Times New Roman"/>
                      </w:rPr>
                    </m:ctrlPr>
                  </m:dPr>
                  <m:e>
                    <m:r>
                      <m:rPr>
                        <m:sty m:val="p"/>
                      </m:rPr>
                      <w:rPr>
                        <w:rFonts w:ascii="Cambria Math" w:hAnsi="Cambria Math" w:cs="Times New Roman"/>
                      </w:rPr>
                      <m:t>μM</m:t>
                    </m:r>
                  </m:e>
                </m:d>
                <m:r>
                  <m:rPr>
                    <m:sty m:val="p"/>
                  </m:rPr>
                  <w:rPr>
                    <w:rFonts w:ascii="Cambria Math" w:hAnsi="Cambria Math" w:cs="Times New Roman"/>
                  </w:rPr>
                  <m:t xml:space="preserve">+5.5336         </m:t>
                </m:r>
              </m:oMath>
            </m:oMathPara>
          </w:p>
        </w:tc>
      </w:tr>
      <w:tr w:rsidR="00D01099" w:rsidRPr="00F63663" w:rsidTr="00E95013">
        <w:tc>
          <w:tcPr>
            <w:tcW w:w="4390" w:type="dxa"/>
          </w:tcPr>
          <w:p w:rsidR="00D01099" w:rsidRPr="00F63663" w:rsidRDefault="00D01099" w:rsidP="00E95013">
            <w:pPr>
              <w:spacing w:line="360" w:lineRule="auto"/>
              <w:jc w:val="both"/>
              <w:rPr>
                <w:rFonts w:ascii="Times New Roman" w:hAnsi="Times New Roman" w:cs="Times New Roman"/>
              </w:rPr>
            </w:pPr>
            <w:proofErr w:type="spellStart"/>
            <w:r w:rsidRPr="00F63663">
              <w:rPr>
                <w:rFonts w:ascii="Times New Roman" w:hAnsi="Times New Roman" w:cs="Times New Roman"/>
              </w:rPr>
              <w:t>Regression</w:t>
            </w:r>
            <w:proofErr w:type="spellEnd"/>
            <w:r w:rsidRPr="00F63663">
              <w:rPr>
                <w:rFonts w:ascii="Times New Roman" w:hAnsi="Times New Roman" w:cs="Times New Roman"/>
              </w:rPr>
              <w:t xml:space="preserve"> </w:t>
            </w:r>
            <w:proofErr w:type="spellStart"/>
            <w:r w:rsidRPr="00F63663">
              <w:rPr>
                <w:rFonts w:ascii="Times New Roman" w:hAnsi="Times New Roman" w:cs="Times New Roman"/>
              </w:rPr>
              <w:t>coefficient</w:t>
            </w:r>
            <w:proofErr w:type="spellEnd"/>
            <w:r w:rsidRPr="00F63663">
              <w:rPr>
                <w:rFonts w:ascii="Times New Roman" w:hAnsi="Times New Roman" w:cs="Times New Roman"/>
              </w:rPr>
              <w:t xml:space="preserve"> (R</w:t>
            </w:r>
            <w:r w:rsidRPr="00F63663">
              <w:rPr>
                <w:rFonts w:ascii="Times New Roman" w:hAnsi="Times New Roman" w:cs="Times New Roman"/>
                <w:vertAlign w:val="superscript"/>
              </w:rPr>
              <w:t>2</w:t>
            </w:r>
            <w:r w:rsidRPr="00F63663">
              <w:rPr>
                <w:rFonts w:ascii="Times New Roman" w:hAnsi="Times New Roman" w:cs="Times New Roman"/>
              </w:rPr>
              <w:t>)</w:t>
            </w:r>
          </w:p>
        </w:tc>
        <w:tc>
          <w:tcPr>
            <w:tcW w:w="4961" w:type="dxa"/>
            <w:vAlign w:val="center"/>
          </w:tcPr>
          <w:p w:rsidR="00D01099" w:rsidRPr="00F63663" w:rsidRDefault="00D01099" w:rsidP="00E95013">
            <w:pPr>
              <w:spacing w:line="360" w:lineRule="auto"/>
              <w:rPr>
                <w:rFonts w:ascii="Times New Roman" w:hAnsi="Times New Roman" w:cs="Times New Roman"/>
              </w:rPr>
            </w:pPr>
            <m:oMathPara>
              <m:oMathParaPr>
                <m:jc m:val="left"/>
              </m:oMathParaPr>
              <m:oMath>
                <m:r>
                  <m:rPr>
                    <m:sty m:val="p"/>
                  </m:rPr>
                  <w:rPr>
                    <w:rFonts w:ascii="Cambria Math" w:hAnsi="Cambria Math" w:cs="Times New Roman"/>
                  </w:rPr>
                  <m:t>0.9996</m:t>
                </m:r>
              </m:oMath>
            </m:oMathPara>
          </w:p>
        </w:tc>
      </w:tr>
      <w:tr w:rsidR="00D01099" w:rsidRPr="00F63663" w:rsidTr="00E95013">
        <w:tc>
          <w:tcPr>
            <w:tcW w:w="4390" w:type="dxa"/>
          </w:tcPr>
          <w:p w:rsidR="00D01099" w:rsidRPr="00F63663" w:rsidRDefault="00D01099" w:rsidP="00E95013">
            <w:pPr>
              <w:spacing w:line="360" w:lineRule="auto"/>
              <w:jc w:val="both"/>
              <w:rPr>
                <w:rFonts w:ascii="Times New Roman" w:hAnsi="Times New Roman" w:cs="Times New Roman"/>
              </w:rPr>
            </w:pPr>
            <w:proofErr w:type="spellStart"/>
            <w:r w:rsidRPr="00F63663">
              <w:rPr>
                <w:rFonts w:ascii="Times New Roman" w:hAnsi="Times New Roman" w:cs="Times New Roman"/>
              </w:rPr>
              <w:t>Selectivity</w:t>
            </w:r>
            <w:proofErr w:type="spellEnd"/>
            <w:r w:rsidRPr="00F63663">
              <w:rPr>
                <w:rFonts w:ascii="Times New Roman" w:hAnsi="Times New Roman" w:cs="Times New Roman"/>
              </w:rPr>
              <w:t xml:space="preserve"> (</w:t>
            </w:r>
            <w:proofErr w:type="spellStart"/>
            <w:r w:rsidRPr="00F63663">
              <w:rPr>
                <w:rFonts w:ascii="Times New Roman" w:hAnsi="Times New Roman" w:cs="Times New Roman"/>
              </w:rPr>
              <w:t>μA</w:t>
            </w:r>
            <w:proofErr w:type="spellEnd"/>
            <w:r w:rsidRPr="00F63663">
              <w:rPr>
                <w:rFonts w:ascii="Times New Roman" w:hAnsi="Times New Roman" w:cs="Times New Roman"/>
              </w:rPr>
              <w:t>/</w:t>
            </w:r>
            <w:proofErr w:type="spellStart"/>
            <w:r w:rsidRPr="00F63663">
              <w:rPr>
                <w:rFonts w:ascii="Times New Roman" w:hAnsi="Times New Roman" w:cs="Times New Roman"/>
              </w:rPr>
              <w:t>μM</w:t>
            </w:r>
            <w:proofErr w:type="spellEnd"/>
            <w:r w:rsidRPr="00F63663">
              <w:rPr>
                <w:rFonts w:ascii="Times New Roman" w:hAnsi="Times New Roman" w:cs="Times New Roman"/>
              </w:rPr>
              <w:t>)</w:t>
            </w:r>
          </w:p>
        </w:tc>
        <w:tc>
          <w:tcPr>
            <w:tcW w:w="4961" w:type="dxa"/>
            <w:vAlign w:val="center"/>
          </w:tcPr>
          <w:p w:rsidR="00D01099" w:rsidRPr="00F63663" w:rsidRDefault="00015B70" w:rsidP="00E95013">
            <w:pPr>
              <w:spacing w:line="360" w:lineRule="auto"/>
              <w:rPr>
                <w:rFonts w:ascii="Times New Roman" w:eastAsia="Calibri" w:hAnsi="Times New Roman" w:cs="Times New Roman"/>
              </w:rPr>
            </w:pPr>
            <m:oMathPara>
              <m:oMathParaPr>
                <m:jc m:val="left"/>
              </m:oMathParaPr>
              <m:oMath>
                <m:sSup>
                  <m:sSupPr>
                    <m:ctrlPr>
                      <w:rPr>
                        <w:rFonts w:ascii="Cambria Math" w:hAnsi="Cambria Math" w:cs="Times New Roman"/>
                      </w:rPr>
                    </m:ctrlPr>
                  </m:sSupPr>
                  <m:e>
                    <m:r>
                      <m:rPr>
                        <m:sty m:val="p"/>
                      </m:rPr>
                      <w:rPr>
                        <w:rFonts w:ascii="Cambria Math" w:hAnsi="Cambria Math" w:cs="Times New Roman"/>
                      </w:rPr>
                      <m:t>2x10</m:t>
                    </m:r>
                  </m:e>
                  <m:sup>
                    <m:r>
                      <m:rPr>
                        <m:sty m:val="p"/>
                      </m:rPr>
                      <w:rPr>
                        <w:rFonts w:ascii="Cambria Math" w:hAnsi="Cambria Math" w:cs="Times New Roman"/>
                      </w:rPr>
                      <m:t>7</m:t>
                    </m:r>
                  </m:sup>
                </m:sSup>
              </m:oMath>
            </m:oMathPara>
          </w:p>
        </w:tc>
      </w:tr>
      <w:tr w:rsidR="00D01099" w:rsidRPr="00F63663" w:rsidTr="00E95013">
        <w:tc>
          <w:tcPr>
            <w:tcW w:w="4390" w:type="dxa"/>
          </w:tcPr>
          <w:p w:rsidR="00D01099" w:rsidRPr="00F63663" w:rsidRDefault="00D01099" w:rsidP="00E95013">
            <w:pPr>
              <w:spacing w:line="360" w:lineRule="auto"/>
              <w:jc w:val="both"/>
              <w:rPr>
                <w:rFonts w:ascii="Times New Roman" w:hAnsi="Times New Roman" w:cs="Times New Roman"/>
              </w:rPr>
            </w:pPr>
            <w:proofErr w:type="spellStart"/>
            <w:r w:rsidRPr="00F63663">
              <w:rPr>
                <w:rFonts w:ascii="Times New Roman" w:hAnsi="Times New Roman" w:cs="Times New Roman"/>
              </w:rPr>
              <w:t>Intercept</w:t>
            </w:r>
            <w:proofErr w:type="spellEnd"/>
          </w:p>
        </w:tc>
        <w:tc>
          <w:tcPr>
            <w:tcW w:w="4961" w:type="dxa"/>
            <w:vAlign w:val="center"/>
          </w:tcPr>
          <w:p w:rsidR="00D01099" w:rsidRPr="00F63663" w:rsidRDefault="00D01099" w:rsidP="00E95013">
            <w:pPr>
              <w:spacing w:line="360" w:lineRule="auto"/>
              <w:rPr>
                <w:rFonts w:ascii="Times New Roman" w:eastAsia="Calibri" w:hAnsi="Times New Roman" w:cs="Times New Roman"/>
              </w:rPr>
            </w:pPr>
            <w:r w:rsidRPr="00F63663">
              <w:rPr>
                <w:rFonts w:ascii="Times New Roman" w:eastAsia="Calibri" w:hAnsi="Times New Roman" w:cs="Times New Roman"/>
              </w:rPr>
              <w:t>5.5336</w:t>
            </w:r>
          </w:p>
        </w:tc>
      </w:tr>
      <w:tr w:rsidR="00D01099" w:rsidRPr="00F63663" w:rsidTr="00E95013">
        <w:tc>
          <w:tcPr>
            <w:tcW w:w="4390" w:type="dxa"/>
          </w:tcPr>
          <w:p w:rsidR="00D01099" w:rsidRPr="00F63663" w:rsidRDefault="00D01099" w:rsidP="00433107">
            <w:pPr>
              <w:spacing w:line="360" w:lineRule="auto"/>
              <w:jc w:val="both"/>
              <w:rPr>
                <w:rFonts w:ascii="Times New Roman" w:hAnsi="Times New Roman" w:cs="Times New Roman"/>
              </w:rPr>
            </w:pPr>
            <w:proofErr w:type="spellStart"/>
            <w:r w:rsidRPr="00F63663">
              <w:rPr>
                <w:rFonts w:ascii="Times New Roman" w:hAnsi="Times New Roman" w:cs="Times New Roman"/>
              </w:rPr>
              <w:t>Reproducibility</w:t>
            </w:r>
            <w:proofErr w:type="spellEnd"/>
            <w:r w:rsidRPr="00F63663">
              <w:rPr>
                <w:rFonts w:ascii="Times New Roman" w:hAnsi="Times New Roman" w:cs="Times New Roman"/>
              </w:rPr>
              <w:t xml:space="preserve"> (RSD</w:t>
            </w:r>
            <w:r w:rsidR="00433107" w:rsidRPr="00F63663">
              <w:rPr>
                <w:rFonts w:ascii="Times New Roman" w:hAnsi="Times New Roman" w:cs="Times New Roman"/>
              </w:rPr>
              <w:t>, %</w:t>
            </w:r>
            <w:r w:rsidRPr="00F63663">
              <w:rPr>
                <w:rFonts w:ascii="Times New Roman" w:hAnsi="Times New Roman" w:cs="Times New Roman"/>
              </w:rPr>
              <w:t>)</w:t>
            </w:r>
          </w:p>
        </w:tc>
        <w:tc>
          <w:tcPr>
            <w:tcW w:w="4961" w:type="dxa"/>
            <w:vAlign w:val="center"/>
          </w:tcPr>
          <w:p w:rsidR="00D01099" w:rsidRPr="00F63663" w:rsidRDefault="00D01099" w:rsidP="00E95013">
            <w:pPr>
              <w:spacing w:line="360" w:lineRule="auto"/>
              <w:rPr>
                <w:rFonts w:ascii="Times New Roman" w:eastAsia="Calibri" w:hAnsi="Times New Roman" w:cs="Times New Roman"/>
              </w:rPr>
            </w:pPr>
            <w:r w:rsidRPr="00F63663">
              <w:rPr>
                <w:rFonts w:ascii="Times New Roman" w:eastAsia="Calibri" w:hAnsi="Times New Roman" w:cs="Times New Roman"/>
              </w:rPr>
              <w:t>2.35</w:t>
            </w:r>
          </w:p>
        </w:tc>
      </w:tr>
      <w:tr w:rsidR="00D01099" w:rsidRPr="00F63663" w:rsidTr="00E95013">
        <w:tc>
          <w:tcPr>
            <w:tcW w:w="4390" w:type="dxa"/>
            <w:tcBorders>
              <w:bottom w:val="single" w:sz="4" w:space="0" w:color="auto"/>
            </w:tcBorders>
          </w:tcPr>
          <w:p w:rsidR="00D01099" w:rsidRPr="00F63663" w:rsidRDefault="00D01099" w:rsidP="00433107">
            <w:pPr>
              <w:spacing w:line="360" w:lineRule="auto"/>
              <w:jc w:val="both"/>
              <w:rPr>
                <w:rFonts w:ascii="Times New Roman" w:hAnsi="Times New Roman" w:cs="Times New Roman"/>
              </w:rPr>
            </w:pPr>
            <w:proofErr w:type="spellStart"/>
            <w:r w:rsidRPr="00F63663">
              <w:rPr>
                <w:rFonts w:ascii="Times New Roman" w:hAnsi="Times New Roman" w:cs="Times New Roman"/>
              </w:rPr>
              <w:t>Repeatability</w:t>
            </w:r>
            <w:proofErr w:type="spellEnd"/>
            <w:r w:rsidRPr="00F63663">
              <w:rPr>
                <w:rFonts w:ascii="Times New Roman" w:hAnsi="Times New Roman" w:cs="Times New Roman"/>
              </w:rPr>
              <w:t xml:space="preserve"> (RSD</w:t>
            </w:r>
            <w:r w:rsidR="00433107" w:rsidRPr="00F63663">
              <w:rPr>
                <w:rFonts w:ascii="Times New Roman" w:hAnsi="Times New Roman" w:cs="Times New Roman"/>
              </w:rPr>
              <w:t>, %)</w:t>
            </w:r>
          </w:p>
        </w:tc>
        <w:tc>
          <w:tcPr>
            <w:tcW w:w="4961" w:type="dxa"/>
            <w:tcBorders>
              <w:bottom w:val="single" w:sz="4" w:space="0" w:color="auto"/>
            </w:tcBorders>
            <w:vAlign w:val="center"/>
          </w:tcPr>
          <w:p w:rsidR="00D01099" w:rsidRPr="00F63663" w:rsidRDefault="00D01099" w:rsidP="00E95013">
            <w:pPr>
              <w:spacing w:line="360" w:lineRule="auto"/>
              <w:rPr>
                <w:rFonts w:ascii="Times New Roman" w:eastAsia="Calibri" w:hAnsi="Times New Roman" w:cs="Times New Roman"/>
              </w:rPr>
            </w:pPr>
            <w:r w:rsidRPr="00F63663">
              <w:rPr>
                <w:rFonts w:ascii="Times New Roman" w:eastAsia="Calibri" w:hAnsi="Times New Roman" w:cs="Times New Roman"/>
              </w:rPr>
              <w:t>4.12</w:t>
            </w:r>
          </w:p>
        </w:tc>
      </w:tr>
    </w:tbl>
    <w:p w:rsidR="00D01099" w:rsidRPr="0030196E" w:rsidRDefault="0030196E" w:rsidP="0030196E">
      <w:pPr>
        <w:pStyle w:val="Balk2"/>
        <w:numPr>
          <w:ilvl w:val="1"/>
          <w:numId w:val="37"/>
        </w:numPr>
        <w:rPr>
          <w:i w:val="0"/>
        </w:rPr>
      </w:pPr>
      <w:r>
        <w:t xml:space="preserve"> </w:t>
      </w:r>
      <w:r w:rsidR="00D01099" w:rsidRPr="0030196E">
        <w:rPr>
          <w:i w:val="0"/>
        </w:rPr>
        <w:t xml:space="preserve">Reproducibility and </w:t>
      </w:r>
      <w:r>
        <w:rPr>
          <w:i w:val="0"/>
        </w:rPr>
        <w:t>R</w:t>
      </w:r>
      <w:r w:rsidR="00D01099" w:rsidRPr="0030196E">
        <w:rPr>
          <w:i w:val="0"/>
        </w:rPr>
        <w:t>epeatability</w:t>
      </w:r>
    </w:p>
    <w:p w:rsidR="00D01099" w:rsidRPr="00F63663" w:rsidRDefault="00D01099" w:rsidP="00D01099">
      <w:pPr>
        <w:spacing w:line="360" w:lineRule="auto"/>
        <w:jc w:val="both"/>
      </w:pPr>
      <w:r w:rsidRPr="00F63663">
        <w:t>To demonstrate the reproducibility of the RGO/</w:t>
      </w:r>
      <w:proofErr w:type="spellStart"/>
      <w:r w:rsidRPr="00F63663">
        <w:t>AuNPs</w:t>
      </w:r>
      <w:proofErr w:type="spellEnd"/>
      <w:r w:rsidRPr="00F63663">
        <w:t>/GCE sensor, 3 modified electrodes were prepared under the same composition. Under optimized experimental conditions, repeated DPV measurements (n=5) from a solution that contains 5.0 x 10</w:t>
      </w:r>
      <w:r w:rsidRPr="00F63663">
        <w:rPr>
          <w:vertAlign w:val="superscript"/>
        </w:rPr>
        <w:t>-4</w:t>
      </w:r>
      <w:r w:rsidRPr="00F63663">
        <w:t xml:space="preserve"> </w:t>
      </w:r>
      <w:proofErr w:type="spellStart"/>
      <w:r w:rsidR="00433107" w:rsidRPr="00F63663">
        <w:rPr>
          <w:color w:val="000000" w:themeColor="text1"/>
        </w:rPr>
        <w:t>mol</w:t>
      </w:r>
      <w:proofErr w:type="spellEnd"/>
      <w:r w:rsidR="00433107" w:rsidRPr="00F63663">
        <w:rPr>
          <w:color w:val="000000" w:themeColor="text1"/>
        </w:rPr>
        <w:t xml:space="preserve"> L</w:t>
      </w:r>
      <w:r w:rsidR="00433107" w:rsidRPr="00F63663">
        <w:rPr>
          <w:color w:val="000000" w:themeColor="text1"/>
          <w:vertAlign w:val="superscript"/>
        </w:rPr>
        <w:t>-1</w:t>
      </w:r>
      <w:r w:rsidR="00433107" w:rsidRPr="00F63663">
        <w:rPr>
          <w:color w:val="000000" w:themeColor="text1"/>
        </w:rPr>
        <w:t xml:space="preserve"> </w:t>
      </w:r>
      <w:proofErr w:type="spellStart"/>
      <w:r w:rsidRPr="00F63663">
        <w:t>ziram</w:t>
      </w:r>
      <w:proofErr w:type="spellEnd"/>
      <w:r w:rsidRPr="00F63663">
        <w:t xml:space="preserve"> were used to identify the peak current for each electrode. The anodic peak currents for </w:t>
      </w:r>
      <w:proofErr w:type="spellStart"/>
      <w:r w:rsidRPr="00F63663">
        <w:t>ziram</w:t>
      </w:r>
      <w:proofErr w:type="spellEnd"/>
      <w:r w:rsidRPr="00F63663">
        <w:t xml:space="preserve"> had a relative standard deviation (RSD) of 2.35 % (Table </w:t>
      </w:r>
      <w:r w:rsidR="00FA6EBC" w:rsidRPr="00F63663">
        <w:t>2</w:t>
      </w:r>
      <w:r w:rsidRPr="00F63663">
        <w:t>). This implies that the electrode has a high level of repeatability. Multiple DPV measurements (n=5) were used to assess the sensor's repeatability, giving RSD</w:t>
      </w:r>
      <w:r w:rsidR="00433107" w:rsidRPr="00F63663">
        <w:t xml:space="preserve"> </w:t>
      </w:r>
      <w:r w:rsidRPr="00F63663">
        <w:t xml:space="preserve">value of 4.12 % (Table </w:t>
      </w:r>
      <w:r w:rsidR="00122A52" w:rsidRPr="00F63663">
        <w:t>2</w:t>
      </w:r>
      <w:r w:rsidRPr="00F63663">
        <w:t>).</w:t>
      </w:r>
    </w:p>
    <w:p w:rsidR="00D01099" w:rsidRPr="0030196E" w:rsidRDefault="0030196E" w:rsidP="0030196E">
      <w:pPr>
        <w:pStyle w:val="Balk2"/>
        <w:numPr>
          <w:ilvl w:val="1"/>
          <w:numId w:val="37"/>
        </w:numPr>
        <w:rPr>
          <w:i w:val="0"/>
        </w:rPr>
      </w:pPr>
      <w:r>
        <w:t xml:space="preserve"> </w:t>
      </w:r>
      <w:r w:rsidR="00D01099" w:rsidRPr="0030196E">
        <w:rPr>
          <w:i w:val="0"/>
        </w:rPr>
        <w:t xml:space="preserve">Real </w:t>
      </w:r>
      <w:r>
        <w:rPr>
          <w:i w:val="0"/>
        </w:rPr>
        <w:t>S</w:t>
      </w:r>
      <w:r w:rsidR="00D01099" w:rsidRPr="0030196E">
        <w:rPr>
          <w:i w:val="0"/>
        </w:rPr>
        <w:t xml:space="preserve">ample </w:t>
      </w:r>
      <w:r>
        <w:rPr>
          <w:i w:val="0"/>
        </w:rPr>
        <w:t>A</w:t>
      </w:r>
      <w:r w:rsidR="00D01099" w:rsidRPr="0030196E">
        <w:rPr>
          <w:i w:val="0"/>
        </w:rPr>
        <w:t>nalysis</w:t>
      </w:r>
    </w:p>
    <w:p w:rsidR="00D01099" w:rsidRPr="00F63663" w:rsidRDefault="00D01099" w:rsidP="00D01099">
      <w:pPr>
        <w:spacing w:line="360" w:lineRule="auto"/>
        <w:jc w:val="both"/>
      </w:pPr>
      <w:r w:rsidRPr="00F63663">
        <w:t xml:space="preserve">The analytical applicability of the prepared sensor was performed with tap water and peach juice. Test solutions of the samples were prepared according to the experimental section’s instruction.  The recovery of the method was evaluated by spiking tap water and peach juice samples with </w:t>
      </w:r>
      <w:proofErr w:type="spellStart"/>
      <w:r w:rsidRPr="00F63663">
        <w:t>ziram</w:t>
      </w:r>
      <w:proofErr w:type="spellEnd"/>
      <w:r w:rsidRPr="00F63663">
        <w:t xml:space="preserve"> at low, middle and high concentration levels of the calibration graph. Calculated recovery values and added </w:t>
      </w:r>
      <w:proofErr w:type="spellStart"/>
      <w:r w:rsidRPr="00F63663">
        <w:t>ziram</w:t>
      </w:r>
      <w:proofErr w:type="spellEnd"/>
      <w:r w:rsidRPr="00F63663">
        <w:t xml:space="preserve"> concentrations are given in Table </w:t>
      </w:r>
      <w:r w:rsidR="00122A52" w:rsidRPr="00F63663">
        <w:t>3 and Table 4</w:t>
      </w:r>
      <w:r w:rsidRPr="00F63663">
        <w:t xml:space="preserve">. </w:t>
      </w:r>
    </w:p>
    <w:p w:rsidR="00D01099" w:rsidRPr="00F63663" w:rsidRDefault="00D01099" w:rsidP="00D01099">
      <w:pPr>
        <w:spacing w:line="360" w:lineRule="auto"/>
        <w:ind w:firstLine="720"/>
        <w:jc w:val="both"/>
      </w:pPr>
      <w:r w:rsidRPr="00F63663">
        <w:t>The obtained recovery values were between 9</w:t>
      </w:r>
      <w:r w:rsidR="00FA6A25">
        <w:t>6</w:t>
      </w:r>
      <w:r w:rsidRPr="00F63663">
        <w:t>.</w:t>
      </w:r>
      <w:r w:rsidR="00FA6A25">
        <w:t>4</w:t>
      </w:r>
      <w:r w:rsidRPr="00F63663">
        <w:t xml:space="preserve"> and 107.</w:t>
      </w:r>
      <w:r w:rsidR="00FA6A25">
        <w:t>6</w:t>
      </w:r>
      <w:r w:rsidRPr="00F63663">
        <w:t xml:space="preserve"> %. These results show that the developed electrochemical sensor can effectively be applied with high sensitivity and selectivity for </w:t>
      </w:r>
      <w:proofErr w:type="spellStart"/>
      <w:r w:rsidRPr="00F63663">
        <w:t>ziram</w:t>
      </w:r>
      <w:proofErr w:type="spellEnd"/>
      <w:r w:rsidRPr="00F63663">
        <w:t xml:space="preserve"> determination in two different matrices.</w:t>
      </w:r>
    </w:p>
    <w:p w:rsidR="00D01099" w:rsidRPr="00F63663" w:rsidRDefault="00D01099" w:rsidP="00D01099">
      <w:pPr>
        <w:spacing w:line="360" w:lineRule="auto"/>
        <w:jc w:val="both"/>
      </w:pPr>
    </w:p>
    <w:p w:rsidR="00D01099" w:rsidRPr="00F63663" w:rsidRDefault="00D01099" w:rsidP="00D01099">
      <w:pPr>
        <w:spacing w:line="360" w:lineRule="auto"/>
        <w:jc w:val="both"/>
      </w:pPr>
    </w:p>
    <w:p w:rsidR="00D01099" w:rsidRPr="00F63663" w:rsidRDefault="00D01099" w:rsidP="00D01099">
      <w:pPr>
        <w:spacing w:line="240" w:lineRule="auto"/>
        <w:jc w:val="both"/>
        <w:rPr>
          <w:b/>
          <w:bCs/>
        </w:rPr>
      </w:pPr>
      <w:r w:rsidRPr="00F63663">
        <w:rPr>
          <w:b/>
          <w:bCs/>
        </w:rPr>
        <w:t xml:space="preserve">Table </w:t>
      </w:r>
      <w:r w:rsidR="00122A52" w:rsidRPr="00F63663">
        <w:rPr>
          <w:b/>
          <w:bCs/>
        </w:rPr>
        <w:t>3</w:t>
      </w:r>
      <w:r w:rsidRPr="00F63663">
        <w:rPr>
          <w:b/>
          <w:bCs/>
        </w:rPr>
        <w:t>. </w:t>
      </w:r>
      <w:r w:rsidRPr="00F63663">
        <w:rPr>
          <w:bCs/>
        </w:rPr>
        <w:t>Recovery results obtained by standard addition method in tap water sample using RGO/</w:t>
      </w:r>
      <w:proofErr w:type="spellStart"/>
      <w:r w:rsidRPr="00F63663">
        <w:rPr>
          <w:bCs/>
        </w:rPr>
        <w:t>AuNPs</w:t>
      </w:r>
      <w:proofErr w:type="spellEnd"/>
      <w:r w:rsidRPr="00F63663">
        <w:rPr>
          <w:bCs/>
        </w:rPr>
        <w:t>/GCE sensor.</w:t>
      </w:r>
    </w:p>
    <w:tbl>
      <w:tblPr>
        <w:tblW w:w="8505" w:type="dxa"/>
        <w:tblLayout w:type="fixed"/>
        <w:tblLook w:val="04A0" w:firstRow="1" w:lastRow="0" w:firstColumn="1" w:lastColumn="0" w:noHBand="0" w:noVBand="1"/>
      </w:tblPr>
      <w:tblGrid>
        <w:gridCol w:w="513"/>
        <w:gridCol w:w="2039"/>
        <w:gridCol w:w="1843"/>
        <w:gridCol w:w="1701"/>
        <w:gridCol w:w="1134"/>
        <w:gridCol w:w="1275"/>
      </w:tblGrid>
      <w:tr w:rsidR="00D01099" w:rsidRPr="00F63663" w:rsidTr="00773A7A">
        <w:trPr>
          <w:trHeight w:val="779"/>
        </w:trPr>
        <w:tc>
          <w:tcPr>
            <w:tcW w:w="513" w:type="dxa"/>
            <w:tcBorders>
              <w:top w:val="single" w:sz="4" w:space="0" w:color="auto"/>
              <w:bottom w:val="single" w:sz="4" w:space="0" w:color="auto"/>
            </w:tcBorders>
            <w:shd w:val="clear" w:color="auto" w:fill="auto"/>
            <w:vAlign w:val="center"/>
          </w:tcPr>
          <w:p w:rsidR="00D01099" w:rsidRPr="00F63663" w:rsidRDefault="00D01099" w:rsidP="00E95013">
            <w:pPr>
              <w:spacing w:after="120" w:line="240" w:lineRule="auto"/>
              <w:jc w:val="center"/>
              <w:rPr>
                <w:rFonts w:eastAsia="Calibri"/>
                <w:b/>
                <w:bCs/>
                <w:iCs/>
              </w:rPr>
            </w:pPr>
            <w:r w:rsidRPr="00F63663">
              <w:rPr>
                <w:rFonts w:eastAsia="Calibri"/>
                <w:b/>
                <w:bCs/>
                <w:iCs/>
              </w:rPr>
              <w:t>No</w:t>
            </w:r>
          </w:p>
        </w:tc>
        <w:tc>
          <w:tcPr>
            <w:tcW w:w="2039" w:type="dxa"/>
            <w:tcBorders>
              <w:top w:val="single" w:sz="4" w:space="0" w:color="auto"/>
              <w:bottom w:val="single" w:sz="4" w:space="0" w:color="auto"/>
            </w:tcBorders>
            <w:shd w:val="clear" w:color="auto" w:fill="auto"/>
            <w:vAlign w:val="center"/>
          </w:tcPr>
          <w:p w:rsidR="00D01099" w:rsidRPr="00F63663" w:rsidRDefault="00D01099" w:rsidP="00E95013">
            <w:pPr>
              <w:spacing w:line="240" w:lineRule="auto"/>
              <w:jc w:val="center"/>
              <w:rPr>
                <w:rFonts w:eastAsia="Calibri"/>
                <w:b/>
                <w:bCs/>
                <w:iCs/>
              </w:rPr>
            </w:pPr>
            <w:r w:rsidRPr="00F63663">
              <w:rPr>
                <w:rFonts w:eastAsia="Calibri"/>
                <w:b/>
                <w:bCs/>
                <w:iCs/>
              </w:rPr>
              <w:t xml:space="preserve">Added </w:t>
            </w:r>
            <w:proofErr w:type="spellStart"/>
            <w:r w:rsidRPr="00F63663">
              <w:rPr>
                <w:rFonts w:eastAsia="Calibri"/>
                <w:b/>
                <w:bCs/>
                <w:iCs/>
              </w:rPr>
              <w:t>ziram</w:t>
            </w:r>
            <w:proofErr w:type="spellEnd"/>
            <w:r w:rsidRPr="00F63663">
              <w:rPr>
                <w:rFonts w:eastAsia="Calibri"/>
                <w:b/>
                <w:bCs/>
                <w:iCs/>
              </w:rPr>
              <w:t xml:space="preserve">, </w:t>
            </w:r>
          </w:p>
          <w:p w:rsidR="00D01099" w:rsidRPr="00F63663" w:rsidRDefault="00D01099" w:rsidP="00773A7A">
            <w:pPr>
              <w:spacing w:line="240" w:lineRule="auto"/>
              <w:jc w:val="center"/>
              <w:rPr>
                <w:rFonts w:eastAsia="Calibri"/>
                <w:b/>
                <w:bCs/>
                <w:iCs/>
              </w:rPr>
            </w:pPr>
            <w:r w:rsidRPr="00F63663">
              <w:rPr>
                <w:rFonts w:eastAsia="Calibri"/>
                <w:b/>
                <w:bCs/>
                <w:iCs/>
              </w:rPr>
              <w:t>(mg</w:t>
            </w:r>
            <w:r w:rsidR="00773A7A" w:rsidRPr="00F63663">
              <w:rPr>
                <w:rFonts w:eastAsia="Calibri"/>
                <w:b/>
                <w:bCs/>
                <w:iCs/>
              </w:rPr>
              <w:t xml:space="preserve"> </w:t>
            </w:r>
            <w:r w:rsidRPr="00F63663">
              <w:rPr>
                <w:rFonts w:eastAsia="Calibri"/>
                <w:b/>
                <w:bCs/>
                <w:iCs/>
              </w:rPr>
              <w:t>L</w:t>
            </w:r>
            <w:r w:rsidR="00773A7A" w:rsidRPr="00F63663">
              <w:rPr>
                <w:rFonts w:eastAsia="Calibri"/>
                <w:b/>
                <w:bCs/>
                <w:iCs/>
                <w:vertAlign w:val="superscript"/>
              </w:rPr>
              <w:t>-1</w:t>
            </w:r>
            <w:r w:rsidRPr="00F63663">
              <w:rPr>
                <w:rFonts w:eastAsia="Calibri"/>
                <w:b/>
                <w:bCs/>
                <w:iCs/>
              </w:rPr>
              <w:t>)</w:t>
            </w:r>
          </w:p>
        </w:tc>
        <w:tc>
          <w:tcPr>
            <w:tcW w:w="1843" w:type="dxa"/>
            <w:tcBorders>
              <w:top w:val="single" w:sz="4" w:space="0" w:color="auto"/>
              <w:bottom w:val="single" w:sz="4" w:space="0" w:color="auto"/>
            </w:tcBorders>
            <w:shd w:val="clear" w:color="auto" w:fill="auto"/>
            <w:vAlign w:val="center"/>
          </w:tcPr>
          <w:p w:rsidR="00D01099" w:rsidRPr="00F63663" w:rsidRDefault="00D01099" w:rsidP="00773A7A">
            <w:pPr>
              <w:spacing w:after="120" w:line="240" w:lineRule="auto"/>
              <w:jc w:val="center"/>
              <w:rPr>
                <w:rFonts w:eastAsia="Calibri"/>
                <w:b/>
                <w:bCs/>
                <w:iCs/>
              </w:rPr>
            </w:pPr>
            <w:r w:rsidRPr="00F63663">
              <w:rPr>
                <w:rFonts w:eastAsia="Calibri"/>
                <w:b/>
                <w:bCs/>
                <w:iCs/>
              </w:rPr>
              <w:t xml:space="preserve">Found </w:t>
            </w:r>
            <w:proofErr w:type="spellStart"/>
            <w:r w:rsidRPr="00F63663">
              <w:rPr>
                <w:rFonts w:eastAsia="Calibri"/>
                <w:b/>
                <w:bCs/>
                <w:iCs/>
              </w:rPr>
              <w:t>ziram</w:t>
            </w:r>
            <w:proofErr w:type="spellEnd"/>
            <w:r w:rsidRPr="00F63663">
              <w:rPr>
                <w:rFonts w:eastAsia="Calibri"/>
                <w:b/>
                <w:bCs/>
                <w:iCs/>
              </w:rPr>
              <w:t>, (mg</w:t>
            </w:r>
            <w:r w:rsidR="00773A7A" w:rsidRPr="00F63663">
              <w:rPr>
                <w:rFonts w:eastAsia="Calibri"/>
                <w:b/>
                <w:bCs/>
                <w:iCs/>
              </w:rPr>
              <w:t xml:space="preserve"> </w:t>
            </w:r>
            <w:r w:rsidRPr="00F63663">
              <w:rPr>
                <w:rFonts w:eastAsia="Calibri"/>
                <w:b/>
                <w:bCs/>
                <w:iCs/>
              </w:rPr>
              <w:t>L</w:t>
            </w:r>
            <w:r w:rsidR="00773A7A" w:rsidRPr="00F63663">
              <w:rPr>
                <w:rFonts w:eastAsia="Calibri"/>
                <w:b/>
                <w:bCs/>
                <w:iCs/>
                <w:vertAlign w:val="superscript"/>
              </w:rPr>
              <w:t>-1</w:t>
            </w:r>
            <w:r w:rsidRPr="00F63663">
              <w:rPr>
                <w:rFonts w:eastAsia="Calibri"/>
                <w:b/>
                <w:bCs/>
                <w:iCs/>
              </w:rPr>
              <w:t>)</w:t>
            </w:r>
          </w:p>
        </w:tc>
        <w:tc>
          <w:tcPr>
            <w:tcW w:w="1701" w:type="dxa"/>
            <w:tcBorders>
              <w:top w:val="single" w:sz="4" w:space="0" w:color="auto"/>
              <w:bottom w:val="single" w:sz="4" w:space="0" w:color="auto"/>
            </w:tcBorders>
            <w:vAlign w:val="center"/>
          </w:tcPr>
          <w:p w:rsidR="00D01099" w:rsidRPr="00F63663" w:rsidRDefault="00D01099" w:rsidP="00E95013">
            <w:pPr>
              <w:spacing w:after="120" w:line="240" w:lineRule="auto"/>
              <w:jc w:val="center"/>
              <w:rPr>
                <w:rFonts w:eastAsia="Calibri"/>
                <w:b/>
                <w:bCs/>
                <w:iCs/>
              </w:rPr>
            </w:pPr>
            <w:r w:rsidRPr="00F63663">
              <w:rPr>
                <w:rFonts w:eastAsia="Calibri"/>
                <w:b/>
                <w:bCs/>
                <w:iCs/>
              </w:rPr>
              <w:t>Recovery, %</w:t>
            </w:r>
          </w:p>
        </w:tc>
        <w:tc>
          <w:tcPr>
            <w:tcW w:w="1134" w:type="dxa"/>
            <w:tcBorders>
              <w:top w:val="single" w:sz="4" w:space="0" w:color="auto"/>
              <w:bottom w:val="single" w:sz="4" w:space="0" w:color="auto"/>
            </w:tcBorders>
            <w:vAlign w:val="center"/>
          </w:tcPr>
          <w:p w:rsidR="00D01099" w:rsidRPr="00F63663" w:rsidRDefault="00D01099" w:rsidP="00E95013">
            <w:pPr>
              <w:spacing w:after="120" w:line="240" w:lineRule="auto"/>
              <w:jc w:val="center"/>
              <w:rPr>
                <w:rFonts w:eastAsia="Calibri"/>
                <w:b/>
                <w:bCs/>
                <w:iCs/>
              </w:rPr>
            </w:pPr>
            <w:r w:rsidRPr="00F63663">
              <w:rPr>
                <w:rFonts w:eastAsia="Calibri"/>
                <w:b/>
                <w:bCs/>
                <w:iCs/>
              </w:rPr>
              <w:t>RSD, %</w:t>
            </w:r>
          </w:p>
        </w:tc>
        <w:tc>
          <w:tcPr>
            <w:tcW w:w="1275" w:type="dxa"/>
            <w:tcBorders>
              <w:top w:val="single" w:sz="4" w:space="0" w:color="auto"/>
              <w:bottom w:val="single" w:sz="4" w:space="0" w:color="auto"/>
            </w:tcBorders>
            <w:vAlign w:val="center"/>
          </w:tcPr>
          <w:p w:rsidR="00D01099" w:rsidRPr="00F63663" w:rsidRDefault="00D01099" w:rsidP="00E95013">
            <w:pPr>
              <w:spacing w:after="120" w:line="240" w:lineRule="auto"/>
              <w:jc w:val="center"/>
              <w:rPr>
                <w:rFonts w:eastAsia="Calibri"/>
                <w:b/>
                <w:bCs/>
                <w:iCs/>
              </w:rPr>
            </w:pPr>
            <w:r w:rsidRPr="00F63663">
              <w:rPr>
                <w:rFonts w:eastAsia="Calibri"/>
                <w:b/>
                <w:bCs/>
                <w:iCs/>
              </w:rPr>
              <w:t>Relative error, %</w:t>
            </w:r>
          </w:p>
        </w:tc>
      </w:tr>
      <w:tr w:rsidR="00D01099" w:rsidRPr="00F63663" w:rsidTr="00773A7A">
        <w:trPr>
          <w:trHeight w:val="206"/>
        </w:trPr>
        <w:tc>
          <w:tcPr>
            <w:tcW w:w="513" w:type="dxa"/>
            <w:tcBorders>
              <w:top w:val="single" w:sz="4" w:space="0" w:color="auto"/>
            </w:tcBorders>
            <w:shd w:val="clear" w:color="auto" w:fill="auto"/>
            <w:vAlign w:val="center"/>
          </w:tcPr>
          <w:p w:rsidR="00D01099" w:rsidRPr="00F63663" w:rsidRDefault="00D01099" w:rsidP="00E95013">
            <w:pPr>
              <w:spacing w:line="360" w:lineRule="auto"/>
              <w:jc w:val="center"/>
              <w:rPr>
                <w:rFonts w:eastAsia="Calibri"/>
                <w:bCs/>
                <w:iCs/>
              </w:rPr>
            </w:pPr>
            <w:r w:rsidRPr="00F63663">
              <w:rPr>
                <w:rFonts w:eastAsia="Calibri"/>
                <w:bCs/>
                <w:iCs/>
              </w:rPr>
              <w:t>1</w:t>
            </w:r>
          </w:p>
        </w:tc>
        <w:tc>
          <w:tcPr>
            <w:tcW w:w="2039" w:type="dxa"/>
            <w:tcBorders>
              <w:top w:val="single" w:sz="4" w:space="0" w:color="auto"/>
            </w:tcBorders>
            <w:shd w:val="clear" w:color="auto" w:fill="auto"/>
            <w:vAlign w:val="center"/>
          </w:tcPr>
          <w:p w:rsidR="00D01099" w:rsidRPr="00F63663" w:rsidRDefault="00D01099" w:rsidP="00E95013">
            <w:pPr>
              <w:spacing w:line="360" w:lineRule="auto"/>
              <w:jc w:val="center"/>
              <w:rPr>
                <w:rFonts w:eastAsia="Calibri"/>
                <w:bCs/>
                <w:iCs/>
              </w:rPr>
            </w:pPr>
            <w:r w:rsidRPr="00F63663">
              <w:rPr>
                <w:rFonts w:eastAsia="Calibri"/>
                <w:bCs/>
                <w:iCs/>
              </w:rPr>
              <w:t>0.56</w:t>
            </w:r>
          </w:p>
        </w:tc>
        <w:tc>
          <w:tcPr>
            <w:tcW w:w="1843" w:type="dxa"/>
            <w:tcBorders>
              <w:top w:val="single" w:sz="4" w:space="0" w:color="auto"/>
            </w:tcBorders>
            <w:shd w:val="clear" w:color="auto" w:fill="auto"/>
            <w:vAlign w:val="center"/>
          </w:tcPr>
          <w:p w:rsidR="00D01099" w:rsidRPr="00F63663" w:rsidRDefault="00D01099" w:rsidP="00E95013">
            <w:pPr>
              <w:spacing w:line="360" w:lineRule="auto"/>
              <w:jc w:val="center"/>
              <w:rPr>
                <w:rFonts w:eastAsia="Calibri"/>
                <w:bCs/>
                <w:iCs/>
              </w:rPr>
            </w:pPr>
            <w:r w:rsidRPr="00F63663">
              <w:rPr>
                <w:rFonts w:eastAsia="Calibri"/>
                <w:bCs/>
                <w:iCs/>
              </w:rPr>
              <w:t>0.54 (±0.02)</w:t>
            </w:r>
          </w:p>
        </w:tc>
        <w:tc>
          <w:tcPr>
            <w:tcW w:w="1701" w:type="dxa"/>
            <w:tcBorders>
              <w:top w:val="single" w:sz="4" w:space="0" w:color="auto"/>
            </w:tcBorders>
            <w:vAlign w:val="center"/>
          </w:tcPr>
          <w:p w:rsidR="00D01099" w:rsidRPr="00F63663" w:rsidRDefault="00D01099" w:rsidP="00FA6A25">
            <w:pPr>
              <w:spacing w:line="360" w:lineRule="auto"/>
              <w:jc w:val="center"/>
              <w:rPr>
                <w:rFonts w:eastAsia="Calibri"/>
                <w:bCs/>
                <w:iCs/>
              </w:rPr>
            </w:pPr>
            <w:r w:rsidRPr="00F63663">
              <w:rPr>
                <w:rFonts w:eastAsia="Calibri"/>
                <w:bCs/>
                <w:iCs/>
              </w:rPr>
              <w:t>9</w:t>
            </w:r>
            <w:r w:rsidR="00FA6A25">
              <w:rPr>
                <w:rFonts w:eastAsia="Calibri"/>
                <w:bCs/>
                <w:iCs/>
              </w:rPr>
              <w:t>6</w:t>
            </w:r>
            <w:r w:rsidRPr="00F63663">
              <w:rPr>
                <w:rFonts w:eastAsia="Calibri"/>
                <w:bCs/>
                <w:iCs/>
              </w:rPr>
              <w:t>.</w:t>
            </w:r>
            <w:r w:rsidR="00FA6A25">
              <w:rPr>
                <w:rFonts w:eastAsia="Calibri"/>
                <w:bCs/>
                <w:iCs/>
              </w:rPr>
              <w:t>4</w:t>
            </w:r>
            <w:r w:rsidRPr="00F63663">
              <w:rPr>
                <w:rFonts w:eastAsia="Calibri"/>
                <w:bCs/>
                <w:iCs/>
              </w:rPr>
              <w:t xml:space="preserve"> (±2.73)</w:t>
            </w:r>
          </w:p>
        </w:tc>
        <w:tc>
          <w:tcPr>
            <w:tcW w:w="1134" w:type="dxa"/>
            <w:tcBorders>
              <w:top w:val="single" w:sz="4" w:space="0" w:color="auto"/>
            </w:tcBorders>
            <w:vAlign w:val="center"/>
          </w:tcPr>
          <w:p w:rsidR="00D01099" w:rsidRPr="00F63663" w:rsidRDefault="00D01099" w:rsidP="00E31C42">
            <w:pPr>
              <w:spacing w:line="360" w:lineRule="auto"/>
              <w:jc w:val="center"/>
              <w:rPr>
                <w:rFonts w:eastAsia="Calibri"/>
                <w:bCs/>
                <w:iCs/>
              </w:rPr>
            </w:pPr>
            <w:r w:rsidRPr="00F63663">
              <w:rPr>
                <w:rFonts w:eastAsia="Calibri"/>
                <w:bCs/>
                <w:iCs/>
              </w:rPr>
              <w:t>2.8</w:t>
            </w:r>
            <w:r w:rsidR="00E31C42">
              <w:rPr>
                <w:rFonts w:eastAsia="Calibri"/>
                <w:bCs/>
                <w:iCs/>
              </w:rPr>
              <w:t>3</w:t>
            </w:r>
          </w:p>
        </w:tc>
        <w:tc>
          <w:tcPr>
            <w:tcW w:w="1275" w:type="dxa"/>
            <w:tcBorders>
              <w:top w:val="single" w:sz="4" w:space="0" w:color="auto"/>
            </w:tcBorders>
          </w:tcPr>
          <w:p w:rsidR="00D01099" w:rsidRPr="00F63663" w:rsidRDefault="00D01099" w:rsidP="009013B1">
            <w:pPr>
              <w:spacing w:line="360" w:lineRule="auto"/>
              <w:jc w:val="center"/>
              <w:rPr>
                <w:rFonts w:eastAsia="Calibri"/>
                <w:bCs/>
                <w:iCs/>
              </w:rPr>
            </w:pPr>
            <w:r w:rsidRPr="00F63663">
              <w:rPr>
                <w:rFonts w:eastAsia="Calibri"/>
                <w:bCs/>
                <w:iCs/>
              </w:rPr>
              <w:t>-</w:t>
            </w:r>
            <w:r w:rsidR="009013B1">
              <w:rPr>
                <w:rFonts w:eastAsia="Calibri"/>
                <w:bCs/>
                <w:iCs/>
              </w:rPr>
              <w:t>3</w:t>
            </w:r>
            <w:r w:rsidRPr="00F63663">
              <w:rPr>
                <w:rFonts w:eastAsia="Calibri"/>
                <w:bCs/>
                <w:iCs/>
              </w:rPr>
              <w:t>.</w:t>
            </w:r>
            <w:r w:rsidR="009013B1">
              <w:rPr>
                <w:rFonts w:eastAsia="Calibri"/>
                <w:bCs/>
                <w:iCs/>
              </w:rPr>
              <w:t>6</w:t>
            </w:r>
          </w:p>
        </w:tc>
      </w:tr>
      <w:tr w:rsidR="00D01099" w:rsidRPr="00F63663" w:rsidTr="00773A7A">
        <w:trPr>
          <w:trHeight w:val="214"/>
        </w:trPr>
        <w:tc>
          <w:tcPr>
            <w:tcW w:w="513" w:type="dxa"/>
            <w:shd w:val="clear" w:color="auto" w:fill="auto"/>
            <w:vAlign w:val="center"/>
          </w:tcPr>
          <w:p w:rsidR="00D01099" w:rsidRPr="00F63663" w:rsidRDefault="00D01099" w:rsidP="00E95013">
            <w:pPr>
              <w:spacing w:line="360" w:lineRule="auto"/>
              <w:jc w:val="center"/>
              <w:rPr>
                <w:rFonts w:eastAsia="Calibri"/>
                <w:bCs/>
                <w:iCs/>
              </w:rPr>
            </w:pPr>
            <w:r w:rsidRPr="00F63663">
              <w:rPr>
                <w:rFonts w:eastAsia="Calibri"/>
                <w:bCs/>
                <w:iCs/>
              </w:rPr>
              <w:t>2</w:t>
            </w:r>
          </w:p>
        </w:tc>
        <w:tc>
          <w:tcPr>
            <w:tcW w:w="2039" w:type="dxa"/>
            <w:shd w:val="clear" w:color="auto" w:fill="auto"/>
            <w:vAlign w:val="center"/>
          </w:tcPr>
          <w:p w:rsidR="00D01099" w:rsidRPr="00F63663" w:rsidRDefault="00D01099" w:rsidP="00E95013">
            <w:pPr>
              <w:spacing w:line="360" w:lineRule="auto"/>
              <w:jc w:val="center"/>
              <w:rPr>
                <w:rFonts w:eastAsia="Calibri"/>
                <w:bCs/>
                <w:iCs/>
              </w:rPr>
            </w:pPr>
            <w:r w:rsidRPr="00F63663">
              <w:rPr>
                <w:rFonts w:eastAsia="Calibri"/>
                <w:bCs/>
                <w:iCs/>
              </w:rPr>
              <w:t>1.68</w:t>
            </w:r>
          </w:p>
        </w:tc>
        <w:tc>
          <w:tcPr>
            <w:tcW w:w="1843" w:type="dxa"/>
            <w:shd w:val="clear" w:color="auto" w:fill="auto"/>
            <w:vAlign w:val="center"/>
          </w:tcPr>
          <w:p w:rsidR="00D01099" w:rsidRPr="00F63663" w:rsidRDefault="00D01099" w:rsidP="00E95013">
            <w:pPr>
              <w:spacing w:line="360" w:lineRule="auto"/>
              <w:jc w:val="center"/>
              <w:rPr>
                <w:rFonts w:eastAsia="Calibri"/>
                <w:bCs/>
                <w:iCs/>
              </w:rPr>
            </w:pPr>
            <w:r w:rsidRPr="00F63663">
              <w:rPr>
                <w:rFonts w:eastAsia="Calibri"/>
                <w:bCs/>
                <w:iCs/>
              </w:rPr>
              <w:t>1.64 (±0.02)</w:t>
            </w:r>
          </w:p>
        </w:tc>
        <w:tc>
          <w:tcPr>
            <w:tcW w:w="1701" w:type="dxa"/>
            <w:vAlign w:val="center"/>
          </w:tcPr>
          <w:p w:rsidR="00D01099" w:rsidRPr="00F63663" w:rsidRDefault="00D01099" w:rsidP="00E95013">
            <w:pPr>
              <w:spacing w:line="360" w:lineRule="auto"/>
              <w:jc w:val="center"/>
              <w:rPr>
                <w:rFonts w:eastAsia="Calibri"/>
                <w:bCs/>
                <w:iCs/>
              </w:rPr>
            </w:pPr>
            <w:r w:rsidRPr="00F63663">
              <w:rPr>
                <w:rFonts w:eastAsia="Calibri"/>
                <w:bCs/>
                <w:iCs/>
              </w:rPr>
              <w:t>97.6 (±1.19)</w:t>
            </w:r>
          </w:p>
        </w:tc>
        <w:tc>
          <w:tcPr>
            <w:tcW w:w="1134" w:type="dxa"/>
            <w:vAlign w:val="center"/>
          </w:tcPr>
          <w:p w:rsidR="00D01099" w:rsidRPr="00F63663" w:rsidRDefault="00D01099" w:rsidP="00E95013">
            <w:pPr>
              <w:spacing w:line="360" w:lineRule="auto"/>
              <w:jc w:val="center"/>
              <w:rPr>
                <w:rFonts w:eastAsia="Calibri"/>
                <w:bCs/>
                <w:iCs/>
              </w:rPr>
            </w:pPr>
            <w:r w:rsidRPr="00F63663">
              <w:rPr>
                <w:rFonts w:eastAsia="Calibri"/>
                <w:bCs/>
                <w:iCs/>
              </w:rPr>
              <w:t>1.22</w:t>
            </w:r>
          </w:p>
        </w:tc>
        <w:tc>
          <w:tcPr>
            <w:tcW w:w="1275" w:type="dxa"/>
          </w:tcPr>
          <w:p w:rsidR="00D01099" w:rsidRPr="00F63663" w:rsidRDefault="00D01099" w:rsidP="00E95013">
            <w:pPr>
              <w:spacing w:line="360" w:lineRule="auto"/>
              <w:jc w:val="center"/>
              <w:rPr>
                <w:rFonts w:eastAsia="Calibri"/>
                <w:bCs/>
                <w:iCs/>
              </w:rPr>
            </w:pPr>
            <w:r w:rsidRPr="00F63663">
              <w:rPr>
                <w:rFonts w:eastAsia="Calibri"/>
                <w:bCs/>
                <w:iCs/>
              </w:rPr>
              <w:t>-2.4</w:t>
            </w:r>
          </w:p>
        </w:tc>
      </w:tr>
      <w:tr w:rsidR="00D01099" w:rsidRPr="00F63663" w:rsidTr="00773A7A">
        <w:trPr>
          <w:trHeight w:val="206"/>
        </w:trPr>
        <w:tc>
          <w:tcPr>
            <w:tcW w:w="513" w:type="dxa"/>
            <w:tcBorders>
              <w:bottom w:val="single" w:sz="4" w:space="0" w:color="auto"/>
            </w:tcBorders>
            <w:shd w:val="clear" w:color="auto" w:fill="auto"/>
            <w:vAlign w:val="center"/>
          </w:tcPr>
          <w:p w:rsidR="00D01099" w:rsidRPr="00F63663" w:rsidRDefault="00D01099" w:rsidP="00E95013">
            <w:pPr>
              <w:spacing w:line="360" w:lineRule="auto"/>
              <w:jc w:val="center"/>
              <w:rPr>
                <w:rFonts w:eastAsia="Calibri"/>
                <w:bCs/>
                <w:iCs/>
              </w:rPr>
            </w:pPr>
            <w:r w:rsidRPr="00F63663">
              <w:rPr>
                <w:rFonts w:eastAsia="Calibri"/>
                <w:bCs/>
                <w:iCs/>
              </w:rPr>
              <w:t>3</w:t>
            </w:r>
          </w:p>
        </w:tc>
        <w:tc>
          <w:tcPr>
            <w:tcW w:w="2039" w:type="dxa"/>
            <w:tcBorders>
              <w:bottom w:val="single" w:sz="4" w:space="0" w:color="auto"/>
            </w:tcBorders>
            <w:shd w:val="clear" w:color="auto" w:fill="auto"/>
            <w:vAlign w:val="center"/>
          </w:tcPr>
          <w:p w:rsidR="00D01099" w:rsidRPr="00F63663" w:rsidRDefault="00D01099" w:rsidP="00E95013">
            <w:pPr>
              <w:spacing w:line="360" w:lineRule="auto"/>
              <w:jc w:val="center"/>
              <w:rPr>
                <w:rFonts w:eastAsia="Calibri"/>
                <w:bCs/>
                <w:iCs/>
              </w:rPr>
            </w:pPr>
            <w:r w:rsidRPr="00F63663">
              <w:rPr>
                <w:rFonts w:eastAsia="Calibri"/>
                <w:bCs/>
                <w:iCs/>
              </w:rPr>
              <w:t>2.50</w:t>
            </w:r>
          </w:p>
        </w:tc>
        <w:tc>
          <w:tcPr>
            <w:tcW w:w="1843" w:type="dxa"/>
            <w:tcBorders>
              <w:bottom w:val="single" w:sz="4" w:space="0" w:color="auto"/>
            </w:tcBorders>
            <w:shd w:val="clear" w:color="auto" w:fill="auto"/>
            <w:vAlign w:val="center"/>
          </w:tcPr>
          <w:p w:rsidR="00D01099" w:rsidRPr="00F63663" w:rsidRDefault="00D01099" w:rsidP="00E95013">
            <w:pPr>
              <w:spacing w:line="360" w:lineRule="auto"/>
              <w:jc w:val="center"/>
              <w:rPr>
                <w:rFonts w:eastAsia="Calibri"/>
                <w:bCs/>
                <w:iCs/>
              </w:rPr>
            </w:pPr>
            <w:r w:rsidRPr="00F63663">
              <w:rPr>
                <w:rFonts w:eastAsia="Calibri"/>
                <w:bCs/>
                <w:iCs/>
              </w:rPr>
              <w:t>2.69 (±0.04)</w:t>
            </w:r>
          </w:p>
        </w:tc>
        <w:tc>
          <w:tcPr>
            <w:tcW w:w="1701" w:type="dxa"/>
            <w:tcBorders>
              <w:bottom w:val="single" w:sz="4" w:space="0" w:color="auto"/>
            </w:tcBorders>
            <w:vAlign w:val="center"/>
          </w:tcPr>
          <w:p w:rsidR="00D01099" w:rsidRPr="00F63663" w:rsidRDefault="00D01099" w:rsidP="00FA6A25">
            <w:pPr>
              <w:spacing w:line="360" w:lineRule="auto"/>
              <w:jc w:val="center"/>
              <w:rPr>
                <w:rFonts w:eastAsia="Calibri"/>
                <w:bCs/>
                <w:iCs/>
              </w:rPr>
            </w:pPr>
            <w:r w:rsidRPr="00F63663">
              <w:rPr>
                <w:rFonts w:eastAsia="Calibri"/>
                <w:bCs/>
                <w:iCs/>
              </w:rPr>
              <w:t>107.</w:t>
            </w:r>
            <w:r w:rsidR="00FA6A25">
              <w:rPr>
                <w:rFonts w:eastAsia="Calibri"/>
                <w:bCs/>
                <w:iCs/>
              </w:rPr>
              <w:t>6</w:t>
            </w:r>
            <w:r w:rsidRPr="00F63663">
              <w:rPr>
                <w:rFonts w:eastAsia="Calibri"/>
                <w:bCs/>
                <w:iCs/>
              </w:rPr>
              <w:t xml:space="preserve"> (±1.67)</w:t>
            </w:r>
          </w:p>
        </w:tc>
        <w:tc>
          <w:tcPr>
            <w:tcW w:w="1134" w:type="dxa"/>
            <w:tcBorders>
              <w:bottom w:val="single" w:sz="4" w:space="0" w:color="auto"/>
            </w:tcBorders>
            <w:vAlign w:val="center"/>
          </w:tcPr>
          <w:p w:rsidR="00D01099" w:rsidRPr="00F63663" w:rsidRDefault="00D01099" w:rsidP="00E95013">
            <w:pPr>
              <w:spacing w:line="360" w:lineRule="auto"/>
              <w:jc w:val="center"/>
              <w:rPr>
                <w:rFonts w:eastAsia="Calibri"/>
                <w:bCs/>
                <w:iCs/>
              </w:rPr>
            </w:pPr>
            <w:r w:rsidRPr="00F63663">
              <w:rPr>
                <w:rFonts w:eastAsia="Calibri"/>
                <w:bCs/>
                <w:iCs/>
              </w:rPr>
              <w:t>1.55</w:t>
            </w:r>
          </w:p>
        </w:tc>
        <w:tc>
          <w:tcPr>
            <w:tcW w:w="1275" w:type="dxa"/>
            <w:tcBorders>
              <w:bottom w:val="single" w:sz="4" w:space="0" w:color="auto"/>
            </w:tcBorders>
          </w:tcPr>
          <w:p w:rsidR="00D01099" w:rsidRPr="00F63663" w:rsidRDefault="00D01099" w:rsidP="009013B1">
            <w:pPr>
              <w:spacing w:line="360" w:lineRule="auto"/>
              <w:jc w:val="center"/>
              <w:rPr>
                <w:rFonts w:eastAsia="Calibri"/>
                <w:bCs/>
                <w:iCs/>
              </w:rPr>
            </w:pPr>
            <w:r w:rsidRPr="00F63663">
              <w:rPr>
                <w:rFonts w:eastAsia="Calibri"/>
                <w:bCs/>
                <w:iCs/>
              </w:rPr>
              <w:t>7.</w:t>
            </w:r>
            <w:r w:rsidR="009013B1">
              <w:rPr>
                <w:rFonts w:eastAsia="Calibri"/>
                <w:bCs/>
                <w:iCs/>
              </w:rPr>
              <w:t>6</w:t>
            </w:r>
          </w:p>
        </w:tc>
      </w:tr>
    </w:tbl>
    <w:p w:rsidR="00D01099" w:rsidRPr="00F63663" w:rsidRDefault="00D01099" w:rsidP="00D01099">
      <w:pPr>
        <w:spacing w:line="240" w:lineRule="auto"/>
        <w:jc w:val="both"/>
        <w:rPr>
          <w:i/>
          <w:sz w:val="20"/>
          <w:szCs w:val="20"/>
        </w:rPr>
      </w:pPr>
      <w:r w:rsidRPr="00F63663">
        <w:rPr>
          <w:i/>
          <w:sz w:val="20"/>
          <w:szCs w:val="20"/>
        </w:rPr>
        <w:t>*</w:t>
      </w:r>
      <w:r w:rsidRPr="00F63663">
        <w:t xml:space="preserve"> </w:t>
      </w:r>
      <w:r w:rsidRPr="00F63663">
        <w:rPr>
          <w:i/>
          <w:sz w:val="20"/>
          <w:szCs w:val="20"/>
        </w:rPr>
        <w:t>The average of three measurements is used for each value.</w:t>
      </w:r>
    </w:p>
    <w:p w:rsidR="00D01099" w:rsidRPr="00F63663" w:rsidRDefault="00D01099" w:rsidP="00D01099">
      <w:pPr>
        <w:spacing w:line="240" w:lineRule="auto"/>
        <w:jc w:val="both"/>
      </w:pPr>
      <w:r w:rsidRPr="00F63663">
        <w:rPr>
          <w:i/>
          <w:sz w:val="20"/>
          <w:szCs w:val="20"/>
        </w:rPr>
        <w:t>RSD, Relative Standard Deviation</w:t>
      </w:r>
    </w:p>
    <w:p w:rsidR="00D01099" w:rsidRPr="00F63663" w:rsidRDefault="00D01099" w:rsidP="00D01099">
      <w:pPr>
        <w:spacing w:line="360" w:lineRule="auto"/>
        <w:jc w:val="both"/>
        <w:rPr>
          <w:i/>
          <w:sz w:val="20"/>
          <w:szCs w:val="20"/>
        </w:rPr>
      </w:pPr>
    </w:p>
    <w:p w:rsidR="00D01099" w:rsidRPr="00F63663" w:rsidRDefault="00D01099" w:rsidP="00D01099">
      <w:pPr>
        <w:spacing w:line="360" w:lineRule="auto"/>
        <w:jc w:val="both"/>
        <w:rPr>
          <w:b/>
          <w:bCs/>
        </w:rPr>
      </w:pPr>
    </w:p>
    <w:p w:rsidR="00D01099" w:rsidRPr="00F63663" w:rsidRDefault="00D01099" w:rsidP="00D01099">
      <w:pPr>
        <w:spacing w:line="240" w:lineRule="auto"/>
        <w:jc w:val="both"/>
        <w:rPr>
          <w:b/>
          <w:bCs/>
        </w:rPr>
      </w:pPr>
      <w:r w:rsidRPr="00F63663">
        <w:rPr>
          <w:b/>
          <w:bCs/>
        </w:rPr>
        <w:t xml:space="preserve">Table </w:t>
      </w:r>
      <w:r w:rsidR="00122A52" w:rsidRPr="00F63663">
        <w:rPr>
          <w:b/>
          <w:bCs/>
        </w:rPr>
        <w:t>4</w:t>
      </w:r>
      <w:r w:rsidRPr="00F63663">
        <w:rPr>
          <w:b/>
          <w:bCs/>
        </w:rPr>
        <w:t>. </w:t>
      </w:r>
      <w:r w:rsidRPr="00F63663">
        <w:rPr>
          <w:bCs/>
        </w:rPr>
        <w:t xml:space="preserve">Recovery values obtained by standard addition method in </w:t>
      </w:r>
      <w:r w:rsidRPr="00F63663">
        <w:t xml:space="preserve">peach juice </w:t>
      </w:r>
      <w:r w:rsidRPr="00F63663">
        <w:rPr>
          <w:bCs/>
        </w:rPr>
        <w:t>using RGO/</w:t>
      </w:r>
      <w:proofErr w:type="spellStart"/>
      <w:r w:rsidRPr="00F63663">
        <w:rPr>
          <w:bCs/>
        </w:rPr>
        <w:t>AuNPs</w:t>
      </w:r>
      <w:proofErr w:type="spellEnd"/>
      <w:r w:rsidRPr="00F63663">
        <w:rPr>
          <w:bCs/>
        </w:rPr>
        <w:t>/GCE sensor.</w:t>
      </w:r>
    </w:p>
    <w:tbl>
      <w:tblPr>
        <w:tblW w:w="8647" w:type="dxa"/>
        <w:tblLayout w:type="fixed"/>
        <w:tblLook w:val="04A0" w:firstRow="1" w:lastRow="0" w:firstColumn="1" w:lastColumn="0" w:noHBand="0" w:noVBand="1"/>
      </w:tblPr>
      <w:tblGrid>
        <w:gridCol w:w="567"/>
        <w:gridCol w:w="1985"/>
        <w:gridCol w:w="1843"/>
        <w:gridCol w:w="1842"/>
        <w:gridCol w:w="1276"/>
        <w:gridCol w:w="1134"/>
      </w:tblGrid>
      <w:tr w:rsidR="00D01099" w:rsidRPr="00F63663" w:rsidTr="00773A7A">
        <w:trPr>
          <w:trHeight w:val="793"/>
        </w:trPr>
        <w:tc>
          <w:tcPr>
            <w:tcW w:w="567" w:type="dxa"/>
            <w:tcBorders>
              <w:top w:val="single" w:sz="4" w:space="0" w:color="auto"/>
              <w:bottom w:val="single" w:sz="4" w:space="0" w:color="auto"/>
            </w:tcBorders>
            <w:shd w:val="clear" w:color="auto" w:fill="auto"/>
            <w:vAlign w:val="center"/>
          </w:tcPr>
          <w:p w:rsidR="00D01099" w:rsidRPr="00F63663" w:rsidRDefault="00D01099" w:rsidP="00E95013">
            <w:pPr>
              <w:spacing w:after="120" w:line="240" w:lineRule="auto"/>
              <w:jc w:val="center"/>
              <w:rPr>
                <w:rFonts w:eastAsia="Calibri"/>
                <w:b/>
                <w:bCs/>
                <w:iCs/>
              </w:rPr>
            </w:pPr>
            <w:r w:rsidRPr="00F63663">
              <w:rPr>
                <w:rFonts w:eastAsia="Calibri"/>
                <w:b/>
                <w:bCs/>
                <w:iCs/>
              </w:rPr>
              <w:t>No</w:t>
            </w:r>
          </w:p>
        </w:tc>
        <w:tc>
          <w:tcPr>
            <w:tcW w:w="1985" w:type="dxa"/>
            <w:tcBorders>
              <w:top w:val="single" w:sz="4" w:space="0" w:color="auto"/>
              <w:bottom w:val="single" w:sz="4" w:space="0" w:color="auto"/>
            </w:tcBorders>
            <w:shd w:val="clear" w:color="auto" w:fill="auto"/>
            <w:vAlign w:val="center"/>
          </w:tcPr>
          <w:p w:rsidR="00D01099" w:rsidRPr="00F63663" w:rsidRDefault="00D01099" w:rsidP="00E95013">
            <w:pPr>
              <w:spacing w:line="240" w:lineRule="auto"/>
              <w:jc w:val="center"/>
              <w:rPr>
                <w:rFonts w:eastAsia="Calibri"/>
                <w:b/>
                <w:bCs/>
                <w:iCs/>
              </w:rPr>
            </w:pPr>
            <w:r w:rsidRPr="00F63663">
              <w:rPr>
                <w:rFonts w:eastAsia="Calibri"/>
                <w:b/>
                <w:bCs/>
                <w:iCs/>
              </w:rPr>
              <w:t xml:space="preserve">Added </w:t>
            </w:r>
            <w:proofErr w:type="spellStart"/>
            <w:r w:rsidRPr="00F63663">
              <w:rPr>
                <w:rFonts w:eastAsia="Calibri"/>
                <w:b/>
                <w:bCs/>
                <w:iCs/>
              </w:rPr>
              <w:t>ziram</w:t>
            </w:r>
            <w:proofErr w:type="spellEnd"/>
            <w:r w:rsidRPr="00F63663">
              <w:rPr>
                <w:rFonts w:eastAsia="Calibri"/>
                <w:b/>
                <w:bCs/>
                <w:iCs/>
              </w:rPr>
              <w:t xml:space="preserve">, </w:t>
            </w:r>
          </w:p>
          <w:p w:rsidR="00D01099" w:rsidRPr="00F63663" w:rsidRDefault="00D01099" w:rsidP="00E95013">
            <w:pPr>
              <w:spacing w:after="120" w:line="240" w:lineRule="auto"/>
              <w:jc w:val="center"/>
              <w:rPr>
                <w:rFonts w:eastAsia="Calibri"/>
                <w:b/>
                <w:bCs/>
                <w:iCs/>
              </w:rPr>
            </w:pPr>
            <w:r w:rsidRPr="00F63663">
              <w:rPr>
                <w:rFonts w:eastAsia="Calibri"/>
                <w:b/>
                <w:bCs/>
                <w:iCs/>
              </w:rPr>
              <w:t>(mg/L)</w:t>
            </w:r>
          </w:p>
        </w:tc>
        <w:tc>
          <w:tcPr>
            <w:tcW w:w="1843" w:type="dxa"/>
            <w:tcBorders>
              <w:top w:val="single" w:sz="4" w:space="0" w:color="auto"/>
              <w:bottom w:val="single" w:sz="4" w:space="0" w:color="auto"/>
            </w:tcBorders>
            <w:shd w:val="clear" w:color="auto" w:fill="auto"/>
            <w:vAlign w:val="center"/>
          </w:tcPr>
          <w:p w:rsidR="00D01099" w:rsidRPr="00F63663" w:rsidRDefault="00D01099" w:rsidP="00E95013">
            <w:pPr>
              <w:spacing w:after="120" w:line="240" w:lineRule="auto"/>
              <w:jc w:val="center"/>
              <w:rPr>
                <w:rFonts w:eastAsia="Calibri"/>
                <w:b/>
                <w:bCs/>
                <w:iCs/>
              </w:rPr>
            </w:pPr>
            <w:r w:rsidRPr="00F63663">
              <w:rPr>
                <w:rFonts w:eastAsia="Calibri"/>
                <w:b/>
                <w:bCs/>
                <w:iCs/>
              </w:rPr>
              <w:t xml:space="preserve">Found </w:t>
            </w:r>
            <w:proofErr w:type="spellStart"/>
            <w:r w:rsidRPr="00F63663">
              <w:rPr>
                <w:rFonts w:eastAsia="Calibri"/>
                <w:b/>
                <w:bCs/>
                <w:iCs/>
              </w:rPr>
              <w:t>ziram</w:t>
            </w:r>
            <w:proofErr w:type="spellEnd"/>
            <w:r w:rsidRPr="00F63663">
              <w:rPr>
                <w:rFonts w:eastAsia="Calibri"/>
                <w:b/>
                <w:bCs/>
                <w:iCs/>
              </w:rPr>
              <w:t>, (mg/L)</w:t>
            </w:r>
          </w:p>
        </w:tc>
        <w:tc>
          <w:tcPr>
            <w:tcW w:w="1842" w:type="dxa"/>
            <w:tcBorders>
              <w:top w:val="single" w:sz="4" w:space="0" w:color="auto"/>
              <w:bottom w:val="single" w:sz="4" w:space="0" w:color="auto"/>
            </w:tcBorders>
            <w:vAlign w:val="center"/>
          </w:tcPr>
          <w:p w:rsidR="00D01099" w:rsidRPr="00F63663" w:rsidRDefault="00D01099" w:rsidP="00E95013">
            <w:pPr>
              <w:spacing w:after="120" w:line="240" w:lineRule="auto"/>
              <w:jc w:val="center"/>
              <w:rPr>
                <w:rFonts w:eastAsia="Calibri"/>
                <w:b/>
                <w:bCs/>
                <w:iCs/>
              </w:rPr>
            </w:pPr>
            <w:r w:rsidRPr="00F63663">
              <w:rPr>
                <w:rFonts w:eastAsia="Calibri"/>
                <w:b/>
                <w:bCs/>
                <w:iCs/>
              </w:rPr>
              <w:t>Recovery, %</w:t>
            </w:r>
          </w:p>
        </w:tc>
        <w:tc>
          <w:tcPr>
            <w:tcW w:w="1276" w:type="dxa"/>
            <w:tcBorders>
              <w:top w:val="single" w:sz="4" w:space="0" w:color="auto"/>
              <w:bottom w:val="single" w:sz="4" w:space="0" w:color="auto"/>
            </w:tcBorders>
            <w:vAlign w:val="center"/>
          </w:tcPr>
          <w:p w:rsidR="00D01099" w:rsidRPr="00F63663" w:rsidRDefault="00D01099" w:rsidP="00E95013">
            <w:pPr>
              <w:spacing w:after="120" w:line="240" w:lineRule="auto"/>
              <w:jc w:val="center"/>
              <w:rPr>
                <w:rFonts w:eastAsia="Calibri"/>
                <w:b/>
                <w:bCs/>
                <w:iCs/>
              </w:rPr>
            </w:pPr>
            <w:r w:rsidRPr="00F63663">
              <w:rPr>
                <w:rFonts w:eastAsia="Calibri"/>
                <w:b/>
                <w:bCs/>
                <w:iCs/>
              </w:rPr>
              <w:t>RSD, %</w:t>
            </w:r>
          </w:p>
        </w:tc>
        <w:tc>
          <w:tcPr>
            <w:tcW w:w="1134" w:type="dxa"/>
            <w:tcBorders>
              <w:top w:val="single" w:sz="4" w:space="0" w:color="auto"/>
              <w:bottom w:val="single" w:sz="4" w:space="0" w:color="auto"/>
            </w:tcBorders>
            <w:vAlign w:val="center"/>
          </w:tcPr>
          <w:p w:rsidR="00D01099" w:rsidRPr="00F63663" w:rsidRDefault="00D01099" w:rsidP="00E95013">
            <w:pPr>
              <w:spacing w:after="120" w:line="240" w:lineRule="auto"/>
              <w:rPr>
                <w:rFonts w:eastAsia="Calibri"/>
                <w:b/>
                <w:bCs/>
                <w:iCs/>
              </w:rPr>
            </w:pPr>
            <w:r w:rsidRPr="00F63663">
              <w:rPr>
                <w:rFonts w:eastAsia="Calibri"/>
                <w:b/>
                <w:bCs/>
                <w:iCs/>
              </w:rPr>
              <w:t>Relative error, %</w:t>
            </w:r>
          </w:p>
        </w:tc>
      </w:tr>
      <w:tr w:rsidR="00D01099" w:rsidRPr="00F63663" w:rsidTr="00773A7A">
        <w:trPr>
          <w:trHeight w:val="209"/>
        </w:trPr>
        <w:tc>
          <w:tcPr>
            <w:tcW w:w="567" w:type="dxa"/>
            <w:tcBorders>
              <w:top w:val="single" w:sz="4" w:space="0" w:color="auto"/>
            </w:tcBorders>
            <w:shd w:val="clear" w:color="auto" w:fill="auto"/>
            <w:vAlign w:val="center"/>
          </w:tcPr>
          <w:p w:rsidR="00D01099" w:rsidRPr="00F63663" w:rsidRDefault="00D01099" w:rsidP="00E95013">
            <w:pPr>
              <w:spacing w:line="360" w:lineRule="auto"/>
              <w:jc w:val="center"/>
              <w:rPr>
                <w:rFonts w:eastAsia="Calibri"/>
                <w:bCs/>
                <w:iCs/>
              </w:rPr>
            </w:pPr>
            <w:r w:rsidRPr="00F63663">
              <w:rPr>
                <w:rFonts w:eastAsia="Calibri"/>
                <w:bCs/>
                <w:iCs/>
              </w:rPr>
              <w:t>1</w:t>
            </w:r>
          </w:p>
        </w:tc>
        <w:tc>
          <w:tcPr>
            <w:tcW w:w="1985" w:type="dxa"/>
            <w:tcBorders>
              <w:top w:val="single" w:sz="4" w:space="0" w:color="auto"/>
            </w:tcBorders>
            <w:shd w:val="clear" w:color="auto" w:fill="auto"/>
            <w:vAlign w:val="center"/>
          </w:tcPr>
          <w:p w:rsidR="00D01099" w:rsidRPr="00F63663" w:rsidRDefault="00D01099" w:rsidP="00E95013">
            <w:pPr>
              <w:spacing w:line="360" w:lineRule="auto"/>
              <w:jc w:val="center"/>
              <w:rPr>
                <w:rFonts w:eastAsia="Calibri"/>
                <w:bCs/>
                <w:iCs/>
              </w:rPr>
            </w:pPr>
            <w:r w:rsidRPr="00F63663">
              <w:rPr>
                <w:rFonts w:eastAsia="Calibri"/>
                <w:bCs/>
                <w:iCs/>
              </w:rPr>
              <w:t>0.62</w:t>
            </w:r>
          </w:p>
        </w:tc>
        <w:tc>
          <w:tcPr>
            <w:tcW w:w="1843" w:type="dxa"/>
            <w:tcBorders>
              <w:top w:val="single" w:sz="4" w:space="0" w:color="auto"/>
            </w:tcBorders>
            <w:shd w:val="clear" w:color="auto" w:fill="auto"/>
            <w:vAlign w:val="center"/>
          </w:tcPr>
          <w:p w:rsidR="00D01099" w:rsidRPr="00F63663" w:rsidRDefault="00D01099" w:rsidP="00E95013">
            <w:pPr>
              <w:spacing w:line="360" w:lineRule="auto"/>
              <w:jc w:val="center"/>
              <w:rPr>
                <w:rFonts w:eastAsia="Calibri"/>
                <w:bCs/>
                <w:iCs/>
              </w:rPr>
            </w:pPr>
            <w:r w:rsidRPr="00F63663">
              <w:rPr>
                <w:rFonts w:eastAsia="Calibri"/>
                <w:bCs/>
                <w:iCs/>
              </w:rPr>
              <w:t>0.65 (±0.03)</w:t>
            </w:r>
          </w:p>
        </w:tc>
        <w:tc>
          <w:tcPr>
            <w:tcW w:w="1842" w:type="dxa"/>
            <w:tcBorders>
              <w:top w:val="single" w:sz="4" w:space="0" w:color="auto"/>
            </w:tcBorders>
            <w:vAlign w:val="center"/>
          </w:tcPr>
          <w:p w:rsidR="00D01099" w:rsidRPr="00F63663" w:rsidRDefault="00D01099" w:rsidP="00E95013">
            <w:pPr>
              <w:spacing w:line="360" w:lineRule="auto"/>
              <w:jc w:val="center"/>
              <w:rPr>
                <w:rFonts w:eastAsia="Calibri"/>
                <w:bCs/>
                <w:iCs/>
              </w:rPr>
            </w:pPr>
            <w:r w:rsidRPr="00F63663">
              <w:rPr>
                <w:rFonts w:eastAsia="Calibri"/>
                <w:bCs/>
                <w:iCs/>
              </w:rPr>
              <w:t>104.8 (±4.3)</w:t>
            </w:r>
          </w:p>
        </w:tc>
        <w:tc>
          <w:tcPr>
            <w:tcW w:w="1276" w:type="dxa"/>
            <w:tcBorders>
              <w:top w:val="single" w:sz="4" w:space="0" w:color="auto"/>
            </w:tcBorders>
            <w:vAlign w:val="center"/>
          </w:tcPr>
          <w:p w:rsidR="00D01099" w:rsidRPr="00F63663" w:rsidRDefault="00D01099" w:rsidP="00E95013">
            <w:pPr>
              <w:spacing w:line="360" w:lineRule="auto"/>
              <w:jc w:val="center"/>
              <w:rPr>
                <w:rFonts w:eastAsia="Calibri"/>
                <w:bCs/>
                <w:iCs/>
              </w:rPr>
            </w:pPr>
            <w:r w:rsidRPr="00F63663">
              <w:rPr>
                <w:rFonts w:eastAsia="Calibri"/>
                <w:bCs/>
                <w:iCs/>
              </w:rPr>
              <w:t>4.07</w:t>
            </w:r>
          </w:p>
        </w:tc>
        <w:tc>
          <w:tcPr>
            <w:tcW w:w="1134" w:type="dxa"/>
            <w:tcBorders>
              <w:top w:val="single" w:sz="4" w:space="0" w:color="auto"/>
            </w:tcBorders>
          </w:tcPr>
          <w:p w:rsidR="00D01099" w:rsidRPr="00F63663" w:rsidRDefault="00D01099" w:rsidP="00E95013">
            <w:pPr>
              <w:spacing w:line="360" w:lineRule="auto"/>
              <w:jc w:val="center"/>
              <w:rPr>
                <w:rFonts w:eastAsia="Calibri"/>
                <w:bCs/>
                <w:iCs/>
              </w:rPr>
            </w:pPr>
            <w:r w:rsidRPr="00F63663">
              <w:rPr>
                <w:rFonts w:eastAsia="Calibri"/>
                <w:bCs/>
                <w:iCs/>
              </w:rPr>
              <w:t>4.84</w:t>
            </w:r>
          </w:p>
        </w:tc>
      </w:tr>
      <w:tr w:rsidR="00D01099" w:rsidRPr="00F63663" w:rsidTr="00773A7A">
        <w:trPr>
          <w:trHeight w:val="218"/>
        </w:trPr>
        <w:tc>
          <w:tcPr>
            <w:tcW w:w="567" w:type="dxa"/>
            <w:shd w:val="clear" w:color="auto" w:fill="auto"/>
            <w:vAlign w:val="center"/>
          </w:tcPr>
          <w:p w:rsidR="00D01099" w:rsidRPr="00F63663" w:rsidRDefault="00D01099" w:rsidP="00E95013">
            <w:pPr>
              <w:spacing w:line="360" w:lineRule="auto"/>
              <w:jc w:val="center"/>
              <w:rPr>
                <w:rFonts w:eastAsia="Calibri"/>
                <w:bCs/>
                <w:iCs/>
              </w:rPr>
            </w:pPr>
            <w:r w:rsidRPr="00F63663">
              <w:rPr>
                <w:rFonts w:eastAsia="Calibri"/>
                <w:bCs/>
                <w:iCs/>
              </w:rPr>
              <w:t>2</w:t>
            </w:r>
          </w:p>
        </w:tc>
        <w:tc>
          <w:tcPr>
            <w:tcW w:w="1985" w:type="dxa"/>
            <w:shd w:val="clear" w:color="auto" w:fill="auto"/>
            <w:vAlign w:val="center"/>
          </w:tcPr>
          <w:p w:rsidR="00D01099" w:rsidRPr="00F63663" w:rsidRDefault="00D01099" w:rsidP="00E95013">
            <w:pPr>
              <w:spacing w:line="360" w:lineRule="auto"/>
              <w:jc w:val="center"/>
              <w:rPr>
                <w:rFonts w:eastAsia="Calibri"/>
                <w:bCs/>
                <w:iCs/>
              </w:rPr>
            </w:pPr>
            <w:r w:rsidRPr="00F63663">
              <w:rPr>
                <w:rFonts w:eastAsia="Calibri"/>
                <w:bCs/>
                <w:iCs/>
              </w:rPr>
              <w:t>1.86</w:t>
            </w:r>
          </w:p>
        </w:tc>
        <w:tc>
          <w:tcPr>
            <w:tcW w:w="1843" w:type="dxa"/>
            <w:shd w:val="clear" w:color="auto" w:fill="auto"/>
            <w:vAlign w:val="center"/>
          </w:tcPr>
          <w:p w:rsidR="00D01099" w:rsidRPr="00F63663" w:rsidRDefault="00D01099" w:rsidP="00E95013">
            <w:pPr>
              <w:spacing w:line="360" w:lineRule="auto"/>
              <w:jc w:val="center"/>
              <w:rPr>
                <w:rFonts w:eastAsia="Calibri"/>
                <w:bCs/>
                <w:iCs/>
              </w:rPr>
            </w:pPr>
            <w:r w:rsidRPr="00F63663">
              <w:rPr>
                <w:rFonts w:eastAsia="Calibri"/>
                <w:bCs/>
                <w:iCs/>
              </w:rPr>
              <w:t>1.83 (±0.03)</w:t>
            </w:r>
          </w:p>
        </w:tc>
        <w:tc>
          <w:tcPr>
            <w:tcW w:w="1842" w:type="dxa"/>
            <w:vAlign w:val="center"/>
          </w:tcPr>
          <w:p w:rsidR="00D01099" w:rsidRPr="00F63663" w:rsidRDefault="00D01099" w:rsidP="00E95013">
            <w:pPr>
              <w:spacing w:line="360" w:lineRule="auto"/>
              <w:jc w:val="center"/>
              <w:rPr>
                <w:rFonts w:eastAsia="Calibri"/>
                <w:bCs/>
                <w:iCs/>
              </w:rPr>
            </w:pPr>
            <w:r w:rsidRPr="00F63663">
              <w:rPr>
                <w:rFonts w:eastAsia="Calibri"/>
                <w:bCs/>
                <w:iCs/>
              </w:rPr>
              <w:t>98.8 (±1.6)</w:t>
            </w:r>
          </w:p>
        </w:tc>
        <w:tc>
          <w:tcPr>
            <w:tcW w:w="1276" w:type="dxa"/>
            <w:vAlign w:val="center"/>
          </w:tcPr>
          <w:p w:rsidR="00D01099" w:rsidRPr="00F63663" w:rsidRDefault="00D01099" w:rsidP="00E95013">
            <w:pPr>
              <w:spacing w:line="360" w:lineRule="auto"/>
              <w:jc w:val="center"/>
              <w:rPr>
                <w:rFonts w:eastAsia="Calibri"/>
                <w:bCs/>
                <w:iCs/>
              </w:rPr>
            </w:pPr>
            <w:r w:rsidRPr="00F63663">
              <w:rPr>
                <w:rFonts w:eastAsia="Calibri"/>
                <w:bCs/>
                <w:iCs/>
              </w:rPr>
              <w:t>1.64</w:t>
            </w:r>
          </w:p>
        </w:tc>
        <w:tc>
          <w:tcPr>
            <w:tcW w:w="1134" w:type="dxa"/>
          </w:tcPr>
          <w:p w:rsidR="00D01099" w:rsidRPr="00F63663" w:rsidRDefault="00D01099" w:rsidP="00E95013">
            <w:pPr>
              <w:spacing w:line="360" w:lineRule="auto"/>
              <w:jc w:val="center"/>
              <w:rPr>
                <w:rFonts w:eastAsia="Calibri"/>
                <w:bCs/>
                <w:iCs/>
              </w:rPr>
            </w:pPr>
            <w:r w:rsidRPr="00F63663">
              <w:rPr>
                <w:rFonts w:eastAsia="Calibri"/>
                <w:bCs/>
                <w:iCs/>
              </w:rPr>
              <w:t>-1.61</w:t>
            </w:r>
          </w:p>
        </w:tc>
      </w:tr>
      <w:tr w:rsidR="00D01099" w:rsidRPr="00F63663" w:rsidTr="00773A7A">
        <w:trPr>
          <w:trHeight w:val="209"/>
        </w:trPr>
        <w:tc>
          <w:tcPr>
            <w:tcW w:w="567" w:type="dxa"/>
            <w:tcBorders>
              <w:bottom w:val="single" w:sz="4" w:space="0" w:color="auto"/>
            </w:tcBorders>
            <w:shd w:val="clear" w:color="auto" w:fill="auto"/>
            <w:vAlign w:val="center"/>
          </w:tcPr>
          <w:p w:rsidR="00D01099" w:rsidRPr="00F63663" w:rsidRDefault="00D01099" w:rsidP="00E95013">
            <w:pPr>
              <w:spacing w:line="360" w:lineRule="auto"/>
              <w:jc w:val="center"/>
              <w:rPr>
                <w:rFonts w:eastAsia="Calibri"/>
                <w:bCs/>
                <w:iCs/>
              </w:rPr>
            </w:pPr>
            <w:r w:rsidRPr="00F63663">
              <w:rPr>
                <w:rFonts w:eastAsia="Calibri"/>
                <w:bCs/>
                <w:iCs/>
              </w:rPr>
              <w:t>3</w:t>
            </w:r>
          </w:p>
        </w:tc>
        <w:tc>
          <w:tcPr>
            <w:tcW w:w="1985" w:type="dxa"/>
            <w:tcBorders>
              <w:bottom w:val="single" w:sz="4" w:space="0" w:color="auto"/>
            </w:tcBorders>
            <w:shd w:val="clear" w:color="auto" w:fill="auto"/>
            <w:vAlign w:val="center"/>
          </w:tcPr>
          <w:p w:rsidR="00D01099" w:rsidRPr="00F63663" w:rsidRDefault="00D01099" w:rsidP="00E95013">
            <w:pPr>
              <w:spacing w:line="360" w:lineRule="auto"/>
              <w:jc w:val="center"/>
              <w:rPr>
                <w:rFonts w:eastAsia="Calibri"/>
                <w:bCs/>
                <w:iCs/>
              </w:rPr>
            </w:pPr>
            <w:r w:rsidRPr="00F63663">
              <w:rPr>
                <w:rFonts w:eastAsia="Calibri"/>
                <w:bCs/>
                <w:iCs/>
              </w:rPr>
              <w:t>2.48</w:t>
            </w:r>
          </w:p>
        </w:tc>
        <w:tc>
          <w:tcPr>
            <w:tcW w:w="1843" w:type="dxa"/>
            <w:tcBorders>
              <w:bottom w:val="single" w:sz="4" w:space="0" w:color="auto"/>
            </w:tcBorders>
            <w:shd w:val="clear" w:color="auto" w:fill="auto"/>
            <w:vAlign w:val="center"/>
          </w:tcPr>
          <w:p w:rsidR="00D01099" w:rsidRPr="00F63663" w:rsidRDefault="00D01099" w:rsidP="00E95013">
            <w:pPr>
              <w:spacing w:line="360" w:lineRule="auto"/>
              <w:jc w:val="center"/>
              <w:rPr>
                <w:rFonts w:eastAsia="Calibri"/>
                <w:bCs/>
                <w:iCs/>
              </w:rPr>
            </w:pPr>
            <w:r w:rsidRPr="00F63663">
              <w:rPr>
                <w:rFonts w:eastAsia="Calibri"/>
                <w:bCs/>
                <w:iCs/>
              </w:rPr>
              <w:t>2.37 (±0.04)</w:t>
            </w:r>
          </w:p>
        </w:tc>
        <w:tc>
          <w:tcPr>
            <w:tcW w:w="1842" w:type="dxa"/>
            <w:tcBorders>
              <w:bottom w:val="single" w:sz="4" w:space="0" w:color="auto"/>
            </w:tcBorders>
            <w:vAlign w:val="center"/>
          </w:tcPr>
          <w:p w:rsidR="00D01099" w:rsidRPr="00F63663" w:rsidRDefault="00D01099" w:rsidP="00E95013">
            <w:pPr>
              <w:spacing w:line="360" w:lineRule="auto"/>
              <w:jc w:val="center"/>
              <w:rPr>
                <w:rFonts w:eastAsia="Calibri"/>
                <w:bCs/>
                <w:iCs/>
              </w:rPr>
            </w:pPr>
            <w:r w:rsidRPr="00F63663">
              <w:rPr>
                <w:rFonts w:eastAsia="Calibri"/>
                <w:bCs/>
                <w:iCs/>
              </w:rPr>
              <w:t>95.3 (±1.6)</w:t>
            </w:r>
          </w:p>
        </w:tc>
        <w:tc>
          <w:tcPr>
            <w:tcW w:w="1276" w:type="dxa"/>
            <w:tcBorders>
              <w:bottom w:val="single" w:sz="4" w:space="0" w:color="auto"/>
            </w:tcBorders>
            <w:vAlign w:val="center"/>
          </w:tcPr>
          <w:p w:rsidR="00D01099" w:rsidRPr="00F63663" w:rsidRDefault="00D01099" w:rsidP="00E95013">
            <w:pPr>
              <w:spacing w:line="360" w:lineRule="auto"/>
              <w:jc w:val="center"/>
              <w:rPr>
                <w:rFonts w:eastAsia="Calibri"/>
                <w:bCs/>
                <w:iCs/>
              </w:rPr>
            </w:pPr>
            <w:r w:rsidRPr="00F63663">
              <w:rPr>
                <w:rFonts w:eastAsia="Calibri"/>
                <w:bCs/>
                <w:iCs/>
              </w:rPr>
              <w:t>1.71</w:t>
            </w:r>
          </w:p>
        </w:tc>
        <w:tc>
          <w:tcPr>
            <w:tcW w:w="1134" w:type="dxa"/>
            <w:tcBorders>
              <w:bottom w:val="single" w:sz="4" w:space="0" w:color="auto"/>
            </w:tcBorders>
          </w:tcPr>
          <w:p w:rsidR="00D01099" w:rsidRPr="00F63663" w:rsidRDefault="00D01099" w:rsidP="00E95013">
            <w:pPr>
              <w:spacing w:line="360" w:lineRule="auto"/>
              <w:jc w:val="center"/>
              <w:rPr>
                <w:rFonts w:eastAsia="Calibri"/>
                <w:bCs/>
                <w:iCs/>
              </w:rPr>
            </w:pPr>
            <w:r w:rsidRPr="00F63663">
              <w:rPr>
                <w:rFonts w:eastAsia="Calibri"/>
                <w:bCs/>
                <w:iCs/>
              </w:rPr>
              <w:t>-4.70</w:t>
            </w:r>
          </w:p>
        </w:tc>
      </w:tr>
    </w:tbl>
    <w:p w:rsidR="00D01099" w:rsidRPr="00F63663" w:rsidRDefault="00D01099" w:rsidP="00D01099">
      <w:pPr>
        <w:spacing w:line="240" w:lineRule="auto"/>
        <w:jc w:val="both"/>
        <w:rPr>
          <w:i/>
          <w:sz w:val="20"/>
          <w:szCs w:val="20"/>
        </w:rPr>
      </w:pPr>
      <w:r w:rsidRPr="00F63663">
        <w:rPr>
          <w:i/>
          <w:sz w:val="20"/>
          <w:szCs w:val="20"/>
        </w:rPr>
        <w:t>* The average of three measurements is used for each value.</w:t>
      </w:r>
    </w:p>
    <w:p w:rsidR="00271AA7" w:rsidRPr="00F63663" w:rsidRDefault="00D01099" w:rsidP="00D01099">
      <w:pPr>
        <w:spacing w:line="240" w:lineRule="auto"/>
        <w:jc w:val="both"/>
      </w:pPr>
      <w:r w:rsidRPr="00F63663">
        <w:rPr>
          <w:i/>
          <w:sz w:val="20"/>
          <w:szCs w:val="20"/>
        </w:rPr>
        <w:t>RSD, Relative Standard Deviation</w:t>
      </w:r>
    </w:p>
    <w:p w:rsidR="00E411E5" w:rsidRPr="00F63663" w:rsidRDefault="00E411E5" w:rsidP="0030196E">
      <w:pPr>
        <w:pStyle w:val="Balk1"/>
        <w:numPr>
          <w:ilvl w:val="0"/>
          <w:numId w:val="37"/>
        </w:numPr>
      </w:pPr>
      <w:r w:rsidRPr="00F63663">
        <w:t>Conclusion</w:t>
      </w:r>
    </w:p>
    <w:p w:rsidR="00E411E5" w:rsidRPr="00F63663" w:rsidRDefault="00E411E5" w:rsidP="00353F2E">
      <w:pPr>
        <w:spacing w:line="360" w:lineRule="auto"/>
        <w:jc w:val="both"/>
      </w:pPr>
      <w:r w:rsidRPr="00F63663">
        <w:t>The RGO layer on the GCE surface was prepared using an electrochemical reduction method. Using cyclic voltammetry and differ</w:t>
      </w:r>
      <w:r w:rsidR="00773A7A" w:rsidRPr="00F63663">
        <w:t>e</w:t>
      </w:r>
      <w:r w:rsidRPr="00F63663">
        <w:t xml:space="preserve">ntial pulse voltammetry, the electrochemical </w:t>
      </w:r>
      <w:proofErr w:type="spellStart"/>
      <w:r w:rsidRPr="00F63663">
        <w:t>behavior</w:t>
      </w:r>
      <w:proofErr w:type="spellEnd"/>
      <w:r w:rsidRPr="00F63663">
        <w:t xml:space="preserve"> and real sample applicability of RGO/</w:t>
      </w:r>
      <w:proofErr w:type="spellStart"/>
      <w:r w:rsidRPr="00F63663">
        <w:t>AuNPs</w:t>
      </w:r>
      <w:proofErr w:type="spellEnd"/>
      <w:r w:rsidRPr="00F63663">
        <w:t xml:space="preserve">/GCE were examined. A large effective surface area, high </w:t>
      </w:r>
      <w:proofErr w:type="spellStart"/>
      <w:r w:rsidRPr="00F63663">
        <w:t>electrocatalytic</w:t>
      </w:r>
      <w:proofErr w:type="spellEnd"/>
      <w:r w:rsidRPr="00F63663">
        <w:t xml:space="preserve"> activity, and </w:t>
      </w:r>
      <w:proofErr w:type="spellStart"/>
      <w:r w:rsidRPr="00F63663">
        <w:t>ziram</w:t>
      </w:r>
      <w:proofErr w:type="spellEnd"/>
      <w:r w:rsidRPr="00F63663">
        <w:t xml:space="preserve"> sensitivity characterize the novel sensor. The proposed electrochemical method was validated and the constructed sensor was proven to have good sensitivity and selectivity, as well as a low detection limit. Furthermore, the method has been used to accurately determine the </w:t>
      </w:r>
      <w:proofErr w:type="spellStart"/>
      <w:r w:rsidRPr="00F63663">
        <w:t>ziram</w:t>
      </w:r>
      <w:proofErr w:type="spellEnd"/>
      <w:r w:rsidRPr="00F63663">
        <w:t xml:space="preserve"> in spiked tap water and peach juice. The created RGO/</w:t>
      </w:r>
      <w:proofErr w:type="spellStart"/>
      <w:r w:rsidRPr="00F63663">
        <w:t>AuNPs</w:t>
      </w:r>
      <w:proofErr w:type="spellEnd"/>
      <w:r w:rsidRPr="00F63663">
        <w:t>/</w:t>
      </w:r>
      <w:r w:rsidR="00773A7A" w:rsidRPr="00F63663">
        <w:t>GC</w:t>
      </w:r>
      <w:r w:rsidRPr="00F63663">
        <w:t xml:space="preserve">E sensor is effective and promising due to its relatively simple modification method and disposable feature, as well as its potential to be used for direct measurements in water and peach juice. The findings of this study add to the analytical methodologies for </w:t>
      </w:r>
      <w:proofErr w:type="spellStart"/>
      <w:r w:rsidRPr="00F63663">
        <w:t>ziram</w:t>
      </w:r>
      <w:proofErr w:type="spellEnd"/>
      <w:r w:rsidRPr="00F63663">
        <w:t xml:space="preserve"> determination that have been used thus far.</w:t>
      </w:r>
    </w:p>
    <w:p w:rsidR="00353F2E" w:rsidRPr="00F63663" w:rsidRDefault="00353F2E" w:rsidP="00353F2E">
      <w:pPr>
        <w:spacing w:line="360" w:lineRule="auto"/>
        <w:jc w:val="both"/>
      </w:pPr>
    </w:p>
    <w:p w:rsidR="002C28D3" w:rsidRPr="00F63663" w:rsidRDefault="002C28D3" w:rsidP="00353F2E">
      <w:pPr>
        <w:spacing w:line="360" w:lineRule="auto"/>
        <w:jc w:val="both"/>
        <w:rPr>
          <w:b/>
        </w:rPr>
      </w:pPr>
      <w:r w:rsidRPr="00F63663">
        <w:rPr>
          <w:b/>
        </w:rPr>
        <w:lastRenderedPageBreak/>
        <w:t>Data available on request from the authors</w:t>
      </w:r>
    </w:p>
    <w:p w:rsidR="002C28D3" w:rsidRPr="00F63663" w:rsidRDefault="002C28D3" w:rsidP="00353F2E">
      <w:pPr>
        <w:spacing w:line="360" w:lineRule="auto"/>
        <w:jc w:val="both"/>
      </w:pPr>
      <w:r w:rsidRPr="00F63663">
        <w:t>The data that support the findings of this study are available from the corresponding author, [</w:t>
      </w:r>
      <w:r w:rsidR="00760900" w:rsidRPr="00F63663">
        <w:t>Aslan</w:t>
      </w:r>
      <w:r w:rsidRPr="00F63663">
        <w:t xml:space="preserve">, </w:t>
      </w:r>
      <w:r w:rsidR="00760900" w:rsidRPr="00F63663">
        <w:t>N</w:t>
      </w:r>
      <w:r w:rsidRPr="00F63663">
        <w:t>.], upon reasonable request.</w:t>
      </w:r>
    </w:p>
    <w:p w:rsidR="00632BEF" w:rsidRPr="00F63663" w:rsidRDefault="00632BEF" w:rsidP="00353F2E">
      <w:pPr>
        <w:spacing w:line="360" w:lineRule="auto"/>
        <w:jc w:val="both"/>
      </w:pPr>
      <w:r w:rsidRPr="00F63663">
        <w:t>Nazife Aslan http://orcid.org/0000-0002-2622-5908</w:t>
      </w:r>
    </w:p>
    <w:p w:rsidR="002C28D3" w:rsidRPr="00F63663" w:rsidRDefault="002C28D3" w:rsidP="00353F2E">
      <w:pPr>
        <w:spacing w:line="360" w:lineRule="auto"/>
        <w:jc w:val="both"/>
      </w:pPr>
    </w:p>
    <w:p w:rsidR="002C28D3" w:rsidRPr="00F63663" w:rsidRDefault="002C28D3" w:rsidP="00353F2E">
      <w:pPr>
        <w:spacing w:line="360" w:lineRule="auto"/>
        <w:jc w:val="both"/>
        <w:rPr>
          <w:b/>
        </w:rPr>
      </w:pPr>
      <w:r w:rsidRPr="00F63663">
        <w:rPr>
          <w:b/>
        </w:rPr>
        <w:t xml:space="preserve">Declaration of competing interest </w:t>
      </w:r>
    </w:p>
    <w:p w:rsidR="002C28D3" w:rsidRDefault="002C28D3" w:rsidP="00353F2E">
      <w:pPr>
        <w:spacing w:line="360" w:lineRule="auto"/>
        <w:jc w:val="both"/>
      </w:pPr>
      <w:r w:rsidRPr="00F63663">
        <w:t>The authors declare that they have no known competing financial interests or personal relationships that could have appeared to influence the work reported in this article.</w:t>
      </w:r>
    </w:p>
    <w:p w:rsidR="000B4F88" w:rsidRDefault="000E4DDB" w:rsidP="00353F2E">
      <w:pPr>
        <w:spacing w:line="360" w:lineRule="auto"/>
        <w:jc w:val="both"/>
        <w:rPr>
          <w:bCs/>
        </w:rPr>
      </w:pPr>
      <w:r w:rsidRPr="00F63663">
        <w:t xml:space="preserve">The authors </w:t>
      </w:r>
      <w:r>
        <w:t xml:space="preserve">also </w:t>
      </w:r>
      <w:r w:rsidRPr="00F63663">
        <w:t>declare that they have no</w:t>
      </w:r>
      <w:r w:rsidRPr="000E4DDB">
        <w:rPr>
          <w:b/>
          <w:bCs/>
        </w:rPr>
        <w:t xml:space="preserve"> </w:t>
      </w:r>
      <w:r w:rsidRPr="000E4DDB">
        <w:rPr>
          <w:bCs/>
        </w:rPr>
        <w:t>conflict of interest with suggested r</w:t>
      </w:r>
      <w:r>
        <w:rPr>
          <w:bCs/>
        </w:rPr>
        <w:t xml:space="preserve">eviewers. </w:t>
      </w:r>
    </w:p>
    <w:p w:rsidR="000B4F88" w:rsidRDefault="000B4F88" w:rsidP="00353F2E">
      <w:pPr>
        <w:spacing w:line="360" w:lineRule="auto"/>
        <w:jc w:val="both"/>
        <w:rPr>
          <w:bCs/>
        </w:rPr>
      </w:pPr>
    </w:p>
    <w:p w:rsidR="00353F2E" w:rsidRPr="00F63663" w:rsidRDefault="00353F2E" w:rsidP="00353F2E">
      <w:pPr>
        <w:spacing w:line="360" w:lineRule="auto"/>
        <w:jc w:val="both"/>
        <w:rPr>
          <w:b/>
          <w:bCs/>
        </w:rPr>
      </w:pPr>
      <w:r w:rsidRPr="00F63663">
        <w:rPr>
          <w:b/>
          <w:bCs/>
        </w:rPr>
        <w:t>Acknowledgements</w:t>
      </w:r>
    </w:p>
    <w:p w:rsidR="00353F2E" w:rsidRPr="00F63663" w:rsidRDefault="00353F2E" w:rsidP="00353F2E">
      <w:pPr>
        <w:spacing w:line="360" w:lineRule="auto"/>
        <w:jc w:val="both"/>
      </w:pPr>
      <w:r w:rsidRPr="00F63663">
        <w:t xml:space="preserve">The authors express their gratitude for the support from </w:t>
      </w:r>
      <w:proofErr w:type="spellStart"/>
      <w:r w:rsidRPr="00F63663">
        <w:t>Gazi</w:t>
      </w:r>
      <w:proofErr w:type="spellEnd"/>
      <w:r w:rsidRPr="00F63663">
        <w:t xml:space="preserve"> University with Grand Numbers BAP-</w:t>
      </w:r>
      <w:r w:rsidR="00C62724" w:rsidRPr="00F63663">
        <w:rPr>
          <w:rFonts w:ascii="Arial" w:hAnsi="Arial" w:cs="Arial"/>
          <w:color w:val="212529"/>
          <w:sz w:val="18"/>
          <w:szCs w:val="18"/>
          <w:shd w:val="clear" w:color="auto" w:fill="FCFCFC"/>
        </w:rPr>
        <w:t xml:space="preserve"> </w:t>
      </w:r>
      <w:r w:rsidR="00C62724" w:rsidRPr="00F63663">
        <w:t>65/2020-03</w:t>
      </w:r>
      <w:r w:rsidR="005F181E" w:rsidRPr="00F63663">
        <w:t>.</w:t>
      </w:r>
      <w:r w:rsidRPr="00F63663">
        <w:t xml:space="preserve">  </w:t>
      </w:r>
    </w:p>
    <w:p w:rsidR="00353F2E" w:rsidRPr="00F63663" w:rsidRDefault="00353F2E" w:rsidP="00353F2E">
      <w:pPr>
        <w:pStyle w:val="Paragraph"/>
      </w:pPr>
    </w:p>
    <w:p w:rsidR="00C32D5B" w:rsidRPr="00F63663" w:rsidRDefault="005B3FBA" w:rsidP="00097CAC">
      <w:pPr>
        <w:pStyle w:val="Balk1"/>
        <w:numPr>
          <w:ilvl w:val="0"/>
          <w:numId w:val="37"/>
        </w:numPr>
      </w:pPr>
      <w:r w:rsidRPr="00F63663">
        <w:br w:type="page"/>
      </w:r>
      <w:r w:rsidR="00C32D5B" w:rsidRPr="00F63663">
        <w:lastRenderedPageBreak/>
        <w:t>References</w:t>
      </w:r>
    </w:p>
    <w:p w:rsidR="004A0F77" w:rsidRPr="0030196E" w:rsidRDefault="004A0F77" w:rsidP="00666724">
      <w:pPr>
        <w:numPr>
          <w:ilvl w:val="0"/>
          <w:numId w:val="38"/>
        </w:numPr>
        <w:spacing w:line="360" w:lineRule="auto"/>
        <w:jc w:val="both"/>
        <w:rPr>
          <w:b/>
          <w:bCs/>
        </w:rPr>
      </w:pPr>
      <w:r w:rsidRPr="0030196E">
        <w:rPr>
          <w:lang w:val="tr-TR"/>
        </w:rPr>
        <w:t>T.</w:t>
      </w:r>
      <w:r w:rsidR="00015B70">
        <w:rPr>
          <w:lang w:val="tr-TR"/>
        </w:rPr>
        <w:t xml:space="preserve"> </w:t>
      </w:r>
      <w:r w:rsidRPr="0030196E">
        <w:rPr>
          <w:lang w:val="tr-TR"/>
        </w:rPr>
        <w:t xml:space="preserve">A. </w:t>
      </w:r>
      <w:proofErr w:type="spellStart"/>
      <w:r w:rsidRPr="0030196E">
        <w:rPr>
          <w:lang w:val="tr-TR"/>
        </w:rPr>
        <w:t>Saleh</w:t>
      </w:r>
      <w:proofErr w:type="spellEnd"/>
      <w:r w:rsidRPr="0030196E">
        <w:rPr>
          <w:lang w:val="tr-TR"/>
        </w:rPr>
        <w:t>, V.</w:t>
      </w:r>
      <w:r w:rsidR="00015B70">
        <w:rPr>
          <w:lang w:val="tr-TR"/>
        </w:rPr>
        <w:t xml:space="preserve"> </w:t>
      </w:r>
      <w:r w:rsidRPr="0030196E">
        <w:rPr>
          <w:lang w:val="tr-TR"/>
        </w:rPr>
        <w:t xml:space="preserve">K. </w:t>
      </w:r>
      <w:proofErr w:type="spellStart"/>
      <w:r w:rsidRPr="0030196E">
        <w:rPr>
          <w:lang w:val="tr-TR"/>
        </w:rPr>
        <w:t>Gupta</w:t>
      </w:r>
      <w:proofErr w:type="spellEnd"/>
      <w:r w:rsidRPr="0030196E">
        <w:rPr>
          <w:lang w:val="tr-TR"/>
        </w:rPr>
        <w:t xml:space="preserve">, </w:t>
      </w:r>
      <w:hyperlink r:id="rId19" w:history="1">
        <w:proofErr w:type="spellStart"/>
        <w:r w:rsidRPr="0030196E">
          <w:rPr>
            <w:rStyle w:val="Kpr"/>
            <w:i/>
            <w:color w:val="auto"/>
            <w:u w:val="none"/>
            <w:lang w:val="tr-TR"/>
          </w:rPr>
          <w:t>Nanomaterial</w:t>
        </w:r>
        <w:proofErr w:type="spellEnd"/>
        <w:r w:rsidRPr="0030196E">
          <w:rPr>
            <w:rStyle w:val="Kpr"/>
            <w:i/>
            <w:color w:val="auto"/>
            <w:u w:val="none"/>
            <w:lang w:val="tr-TR"/>
          </w:rPr>
          <w:t xml:space="preserve"> </w:t>
        </w:r>
        <w:proofErr w:type="spellStart"/>
        <w:r w:rsidRPr="0030196E">
          <w:rPr>
            <w:rStyle w:val="Kpr"/>
            <w:i/>
            <w:color w:val="auto"/>
            <w:u w:val="none"/>
            <w:lang w:val="tr-TR"/>
          </w:rPr>
          <w:t>and</w:t>
        </w:r>
        <w:proofErr w:type="spellEnd"/>
        <w:r w:rsidRPr="0030196E">
          <w:rPr>
            <w:rStyle w:val="Kpr"/>
            <w:i/>
            <w:color w:val="auto"/>
            <w:u w:val="none"/>
            <w:lang w:val="tr-TR"/>
          </w:rPr>
          <w:t xml:space="preserve"> </w:t>
        </w:r>
        <w:proofErr w:type="spellStart"/>
        <w:r w:rsidRPr="0030196E">
          <w:rPr>
            <w:rStyle w:val="Kpr"/>
            <w:i/>
            <w:color w:val="auto"/>
            <w:u w:val="none"/>
            <w:lang w:val="tr-TR"/>
          </w:rPr>
          <w:t>Polymer</w:t>
        </w:r>
        <w:proofErr w:type="spellEnd"/>
        <w:r w:rsidRPr="0030196E">
          <w:rPr>
            <w:rStyle w:val="Kpr"/>
            <w:i/>
            <w:color w:val="auto"/>
            <w:u w:val="none"/>
            <w:lang w:val="tr-TR"/>
          </w:rPr>
          <w:t xml:space="preserve"> </w:t>
        </w:r>
        <w:proofErr w:type="spellStart"/>
        <w:r w:rsidRPr="0030196E">
          <w:rPr>
            <w:rStyle w:val="Kpr"/>
            <w:i/>
            <w:color w:val="auto"/>
            <w:u w:val="none"/>
            <w:lang w:val="tr-TR"/>
          </w:rPr>
          <w:t>Membranes</w:t>
        </w:r>
        <w:proofErr w:type="spellEnd"/>
      </w:hyperlink>
      <w:r w:rsidRPr="0030196E">
        <w:rPr>
          <w:lang w:val="tr-TR"/>
        </w:rPr>
        <w:t xml:space="preserve"> </w:t>
      </w:r>
      <w:r w:rsidRPr="0030196E">
        <w:rPr>
          <w:b/>
          <w:lang w:val="tr-TR"/>
        </w:rPr>
        <w:t xml:space="preserve">2016, </w:t>
      </w:r>
      <w:r w:rsidR="002206E4">
        <w:rPr>
          <w:lang w:val="tr-TR"/>
        </w:rPr>
        <w:t>83-133;</w:t>
      </w:r>
      <w:r w:rsidRPr="0030196E">
        <w:rPr>
          <w:lang w:val="tr-TR"/>
        </w:rPr>
        <w:t xml:space="preserve"> </w:t>
      </w:r>
      <w:r w:rsidRPr="0030196E">
        <w:rPr>
          <w:b/>
          <w:lang w:val="tr-TR"/>
        </w:rPr>
        <w:t>DOI:</w:t>
      </w:r>
      <w:hyperlink r:id="rId20" w:tgtFrame="_blank" w:tooltip="Persistent link using digital object identifier" w:history="1">
        <w:r w:rsidRPr="0030196E">
          <w:rPr>
            <w:rStyle w:val="Kpr"/>
            <w:color w:val="auto"/>
            <w:u w:val="none"/>
          </w:rPr>
          <w:t>10.1016/B978-0-12-804703-3.00004-8</w:t>
        </w:r>
      </w:hyperlink>
    </w:p>
    <w:p w:rsidR="00BB0805" w:rsidRPr="0030196E" w:rsidRDefault="00BB0805" w:rsidP="00BB0805">
      <w:pPr>
        <w:numPr>
          <w:ilvl w:val="0"/>
          <w:numId w:val="38"/>
        </w:numPr>
        <w:spacing w:line="360" w:lineRule="auto"/>
        <w:jc w:val="both"/>
        <w:rPr>
          <w:bCs/>
        </w:rPr>
      </w:pPr>
      <w:bookmarkStart w:id="1" w:name="bau005"/>
      <w:r w:rsidRPr="0030196E">
        <w:rPr>
          <w:bCs/>
        </w:rPr>
        <w:t>M.</w:t>
      </w:r>
      <w:r w:rsidR="00015B70">
        <w:rPr>
          <w:bCs/>
        </w:rPr>
        <w:t xml:space="preserve"> </w:t>
      </w:r>
      <w:r w:rsidRPr="0030196E">
        <w:rPr>
          <w:bCs/>
        </w:rPr>
        <w:t xml:space="preserve">H. </w:t>
      </w:r>
      <w:proofErr w:type="spellStart"/>
      <w:r w:rsidRPr="0030196E">
        <w:rPr>
          <w:bCs/>
        </w:rPr>
        <w:t>Mahnashi</w:t>
      </w:r>
      <w:bookmarkStart w:id="2" w:name="bau010"/>
      <w:bookmarkEnd w:id="1"/>
      <w:proofErr w:type="spellEnd"/>
      <w:r w:rsidRPr="0030196E">
        <w:rPr>
          <w:bCs/>
        </w:rPr>
        <w:t xml:space="preserve">, </w:t>
      </w:r>
      <w:hyperlink r:id="rId21" w:anchor="!" w:history="1">
        <w:r w:rsidRPr="002206E4">
          <w:rPr>
            <w:rStyle w:val="Kpr"/>
            <w:bCs/>
            <w:color w:val="auto"/>
            <w:u w:val="none"/>
          </w:rPr>
          <w:t>A.</w:t>
        </w:r>
        <w:r w:rsidR="00015B70">
          <w:rPr>
            <w:rStyle w:val="Kpr"/>
            <w:bCs/>
            <w:color w:val="auto"/>
            <w:u w:val="none"/>
          </w:rPr>
          <w:t xml:space="preserve"> </w:t>
        </w:r>
        <w:r w:rsidRPr="002206E4">
          <w:rPr>
            <w:rStyle w:val="Kpr"/>
            <w:bCs/>
            <w:color w:val="auto"/>
            <w:u w:val="none"/>
          </w:rPr>
          <w:t>M. Mahmoud</w:t>
        </w:r>
      </w:hyperlink>
      <w:bookmarkStart w:id="3" w:name="bau015"/>
      <w:bookmarkEnd w:id="2"/>
      <w:r w:rsidRPr="002206E4">
        <w:rPr>
          <w:bCs/>
        </w:rPr>
        <w:t xml:space="preserve">, </w:t>
      </w:r>
      <w:hyperlink r:id="rId22" w:anchor="!" w:history="1">
        <w:r w:rsidRPr="002206E4">
          <w:rPr>
            <w:rStyle w:val="Kpr"/>
            <w:bCs/>
            <w:color w:val="auto"/>
            <w:u w:val="none"/>
          </w:rPr>
          <w:t>A</w:t>
        </w:r>
        <w:r w:rsidR="00015B70">
          <w:rPr>
            <w:rStyle w:val="Kpr"/>
            <w:bCs/>
            <w:color w:val="auto"/>
            <w:u w:val="none"/>
          </w:rPr>
          <w:t>.</w:t>
        </w:r>
        <w:r w:rsidRPr="002206E4">
          <w:rPr>
            <w:rStyle w:val="Kpr"/>
            <w:bCs/>
            <w:color w:val="auto"/>
            <w:u w:val="none"/>
          </w:rPr>
          <w:t xml:space="preserve"> </w:t>
        </w:r>
        <w:proofErr w:type="spellStart"/>
        <w:r w:rsidRPr="002206E4">
          <w:rPr>
            <w:rStyle w:val="Kpr"/>
            <w:bCs/>
            <w:color w:val="auto"/>
            <w:u w:val="none"/>
          </w:rPr>
          <w:t>Az</w:t>
        </w:r>
        <w:proofErr w:type="spellEnd"/>
        <w:r w:rsidRPr="002206E4">
          <w:rPr>
            <w:rStyle w:val="Kpr"/>
            <w:bCs/>
            <w:color w:val="auto"/>
            <w:u w:val="none"/>
          </w:rPr>
          <w:t>,</w:t>
        </w:r>
      </w:hyperlink>
      <w:bookmarkStart w:id="4" w:name="bau020"/>
      <w:bookmarkEnd w:id="3"/>
      <w:r w:rsidRPr="002206E4">
        <w:rPr>
          <w:bCs/>
        </w:rPr>
        <w:t xml:space="preserve"> </w:t>
      </w:r>
      <w:hyperlink r:id="rId23" w:anchor="!" w:history="1">
        <w:r w:rsidRPr="002206E4">
          <w:rPr>
            <w:rStyle w:val="Kpr"/>
            <w:bCs/>
            <w:color w:val="auto"/>
            <w:u w:val="none"/>
          </w:rPr>
          <w:t xml:space="preserve">K. </w:t>
        </w:r>
        <w:proofErr w:type="spellStart"/>
        <w:r w:rsidRPr="002206E4">
          <w:rPr>
            <w:rStyle w:val="Kpr"/>
            <w:bCs/>
            <w:color w:val="auto"/>
            <w:u w:val="none"/>
          </w:rPr>
          <w:t>Alhazzani</w:t>
        </w:r>
        <w:proofErr w:type="spellEnd"/>
        <w:r w:rsidRPr="002206E4">
          <w:rPr>
            <w:rStyle w:val="Kpr"/>
            <w:bCs/>
            <w:color w:val="auto"/>
            <w:u w:val="none"/>
          </w:rPr>
          <w:t xml:space="preserve">, </w:t>
        </w:r>
      </w:hyperlink>
      <w:bookmarkStart w:id="5" w:name="bau025"/>
      <w:bookmarkEnd w:id="4"/>
      <w:r w:rsidRPr="002206E4">
        <w:rPr>
          <w:bCs/>
        </w:rPr>
        <w:fldChar w:fldCharType="begin"/>
      </w:r>
      <w:r w:rsidRPr="002206E4">
        <w:rPr>
          <w:bCs/>
        </w:rPr>
        <w:instrText xml:space="preserve"> HYPERLINK "https://www.sciencedirect.com/science/article/pii/S0026265X21001053?casa_token=jZnUVYHAADUAAAAA:MZt8C-G0EpwfJTL98pZNTaUsBOXoVF7yjZ8mJ-2BiIpyda35LwWXz3RCJ4aYNYzf-Bw8ovXtcw" \l "!" </w:instrText>
      </w:r>
      <w:r w:rsidRPr="002206E4">
        <w:rPr>
          <w:bCs/>
        </w:rPr>
        <w:fldChar w:fldCharType="separate"/>
      </w:r>
      <w:r w:rsidRPr="002206E4">
        <w:rPr>
          <w:rStyle w:val="Kpr"/>
          <w:bCs/>
          <w:color w:val="auto"/>
          <w:u w:val="none"/>
        </w:rPr>
        <w:t>S.</w:t>
      </w:r>
      <w:r w:rsidR="00015B70">
        <w:rPr>
          <w:rStyle w:val="Kpr"/>
          <w:bCs/>
          <w:color w:val="auto"/>
          <w:u w:val="none"/>
        </w:rPr>
        <w:t xml:space="preserve"> </w:t>
      </w:r>
      <w:r w:rsidRPr="002206E4">
        <w:rPr>
          <w:rStyle w:val="Kpr"/>
          <w:bCs/>
          <w:color w:val="auto"/>
          <w:u w:val="none"/>
        </w:rPr>
        <w:t xml:space="preserve">A. </w:t>
      </w:r>
      <w:proofErr w:type="spellStart"/>
      <w:r w:rsidRPr="002206E4">
        <w:rPr>
          <w:rStyle w:val="Kpr"/>
          <w:bCs/>
          <w:color w:val="auto"/>
          <w:u w:val="none"/>
        </w:rPr>
        <w:t>Alanazi</w:t>
      </w:r>
      <w:proofErr w:type="spellEnd"/>
      <w:r w:rsidRPr="002206E4">
        <w:rPr>
          <w:rStyle w:val="Kpr"/>
          <w:bCs/>
          <w:color w:val="auto"/>
          <w:u w:val="none"/>
        </w:rPr>
        <w:t xml:space="preserve">, </w:t>
      </w:r>
      <w:r w:rsidRPr="002206E4">
        <w:rPr>
          <w:bCs/>
        </w:rPr>
        <w:fldChar w:fldCharType="end"/>
      </w:r>
      <w:bookmarkStart w:id="6" w:name="bau030"/>
      <w:bookmarkEnd w:id="5"/>
      <w:r w:rsidRPr="002206E4">
        <w:rPr>
          <w:bCs/>
        </w:rPr>
        <w:fldChar w:fldCharType="begin"/>
      </w:r>
      <w:r w:rsidRPr="002206E4">
        <w:rPr>
          <w:bCs/>
        </w:rPr>
        <w:instrText xml:space="preserve"> HYPERLINK "https://www.sciencedirect.com/science/article/pii/S0026265X21001053?casa_token=jZnUVYHAADUAAAAA:MZt8C-G0EpwfJTL98pZNTaUsBOXoVF7yjZ8mJ-2BiIpyda35LwWXz3RCJ4aYNYzf-Bw8ovXtcw" \l "!" </w:instrText>
      </w:r>
      <w:r w:rsidRPr="002206E4">
        <w:rPr>
          <w:bCs/>
        </w:rPr>
        <w:fldChar w:fldCharType="separate"/>
      </w:r>
      <w:r w:rsidRPr="002206E4">
        <w:rPr>
          <w:rStyle w:val="Kpr"/>
          <w:bCs/>
          <w:color w:val="auto"/>
          <w:u w:val="none"/>
        </w:rPr>
        <w:t>M.</w:t>
      </w:r>
      <w:r w:rsidR="00015B70">
        <w:rPr>
          <w:rStyle w:val="Kpr"/>
          <w:bCs/>
          <w:color w:val="auto"/>
          <w:u w:val="none"/>
        </w:rPr>
        <w:t xml:space="preserve"> </w:t>
      </w:r>
      <w:r w:rsidRPr="002206E4">
        <w:rPr>
          <w:rStyle w:val="Kpr"/>
          <w:bCs/>
          <w:color w:val="auto"/>
          <w:u w:val="none"/>
        </w:rPr>
        <w:t xml:space="preserve">M. </w:t>
      </w:r>
      <w:proofErr w:type="spellStart"/>
      <w:r w:rsidRPr="002206E4">
        <w:rPr>
          <w:rStyle w:val="Kpr"/>
          <w:bCs/>
          <w:color w:val="auto"/>
          <w:u w:val="none"/>
        </w:rPr>
        <w:t>Alanazi</w:t>
      </w:r>
      <w:proofErr w:type="spellEnd"/>
      <w:r w:rsidRPr="002206E4">
        <w:rPr>
          <w:rStyle w:val="Kpr"/>
          <w:bCs/>
          <w:color w:val="auto"/>
          <w:u w:val="none"/>
        </w:rPr>
        <w:t xml:space="preserve">, </w:t>
      </w:r>
      <w:r w:rsidRPr="002206E4">
        <w:rPr>
          <w:bCs/>
        </w:rPr>
        <w:fldChar w:fldCharType="end"/>
      </w:r>
      <w:bookmarkStart w:id="7" w:name="bau035"/>
      <w:bookmarkEnd w:id="6"/>
      <w:r w:rsidRPr="0030196E">
        <w:rPr>
          <w:bCs/>
        </w:rPr>
        <w:t>M.</w:t>
      </w:r>
      <w:r w:rsidR="00015B70">
        <w:rPr>
          <w:bCs/>
        </w:rPr>
        <w:t xml:space="preserve"> </w:t>
      </w:r>
      <w:r w:rsidRPr="0030196E">
        <w:rPr>
          <w:bCs/>
        </w:rPr>
        <w:t>M. El-</w:t>
      </w:r>
      <w:proofErr w:type="spellStart"/>
      <w:r w:rsidRPr="0030196E">
        <w:rPr>
          <w:bCs/>
        </w:rPr>
        <w:t>Wekil</w:t>
      </w:r>
      <w:bookmarkEnd w:id="7"/>
      <w:proofErr w:type="spellEnd"/>
      <w:r w:rsidRPr="0030196E">
        <w:rPr>
          <w:bCs/>
        </w:rPr>
        <w:t xml:space="preserve">, </w:t>
      </w:r>
      <w:proofErr w:type="spellStart"/>
      <w:r w:rsidRPr="0030196E">
        <w:rPr>
          <w:bCs/>
          <w:i/>
        </w:rPr>
        <w:t>Microchemical</w:t>
      </w:r>
      <w:proofErr w:type="spellEnd"/>
      <w:r w:rsidRPr="0030196E">
        <w:rPr>
          <w:bCs/>
          <w:i/>
        </w:rPr>
        <w:t xml:space="preserve"> Journal </w:t>
      </w:r>
      <w:r w:rsidRPr="0030196E">
        <w:rPr>
          <w:b/>
          <w:bCs/>
        </w:rPr>
        <w:t xml:space="preserve">2021, </w:t>
      </w:r>
      <w:r w:rsidRPr="002206E4">
        <w:rPr>
          <w:bCs/>
          <w:i/>
        </w:rPr>
        <w:t>164</w:t>
      </w:r>
      <w:r w:rsidRPr="0030196E">
        <w:rPr>
          <w:bCs/>
        </w:rPr>
        <w:t>, 106020-106025</w:t>
      </w:r>
      <w:r w:rsidR="002206E4">
        <w:rPr>
          <w:bCs/>
        </w:rPr>
        <w:t>;</w:t>
      </w:r>
      <w:r w:rsidRPr="0030196E">
        <w:rPr>
          <w:bCs/>
        </w:rPr>
        <w:t xml:space="preserve"> </w:t>
      </w:r>
      <w:r w:rsidRPr="00AC7A35">
        <w:rPr>
          <w:b/>
          <w:bCs/>
        </w:rPr>
        <w:t>DO</w:t>
      </w:r>
      <w:r w:rsidR="00AC7A35" w:rsidRPr="00AC7A35">
        <w:rPr>
          <w:b/>
          <w:bCs/>
        </w:rPr>
        <w:t>I:</w:t>
      </w:r>
      <w:r w:rsidR="00AC7A35">
        <w:rPr>
          <w:bCs/>
        </w:rPr>
        <w:t>10.1016/j.microc.2021.106020</w:t>
      </w:r>
    </w:p>
    <w:p w:rsidR="006A61B5" w:rsidRPr="0030196E" w:rsidRDefault="006A61B5" w:rsidP="00666724">
      <w:pPr>
        <w:numPr>
          <w:ilvl w:val="0"/>
          <w:numId w:val="38"/>
        </w:numPr>
        <w:spacing w:line="360" w:lineRule="auto"/>
        <w:jc w:val="both"/>
        <w:rPr>
          <w:b/>
          <w:bCs/>
        </w:rPr>
      </w:pPr>
      <w:r w:rsidRPr="0030196E">
        <w:t xml:space="preserve">O. </w:t>
      </w:r>
      <w:proofErr w:type="spellStart"/>
      <w:r w:rsidRPr="0030196E">
        <w:t>Arjmand</w:t>
      </w:r>
      <w:proofErr w:type="spellEnd"/>
      <w:r w:rsidRPr="0030196E">
        <w:t xml:space="preserve">, M. </w:t>
      </w:r>
      <w:proofErr w:type="spellStart"/>
      <w:r w:rsidRPr="0030196E">
        <w:t>Ardjmand</w:t>
      </w:r>
      <w:proofErr w:type="spellEnd"/>
      <w:r w:rsidRPr="0030196E">
        <w:t>, A.</w:t>
      </w:r>
      <w:r w:rsidR="00015B70">
        <w:t xml:space="preserve"> </w:t>
      </w:r>
      <w:r w:rsidRPr="0030196E">
        <w:t>M. Amani, M.</w:t>
      </w:r>
      <w:r w:rsidR="00015B70">
        <w:t xml:space="preserve"> </w:t>
      </w:r>
      <w:r w:rsidRPr="0030196E">
        <w:t xml:space="preserve">H. </w:t>
      </w:r>
      <w:proofErr w:type="spellStart"/>
      <w:r w:rsidRPr="0030196E">
        <w:t>Eikani</w:t>
      </w:r>
      <w:proofErr w:type="spellEnd"/>
      <w:r w:rsidRPr="0030196E">
        <w:t xml:space="preserve">, </w:t>
      </w:r>
      <w:proofErr w:type="spellStart"/>
      <w:r w:rsidRPr="0030196E">
        <w:rPr>
          <w:i/>
        </w:rPr>
        <w:t>Acta</w:t>
      </w:r>
      <w:proofErr w:type="spellEnd"/>
      <w:r w:rsidRPr="0030196E">
        <w:rPr>
          <w:i/>
        </w:rPr>
        <w:t xml:space="preserve"> </w:t>
      </w:r>
      <w:proofErr w:type="spellStart"/>
      <w:r w:rsidRPr="0030196E">
        <w:rPr>
          <w:i/>
        </w:rPr>
        <w:t>Chim</w:t>
      </w:r>
      <w:proofErr w:type="spellEnd"/>
      <w:r w:rsidRPr="0030196E">
        <w:rPr>
          <w:i/>
        </w:rPr>
        <w:t xml:space="preserve">. </w:t>
      </w:r>
      <w:proofErr w:type="spellStart"/>
      <w:r w:rsidRPr="0030196E">
        <w:rPr>
          <w:i/>
        </w:rPr>
        <w:t>Slov</w:t>
      </w:r>
      <w:proofErr w:type="spellEnd"/>
      <w:r w:rsidRPr="0030196E">
        <w:rPr>
          <w:i/>
        </w:rPr>
        <w:t>.</w:t>
      </w:r>
      <w:r w:rsidRPr="0030196E">
        <w:t xml:space="preserve"> </w:t>
      </w:r>
      <w:r w:rsidRPr="0030196E">
        <w:rPr>
          <w:b/>
        </w:rPr>
        <w:t>2020</w:t>
      </w:r>
      <w:r w:rsidRPr="0030196E">
        <w:t xml:space="preserve">, </w:t>
      </w:r>
      <w:r w:rsidRPr="00AC7A35">
        <w:rPr>
          <w:i/>
        </w:rPr>
        <w:t>67,</w:t>
      </w:r>
      <w:r w:rsidR="00AC7A35">
        <w:t xml:space="preserve"> 496–506;</w:t>
      </w:r>
      <w:r w:rsidRPr="0030196E">
        <w:t xml:space="preserve"> </w:t>
      </w:r>
      <w:r w:rsidRPr="0030196E">
        <w:rPr>
          <w:b/>
        </w:rPr>
        <w:t>DOI:</w:t>
      </w:r>
      <w:r w:rsidR="00AC7A35">
        <w:t>10.17344/acsi.2019.5513</w:t>
      </w:r>
    </w:p>
    <w:p w:rsidR="00EF6759" w:rsidRPr="0030196E" w:rsidRDefault="00EF6759" w:rsidP="00EF6759">
      <w:pPr>
        <w:numPr>
          <w:ilvl w:val="0"/>
          <w:numId w:val="38"/>
        </w:numPr>
        <w:spacing w:line="360" w:lineRule="auto"/>
        <w:jc w:val="both"/>
        <w:rPr>
          <w:b/>
          <w:bCs/>
        </w:rPr>
      </w:pPr>
      <w:r w:rsidRPr="0030196E">
        <w:t xml:space="preserve">V. </w:t>
      </w:r>
      <w:proofErr w:type="spellStart"/>
      <w:r w:rsidRPr="0030196E">
        <w:t>Vukojevića</w:t>
      </w:r>
      <w:proofErr w:type="spellEnd"/>
      <w:r w:rsidRPr="0030196E">
        <w:t xml:space="preserve">, S. </w:t>
      </w:r>
      <w:proofErr w:type="spellStart"/>
      <w:r w:rsidRPr="0030196E">
        <w:t>Djurdjića</w:t>
      </w:r>
      <w:proofErr w:type="spellEnd"/>
      <w:r w:rsidRPr="0030196E">
        <w:t xml:space="preserve">, M. </w:t>
      </w:r>
      <w:proofErr w:type="spellStart"/>
      <w:r w:rsidRPr="0030196E">
        <w:t>Ognjanović</w:t>
      </w:r>
      <w:proofErr w:type="spellEnd"/>
      <w:r w:rsidRPr="0030196E">
        <w:t xml:space="preserve">, M. </w:t>
      </w:r>
      <w:proofErr w:type="spellStart"/>
      <w:r w:rsidRPr="0030196E">
        <w:t>Fabiánb</w:t>
      </w:r>
      <w:proofErr w:type="spellEnd"/>
      <w:r w:rsidRPr="0030196E">
        <w:t xml:space="preserve">, A. </w:t>
      </w:r>
      <w:proofErr w:type="spellStart"/>
      <w:r w:rsidRPr="0030196E">
        <w:t>Samphaod</w:t>
      </w:r>
      <w:proofErr w:type="spellEnd"/>
      <w:r w:rsidRPr="0030196E">
        <w:t xml:space="preserve">, K. </w:t>
      </w:r>
      <w:proofErr w:type="spellStart"/>
      <w:r w:rsidRPr="0030196E">
        <w:t>Kalchere</w:t>
      </w:r>
      <w:proofErr w:type="spellEnd"/>
      <w:r w:rsidRPr="0030196E">
        <w:t>, D.</w:t>
      </w:r>
      <w:r w:rsidR="00015B70">
        <w:t xml:space="preserve"> </w:t>
      </w:r>
      <w:r w:rsidRPr="0030196E">
        <w:t xml:space="preserve">M. </w:t>
      </w:r>
      <w:proofErr w:type="spellStart"/>
      <w:r w:rsidRPr="0030196E">
        <w:t>Stanković</w:t>
      </w:r>
      <w:proofErr w:type="spellEnd"/>
      <w:r w:rsidRPr="0030196E">
        <w:t xml:space="preserve">, </w:t>
      </w:r>
      <w:r w:rsidRPr="0030196E">
        <w:rPr>
          <w:i/>
        </w:rPr>
        <w:t>Journal of Electroanalytical Chemistry</w:t>
      </w:r>
      <w:r w:rsidRPr="0030196E">
        <w:t xml:space="preserve"> </w:t>
      </w:r>
      <w:r w:rsidRPr="0030196E">
        <w:rPr>
          <w:b/>
        </w:rPr>
        <w:t xml:space="preserve">2018, </w:t>
      </w:r>
      <w:r w:rsidRPr="00AC7A35">
        <w:rPr>
          <w:i/>
        </w:rPr>
        <w:t>823</w:t>
      </w:r>
      <w:r w:rsidR="00AC7A35">
        <w:t>, 610–616;</w:t>
      </w:r>
      <w:r w:rsidRPr="0030196E">
        <w:t xml:space="preserve"> </w:t>
      </w:r>
      <w:proofErr w:type="gramStart"/>
      <w:r w:rsidRPr="0030196E">
        <w:rPr>
          <w:b/>
        </w:rPr>
        <w:t>DOI:</w:t>
      </w:r>
      <w:r w:rsidRPr="0030196E">
        <w:t>10.1016/j.jelechem</w:t>
      </w:r>
      <w:proofErr w:type="gramEnd"/>
      <w:r w:rsidRPr="0030196E">
        <w:t>.2018.07.013</w:t>
      </w:r>
    </w:p>
    <w:p w:rsidR="004A0F77" w:rsidRPr="0030196E" w:rsidRDefault="004A0F77" w:rsidP="00666724">
      <w:pPr>
        <w:numPr>
          <w:ilvl w:val="0"/>
          <w:numId w:val="38"/>
        </w:numPr>
        <w:spacing w:line="360" w:lineRule="auto"/>
        <w:jc w:val="both"/>
        <w:rPr>
          <w:b/>
          <w:bCs/>
        </w:rPr>
      </w:pPr>
      <w:r w:rsidRPr="0030196E">
        <w:t>P.</w:t>
      </w:r>
      <w:r w:rsidR="00015B70">
        <w:t xml:space="preserve"> </w:t>
      </w:r>
      <w:r w:rsidRPr="0030196E">
        <w:t xml:space="preserve">K. </w:t>
      </w:r>
      <w:proofErr w:type="spellStart"/>
      <w:r w:rsidRPr="0030196E">
        <w:t>Kalambate</w:t>
      </w:r>
      <w:proofErr w:type="spellEnd"/>
      <w:r w:rsidRPr="0030196E">
        <w:t>, B.</w:t>
      </w:r>
      <w:r w:rsidR="00015B70">
        <w:t xml:space="preserve"> </w:t>
      </w:r>
      <w:r w:rsidRPr="0030196E">
        <w:t xml:space="preserve">J. </w:t>
      </w:r>
      <w:proofErr w:type="spellStart"/>
      <w:r w:rsidRPr="0030196E">
        <w:t>Sanghavi</w:t>
      </w:r>
      <w:proofErr w:type="spellEnd"/>
      <w:r w:rsidRPr="0030196E">
        <w:t>, S.</w:t>
      </w:r>
      <w:r w:rsidR="00015B70">
        <w:t xml:space="preserve"> </w:t>
      </w:r>
      <w:r w:rsidRPr="0030196E">
        <w:t>P. Karna, A.</w:t>
      </w:r>
      <w:r w:rsidR="00015B70">
        <w:t xml:space="preserve"> </w:t>
      </w:r>
      <w:r w:rsidRPr="0030196E">
        <w:t xml:space="preserve">K. Srivastava, </w:t>
      </w:r>
      <w:r w:rsidRPr="0030196E">
        <w:rPr>
          <w:i/>
          <w:iCs/>
        </w:rPr>
        <w:t xml:space="preserve">Sens. Actuators B </w:t>
      </w:r>
      <w:r w:rsidRPr="0030196E">
        <w:rPr>
          <w:b/>
        </w:rPr>
        <w:t>2015,</w:t>
      </w:r>
      <w:r w:rsidRPr="0030196E">
        <w:t xml:space="preserve"> </w:t>
      </w:r>
      <w:r w:rsidRPr="00AC7A35">
        <w:rPr>
          <w:i/>
        </w:rPr>
        <w:t>213</w:t>
      </w:r>
      <w:r w:rsidRPr="0030196E">
        <w:t>, 285–294</w:t>
      </w:r>
      <w:r w:rsidR="00AC7A35">
        <w:t>;</w:t>
      </w:r>
      <w:r w:rsidRPr="0030196E">
        <w:t xml:space="preserve"> </w:t>
      </w:r>
      <w:hyperlink r:id="rId24" w:tgtFrame="_blank" w:tooltip="Persistent link using digital object identifier" w:history="1">
        <w:r w:rsidRPr="0030196E">
          <w:rPr>
            <w:rStyle w:val="Kpr"/>
            <w:b/>
            <w:color w:val="auto"/>
            <w:u w:val="none"/>
          </w:rPr>
          <w:t>DOI:</w:t>
        </w:r>
        <w:r w:rsidRPr="0030196E">
          <w:rPr>
            <w:rStyle w:val="Kpr"/>
            <w:color w:val="auto"/>
            <w:u w:val="none"/>
          </w:rPr>
          <w:t>10.1016/j.snb.2015.02.090</w:t>
        </w:r>
      </w:hyperlink>
    </w:p>
    <w:p w:rsidR="004A0F77" w:rsidRPr="0030196E" w:rsidRDefault="004A0F77" w:rsidP="00666724">
      <w:pPr>
        <w:numPr>
          <w:ilvl w:val="0"/>
          <w:numId w:val="38"/>
        </w:numPr>
        <w:spacing w:line="360" w:lineRule="auto"/>
        <w:jc w:val="both"/>
        <w:rPr>
          <w:b/>
          <w:bCs/>
        </w:rPr>
      </w:pPr>
      <w:r w:rsidRPr="0030196E">
        <w:t xml:space="preserve">X. Ye, Y. Du, D. Lu, C. Wang, </w:t>
      </w:r>
      <w:r w:rsidRPr="0030196E">
        <w:rPr>
          <w:i/>
          <w:iCs/>
        </w:rPr>
        <w:t xml:space="preserve">Anal. </w:t>
      </w:r>
      <w:proofErr w:type="spellStart"/>
      <w:r w:rsidRPr="0030196E">
        <w:rPr>
          <w:i/>
          <w:iCs/>
        </w:rPr>
        <w:t>Chim</w:t>
      </w:r>
      <w:proofErr w:type="spellEnd"/>
      <w:r w:rsidRPr="0030196E">
        <w:rPr>
          <w:i/>
          <w:iCs/>
        </w:rPr>
        <w:t xml:space="preserve">. </w:t>
      </w:r>
      <w:proofErr w:type="spellStart"/>
      <w:r w:rsidRPr="0030196E">
        <w:rPr>
          <w:i/>
          <w:iCs/>
        </w:rPr>
        <w:t>Acta</w:t>
      </w:r>
      <w:proofErr w:type="spellEnd"/>
      <w:r w:rsidRPr="0030196E">
        <w:t xml:space="preserve"> </w:t>
      </w:r>
      <w:r w:rsidRPr="0030196E">
        <w:rPr>
          <w:b/>
        </w:rPr>
        <w:t xml:space="preserve">2013, </w:t>
      </w:r>
      <w:r w:rsidRPr="00AC7A35">
        <w:rPr>
          <w:i/>
        </w:rPr>
        <w:t>779</w:t>
      </w:r>
      <w:r w:rsidRPr="0030196E">
        <w:t>, 22–34</w:t>
      </w:r>
      <w:r w:rsidR="00AC7A35">
        <w:t>;</w:t>
      </w:r>
      <w:r w:rsidRPr="0030196E">
        <w:t xml:space="preserve"> </w:t>
      </w:r>
      <w:r w:rsidRPr="0030196E">
        <w:rPr>
          <w:b/>
        </w:rPr>
        <w:t>DOI:</w:t>
      </w:r>
      <w:hyperlink r:id="rId25" w:history="1">
        <w:r w:rsidRPr="0030196E">
          <w:rPr>
            <w:rStyle w:val="Kpr"/>
            <w:color w:val="auto"/>
            <w:u w:val="none"/>
          </w:rPr>
          <w:t>10.1016/j.aca.2013.03.061</w:t>
        </w:r>
      </w:hyperlink>
    </w:p>
    <w:p w:rsidR="004A0F77" w:rsidRPr="0030196E" w:rsidRDefault="004A0F77" w:rsidP="00666724">
      <w:pPr>
        <w:numPr>
          <w:ilvl w:val="0"/>
          <w:numId w:val="38"/>
        </w:numPr>
        <w:spacing w:line="360" w:lineRule="auto"/>
        <w:jc w:val="both"/>
        <w:rPr>
          <w:b/>
          <w:bCs/>
        </w:rPr>
      </w:pPr>
      <w:r w:rsidRPr="0030196E">
        <w:t xml:space="preserve">R. </w:t>
      </w:r>
      <w:proofErr w:type="spellStart"/>
      <w:r w:rsidRPr="0030196E">
        <w:t>Sengupta</w:t>
      </w:r>
      <w:proofErr w:type="spellEnd"/>
      <w:r w:rsidRPr="0030196E">
        <w:t xml:space="preserve">, M. Bhattacharya, S. </w:t>
      </w:r>
      <w:proofErr w:type="spellStart"/>
      <w:r w:rsidRPr="0030196E">
        <w:t>Bandyopadhyay</w:t>
      </w:r>
      <w:proofErr w:type="spellEnd"/>
      <w:r w:rsidRPr="0030196E">
        <w:t>, A.</w:t>
      </w:r>
      <w:r w:rsidR="00015B70">
        <w:t xml:space="preserve"> </w:t>
      </w:r>
      <w:r w:rsidRPr="0030196E">
        <w:t xml:space="preserve">K. </w:t>
      </w:r>
      <w:proofErr w:type="spellStart"/>
      <w:r w:rsidRPr="0030196E">
        <w:t>Bhowmick</w:t>
      </w:r>
      <w:proofErr w:type="spellEnd"/>
      <w:r w:rsidRPr="0030196E">
        <w:t xml:space="preserve">, </w:t>
      </w:r>
      <w:proofErr w:type="spellStart"/>
      <w:r w:rsidRPr="0030196E">
        <w:rPr>
          <w:i/>
          <w:iCs/>
        </w:rPr>
        <w:t>Prog</w:t>
      </w:r>
      <w:proofErr w:type="spellEnd"/>
      <w:r w:rsidRPr="0030196E">
        <w:rPr>
          <w:i/>
          <w:iCs/>
        </w:rPr>
        <w:t xml:space="preserve">. </w:t>
      </w:r>
      <w:proofErr w:type="spellStart"/>
      <w:r w:rsidRPr="0030196E">
        <w:rPr>
          <w:i/>
          <w:iCs/>
        </w:rPr>
        <w:t>Polym</w:t>
      </w:r>
      <w:proofErr w:type="spellEnd"/>
      <w:r w:rsidRPr="0030196E">
        <w:rPr>
          <w:i/>
          <w:iCs/>
        </w:rPr>
        <w:t>. Sci.</w:t>
      </w:r>
      <w:r w:rsidRPr="0030196E">
        <w:t xml:space="preserve"> </w:t>
      </w:r>
      <w:r w:rsidRPr="0030196E">
        <w:rPr>
          <w:b/>
        </w:rPr>
        <w:t>2011,</w:t>
      </w:r>
      <w:r w:rsidRPr="0030196E">
        <w:rPr>
          <w:b/>
          <w:bCs/>
        </w:rPr>
        <w:t xml:space="preserve"> </w:t>
      </w:r>
      <w:r w:rsidRPr="00AC7A35">
        <w:rPr>
          <w:i/>
          <w:iCs/>
        </w:rPr>
        <w:t>36</w:t>
      </w:r>
      <w:r w:rsidRPr="00AC7A35">
        <w:rPr>
          <w:i/>
        </w:rPr>
        <w:t>(5)</w:t>
      </w:r>
      <w:r w:rsidR="00AC7A35">
        <w:t>, 638–670;</w:t>
      </w:r>
      <w:r w:rsidRPr="0030196E">
        <w:t xml:space="preserve"> </w:t>
      </w:r>
      <w:hyperlink r:id="rId26" w:tgtFrame="_blank" w:tooltip="Persistent link using digital object identifier" w:history="1">
        <w:r w:rsidRPr="0030196E">
          <w:rPr>
            <w:rStyle w:val="Kpr"/>
            <w:b/>
            <w:color w:val="auto"/>
            <w:u w:val="none"/>
          </w:rPr>
          <w:t>DOI:</w:t>
        </w:r>
        <w:r w:rsidR="00AC7A35">
          <w:rPr>
            <w:rStyle w:val="Kpr"/>
            <w:b/>
            <w:color w:val="auto"/>
            <w:u w:val="none"/>
          </w:rPr>
          <w:t>1</w:t>
        </w:r>
        <w:r w:rsidRPr="0030196E">
          <w:rPr>
            <w:rStyle w:val="Kpr"/>
            <w:color w:val="auto"/>
            <w:u w:val="none"/>
          </w:rPr>
          <w:t>0.1016/j.progpolymsci.2010.11.003</w:t>
        </w:r>
      </w:hyperlink>
    </w:p>
    <w:p w:rsidR="005B2E9C" w:rsidRPr="0030196E" w:rsidRDefault="005B2E9C" w:rsidP="00A66456">
      <w:pPr>
        <w:numPr>
          <w:ilvl w:val="0"/>
          <w:numId w:val="38"/>
        </w:numPr>
        <w:spacing w:line="360" w:lineRule="auto"/>
        <w:jc w:val="both"/>
        <w:rPr>
          <w:b/>
          <w:bCs/>
        </w:rPr>
      </w:pPr>
      <w:r w:rsidRPr="0030196E">
        <w:t xml:space="preserve">V. </w:t>
      </w:r>
      <w:proofErr w:type="spellStart"/>
      <w:r w:rsidRPr="0030196E">
        <w:t>Stanković</w:t>
      </w:r>
      <w:proofErr w:type="spellEnd"/>
      <w:r w:rsidRPr="0030196E">
        <w:t xml:space="preserve">, S. </w:t>
      </w:r>
      <w:proofErr w:type="spellStart"/>
      <w:r w:rsidRPr="0030196E">
        <w:t>Đurđić</w:t>
      </w:r>
      <w:proofErr w:type="spellEnd"/>
      <w:r w:rsidRPr="0030196E">
        <w:t xml:space="preserve">, M. </w:t>
      </w:r>
      <w:proofErr w:type="spellStart"/>
      <w:r w:rsidRPr="0030196E">
        <w:t>Ognjanović</w:t>
      </w:r>
      <w:proofErr w:type="spellEnd"/>
      <w:r w:rsidRPr="0030196E">
        <w:t xml:space="preserve">, J. </w:t>
      </w:r>
      <w:proofErr w:type="spellStart"/>
      <w:r w:rsidRPr="0030196E">
        <w:t>Mutić</w:t>
      </w:r>
      <w:proofErr w:type="spellEnd"/>
      <w:r w:rsidRPr="0030196E">
        <w:t xml:space="preserve">, K. </w:t>
      </w:r>
      <w:proofErr w:type="spellStart"/>
      <w:r w:rsidRPr="0030196E">
        <w:t>Kalcher</w:t>
      </w:r>
      <w:proofErr w:type="spellEnd"/>
      <w:r w:rsidRPr="0030196E">
        <w:t>, D</w:t>
      </w:r>
      <w:r w:rsidR="00A66456" w:rsidRPr="0030196E">
        <w:t>.</w:t>
      </w:r>
      <w:r w:rsidR="00015B70">
        <w:t xml:space="preserve"> </w:t>
      </w:r>
      <w:r w:rsidRPr="0030196E">
        <w:t xml:space="preserve">M. </w:t>
      </w:r>
      <w:proofErr w:type="spellStart"/>
      <w:r w:rsidRPr="0030196E">
        <w:t>Stanković</w:t>
      </w:r>
      <w:proofErr w:type="spellEnd"/>
      <w:r w:rsidR="00A66456" w:rsidRPr="0030196E">
        <w:t xml:space="preserve">, </w:t>
      </w:r>
      <w:r w:rsidR="00A66456" w:rsidRPr="0030196E">
        <w:rPr>
          <w:i/>
        </w:rPr>
        <w:t xml:space="preserve">Journal of Electroanalytical Chemistry </w:t>
      </w:r>
      <w:r w:rsidR="00A66456" w:rsidRPr="0030196E">
        <w:rPr>
          <w:b/>
        </w:rPr>
        <w:t xml:space="preserve">2020, </w:t>
      </w:r>
      <w:r w:rsidR="00A66456" w:rsidRPr="00AC7A35">
        <w:rPr>
          <w:i/>
        </w:rPr>
        <w:t>876</w:t>
      </w:r>
      <w:r w:rsidR="00A66456" w:rsidRPr="00AC7A35">
        <w:t>,</w:t>
      </w:r>
      <w:r w:rsidR="00A66456" w:rsidRPr="0030196E">
        <w:t xml:space="preserve"> 114487-114493</w:t>
      </w:r>
      <w:r w:rsidR="00AC7A35">
        <w:t>;</w:t>
      </w:r>
      <w:r w:rsidR="00A66456" w:rsidRPr="0030196E">
        <w:t xml:space="preserve"> </w:t>
      </w:r>
      <w:proofErr w:type="gramStart"/>
      <w:r w:rsidR="00A66456" w:rsidRPr="00AC7A35">
        <w:rPr>
          <w:b/>
        </w:rPr>
        <w:t>DOI:</w:t>
      </w:r>
      <w:r w:rsidR="00AC7A35">
        <w:t>10.1016/j.jelechem</w:t>
      </w:r>
      <w:proofErr w:type="gramEnd"/>
      <w:r w:rsidR="00AC7A35">
        <w:t>.2020.114487</w:t>
      </w:r>
    </w:p>
    <w:p w:rsidR="00280F2F" w:rsidRPr="0030196E" w:rsidRDefault="00280F2F" w:rsidP="00280F2F">
      <w:pPr>
        <w:numPr>
          <w:ilvl w:val="0"/>
          <w:numId w:val="38"/>
        </w:numPr>
        <w:spacing w:line="360" w:lineRule="auto"/>
        <w:jc w:val="both"/>
        <w:rPr>
          <w:b/>
          <w:bCs/>
        </w:rPr>
      </w:pPr>
      <w:r w:rsidRPr="0030196E">
        <w:t>A.</w:t>
      </w:r>
      <w:r w:rsidR="00015B70">
        <w:t xml:space="preserve"> </w:t>
      </w:r>
      <w:r w:rsidRPr="0030196E">
        <w:t>M. Mahmoud, M.</w:t>
      </w:r>
      <w:r w:rsidR="00015B70">
        <w:t xml:space="preserve"> </w:t>
      </w:r>
      <w:r w:rsidRPr="0030196E">
        <w:t>M. El-</w:t>
      </w:r>
      <w:proofErr w:type="spellStart"/>
      <w:r w:rsidRPr="0030196E">
        <w:t>Wekil</w:t>
      </w:r>
      <w:proofErr w:type="spellEnd"/>
      <w:r w:rsidRPr="0030196E">
        <w:t xml:space="preserve">, M. H. </w:t>
      </w:r>
      <w:proofErr w:type="spellStart"/>
      <w:r w:rsidRPr="0030196E">
        <w:t>Mahnashi</w:t>
      </w:r>
      <w:proofErr w:type="spellEnd"/>
      <w:r w:rsidRPr="0030196E">
        <w:t>, M.</w:t>
      </w:r>
      <w:r w:rsidR="00015B70">
        <w:t xml:space="preserve"> </w:t>
      </w:r>
      <w:r w:rsidRPr="0030196E">
        <w:t>F.</w:t>
      </w:r>
      <w:r w:rsidR="00015B70">
        <w:t xml:space="preserve"> </w:t>
      </w:r>
      <w:r w:rsidRPr="0030196E">
        <w:t>B. Ali, S.</w:t>
      </w:r>
      <w:r w:rsidR="00015B70">
        <w:t xml:space="preserve"> </w:t>
      </w:r>
      <w:r w:rsidRPr="0030196E">
        <w:t xml:space="preserve">A. </w:t>
      </w:r>
      <w:proofErr w:type="spellStart"/>
      <w:r w:rsidRPr="0030196E">
        <w:t>Alkahtani</w:t>
      </w:r>
      <w:proofErr w:type="spellEnd"/>
      <w:r w:rsidRPr="0030196E">
        <w:t xml:space="preserve">, </w:t>
      </w:r>
      <w:proofErr w:type="spellStart"/>
      <w:r w:rsidRPr="0030196E">
        <w:rPr>
          <w:i/>
        </w:rPr>
        <w:t>Microchimica</w:t>
      </w:r>
      <w:proofErr w:type="spellEnd"/>
      <w:r w:rsidRPr="0030196E">
        <w:rPr>
          <w:i/>
        </w:rPr>
        <w:t xml:space="preserve"> </w:t>
      </w:r>
      <w:proofErr w:type="spellStart"/>
      <w:r w:rsidRPr="0030196E">
        <w:rPr>
          <w:i/>
        </w:rPr>
        <w:t>Acta</w:t>
      </w:r>
      <w:proofErr w:type="spellEnd"/>
      <w:r w:rsidRPr="0030196E">
        <w:t xml:space="preserve"> </w:t>
      </w:r>
      <w:r w:rsidRPr="0030196E">
        <w:rPr>
          <w:b/>
        </w:rPr>
        <w:t>2019</w:t>
      </w:r>
      <w:r w:rsidRPr="0030196E">
        <w:t xml:space="preserve">, </w:t>
      </w:r>
      <w:r w:rsidRPr="00AC7A35">
        <w:rPr>
          <w:i/>
        </w:rPr>
        <w:t>186</w:t>
      </w:r>
      <w:r w:rsidRPr="0030196E">
        <w:t>, 617-624</w:t>
      </w:r>
      <w:r w:rsidR="00AC7A35">
        <w:t xml:space="preserve">; </w:t>
      </w:r>
      <w:r w:rsidR="00AC7A35" w:rsidRPr="00AC7A35">
        <w:rPr>
          <w:b/>
        </w:rPr>
        <w:t>DOI:</w:t>
      </w:r>
      <w:r w:rsidR="00AC7A35">
        <w:t>10.1007/s00604-019-3647-7</w:t>
      </w:r>
    </w:p>
    <w:p w:rsidR="00BC4967" w:rsidRPr="0030196E" w:rsidRDefault="00BC4967" w:rsidP="00BC4967">
      <w:pPr>
        <w:numPr>
          <w:ilvl w:val="0"/>
          <w:numId w:val="38"/>
        </w:numPr>
        <w:spacing w:line="360" w:lineRule="auto"/>
        <w:jc w:val="both"/>
        <w:rPr>
          <w:b/>
          <w:bCs/>
        </w:rPr>
      </w:pPr>
      <w:r w:rsidRPr="0030196E">
        <w:t>M.</w:t>
      </w:r>
      <w:r w:rsidR="00015B70">
        <w:t xml:space="preserve"> </w:t>
      </w:r>
      <w:r w:rsidRPr="0030196E">
        <w:t>K. Gupta, P.</w:t>
      </w:r>
      <w:r w:rsidR="00015B70">
        <w:t xml:space="preserve"> </w:t>
      </w:r>
      <w:r w:rsidRPr="0030196E">
        <w:t xml:space="preserve">K. </w:t>
      </w:r>
      <w:proofErr w:type="spellStart"/>
      <w:r w:rsidRPr="0030196E">
        <w:t>Tandon</w:t>
      </w:r>
      <w:proofErr w:type="spellEnd"/>
      <w:r w:rsidRPr="0030196E">
        <w:t xml:space="preserve">, M. </w:t>
      </w:r>
      <w:proofErr w:type="spellStart"/>
      <w:r w:rsidRPr="0030196E">
        <w:t>Afroz</w:t>
      </w:r>
      <w:proofErr w:type="spellEnd"/>
      <w:r w:rsidRPr="0030196E">
        <w:t xml:space="preserve">, S. </w:t>
      </w:r>
      <w:proofErr w:type="spellStart"/>
      <w:r w:rsidRPr="0030196E">
        <w:t>Agrahari</w:t>
      </w:r>
      <w:proofErr w:type="spellEnd"/>
      <w:r w:rsidRPr="0030196E">
        <w:t xml:space="preserve">, </w:t>
      </w:r>
      <w:proofErr w:type="spellStart"/>
      <w:r w:rsidRPr="0030196E">
        <w:rPr>
          <w:i/>
        </w:rPr>
        <w:t>Acta</w:t>
      </w:r>
      <w:proofErr w:type="spellEnd"/>
      <w:r w:rsidRPr="0030196E">
        <w:rPr>
          <w:i/>
        </w:rPr>
        <w:t xml:space="preserve"> </w:t>
      </w:r>
      <w:proofErr w:type="spellStart"/>
      <w:r w:rsidRPr="0030196E">
        <w:rPr>
          <w:i/>
        </w:rPr>
        <w:t>Chim</w:t>
      </w:r>
      <w:proofErr w:type="spellEnd"/>
      <w:r w:rsidRPr="0030196E">
        <w:rPr>
          <w:i/>
        </w:rPr>
        <w:t xml:space="preserve">. </w:t>
      </w:r>
      <w:proofErr w:type="spellStart"/>
      <w:r w:rsidRPr="0030196E">
        <w:rPr>
          <w:i/>
        </w:rPr>
        <w:t>Slov</w:t>
      </w:r>
      <w:proofErr w:type="spellEnd"/>
      <w:r w:rsidRPr="0030196E">
        <w:rPr>
          <w:i/>
        </w:rPr>
        <w:t>.</w:t>
      </w:r>
      <w:r w:rsidRPr="0030196E">
        <w:t xml:space="preserve"> </w:t>
      </w:r>
      <w:r w:rsidRPr="0030196E">
        <w:rPr>
          <w:b/>
        </w:rPr>
        <w:t>2021</w:t>
      </w:r>
      <w:r w:rsidRPr="0030196E">
        <w:t xml:space="preserve">, </w:t>
      </w:r>
      <w:r w:rsidRPr="00AC7A35">
        <w:rPr>
          <w:i/>
        </w:rPr>
        <w:t>68</w:t>
      </w:r>
      <w:r w:rsidR="00AC7A35">
        <w:t>, 617–628;</w:t>
      </w:r>
      <w:r w:rsidRPr="0030196E">
        <w:t xml:space="preserve"> </w:t>
      </w:r>
      <w:r w:rsidRPr="0030196E">
        <w:rPr>
          <w:b/>
        </w:rPr>
        <w:t>DOI:</w:t>
      </w:r>
      <w:r w:rsidR="00AC7A35">
        <w:t>10.17344/acsi.2020.6547</w:t>
      </w:r>
    </w:p>
    <w:p w:rsidR="003A20A1" w:rsidRPr="0030196E" w:rsidRDefault="003A20A1" w:rsidP="003A20A1">
      <w:pPr>
        <w:numPr>
          <w:ilvl w:val="0"/>
          <w:numId w:val="38"/>
        </w:numPr>
        <w:spacing w:line="360" w:lineRule="auto"/>
        <w:jc w:val="both"/>
        <w:rPr>
          <w:b/>
          <w:bCs/>
        </w:rPr>
      </w:pPr>
      <w:r w:rsidRPr="0030196E">
        <w:t xml:space="preserve">V. </w:t>
      </w:r>
      <w:proofErr w:type="spellStart"/>
      <w:r w:rsidRPr="0030196E">
        <w:t>Yusa</w:t>
      </w:r>
      <w:proofErr w:type="spellEnd"/>
      <w:r w:rsidRPr="0030196E">
        <w:t xml:space="preserve">, M. Millet, C. </w:t>
      </w:r>
      <w:proofErr w:type="spellStart"/>
      <w:r w:rsidRPr="0030196E">
        <w:t>Coscolla</w:t>
      </w:r>
      <w:proofErr w:type="spellEnd"/>
      <w:r w:rsidRPr="0030196E">
        <w:t xml:space="preserve">, M. Roca, </w:t>
      </w:r>
      <w:proofErr w:type="spellStart"/>
      <w:r w:rsidRPr="0030196E">
        <w:rPr>
          <w:i/>
        </w:rPr>
        <w:t>Analytica</w:t>
      </w:r>
      <w:proofErr w:type="spellEnd"/>
      <w:r w:rsidRPr="0030196E">
        <w:rPr>
          <w:i/>
        </w:rPr>
        <w:t xml:space="preserve"> </w:t>
      </w:r>
      <w:proofErr w:type="spellStart"/>
      <w:r w:rsidRPr="0030196E">
        <w:rPr>
          <w:i/>
        </w:rPr>
        <w:t>Chimica</w:t>
      </w:r>
      <w:proofErr w:type="spellEnd"/>
      <w:r w:rsidRPr="0030196E">
        <w:rPr>
          <w:i/>
        </w:rPr>
        <w:t xml:space="preserve"> </w:t>
      </w:r>
      <w:proofErr w:type="spellStart"/>
      <w:r w:rsidRPr="0030196E">
        <w:rPr>
          <w:i/>
        </w:rPr>
        <w:t>Acta</w:t>
      </w:r>
      <w:proofErr w:type="spellEnd"/>
      <w:r w:rsidRPr="0030196E">
        <w:t xml:space="preserve"> </w:t>
      </w:r>
      <w:r w:rsidRPr="0030196E">
        <w:rPr>
          <w:b/>
        </w:rPr>
        <w:t xml:space="preserve">2015, </w:t>
      </w:r>
      <w:r w:rsidRPr="00AC7A35">
        <w:rPr>
          <w:i/>
        </w:rPr>
        <w:t>891</w:t>
      </w:r>
      <w:r w:rsidRPr="0030196E">
        <w:t>, 15-31</w:t>
      </w:r>
      <w:r w:rsidR="00AC7A35">
        <w:t xml:space="preserve">; </w:t>
      </w:r>
      <w:proofErr w:type="gramStart"/>
      <w:r w:rsidR="00AC7A35" w:rsidRPr="00AC7A35">
        <w:rPr>
          <w:b/>
        </w:rPr>
        <w:t>DOI:</w:t>
      </w:r>
      <w:r w:rsidR="00AC7A35">
        <w:t>10.1016/j.aca</w:t>
      </w:r>
      <w:proofErr w:type="gramEnd"/>
      <w:r w:rsidR="00AC7A35">
        <w:t>.2015.05.032</w:t>
      </w:r>
    </w:p>
    <w:p w:rsidR="004A0F77" w:rsidRPr="0030196E" w:rsidRDefault="004A0F77" w:rsidP="00666724">
      <w:pPr>
        <w:numPr>
          <w:ilvl w:val="0"/>
          <w:numId w:val="38"/>
        </w:numPr>
        <w:spacing w:line="360" w:lineRule="auto"/>
        <w:jc w:val="both"/>
        <w:rPr>
          <w:b/>
          <w:bCs/>
        </w:rPr>
      </w:pPr>
      <w:r w:rsidRPr="0030196E">
        <w:t xml:space="preserve">F. </w:t>
      </w:r>
      <w:hyperlink r:id="rId27" w:anchor="!" w:history="1">
        <w:r w:rsidRPr="0030196E">
          <w:rPr>
            <w:rStyle w:val="Kpr"/>
            <w:color w:val="auto"/>
            <w:u w:val="none"/>
            <w:lang w:val="tr-TR"/>
          </w:rPr>
          <w:t>Gendi,</w:t>
        </w:r>
      </w:hyperlink>
      <w:bookmarkStart w:id="8" w:name="bau0010"/>
      <w:r w:rsidRPr="0030196E">
        <w:t xml:space="preserve"> D-W. Sun,</w:t>
      </w:r>
      <w:bookmarkStart w:id="9" w:name="bau0015"/>
      <w:bookmarkEnd w:id="8"/>
      <w:r w:rsidRPr="0030196E">
        <w:t xml:space="preserve"> </w:t>
      </w:r>
      <w:hyperlink r:id="rId28" w:anchor="!" w:history="1">
        <w:r w:rsidRPr="0030196E">
          <w:rPr>
            <w:rStyle w:val="Kpr"/>
            <w:color w:val="auto"/>
            <w:u w:val="none"/>
            <w:lang w:val="tr-TR"/>
          </w:rPr>
          <w:t>H</w:t>
        </w:r>
      </w:hyperlink>
      <w:r w:rsidRPr="0030196E">
        <w:t>. Pu,</w:t>
      </w:r>
      <w:bookmarkStart w:id="10" w:name="bau0020"/>
      <w:bookmarkEnd w:id="9"/>
      <w:r w:rsidRPr="0030196E">
        <w:t xml:space="preserve"> </w:t>
      </w:r>
      <w:hyperlink r:id="rId29" w:anchor="!" w:history="1">
        <w:r w:rsidRPr="0030196E">
          <w:rPr>
            <w:rStyle w:val="Kpr"/>
            <w:color w:val="auto"/>
            <w:u w:val="none"/>
            <w:lang w:val="tr-TR"/>
          </w:rPr>
          <w:t>Q</w:t>
        </w:r>
      </w:hyperlink>
      <w:r w:rsidRPr="0030196E">
        <w:t xml:space="preserve">. Wei, </w:t>
      </w:r>
      <w:bookmarkEnd w:id="10"/>
      <w:proofErr w:type="spellStart"/>
      <w:r w:rsidRPr="0030196E">
        <w:rPr>
          <w:bCs/>
          <w:i/>
          <w:lang w:val="tr-TR"/>
        </w:rPr>
        <w:t>Talanta</w:t>
      </w:r>
      <w:proofErr w:type="spellEnd"/>
      <w:r w:rsidRPr="0030196E">
        <w:rPr>
          <w:bCs/>
          <w:i/>
          <w:lang w:val="tr-TR"/>
        </w:rPr>
        <w:t xml:space="preserve"> </w:t>
      </w:r>
      <w:r w:rsidRPr="0030196E">
        <w:rPr>
          <w:b/>
          <w:bCs/>
          <w:lang w:val="tr-TR"/>
        </w:rPr>
        <w:t xml:space="preserve">2019, </w:t>
      </w:r>
      <w:r w:rsidRPr="0030196E">
        <w:rPr>
          <w:bCs/>
          <w:i/>
          <w:lang w:val="tr-TR"/>
        </w:rPr>
        <w:t xml:space="preserve">195(1), </w:t>
      </w:r>
      <w:r w:rsidRPr="00AC7A35">
        <w:rPr>
          <w:bCs/>
          <w:lang w:val="tr-TR"/>
        </w:rPr>
        <w:t>841-849</w:t>
      </w:r>
      <w:r w:rsidR="008B0EBA">
        <w:rPr>
          <w:bCs/>
          <w:lang w:val="tr-TR"/>
        </w:rPr>
        <w:t>;</w:t>
      </w:r>
      <w:r w:rsidRPr="0030196E">
        <w:rPr>
          <w:bCs/>
          <w:i/>
          <w:lang w:val="tr-TR"/>
        </w:rPr>
        <w:t xml:space="preserve"> </w:t>
      </w:r>
      <w:r w:rsidRPr="0030196E">
        <w:rPr>
          <w:b/>
          <w:bCs/>
          <w:lang w:val="tr-TR"/>
        </w:rPr>
        <w:t>DOI:</w:t>
      </w:r>
      <w:hyperlink r:id="rId30" w:tgtFrame="_blank" w:tooltip="Persistent link using digital object identifier" w:history="1">
        <w:r w:rsidRPr="0030196E">
          <w:rPr>
            <w:rStyle w:val="Kpr"/>
            <w:bCs/>
            <w:color w:val="auto"/>
            <w:u w:val="none"/>
          </w:rPr>
          <w:t>10.1016/j.talanta.2018.11.114</w:t>
        </w:r>
      </w:hyperlink>
    </w:p>
    <w:p w:rsidR="004A0F77" w:rsidRPr="0030196E" w:rsidRDefault="004A0F77" w:rsidP="00666724">
      <w:pPr>
        <w:numPr>
          <w:ilvl w:val="0"/>
          <w:numId w:val="38"/>
        </w:numPr>
        <w:spacing w:line="360" w:lineRule="auto"/>
        <w:jc w:val="both"/>
        <w:rPr>
          <w:b/>
          <w:bCs/>
        </w:rPr>
      </w:pPr>
      <w:r w:rsidRPr="0030196E">
        <w:rPr>
          <w:bCs/>
          <w:lang w:val="tr-TR"/>
        </w:rPr>
        <w:t xml:space="preserve">A. </w:t>
      </w:r>
      <w:proofErr w:type="spellStart"/>
      <w:r w:rsidRPr="0030196E">
        <w:rPr>
          <w:bCs/>
          <w:lang w:val="tr-TR"/>
        </w:rPr>
        <w:t>Hussain</w:t>
      </w:r>
      <w:proofErr w:type="spellEnd"/>
      <w:r w:rsidRPr="0030196E">
        <w:rPr>
          <w:bCs/>
          <w:lang w:val="tr-TR"/>
        </w:rPr>
        <w:t xml:space="preserve">,  H. </w:t>
      </w:r>
      <w:proofErr w:type="spellStart"/>
      <w:r w:rsidRPr="0030196E">
        <w:rPr>
          <w:bCs/>
          <w:lang w:val="tr-TR"/>
        </w:rPr>
        <w:t>Pu</w:t>
      </w:r>
      <w:proofErr w:type="spellEnd"/>
      <w:r w:rsidRPr="0030196E">
        <w:rPr>
          <w:bCs/>
          <w:lang w:val="tr-TR"/>
        </w:rPr>
        <w:t xml:space="preserve">,  D-W. Sun, </w:t>
      </w:r>
      <w:hyperlink r:id="rId31" w:tooltip="Go to Food Chemistry on ScienceDirect" w:history="1">
        <w:proofErr w:type="spellStart"/>
        <w:r w:rsidRPr="0030196E">
          <w:rPr>
            <w:rStyle w:val="Kpr"/>
            <w:bCs/>
            <w:i/>
            <w:color w:val="auto"/>
            <w:u w:val="none"/>
            <w:lang w:val="tr-TR"/>
          </w:rPr>
          <w:t>Food</w:t>
        </w:r>
        <w:proofErr w:type="spellEnd"/>
        <w:r w:rsidRPr="0030196E">
          <w:rPr>
            <w:rStyle w:val="Kpr"/>
            <w:bCs/>
            <w:i/>
            <w:color w:val="auto"/>
            <w:u w:val="none"/>
            <w:lang w:val="tr-TR"/>
          </w:rPr>
          <w:t xml:space="preserve"> </w:t>
        </w:r>
        <w:proofErr w:type="spellStart"/>
        <w:r w:rsidRPr="0030196E">
          <w:rPr>
            <w:rStyle w:val="Kpr"/>
            <w:bCs/>
            <w:i/>
            <w:color w:val="auto"/>
            <w:u w:val="none"/>
            <w:lang w:val="tr-TR"/>
          </w:rPr>
          <w:t>Chemistry</w:t>
        </w:r>
        <w:proofErr w:type="spellEnd"/>
      </w:hyperlink>
      <w:r w:rsidRPr="0030196E">
        <w:rPr>
          <w:i/>
          <w:lang w:val="tr-TR"/>
        </w:rPr>
        <w:t xml:space="preserve"> </w:t>
      </w:r>
      <w:r w:rsidRPr="0030196E">
        <w:rPr>
          <w:b/>
          <w:bCs/>
          <w:lang w:val="tr-TR"/>
        </w:rPr>
        <w:t xml:space="preserve">2020, </w:t>
      </w:r>
      <w:r w:rsidRPr="00AC7A35">
        <w:rPr>
          <w:bCs/>
          <w:i/>
          <w:lang w:val="tr-TR"/>
        </w:rPr>
        <w:t>317</w:t>
      </w:r>
      <w:r w:rsidRPr="0030196E">
        <w:rPr>
          <w:bCs/>
          <w:i/>
          <w:lang w:val="tr-TR"/>
        </w:rPr>
        <w:t>,</w:t>
      </w:r>
      <w:r w:rsidRPr="0030196E">
        <w:rPr>
          <w:b/>
          <w:bCs/>
          <w:i/>
          <w:lang w:val="tr-TR"/>
        </w:rPr>
        <w:t xml:space="preserve"> </w:t>
      </w:r>
      <w:r w:rsidR="008B0EBA">
        <w:rPr>
          <w:bCs/>
          <w:lang w:val="tr-TR"/>
        </w:rPr>
        <w:t>126429;</w:t>
      </w:r>
      <w:r w:rsidRPr="0030196E">
        <w:rPr>
          <w:bCs/>
          <w:lang w:val="tr-TR"/>
        </w:rPr>
        <w:t xml:space="preserve"> </w:t>
      </w:r>
      <w:r w:rsidRPr="0030196E">
        <w:rPr>
          <w:b/>
          <w:bCs/>
          <w:lang w:val="tr-TR"/>
        </w:rPr>
        <w:t xml:space="preserve">DOI: </w:t>
      </w:r>
      <w:hyperlink r:id="rId32" w:tgtFrame="_blank" w:tooltip="Persistent link using digital object identifier" w:history="1">
        <w:r w:rsidRPr="0030196E">
          <w:rPr>
            <w:rStyle w:val="Kpr"/>
            <w:bCs/>
            <w:color w:val="auto"/>
            <w:u w:val="none"/>
          </w:rPr>
          <w:t>10.1016/j.foodchem.2020.126429</w:t>
        </w:r>
      </w:hyperlink>
    </w:p>
    <w:p w:rsidR="006363C9" w:rsidRPr="0030196E" w:rsidRDefault="006363C9" w:rsidP="006363C9">
      <w:pPr>
        <w:numPr>
          <w:ilvl w:val="0"/>
          <w:numId w:val="38"/>
        </w:numPr>
        <w:spacing w:line="360" w:lineRule="auto"/>
        <w:jc w:val="both"/>
        <w:rPr>
          <w:b/>
          <w:bCs/>
        </w:rPr>
      </w:pPr>
      <w:r w:rsidRPr="0030196E">
        <w:t xml:space="preserve">P. </w:t>
      </w:r>
      <w:proofErr w:type="spellStart"/>
      <w:r w:rsidRPr="0030196E">
        <w:t>Fanjul-Bolado</w:t>
      </w:r>
      <w:proofErr w:type="spellEnd"/>
      <w:r w:rsidRPr="0030196E">
        <w:t xml:space="preserve">, R. </w:t>
      </w:r>
      <w:proofErr w:type="spellStart"/>
      <w:r w:rsidRPr="0030196E">
        <w:t>Fogel</w:t>
      </w:r>
      <w:proofErr w:type="spellEnd"/>
      <w:r w:rsidRPr="0030196E">
        <w:t xml:space="preserve">, J. </w:t>
      </w:r>
      <w:proofErr w:type="spellStart"/>
      <w:r w:rsidRPr="0030196E">
        <w:t>Limson</w:t>
      </w:r>
      <w:proofErr w:type="spellEnd"/>
      <w:r w:rsidRPr="0030196E">
        <w:t xml:space="preserve">, C. </w:t>
      </w:r>
      <w:proofErr w:type="spellStart"/>
      <w:r w:rsidRPr="0030196E">
        <w:t>Purcarea</w:t>
      </w:r>
      <w:proofErr w:type="spellEnd"/>
      <w:r w:rsidRPr="0030196E">
        <w:t xml:space="preserve">, A. </w:t>
      </w:r>
      <w:proofErr w:type="spellStart"/>
      <w:r w:rsidRPr="0030196E">
        <w:t>Vasilescu</w:t>
      </w:r>
      <w:proofErr w:type="spellEnd"/>
      <w:r w:rsidRPr="0030196E">
        <w:t xml:space="preserve">, </w:t>
      </w:r>
      <w:r w:rsidRPr="0030196E">
        <w:rPr>
          <w:i/>
        </w:rPr>
        <w:t xml:space="preserve">Biosensors </w:t>
      </w:r>
      <w:r w:rsidRPr="0030196E">
        <w:rPr>
          <w:b/>
        </w:rPr>
        <w:t>2021,</w:t>
      </w:r>
      <w:r w:rsidRPr="0030196E">
        <w:t xml:space="preserve"> </w:t>
      </w:r>
      <w:r w:rsidRPr="008B0EBA">
        <w:rPr>
          <w:i/>
        </w:rPr>
        <w:t>11(1)</w:t>
      </w:r>
      <w:r w:rsidRPr="0030196E">
        <w:t xml:space="preserve">, 12-37. </w:t>
      </w:r>
      <w:r w:rsidRPr="0030196E">
        <w:rPr>
          <w:b/>
        </w:rPr>
        <w:t>DOI:</w:t>
      </w:r>
      <w:r w:rsidR="00AC7A35">
        <w:t>10.3390/bios11010012</w:t>
      </w:r>
    </w:p>
    <w:p w:rsidR="004A0F77" w:rsidRPr="0030196E" w:rsidRDefault="004A0F77" w:rsidP="00666724">
      <w:pPr>
        <w:numPr>
          <w:ilvl w:val="0"/>
          <w:numId w:val="38"/>
        </w:numPr>
        <w:spacing w:line="360" w:lineRule="auto"/>
        <w:jc w:val="both"/>
        <w:rPr>
          <w:b/>
          <w:bCs/>
        </w:rPr>
      </w:pPr>
      <w:r w:rsidRPr="0030196E">
        <w:rPr>
          <w:bCs/>
          <w:lang w:val="tr-TR"/>
        </w:rPr>
        <w:lastRenderedPageBreak/>
        <w:t>C.</w:t>
      </w:r>
      <w:r w:rsidR="00015B70">
        <w:rPr>
          <w:bCs/>
          <w:lang w:val="tr-TR"/>
        </w:rPr>
        <w:t xml:space="preserve"> </w:t>
      </w:r>
      <w:r w:rsidRPr="0030196E">
        <w:rPr>
          <w:bCs/>
          <w:lang w:val="tr-TR"/>
        </w:rPr>
        <w:t>A. Martin, K.</w:t>
      </w:r>
      <w:r w:rsidR="00015B70">
        <w:rPr>
          <w:bCs/>
          <w:lang w:val="tr-TR"/>
        </w:rPr>
        <w:t xml:space="preserve"> M. </w:t>
      </w:r>
      <w:proofErr w:type="spellStart"/>
      <w:r w:rsidRPr="0030196E">
        <w:rPr>
          <w:bCs/>
          <w:lang w:val="tr-TR"/>
        </w:rPr>
        <w:t>Myers</w:t>
      </w:r>
      <w:proofErr w:type="spellEnd"/>
      <w:r w:rsidRPr="0030196E">
        <w:rPr>
          <w:bCs/>
          <w:lang w:val="tr-TR"/>
        </w:rPr>
        <w:t xml:space="preserve">, A. </w:t>
      </w:r>
      <w:proofErr w:type="spellStart"/>
      <w:r w:rsidRPr="0030196E">
        <w:rPr>
          <w:bCs/>
          <w:lang w:val="tr-TR"/>
        </w:rPr>
        <w:t>Chen</w:t>
      </w:r>
      <w:proofErr w:type="spellEnd"/>
      <w:r w:rsidRPr="0030196E">
        <w:rPr>
          <w:bCs/>
          <w:lang w:val="tr-TR"/>
        </w:rPr>
        <w:t>, N.</w:t>
      </w:r>
      <w:r w:rsidR="00015B70">
        <w:rPr>
          <w:bCs/>
          <w:lang w:val="tr-TR"/>
        </w:rPr>
        <w:t xml:space="preserve"> </w:t>
      </w:r>
      <w:r w:rsidRPr="0030196E">
        <w:rPr>
          <w:bCs/>
          <w:lang w:val="tr-TR"/>
        </w:rPr>
        <w:t xml:space="preserve">T. Martin, A. </w:t>
      </w:r>
      <w:proofErr w:type="spellStart"/>
      <w:r w:rsidRPr="0030196E">
        <w:rPr>
          <w:bCs/>
          <w:lang w:val="tr-TR"/>
        </w:rPr>
        <w:t>Barajas</w:t>
      </w:r>
      <w:proofErr w:type="spellEnd"/>
      <w:r w:rsidRPr="0030196E">
        <w:rPr>
          <w:bCs/>
          <w:lang w:val="tr-TR"/>
        </w:rPr>
        <w:t>, D.</w:t>
      </w:r>
      <w:r w:rsidR="00015B70">
        <w:rPr>
          <w:bCs/>
          <w:lang w:val="tr-TR"/>
        </w:rPr>
        <w:t xml:space="preserve"> </w:t>
      </w:r>
      <w:r w:rsidRPr="0030196E">
        <w:rPr>
          <w:bCs/>
          <w:lang w:val="tr-TR"/>
        </w:rPr>
        <w:t>E. </w:t>
      </w:r>
      <w:proofErr w:type="spellStart"/>
      <w:r w:rsidRPr="0030196E">
        <w:rPr>
          <w:bCs/>
          <w:lang w:val="tr-TR"/>
        </w:rPr>
        <w:t>Krantz</w:t>
      </w:r>
      <w:proofErr w:type="spellEnd"/>
      <w:r w:rsidRPr="0030196E">
        <w:rPr>
          <w:bCs/>
          <w:lang w:val="tr-TR"/>
        </w:rPr>
        <w:t xml:space="preserve">, </w:t>
      </w:r>
      <w:hyperlink r:id="rId33" w:tooltip="Go to Experimental Neurology on ScienceDirect" w:history="1">
        <w:proofErr w:type="spellStart"/>
        <w:r w:rsidRPr="0030196E">
          <w:rPr>
            <w:rStyle w:val="Kpr"/>
            <w:bCs/>
            <w:i/>
            <w:color w:val="auto"/>
            <w:u w:val="none"/>
            <w:lang w:val="tr-TR"/>
          </w:rPr>
          <w:t>Experimental</w:t>
        </w:r>
        <w:proofErr w:type="spellEnd"/>
        <w:r w:rsidRPr="0030196E">
          <w:rPr>
            <w:rStyle w:val="Kpr"/>
            <w:bCs/>
            <w:i/>
            <w:color w:val="auto"/>
            <w:u w:val="none"/>
            <w:lang w:val="tr-TR"/>
          </w:rPr>
          <w:t xml:space="preserve"> </w:t>
        </w:r>
        <w:proofErr w:type="spellStart"/>
        <w:r w:rsidRPr="0030196E">
          <w:rPr>
            <w:rStyle w:val="Kpr"/>
            <w:bCs/>
            <w:i/>
            <w:color w:val="auto"/>
            <w:u w:val="none"/>
            <w:lang w:val="tr-TR"/>
          </w:rPr>
          <w:t>Neurology</w:t>
        </w:r>
        <w:proofErr w:type="spellEnd"/>
      </w:hyperlink>
      <w:r w:rsidRPr="0030196E">
        <w:rPr>
          <w:i/>
          <w:lang w:val="tr-TR"/>
        </w:rPr>
        <w:t xml:space="preserve"> </w:t>
      </w:r>
      <w:r w:rsidRPr="0030196E">
        <w:rPr>
          <w:b/>
          <w:bCs/>
          <w:lang w:val="tr-TR"/>
        </w:rPr>
        <w:t xml:space="preserve">2016, </w:t>
      </w:r>
      <w:hyperlink r:id="rId34" w:tooltip="Go to table of contents for this volume/issue" w:history="1">
        <w:r w:rsidRPr="00AC7A35">
          <w:rPr>
            <w:rStyle w:val="Kpr"/>
            <w:bCs/>
            <w:i/>
            <w:color w:val="auto"/>
            <w:u w:val="none"/>
            <w:lang w:val="tr-TR"/>
          </w:rPr>
          <w:t>275(</w:t>
        </w:r>
      </w:hyperlink>
      <w:r w:rsidRPr="00AC7A35">
        <w:rPr>
          <w:bCs/>
          <w:i/>
          <w:lang w:val="tr-TR"/>
        </w:rPr>
        <w:t>1)</w:t>
      </w:r>
      <w:r w:rsidR="008B0EBA">
        <w:rPr>
          <w:bCs/>
          <w:lang w:val="tr-TR"/>
        </w:rPr>
        <w:t>, 232-241;</w:t>
      </w:r>
      <w:r w:rsidRPr="0030196E">
        <w:rPr>
          <w:bCs/>
          <w:lang w:val="tr-TR"/>
        </w:rPr>
        <w:t xml:space="preserve"> </w:t>
      </w:r>
      <w:r w:rsidRPr="008B0EBA">
        <w:rPr>
          <w:b/>
          <w:bCs/>
          <w:lang w:val="tr-TR"/>
        </w:rPr>
        <w:t>DOI:</w:t>
      </w:r>
      <w:hyperlink r:id="rId35" w:tgtFrame="_blank" w:tooltip="Persistent link using digital object identifier" w:history="1">
        <w:r w:rsidRPr="0030196E">
          <w:rPr>
            <w:rStyle w:val="Kpr"/>
            <w:bCs/>
            <w:color w:val="auto"/>
            <w:u w:val="none"/>
          </w:rPr>
          <w:t>10.1016/j.expneurol.2015.09.017</w:t>
        </w:r>
      </w:hyperlink>
    </w:p>
    <w:p w:rsidR="00447496" w:rsidRPr="0030196E" w:rsidRDefault="00447496" w:rsidP="00666724">
      <w:pPr>
        <w:numPr>
          <w:ilvl w:val="0"/>
          <w:numId w:val="38"/>
        </w:numPr>
        <w:spacing w:line="360" w:lineRule="auto"/>
        <w:jc w:val="both"/>
        <w:rPr>
          <w:b/>
          <w:bCs/>
        </w:rPr>
      </w:pPr>
      <w:r w:rsidRPr="0030196E">
        <w:t xml:space="preserve">A. </w:t>
      </w:r>
      <w:proofErr w:type="spellStart"/>
      <w:r w:rsidRPr="0030196E">
        <w:t>Scheyer</w:t>
      </w:r>
      <w:proofErr w:type="spellEnd"/>
      <w:r w:rsidRPr="0030196E">
        <w:t xml:space="preserve">, C. </w:t>
      </w:r>
      <w:proofErr w:type="spellStart"/>
      <w:r w:rsidRPr="0030196E">
        <w:t>Graeff</w:t>
      </w:r>
      <w:proofErr w:type="spellEnd"/>
      <w:r w:rsidRPr="0030196E">
        <w:t xml:space="preserve">, S. </w:t>
      </w:r>
      <w:proofErr w:type="spellStart"/>
      <w:r w:rsidRPr="0030196E">
        <w:t>Morv</w:t>
      </w:r>
      <w:proofErr w:type="spellEnd"/>
      <w:r w:rsidRPr="0030196E">
        <w:t xml:space="preserve">, </w:t>
      </w:r>
      <w:r w:rsidRPr="0030196E">
        <w:rPr>
          <w:i/>
        </w:rPr>
        <w:t>Chemosphere</w:t>
      </w:r>
      <w:r w:rsidRPr="0030196E">
        <w:t xml:space="preserve"> </w:t>
      </w:r>
      <w:r w:rsidRPr="0030196E">
        <w:rPr>
          <w:b/>
        </w:rPr>
        <w:t xml:space="preserve">2005, </w:t>
      </w:r>
      <w:r w:rsidRPr="00AC7A35">
        <w:rPr>
          <w:i/>
        </w:rPr>
        <w:t>58</w:t>
      </w:r>
      <w:r w:rsidRPr="0030196E">
        <w:t>, 1517–1524</w:t>
      </w:r>
      <w:r w:rsidR="008B0EBA">
        <w:t>;</w:t>
      </w:r>
      <w:r w:rsidRPr="0030196E">
        <w:t xml:space="preserve"> </w:t>
      </w:r>
      <w:proofErr w:type="gramStart"/>
      <w:r w:rsidRPr="008B0EBA">
        <w:rPr>
          <w:b/>
        </w:rPr>
        <w:t>DOI:</w:t>
      </w:r>
      <w:r w:rsidRPr="0030196E">
        <w:t>10</w:t>
      </w:r>
      <w:r w:rsidR="00AC7A35">
        <w:t>.1016/j.chemosphere</w:t>
      </w:r>
      <w:proofErr w:type="gramEnd"/>
      <w:r w:rsidR="00AC7A35">
        <w:t>.2004.10.013</w:t>
      </w:r>
      <w:r w:rsidRPr="0030196E">
        <w:t xml:space="preserve">  </w:t>
      </w:r>
    </w:p>
    <w:p w:rsidR="004A0F77" w:rsidRPr="0030196E" w:rsidRDefault="004A0F77" w:rsidP="00666724">
      <w:pPr>
        <w:numPr>
          <w:ilvl w:val="0"/>
          <w:numId w:val="38"/>
        </w:numPr>
        <w:spacing w:line="360" w:lineRule="auto"/>
        <w:jc w:val="both"/>
        <w:rPr>
          <w:b/>
          <w:bCs/>
        </w:rPr>
      </w:pPr>
      <w:r w:rsidRPr="0030196E">
        <w:rPr>
          <w:bCs/>
          <w:lang w:val="tr-TR"/>
        </w:rPr>
        <w:t xml:space="preserve">K. </w:t>
      </w:r>
      <w:proofErr w:type="spellStart"/>
      <w:r w:rsidRPr="0030196E">
        <w:rPr>
          <w:bCs/>
          <w:lang w:val="tr-TR"/>
        </w:rPr>
        <w:t>Wang</w:t>
      </w:r>
      <w:proofErr w:type="spellEnd"/>
      <w:r w:rsidRPr="0030196E">
        <w:rPr>
          <w:bCs/>
          <w:lang w:val="tr-TR"/>
        </w:rPr>
        <w:t>, D-W. Sun, H. </w:t>
      </w:r>
      <w:proofErr w:type="spellStart"/>
      <w:r w:rsidRPr="0030196E">
        <w:rPr>
          <w:bCs/>
          <w:lang w:val="tr-TR"/>
        </w:rPr>
        <w:t>Pu</w:t>
      </w:r>
      <w:proofErr w:type="spellEnd"/>
      <w:r w:rsidRPr="0030196E">
        <w:rPr>
          <w:bCs/>
          <w:lang w:val="tr-TR"/>
        </w:rPr>
        <w:t xml:space="preserve">,  Q. </w:t>
      </w:r>
      <w:proofErr w:type="spellStart"/>
      <w:r w:rsidRPr="0030196E">
        <w:rPr>
          <w:bCs/>
          <w:lang w:val="tr-TR"/>
        </w:rPr>
        <w:t>Wei</w:t>
      </w:r>
      <w:proofErr w:type="spellEnd"/>
      <w:r w:rsidRPr="0030196E">
        <w:rPr>
          <w:bCs/>
          <w:lang w:val="tr-TR"/>
        </w:rPr>
        <w:t>, </w:t>
      </w:r>
      <w:proofErr w:type="spellStart"/>
      <w:r w:rsidRPr="0030196E">
        <w:rPr>
          <w:bCs/>
          <w:i/>
          <w:lang w:val="tr-TR"/>
        </w:rPr>
        <w:t>Food</w:t>
      </w:r>
      <w:proofErr w:type="spellEnd"/>
      <w:r w:rsidRPr="0030196E">
        <w:rPr>
          <w:bCs/>
          <w:i/>
          <w:lang w:val="tr-TR"/>
        </w:rPr>
        <w:t xml:space="preserve"> </w:t>
      </w:r>
      <w:proofErr w:type="spellStart"/>
      <w:r w:rsidRPr="0030196E">
        <w:rPr>
          <w:bCs/>
          <w:i/>
          <w:lang w:val="tr-TR"/>
        </w:rPr>
        <w:t>Chem</w:t>
      </w:r>
      <w:proofErr w:type="spellEnd"/>
      <w:r w:rsidRPr="0030196E">
        <w:rPr>
          <w:bCs/>
          <w:i/>
          <w:lang w:val="tr-TR"/>
        </w:rPr>
        <w:t>.</w:t>
      </w:r>
      <w:r w:rsidRPr="0030196E">
        <w:rPr>
          <w:bCs/>
          <w:lang w:val="tr-TR"/>
        </w:rPr>
        <w:t>  </w:t>
      </w:r>
      <w:r w:rsidRPr="0030196E">
        <w:rPr>
          <w:b/>
          <w:bCs/>
          <w:lang w:val="tr-TR"/>
        </w:rPr>
        <w:t>2020</w:t>
      </w:r>
      <w:r w:rsidRPr="0030196E">
        <w:rPr>
          <w:bCs/>
          <w:lang w:val="tr-TR"/>
        </w:rPr>
        <w:t xml:space="preserve">, </w:t>
      </w:r>
      <w:r w:rsidRPr="00AC7A35">
        <w:rPr>
          <w:bCs/>
          <w:i/>
          <w:lang w:val="tr-TR"/>
        </w:rPr>
        <w:t>310</w:t>
      </w:r>
      <w:r w:rsidRPr="0030196E">
        <w:rPr>
          <w:bCs/>
          <w:lang w:val="tr-TR"/>
        </w:rPr>
        <w:t>, 125923</w:t>
      </w:r>
      <w:r w:rsidR="008B0EBA">
        <w:rPr>
          <w:bCs/>
          <w:lang w:val="tr-TR"/>
        </w:rPr>
        <w:t>;</w:t>
      </w:r>
      <w:r w:rsidRPr="0030196E">
        <w:rPr>
          <w:bCs/>
          <w:lang w:val="tr-TR"/>
        </w:rPr>
        <w:t xml:space="preserve"> </w:t>
      </w:r>
      <w:r w:rsidRPr="0030196E">
        <w:rPr>
          <w:b/>
          <w:bCs/>
          <w:lang w:val="tr-TR"/>
        </w:rPr>
        <w:t>DOI:</w:t>
      </w:r>
      <w:hyperlink r:id="rId36" w:tgtFrame="_blank" w:tooltip="Persistent link using digital object identifier" w:history="1">
        <w:r w:rsidRPr="0030196E">
          <w:rPr>
            <w:rStyle w:val="Kpr"/>
            <w:bCs/>
            <w:color w:val="auto"/>
            <w:u w:val="none"/>
          </w:rPr>
          <w:t>10.1016/j.foodchem.2019.125923</w:t>
        </w:r>
      </w:hyperlink>
    </w:p>
    <w:p w:rsidR="004A0F77" w:rsidRPr="0030196E" w:rsidRDefault="00872F34" w:rsidP="00666724">
      <w:pPr>
        <w:numPr>
          <w:ilvl w:val="0"/>
          <w:numId w:val="38"/>
        </w:numPr>
        <w:spacing w:line="360" w:lineRule="auto"/>
        <w:jc w:val="both"/>
        <w:rPr>
          <w:b/>
          <w:bCs/>
        </w:rPr>
      </w:pPr>
      <w:r>
        <w:rPr>
          <w:bCs/>
        </w:rPr>
        <w:t>USEPA</w:t>
      </w:r>
      <w:r>
        <w:rPr>
          <w:bCs/>
          <w:i/>
        </w:rPr>
        <w:t xml:space="preserve">, </w:t>
      </w:r>
      <w:r w:rsidR="004A0F77" w:rsidRPr="0030196E">
        <w:rPr>
          <w:bCs/>
        </w:rPr>
        <w:t>Code of Federal Regulations: Part 180-Tolerances and Exemptions for Pesticide Chemical Resi</w:t>
      </w:r>
      <w:r>
        <w:rPr>
          <w:bCs/>
        </w:rPr>
        <w:t>dues in Food</w:t>
      </w:r>
      <w:r w:rsidR="004A0F77" w:rsidRPr="0030196E">
        <w:rPr>
          <w:bCs/>
        </w:rPr>
        <w:t xml:space="preserve"> </w:t>
      </w:r>
      <w:r w:rsidRPr="00872F34">
        <w:rPr>
          <w:b/>
          <w:bCs/>
        </w:rPr>
        <w:t>2014</w:t>
      </w:r>
      <w:r>
        <w:rPr>
          <w:bCs/>
        </w:rPr>
        <w:t xml:space="preserve">, </w:t>
      </w:r>
      <w:r w:rsidRPr="00872F34">
        <w:rPr>
          <w:bCs/>
          <w:i/>
        </w:rPr>
        <w:t>24</w:t>
      </w:r>
      <w:r>
        <w:rPr>
          <w:bCs/>
        </w:rPr>
        <w:t xml:space="preserve"> (</w:t>
      </w:r>
      <w:r w:rsidR="004A0F77" w:rsidRPr="0030196E">
        <w:rPr>
          <w:bCs/>
        </w:rPr>
        <w:t xml:space="preserve">Available at </w:t>
      </w:r>
      <w:hyperlink r:id="rId37" w:history="1">
        <w:r w:rsidR="003F4342" w:rsidRPr="0030196E">
          <w:rPr>
            <w:rStyle w:val="Kpr"/>
            <w:bCs/>
            <w:color w:val="auto"/>
            <w:u w:val="none"/>
          </w:rPr>
          <w:t>https://www.ecfr.gov/cgi-bin/text-idx</w:t>
        </w:r>
      </w:hyperlink>
      <w:r w:rsidR="003F4342" w:rsidRPr="0030196E">
        <w:rPr>
          <w:bCs/>
        </w:rPr>
        <w:t>?</w:t>
      </w:r>
      <w:r>
        <w:rPr>
          <w:bCs/>
        </w:rPr>
        <w:t>)</w:t>
      </w:r>
      <w:r w:rsidR="003F4342" w:rsidRPr="0030196E">
        <w:rPr>
          <w:bCs/>
        </w:rPr>
        <w:t xml:space="preserve"> </w:t>
      </w:r>
    </w:p>
    <w:p w:rsidR="004A0F77" w:rsidRPr="0030196E" w:rsidRDefault="004A0F77" w:rsidP="00666724">
      <w:pPr>
        <w:numPr>
          <w:ilvl w:val="0"/>
          <w:numId w:val="38"/>
        </w:numPr>
        <w:spacing w:line="360" w:lineRule="auto"/>
        <w:jc w:val="both"/>
        <w:rPr>
          <w:b/>
          <w:bCs/>
        </w:rPr>
      </w:pPr>
      <w:r w:rsidRPr="0030196E">
        <w:rPr>
          <w:bCs/>
        </w:rPr>
        <w:t>C.</w:t>
      </w:r>
      <w:r w:rsidR="00015B70">
        <w:rPr>
          <w:bCs/>
        </w:rPr>
        <w:t xml:space="preserve"> </w:t>
      </w:r>
      <w:r w:rsidRPr="0030196E">
        <w:rPr>
          <w:bCs/>
        </w:rPr>
        <w:t>A. Martin, K.</w:t>
      </w:r>
      <w:r w:rsidR="00015B70">
        <w:rPr>
          <w:bCs/>
        </w:rPr>
        <w:t xml:space="preserve"> </w:t>
      </w:r>
      <w:r w:rsidRPr="0030196E">
        <w:rPr>
          <w:bCs/>
        </w:rPr>
        <w:t>M. Myers, A. Chen, N.</w:t>
      </w:r>
      <w:r w:rsidR="00015B70">
        <w:rPr>
          <w:bCs/>
        </w:rPr>
        <w:t xml:space="preserve"> </w:t>
      </w:r>
      <w:r w:rsidRPr="0030196E">
        <w:rPr>
          <w:bCs/>
        </w:rPr>
        <w:t>T. Martin, A. Barajas, D.</w:t>
      </w:r>
      <w:r w:rsidR="00015B70">
        <w:rPr>
          <w:bCs/>
        </w:rPr>
        <w:t xml:space="preserve"> </w:t>
      </w:r>
      <w:r w:rsidRPr="0030196E">
        <w:rPr>
          <w:bCs/>
        </w:rPr>
        <w:t xml:space="preserve">E. </w:t>
      </w:r>
      <w:proofErr w:type="spellStart"/>
      <w:r w:rsidRPr="0030196E">
        <w:rPr>
          <w:bCs/>
        </w:rPr>
        <w:t>Krantz</w:t>
      </w:r>
      <w:proofErr w:type="spellEnd"/>
      <w:r w:rsidRPr="0030196E">
        <w:rPr>
          <w:bCs/>
        </w:rPr>
        <w:t xml:space="preserve">, </w:t>
      </w:r>
      <w:r w:rsidRPr="0030196E">
        <w:rPr>
          <w:bCs/>
          <w:i/>
        </w:rPr>
        <w:t>Exp. Neurol.</w:t>
      </w:r>
      <w:r w:rsidRPr="0030196E">
        <w:rPr>
          <w:bCs/>
        </w:rPr>
        <w:t xml:space="preserve"> </w:t>
      </w:r>
      <w:r w:rsidRPr="0030196E">
        <w:rPr>
          <w:b/>
          <w:bCs/>
        </w:rPr>
        <w:t>2016</w:t>
      </w:r>
      <w:r w:rsidRPr="0030196E">
        <w:rPr>
          <w:bCs/>
        </w:rPr>
        <w:t xml:space="preserve">, </w:t>
      </w:r>
      <w:r w:rsidRPr="00AC7A35">
        <w:rPr>
          <w:bCs/>
          <w:i/>
        </w:rPr>
        <w:t>275</w:t>
      </w:r>
      <w:r w:rsidRPr="0030196E">
        <w:rPr>
          <w:bCs/>
        </w:rPr>
        <w:t>, 232–241</w:t>
      </w:r>
      <w:r w:rsidR="00872F34">
        <w:rPr>
          <w:bCs/>
        </w:rPr>
        <w:t>;</w:t>
      </w:r>
      <w:r w:rsidRPr="0030196E">
        <w:rPr>
          <w:bCs/>
        </w:rPr>
        <w:t xml:space="preserve">  </w:t>
      </w:r>
      <w:r w:rsidRPr="0030196E">
        <w:rPr>
          <w:b/>
          <w:bCs/>
          <w:lang w:val="tr-TR"/>
        </w:rPr>
        <w:t>DOI:</w:t>
      </w:r>
      <w:hyperlink r:id="rId38" w:tgtFrame="_blank" w:history="1">
        <w:r w:rsidRPr="0030196E">
          <w:rPr>
            <w:rStyle w:val="Kpr"/>
            <w:bCs/>
            <w:color w:val="auto"/>
            <w:u w:val="none"/>
            <w:lang w:val="tr-TR"/>
          </w:rPr>
          <w:t>10.1016/j.expneurol.2015.09.017</w:t>
        </w:r>
      </w:hyperlink>
    </w:p>
    <w:p w:rsidR="004A0F77" w:rsidRPr="0030196E" w:rsidRDefault="004A0F77" w:rsidP="00666724">
      <w:pPr>
        <w:numPr>
          <w:ilvl w:val="0"/>
          <w:numId w:val="38"/>
        </w:numPr>
        <w:spacing w:line="360" w:lineRule="auto"/>
        <w:jc w:val="both"/>
        <w:rPr>
          <w:b/>
          <w:bCs/>
        </w:rPr>
      </w:pPr>
      <w:r w:rsidRPr="0030196E">
        <w:rPr>
          <w:bCs/>
          <w:lang w:val="tr-TR"/>
        </w:rPr>
        <w:t xml:space="preserve">J. Al-Alam, L. Bom,  A. </w:t>
      </w:r>
      <w:proofErr w:type="spellStart"/>
      <w:r w:rsidRPr="0030196E">
        <w:rPr>
          <w:bCs/>
          <w:lang w:val="tr-TR"/>
        </w:rPr>
        <w:t>Chbani</w:t>
      </w:r>
      <w:proofErr w:type="spellEnd"/>
      <w:r w:rsidRPr="0030196E">
        <w:rPr>
          <w:bCs/>
          <w:lang w:val="tr-TR"/>
        </w:rPr>
        <w:t xml:space="preserve">,   Z. </w:t>
      </w:r>
      <w:proofErr w:type="spellStart"/>
      <w:r w:rsidRPr="0030196E">
        <w:rPr>
          <w:bCs/>
          <w:lang w:val="tr-TR"/>
        </w:rPr>
        <w:t>Fajloun</w:t>
      </w:r>
      <w:proofErr w:type="spellEnd"/>
      <w:r w:rsidRPr="0030196E">
        <w:rPr>
          <w:bCs/>
          <w:lang w:val="tr-TR"/>
        </w:rPr>
        <w:t xml:space="preserve">, M. Millet,  </w:t>
      </w:r>
      <w:r w:rsidRPr="0030196E">
        <w:rPr>
          <w:bCs/>
          <w:i/>
          <w:lang w:val="tr-TR"/>
        </w:rPr>
        <w:t xml:space="preserve">J. </w:t>
      </w:r>
      <w:proofErr w:type="spellStart"/>
      <w:r w:rsidRPr="0030196E">
        <w:rPr>
          <w:bCs/>
          <w:i/>
          <w:lang w:val="tr-TR"/>
        </w:rPr>
        <w:t>Chromatogr</w:t>
      </w:r>
      <w:proofErr w:type="spellEnd"/>
      <w:r w:rsidRPr="0030196E">
        <w:rPr>
          <w:bCs/>
          <w:i/>
          <w:lang w:val="tr-TR"/>
        </w:rPr>
        <w:t xml:space="preserve">. </w:t>
      </w:r>
      <w:proofErr w:type="spellStart"/>
      <w:r w:rsidRPr="0030196E">
        <w:rPr>
          <w:bCs/>
          <w:i/>
          <w:lang w:val="tr-TR"/>
        </w:rPr>
        <w:t>Sci</w:t>
      </w:r>
      <w:proofErr w:type="spellEnd"/>
      <w:r w:rsidRPr="0030196E">
        <w:rPr>
          <w:bCs/>
          <w:i/>
          <w:lang w:val="tr-TR"/>
        </w:rPr>
        <w:t>.</w:t>
      </w:r>
      <w:r w:rsidRPr="0030196E">
        <w:rPr>
          <w:bCs/>
          <w:lang w:val="tr-TR"/>
        </w:rPr>
        <w:t> </w:t>
      </w:r>
      <w:r w:rsidRPr="0030196E">
        <w:rPr>
          <w:b/>
          <w:bCs/>
          <w:lang w:val="tr-TR"/>
        </w:rPr>
        <w:t xml:space="preserve">2017, </w:t>
      </w:r>
      <w:r w:rsidRPr="00AC7A35">
        <w:rPr>
          <w:bCs/>
          <w:i/>
          <w:lang w:val="tr-TR"/>
        </w:rPr>
        <w:t>55(4)</w:t>
      </w:r>
      <w:r w:rsidRPr="0030196E">
        <w:rPr>
          <w:bCs/>
          <w:lang w:val="tr-TR"/>
        </w:rPr>
        <w:t>, 429-435</w:t>
      </w:r>
      <w:r w:rsidR="00872F34">
        <w:rPr>
          <w:bCs/>
          <w:lang w:val="tr-TR"/>
        </w:rPr>
        <w:t>;</w:t>
      </w:r>
      <w:r w:rsidRPr="0030196E">
        <w:rPr>
          <w:bCs/>
          <w:lang w:val="tr-TR"/>
        </w:rPr>
        <w:t xml:space="preserve"> </w:t>
      </w:r>
      <w:r w:rsidRPr="0030196E">
        <w:rPr>
          <w:b/>
          <w:bCs/>
        </w:rPr>
        <w:t>DOI:</w:t>
      </w:r>
      <w:r w:rsidR="00AC7A35">
        <w:rPr>
          <w:bCs/>
        </w:rPr>
        <w:t>10.3390/polym11091449</w:t>
      </w:r>
    </w:p>
    <w:p w:rsidR="004A0F77" w:rsidRPr="0030196E" w:rsidRDefault="004A0F77" w:rsidP="00872F34">
      <w:pPr>
        <w:numPr>
          <w:ilvl w:val="0"/>
          <w:numId w:val="38"/>
        </w:numPr>
        <w:spacing w:line="360" w:lineRule="auto"/>
        <w:jc w:val="both"/>
        <w:rPr>
          <w:b/>
          <w:bCs/>
        </w:rPr>
      </w:pPr>
      <w:r w:rsidRPr="0030196E">
        <w:rPr>
          <w:bCs/>
          <w:lang w:val="tr-TR"/>
        </w:rPr>
        <w:t xml:space="preserve">B. </w:t>
      </w:r>
      <w:proofErr w:type="spellStart"/>
      <w:r w:rsidRPr="0030196E">
        <w:rPr>
          <w:bCs/>
          <w:lang w:val="tr-TR"/>
        </w:rPr>
        <w:t>Schmidt</w:t>
      </w:r>
      <w:proofErr w:type="spellEnd"/>
      <w:r w:rsidRPr="0030196E">
        <w:rPr>
          <w:bCs/>
          <w:lang w:val="tr-TR"/>
        </w:rPr>
        <w:t>,  H.</w:t>
      </w:r>
      <w:r w:rsidR="00015B70">
        <w:rPr>
          <w:bCs/>
          <w:lang w:val="tr-TR"/>
        </w:rPr>
        <w:t xml:space="preserve"> </w:t>
      </w:r>
      <w:r w:rsidRPr="0030196E">
        <w:rPr>
          <w:bCs/>
          <w:lang w:val="tr-TR"/>
        </w:rPr>
        <w:t xml:space="preserve">B. </w:t>
      </w:r>
      <w:proofErr w:type="spellStart"/>
      <w:r w:rsidRPr="0030196E">
        <w:rPr>
          <w:bCs/>
          <w:lang w:val="tr-TR"/>
        </w:rPr>
        <w:t>Christensen</w:t>
      </w:r>
      <w:proofErr w:type="spellEnd"/>
      <w:r w:rsidRPr="0030196E">
        <w:rPr>
          <w:bCs/>
          <w:lang w:val="tr-TR"/>
        </w:rPr>
        <w:t xml:space="preserve">, A. </w:t>
      </w:r>
      <w:proofErr w:type="spellStart"/>
      <w:r w:rsidRPr="0030196E">
        <w:rPr>
          <w:bCs/>
          <w:lang w:val="tr-TR"/>
        </w:rPr>
        <w:t>Petersen</w:t>
      </w:r>
      <w:proofErr w:type="spellEnd"/>
      <w:r w:rsidRPr="0030196E">
        <w:rPr>
          <w:bCs/>
          <w:lang w:val="tr-TR"/>
        </w:rPr>
        <w:t>, J.</w:t>
      </w:r>
      <w:r w:rsidR="00015B70">
        <w:rPr>
          <w:bCs/>
          <w:lang w:val="tr-TR"/>
        </w:rPr>
        <w:t xml:space="preserve"> </w:t>
      </w:r>
      <w:r w:rsidRPr="0030196E">
        <w:rPr>
          <w:bCs/>
          <w:lang w:val="tr-TR"/>
        </w:rPr>
        <w:t xml:space="preserve">J. </w:t>
      </w:r>
      <w:proofErr w:type="spellStart"/>
      <w:r w:rsidRPr="0030196E">
        <w:rPr>
          <w:bCs/>
          <w:lang w:val="tr-TR"/>
        </w:rPr>
        <w:t>Sloth</w:t>
      </w:r>
      <w:proofErr w:type="spellEnd"/>
      <w:r w:rsidRPr="0030196E">
        <w:rPr>
          <w:bCs/>
          <w:lang w:val="tr-TR"/>
        </w:rPr>
        <w:t>, M.</w:t>
      </w:r>
      <w:r w:rsidR="00015B70">
        <w:rPr>
          <w:bCs/>
          <w:lang w:val="tr-TR"/>
        </w:rPr>
        <w:t xml:space="preserve"> </w:t>
      </w:r>
      <w:r w:rsidRPr="0030196E">
        <w:rPr>
          <w:bCs/>
          <w:lang w:val="tr-TR"/>
        </w:rPr>
        <w:t xml:space="preserve">E. </w:t>
      </w:r>
      <w:proofErr w:type="spellStart"/>
      <w:r w:rsidRPr="0030196E">
        <w:rPr>
          <w:bCs/>
          <w:i/>
          <w:lang w:val="tr-TR"/>
        </w:rPr>
        <w:t>Food</w:t>
      </w:r>
      <w:proofErr w:type="spellEnd"/>
      <w:r w:rsidRPr="0030196E">
        <w:rPr>
          <w:bCs/>
          <w:i/>
          <w:lang w:val="tr-TR"/>
        </w:rPr>
        <w:t xml:space="preserve"> </w:t>
      </w:r>
      <w:proofErr w:type="spellStart"/>
      <w:r w:rsidRPr="0030196E">
        <w:rPr>
          <w:bCs/>
          <w:i/>
          <w:lang w:val="tr-TR"/>
        </w:rPr>
        <w:t>A</w:t>
      </w:r>
      <w:r w:rsidR="00872F34">
        <w:rPr>
          <w:bCs/>
          <w:i/>
          <w:lang w:val="tr-TR"/>
        </w:rPr>
        <w:t>dditives</w:t>
      </w:r>
      <w:proofErr w:type="spellEnd"/>
      <w:r w:rsidR="00872F34">
        <w:rPr>
          <w:bCs/>
          <w:i/>
          <w:lang w:val="tr-TR"/>
        </w:rPr>
        <w:t xml:space="preserve"> &amp; </w:t>
      </w:r>
      <w:proofErr w:type="spellStart"/>
      <w:r w:rsidR="00872F34">
        <w:rPr>
          <w:bCs/>
          <w:i/>
          <w:lang w:val="tr-TR"/>
        </w:rPr>
        <w:t>Contaminants</w:t>
      </w:r>
      <w:proofErr w:type="spellEnd"/>
      <w:r w:rsidR="00872F34">
        <w:rPr>
          <w:bCs/>
          <w:i/>
          <w:lang w:val="tr-TR"/>
        </w:rPr>
        <w:t xml:space="preserve">: </w:t>
      </w:r>
      <w:proofErr w:type="spellStart"/>
      <w:r w:rsidR="00872F34">
        <w:rPr>
          <w:bCs/>
          <w:i/>
          <w:lang w:val="tr-TR"/>
        </w:rPr>
        <w:t>Part</w:t>
      </w:r>
      <w:proofErr w:type="spellEnd"/>
      <w:r w:rsidR="00872F34">
        <w:rPr>
          <w:bCs/>
          <w:i/>
          <w:lang w:val="tr-TR"/>
        </w:rPr>
        <w:t xml:space="preserve"> A</w:t>
      </w:r>
      <w:r w:rsidR="00872F34">
        <w:rPr>
          <w:bCs/>
          <w:lang w:val="tr-TR"/>
        </w:rPr>
        <w:t xml:space="preserve"> </w:t>
      </w:r>
      <w:r w:rsidRPr="0030196E">
        <w:rPr>
          <w:b/>
          <w:bCs/>
          <w:lang w:val="tr-TR"/>
        </w:rPr>
        <w:t>2013</w:t>
      </w:r>
      <w:r w:rsidRPr="0030196E">
        <w:rPr>
          <w:bCs/>
          <w:lang w:val="tr-TR"/>
        </w:rPr>
        <w:t xml:space="preserve">, </w:t>
      </w:r>
      <w:r w:rsidRPr="00AC7A35">
        <w:rPr>
          <w:bCs/>
          <w:i/>
          <w:lang w:val="tr-TR"/>
        </w:rPr>
        <w:t>30(7)</w:t>
      </w:r>
      <w:r w:rsidR="00872F34">
        <w:rPr>
          <w:bCs/>
          <w:lang w:val="tr-TR"/>
        </w:rPr>
        <w:t>;</w:t>
      </w:r>
      <w:r w:rsidRPr="0030196E">
        <w:rPr>
          <w:bCs/>
          <w:lang w:val="tr-TR"/>
        </w:rPr>
        <w:t> 1287-1298.</w:t>
      </w:r>
      <w:r w:rsidR="00872F34">
        <w:rPr>
          <w:bCs/>
          <w:lang w:val="tr-TR"/>
        </w:rPr>
        <w:t xml:space="preserve"> </w:t>
      </w:r>
      <w:r w:rsidRPr="0030196E">
        <w:rPr>
          <w:b/>
          <w:bCs/>
          <w:lang w:val="tr-TR"/>
        </w:rPr>
        <w:t>DOI:</w:t>
      </w:r>
      <w:hyperlink r:id="rId39" w:history="1">
        <w:r w:rsidRPr="0030196E">
          <w:rPr>
            <w:rStyle w:val="Kpr"/>
            <w:bCs/>
            <w:color w:val="auto"/>
            <w:u w:val="none"/>
            <w:lang w:val="tr-TR"/>
          </w:rPr>
          <w:t>10.1080/19440049.2013.801083</w:t>
        </w:r>
      </w:hyperlink>
    </w:p>
    <w:p w:rsidR="004A0F77" w:rsidRPr="0030196E" w:rsidRDefault="004A0F77" w:rsidP="00666724">
      <w:pPr>
        <w:numPr>
          <w:ilvl w:val="0"/>
          <w:numId w:val="38"/>
        </w:numPr>
        <w:spacing w:line="360" w:lineRule="auto"/>
        <w:jc w:val="both"/>
        <w:rPr>
          <w:b/>
          <w:bCs/>
        </w:rPr>
      </w:pPr>
      <w:r w:rsidRPr="0030196E">
        <w:rPr>
          <w:lang w:val="tr-TR"/>
        </w:rPr>
        <w:t xml:space="preserve">Y. </w:t>
      </w:r>
      <w:proofErr w:type="spellStart"/>
      <w:r w:rsidRPr="0030196E">
        <w:rPr>
          <w:lang w:val="tr-TR"/>
        </w:rPr>
        <w:t>Nolvachai</w:t>
      </w:r>
      <w:proofErr w:type="spellEnd"/>
      <w:r w:rsidRPr="0030196E">
        <w:rPr>
          <w:lang w:val="tr-TR"/>
        </w:rPr>
        <w:t xml:space="preserve">, C. </w:t>
      </w:r>
      <w:proofErr w:type="spellStart"/>
      <w:r w:rsidRPr="0030196E">
        <w:rPr>
          <w:lang w:val="tr-TR"/>
        </w:rPr>
        <w:t>Kulsing</w:t>
      </w:r>
      <w:proofErr w:type="spellEnd"/>
      <w:r w:rsidRPr="0030196E">
        <w:rPr>
          <w:lang w:val="tr-TR"/>
        </w:rPr>
        <w:t>, P.</w:t>
      </w:r>
      <w:r w:rsidR="00015B70">
        <w:rPr>
          <w:lang w:val="tr-TR"/>
        </w:rPr>
        <w:t xml:space="preserve"> </w:t>
      </w:r>
      <w:r w:rsidRPr="0030196E">
        <w:rPr>
          <w:lang w:val="tr-TR"/>
        </w:rPr>
        <w:t>J. </w:t>
      </w:r>
      <w:proofErr w:type="spellStart"/>
      <w:r w:rsidRPr="0030196E">
        <w:rPr>
          <w:lang w:val="tr-TR"/>
        </w:rPr>
        <w:t>Marriott</w:t>
      </w:r>
      <w:proofErr w:type="spellEnd"/>
      <w:r w:rsidRPr="0030196E">
        <w:rPr>
          <w:lang w:val="tr-TR"/>
        </w:rPr>
        <w:t xml:space="preserve">, </w:t>
      </w:r>
      <w:proofErr w:type="spellStart"/>
      <w:r w:rsidRPr="0030196E">
        <w:rPr>
          <w:i/>
          <w:lang w:val="tr-TR"/>
        </w:rPr>
        <w:t>Crit</w:t>
      </w:r>
      <w:proofErr w:type="spellEnd"/>
      <w:r w:rsidRPr="0030196E">
        <w:rPr>
          <w:i/>
          <w:lang w:val="tr-TR"/>
        </w:rPr>
        <w:t xml:space="preserve">. </w:t>
      </w:r>
      <w:proofErr w:type="spellStart"/>
      <w:r w:rsidRPr="0030196E">
        <w:rPr>
          <w:i/>
          <w:lang w:val="tr-TR"/>
        </w:rPr>
        <w:t>Rev</w:t>
      </w:r>
      <w:proofErr w:type="spellEnd"/>
      <w:r w:rsidRPr="0030196E">
        <w:rPr>
          <w:i/>
          <w:lang w:val="tr-TR"/>
        </w:rPr>
        <w:t xml:space="preserve">. </w:t>
      </w:r>
      <w:proofErr w:type="spellStart"/>
      <w:r w:rsidRPr="0030196E">
        <w:rPr>
          <w:i/>
          <w:lang w:val="tr-TR"/>
        </w:rPr>
        <w:t>Environ</w:t>
      </w:r>
      <w:proofErr w:type="spellEnd"/>
      <w:r w:rsidRPr="0030196E">
        <w:rPr>
          <w:i/>
          <w:lang w:val="tr-TR"/>
        </w:rPr>
        <w:t xml:space="preserve">. </w:t>
      </w:r>
      <w:proofErr w:type="spellStart"/>
      <w:r w:rsidRPr="0030196E">
        <w:rPr>
          <w:i/>
          <w:lang w:val="tr-TR"/>
        </w:rPr>
        <w:t>Sci</w:t>
      </w:r>
      <w:proofErr w:type="spellEnd"/>
      <w:r w:rsidRPr="0030196E">
        <w:rPr>
          <w:i/>
          <w:lang w:val="tr-TR"/>
        </w:rPr>
        <w:t xml:space="preserve">. </w:t>
      </w:r>
      <w:proofErr w:type="spellStart"/>
      <w:r w:rsidRPr="0030196E">
        <w:rPr>
          <w:i/>
          <w:lang w:val="tr-TR"/>
        </w:rPr>
        <w:t>Technol</w:t>
      </w:r>
      <w:proofErr w:type="spellEnd"/>
      <w:r w:rsidRPr="0030196E">
        <w:rPr>
          <w:i/>
          <w:lang w:val="tr-TR"/>
        </w:rPr>
        <w:t>.</w:t>
      </w:r>
      <w:r w:rsidRPr="0030196E">
        <w:rPr>
          <w:lang w:val="tr-TR"/>
        </w:rPr>
        <w:t> </w:t>
      </w:r>
      <w:r w:rsidRPr="0030196E">
        <w:rPr>
          <w:b/>
          <w:lang w:val="tr-TR"/>
        </w:rPr>
        <w:t>2015</w:t>
      </w:r>
      <w:r w:rsidRPr="0030196E">
        <w:rPr>
          <w:lang w:val="tr-TR"/>
        </w:rPr>
        <w:t xml:space="preserve">, </w:t>
      </w:r>
      <w:r w:rsidRPr="00AC7A35">
        <w:rPr>
          <w:i/>
          <w:lang w:val="tr-TR"/>
        </w:rPr>
        <w:t>45(19)</w:t>
      </w:r>
      <w:r w:rsidRPr="0030196E">
        <w:rPr>
          <w:lang w:val="tr-TR"/>
        </w:rPr>
        <w:t>, 2135-2173</w:t>
      </w:r>
      <w:r w:rsidR="00872F34">
        <w:rPr>
          <w:lang w:val="tr-TR"/>
        </w:rPr>
        <w:t>;</w:t>
      </w:r>
      <w:r w:rsidRPr="0030196E">
        <w:rPr>
          <w:lang w:val="tr-TR"/>
        </w:rPr>
        <w:t xml:space="preserve"> </w:t>
      </w:r>
      <w:r w:rsidRPr="0030196E">
        <w:rPr>
          <w:b/>
          <w:lang w:val="tr-TR"/>
        </w:rPr>
        <w:t>DOI:</w:t>
      </w:r>
      <w:hyperlink r:id="rId40" w:history="1">
        <w:r w:rsidRPr="0030196E">
          <w:rPr>
            <w:rStyle w:val="Kpr"/>
            <w:color w:val="auto"/>
            <w:u w:val="none"/>
            <w:lang w:val="tr-TR"/>
          </w:rPr>
          <w:t>10.1080/10643389.2015.1010431</w:t>
        </w:r>
      </w:hyperlink>
    </w:p>
    <w:p w:rsidR="004A0F77" w:rsidRPr="0030196E" w:rsidRDefault="004A0F77" w:rsidP="00666724">
      <w:pPr>
        <w:numPr>
          <w:ilvl w:val="0"/>
          <w:numId w:val="38"/>
        </w:numPr>
        <w:spacing w:line="360" w:lineRule="auto"/>
        <w:jc w:val="both"/>
        <w:rPr>
          <w:b/>
          <w:bCs/>
        </w:rPr>
      </w:pPr>
      <w:r w:rsidRPr="0030196E">
        <w:rPr>
          <w:lang w:val="tr-TR"/>
        </w:rPr>
        <w:t xml:space="preserve">J. </w:t>
      </w:r>
      <w:proofErr w:type="spellStart"/>
      <w:r w:rsidRPr="0030196E">
        <w:rPr>
          <w:lang w:val="tr-TR"/>
        </w:rPr>
        <w:t>Chen</w:t>
      </w:r>
      <w:proofErr w:type="spellEnd"/>
      <w:r w:rsidRPr="0030196E">
        <w:rPr>
          <w:lang w:val="tr-TR"/>
        </w:rPr>
        <w:t xml:space="preserve">, F. Fu, S. </w:t>
      </w:r>
      <w:proofErr w:type="spellStart"/>
      <w:r w:rsidRPr="0030196E">
        <w:rPr>
          <w:lang w:val="tr-TR"/>
        </w:rPr>
        <w:t>Wu</w:t>
      </w:r>
      <w:proofErr w:type="spellEnd"/>
      <w:r w:rsidRPr="0030196E">
        <w:rPr>
          <w:lang w:val="tr-TR"/>
        </w:rPr>
        <w:t xml:space="preserve">, J. </w:t>
      </w:r>
      <w:proofErr w:type="spellStart"/>
      <w:r w:rsidRPr="0030196E">
        <w:rPr>
          <w:lang w:val="tr-TR"/>
        </w:rPr>
        <w:t>Wang</w:t>
      </w:r>
      <w:proofErr w:type="spellEnd"/>
      <w:r w:rsidRPr="0030196E">
        <w:rPr>
          <w:lang w:val="tr-TR"/>
        </w:rPr>
        <w:t xml:space="preserve">, Z. </w:t>
      </w:r>
      <w:proofErr w:type="spellStart"/>
      <w:r w:rsidRPr="0030196E">
        <w:rPr>
          <w:lang w:val="tr-TR"/>
        </w:rPr>
        <w:t>Wang</w:t>
      </w:r>
      <w:proofErr w:type="spellEnd"/>
      <w:r w:rsidRPr="0030196E">
        <w:rPr>
          <w:lang w:val="tr-TR"/>
        </w:rPr>
        <w:t>,</w:t>
      </w:r>
      <w:r w:rsidRPr="0030196E">
        <w:rPr>
          <w:bCs/>
          <w:lang w:val="tr-TR"/>
        </w:rPr>
        <w:t xml:space="preserve"> </w:t>
      </w:r>
      <w:r w:rsidRPr="0030196E">
        <w:rPr>
          <w:i/>
          <w:lang w:val="tr-TR"/>
        </w:rPr>
        <w:t xml:space="preserve">J. </w:t>
      </w:r>
      <w:proofErr w:type="spellStart"/>
      <w:r w:rsidRPr="0030196E">
        <w:rPr>
          <w:i/>
          <w:lang w:val="tr-TR"/>
        </w:rPr>
        <w:t>Sep</w:t>
      </w:r>
      <w:proofErr w:type="spellEnd"/>
      <w:r w:rsidRPr="0030196E">
        <w:rPr>
          <w:i/>
          <w:lang w:val="tr-TR"/>
        </w:rPr>
        <w:t xml:space="preserve">. </w:t>
      </w:r>
      <w:proofErr w:type="spellStart"/>
      <w:r w:rsidRPr="0030196E">
        <w:rPr>
          <w:i/>
          <w:lang w:val="tr-TR"/>
        </w:rPr>
        <w:t>Sci</w:t>
      </w:r>
      <w:proofErr w:type="spellEnd"/>
      <w:r w:rsidRPr="0030196E">
        <w:rPr>
          <w:i/>
          <w:lang w:val="tr-TR"/>
        </w:rPr>
        <w:t>.</w:t>
      </w:r>
      <w:r w:rsidRPr="0030196E">
        <w:rPr>
          <w:lang w:val="tr-TR"/>
        </w:rPr>
        <w:t> </w:t>
      </w:r>
      <w:r w:rsidRPr="0030196E">
        <w:rPr>
          <w:b/>
          <w:lang w:val="tr-TR"/>
        </w:rPr>
        <w:t xml:space="preserve">2017, </w:t>
      </w:r>
      <w:r w:rsidRPr="00AC7A35">
        <w:rPr>
          <w:i/>
          <w:lang w:val="tr-TR"/>
        </w:rPr>
        <w:t>40(19)</w:t>
      </w:r>
      <w:r w:rsidRPr="0030196E">
        <w:rPr>
          <w:lang w:val="tr-TR"/>
        </w:rPr>
        <w:t>, 3898-3904</w:t>
      </w:r>
      <w:r w:rsidR="00872F34">
        <w:rPr>
          <w:lang w:val="tr-TR"/>
        </w:rPr>
        <w:t>;</w:t>
      </w:r>
      <w:r w:rsidRPr="0030196E">
        <w:rPr>
          <w:lang w:val="tr-TR"/>
        </w:rPr>
        <w:t xml:space="preserve"> </w:t>
      </w:r>
      <w:r w:rsidRPr="0030196E">
        <w:rPr>
          <w:b/>
          <w:lang w:val="tr-TR"/>
        </w:rPr>
        <w:t>DOI:</w:t>
      </w:r>
      <w:hyperlink r:id="rId41" w:tgtFrame="_blank" w:history="1">
        <w:r w:rsidRPr="0030196E">
          <w:rPr>
            <w:rStyle w:val="Kpr"/>
            <w:color w:val="auto"/>
            <w:u w:val="none"/>
            <w:lang w:val="tr-TR"/>
          </w:rPr>
          <w:t>10.1002/jssc.201700455</w:t>
        </w:r>
      </w:hyperlink>
    </w:p>
    <w:p w:rsidR="004A0F77" w:rsidRPr="0030196E" w:rsidRDefault="004A0F77" w:rsidP="00666724">
      <w:pPr>
        <w:numPr>
          <w:ilvl w:val="0"/>
          <w:numId w:val="38"/>
        </w:numPr>
        <w:spacing w:line="360" w:lineRule="auto"/>
        <w:jc w:val="both"/>
        <w:rPr>
          <w:b/>
          <w:bCs/>
        </w:rPr>
      </w:pPr>
      <w:bookmarkStart w:id="11" w:name="baut0005"/>
      <w:r w:rsidRPr="0030196E">
        <w:rPr>
          <w:lang w:val="tr-TR"/>
        </w:rPr>
        <w:t>L.</w:t>
      </w:r>
      <w:r w:rsidR="00015B70">
        <w:rPr>
          <w:lang w:val="tr-TR"/>
        </w:rPr>
        <w:t xml:space="preserve"> </w:t>
      </w:r>
      <w:r w:rsidRPr="0030196E">
        <w:rPr>
          <w:lang w:val="tr-TR"/>
        </w:rPr>
        <w:t xml:space="preserve">M. </w:t>
      </w:r>
      <w:proofErr w:type="spellStart"/>
      <w:r w:rsidRPr="0030196E">
        <w:rPr>
          <w:lang w:val="tr-TR"/>
        </w:rPr>
        <w:t>Silva</w:t>
      </w:r>
      <w:proofErr w:type="spellEnd"/>
      <w:r w:rsidRPr="0030196E">
        <w:rPr>
          <w:lang w:val="tr-TR"/>
        </w:rPr>
        <w:t xml:space="preserve">, </w:t>
      </w:r>
      <w:bookmarkStart w:id="12" w:name="baut0010"/>
      <w:bookmarkEnd w:id="11"/>
      <w:r w:rsidRPr="0030196E">
        <w:t xml:space="preserve">D. </w:t>
      </w:r>
      <w:hyperlink r:id="rId42" w:anchor="!" w:history="1">
        <w:r w:rsidRPr="0030196E">
          <w:rPr>
            <w:rStyle w:val="Kpr"/>
            <w:color w:val="auto"/>
            <w:u w:val="none"/>
            <w:lang w:val="tr-TR"/>
          </w:rPr>
          <w:t xml:space="preserve">De </w:t>
        </w:r>
        <w:proofErr w:type="spellStart"/>
        <w:r w:rsidRPr="0030196E">
          <w:rPr>
            <w:rStyle w:val="Kpr"/>
            <w:color w:val="auto"/>
            <w:u w:val="none"/>
            <w:lang w:val="tr-TR"/>
          </w:rPr>
          <w:t>Souza</w:t>
        </w:r>
        <w:proofErr w:type="spellEnd"/>
      </w:hyperlink>
      <w:bookmarkEnd w:id="12"/>
      <w:r w:rsidRPr="0030196E">
        <w:t xml:space="preserve">, </w:t>
      </w:r>
      <w:hyperlink r:id="rId43" w:tooltip="Go to Electrochimica Acta on ScienceDirect" w:history="1">
        <w:proofErr w:type="spellStart"/>
        <w:r w:rsidRPr="0030196E">
          <w:rPr>
            <w:rStyle w:val="Kpr"/>
            <w:bCs/>
            <w:i/>
            <w:color w:val="auto"/>
            <w:u w:val="none"/>
            <w:lang w:val="tr-TR"/>
          </w:rPr>
          <w:t>Electrochimica</w:t>
        </w:r>
        <w:proofErr w:type="spellEnd"/>
        <w:r w:rsidRPr="0030196E">
          <w:rPr>
            <w:rStyle w:val="Kpr"/>
            <w:bCs/>
            <w:i/>
            <w:color w:val="auto"/>
            <w:u w:val="none"/>
            <w:lang w:val="tr-TR"/>
          </w:rPr>
          <w:t xml:space="preserve"> </w:t>
        </w:r>
        <w:proofErr w:type="spellStart"/>
        <w:r w:rsidRPr="0030196E">
          <w:rPr>
            <w:rStyle w:val="Kpr"/>
            <w:bCs/>
            <w:i/>
            <w:color w:val="auto"/>
            <w:u w:val="none"/>
            <w:lang w:val="tr-TR"/>
          </w:rPr>
          <w:t>Acta</w:t>
        </w:r>
        <w:proofErr w:type="spellEnd"/>
      </w:hyperlink>
      <w:r w:rsidRPr="0030196E">
        <w:rPr>
          <w:i/>
          <w:lang w:val="tr-TR"/>
        </w:rPr>
        <w:t xml:space="preserve"> </w:t>
      </w:r>
      <w:r w:rsidRPr="0030196E">
        <w:rPr>
          <w:b/>
          <w:bCs/>
          <w:lang w:val="tr-TR"/>
        </w:rPr>
        <w:t>2017</w:t>
      </w:r>
      <w:r w:rsidRPr="0030196E">
        <w:rPr>
          <w:bCs/>
          <w:lang w:val="tr-TR"/>
        </w:rPr>
        <w:t>,</w:t>
      </w:r>
      <w:r w:rsidR="00AC7A35">
        <w:rPr>
          <w:bCs/>
          <w:lang w:val="tr-TR"/>
        </w:rPr>
        <w:t xml:space="preserve"> </w:t>
      </w:r>
      <w:r w:rsidR="00AC7A35" w:rsidRPr="00AC7A35">
        <w:rPr>
          <w:bCs/>
          <w:i/>
          <w:lang w:val="tr-TR"/>
        </w:rPr>
        <w:t>224,</w:t>
      </w:r>
      <w:r w:rsidR="00872F34">
        <w:rPr>
          <w:bCs/>
          <w:lang w:val="tr-TR"/>
        </w:rPr>
        <w:t> 541-550;</w:t>
      </w:r>
      <w:r w:rsidRPr="0030196E">
        <w:rPr>
          <w:bCs/>
          <w:lang w:val="tr-TR"/>
        </w:rPr>
        <w:t xml:space="preserve"> </w:t>
      </w:r>
      <w:r w:rsidRPr="0030196E">
        <w:rPr>
          <w:b/>
          <w:bCs/>
          <w:lang w:val="tr-TR"/>
        </w:rPr>
        <w:t>DOI:</w:t>
      </w:r>
      <w:hyperlink r:id="rId44" w:tgtFrame="_blank" w:tooltip="Persistent link using digital object identifier" w:history="1">
        <w:r w:rsidRPr="0030196E">
          <w:rPr>
            <w:rStyle w:val="Kpr"/>
            <w:bCs/>
            <w:color w:val="auto"/>
            <w:u w:val="none"/>
          </w:rPr>
          <w:t>10.1016/j.electacta.2016.11.133</w:t>
        </w:r>
      </w:hyperlink>
    </w:p>
    <w:p w:rsidR="004A0F77" w:rsidRPr="0030196E" w:rsidRDefault="004A0F77" w:rsidP="00666724">
      <w:pPr>
        <w:numPr>
          <w:ilvl w:val="0"/>
          <w:numId w:val="38"/>
        </w:numPr>
        <w:spacing w:line="360" w:lineRule="auto"/>
        <w:jc w:val="both"/>
        <w:rPr>
          <w:b/>
          <w:bCs/>
        </w:rPr>
      </w:pPr>
      <w:r w:rsidRPr="0030196E">
        <w:t xml:space="preserve">D. Amorello, </w:t>
      </w:r>
      <w:r w:rsidRPr="0030196E">
        <w:rPr>
          <w:lang w:val="tr-TR"/>
        </w:rPr>
        <w:t xml:space="preserve">S. </w:t>
      </w:r>
      <w:proofErr w:type="spellStart"/>
      <w:r w:rsidRPr="0030196E">
        <w:t>Orecchio</w:t>
      </w:r>
      <w:proofErr w:type="spellEnd"/>
      <w:r w:rsidRPr="0030196E">
        <w:t xml:space="preserve">, </w:t>
      </w:r>
      <w:hyperlink r:id="rId45" w:tooltip="Go to Microchemical Journal on ScienceDirect" w:history="1">
        <w:proofErr w:type="spellStart"/>
        <w:r w:rsidRPr="0030196E">
          <w:rPr>
            <w:rStyle w:val="Kpr"/>
            <w:bCs/>
            <w:i/>
            <w:color w:val="auto"/>
            <w:u w:val="none"/>
            <w:lang w:val="tr-TR"/>
          </w:rPr>
          <w:t>Microchemical</w:t>
        </w:r>
        <w:proofErr w:type="spellEnd"/>
        <w:r w:rsidRPr="0030196E">
          <w:rPr>
            <w:rStyle w:val="Kpr"/>
            <w:bCs/>
            <w:i/>
            <w:color w:val="auto"/>
            <w:u w:val="none"/>
            <w:lang w:val="tr-TR"/>
          </w:rPr>
          <w:t xml:space="preserve"> </w:t>
        </w:r>
        <w:proofErr w:type="spellStart"/>
        <w:r w:rsidRPr="0030196E">
          <w:rPr>
            <w:rStyle w:val="Kpr"/>
            <w:bCs/>
            <w:i/>
            <w:color w:val="auto"/>
            <w:u w:val="none"/>
            <w:lang w:val="tr-TR"/>
          </w:rPr>
          <w:t>Journal</w:t>
        </w:r>
        <w:proofErr w:type="spellEnd"/>
      </w:hyperlink>
      <w:r w:rsidRPr="0030196E">
        <w:rPr>
          <w:i/>
          <w:lang w:val="tr-TR"/>
        </w:rPr>
        <w:t xml:space="preserve"> </w:t>
      </w:r>
      <w:r w:rsidRPr="0030196E">
        <w:rPr>
          <w:b/>
          <w:lang w:val="tr-TR"/>
        </w:rPr>
        <w:t>2013,</w:t>
      </w:r>
      <w:r w:rsidRPr="0030196E">
        <w:rPr>
          <w:i/>
          <w:lang w:val="tr-TR"/>
        </w:rPr>
        <w:t xml:space="preserve"> </w:t>
      </w:r>
      <w:hyperlink r:id="rId46" w:tooltip="Go to table of contents for this volume/issue" w:history="1">
        <w:r w:rsidRPr="00AC7A35">
          <w:rPr>
            <w:rStyle w:val="Kpr"/>
            <w:bCs/>
            <w:i/>
            <w:color w:val="auto"/>
            <w:u w:val="none"/>
            <w:lang w:val="tr-TR"/>
          </w:rPr>
          <w:t>110</w:t>
        </w:r>
      </w:hyperlink>
      <w:r w:rsidRPr="0030196E">
        <w:rPr>
          <w:bCs/>
          <w:lang w:val="tr-TR"/>
        </w:rPr>
        <w:t>, 334-339</w:t>
      </w:r>
      <w:r w:rsidR="00872F34">
        <w:rPr>
          <w:bCs/>
          <w:lang w:val="tr-TR"/>
        </w:rPr>
        <w:t>;</w:t>
      </w:r>
      <w:r w:rsidRPr="0030196E">
        <w:rPr>
          <w:bCs/>
          <w:lang w:val="tr-TR"/>
        </w:rPr>
        <w:t xml:space="preserve"> </w:t>
      </w:r>
      <w:r w:rsidRPr="0030196E">
        <w:rPr>
          <w:b/>
          <w:bCs/>
          <w:lang w:val="tr-TR"/>
        </w:rPr>
        <w:t>DOI:</w:t>
      </w:r>
      <w:hyperlink r:id="rId47" w:tgtFrame="_blank" w:tooltip="Persistent link using digital object identifier" w:history="1">
        <w:r w:rsidRPr="0030196E">
          <w:rPr>
            <w:rStyle w:val="Kpr"/>
            <w:bCs/>
            <w:color w:val="auto"/>
            <w:u w:val="none"/>
          </w:rPr>
          <w:t>10.1016/j.microc.2013.05.002</w:t>
        </w:r>
      </w:hyperlink>
    </w:p>
    <w:p w:rsidR="004A0F77" w:rsidRPr="0030196E" w:rsidRDefault="004A0F77" w:rsidP="00666724">
      <w:pPr>
        <w:numPr>
          <w:ilvl w:val="0"/>
          <w:numId w:val="38"/>
        </w:numPr>
        <w:spacing w:line="360" w:lineRule="auto"/>
        <w:jc w:val="both"/>
      </w:pPr>
      <w:r w:rsidRPr="0030196E">
        <w:t xml:space="preserve">P. </w:t>
      </w:r>
      <w:proofErr w:type="spellStart"/>
      <w:r w:rsidRPr="0030196E">
        <w:t>Qiu</w:t>
      </w:r>
      <w:proofErr w:type="spellEnd"/>
      <w:r w:rsidRPr="0030196E">
        <w:t>, Y.</w:t>
      </w:r>
      <w:r w:rsidR="00015B70">
        <w:t xml:space="preserve"> </w:t>
      </w:r>
      <w:r w:rsidRPr="0030196E">
        <w:t xml:space="preserve">N. Ni, </w:t>
      </w:r>
      <w:r w:rsidRPr="0030196E">
        <w:rPr>
          <w:i/>
          <w:iCs/>
        </w:rPr>
        <w:t>Chin. Chem. Lett.</w:t>
      </w:r>
      <w:r w:rsidRPr="0030196E">
        <w:t xml:space="preserve"> </w:t>
      </w:r>
      <w:r w:rsidRPr="0030196E">
        <w:rPr>
          <w:b/>
        </w:rPr>
        <w:t>2008,</w:t>
      </w:r>
      <w:r w:rsidRPr="0030196E">
        <w:t xml:space="preserve"> </w:t>
      </w:r>
      <w:r w:rsidRPr="00AC7A35">
        <w:rPr>
          <w:i/>
          <w:iCs/>
        </w:rPr>
        <w:t>19</w:t>
      </w:r>
      <w:r w:rsidRPr="00AC7A35">
        <w:rPr>
          <w:i/>
        </w:rPr>
        <w:t>(11)</w:t>
      </w:r>
      <w:r w:rsidRPr="0030196E">
        <w:t>, 1337–1340</w:t>
      </w:r>
      <w:r w:rsidR="00872F34">
        <w:t>;</w:t>
      </w:r>
      <w:r w:rsidRPr="0030196E">
        <w:t xml:space="preserve"> </w:t>
      </w:r>
      <w:hyperlink r:id="rId48" w:tgtFrame="_blank" w:tooltip="Persistent link using digital object identifier" w:history="1">
        <w:r w:rsidRPr="0030196E">
          <w:rPr>
            <w:rStyle w:val="Kpr"/>
            <w:b/>
            <w:color w:val="auto"/>
            <w:u w:val="none"/>
          </w:rPr>
          <w:t>DOI:</w:t>
        </w:r>
        <w:r w:rsidRPr="0030196E">
          <w:rPr>
            <w:rStyle w:val="Kpr"/>
            <w:color w:val="auto"/>
            <w:u w:val="none"/>
          </w:rPr>
          <w:t>10.1016/j.cclet.2008.07.013</w:t>
        </w:r>
      </w:hyperlink>
    </w:p>
    <w:p w:rsidR="004A0F77" w:rsidRPr="0030196E" w:rsidRDefault="004A0F77" w:rsidP="00666724">
      <w:pPr>
        <w:numPr>
          <w:ilvl w:val="0"/>
          <w:numId w:val="38"/>
        </w:numPr>
        <w:spacing w:line="360" w:lineRule="auto"/>
        <w:jc w:val="both"/>
        <w:rPr>
          <w:b/>
          <w:bCs/>
        </w:rPr>
      </w:pPr>
      <w:r w:rsidRPr="0030196E">
        <w:t>D.</w:t>
      </w:r>
      <w:r w:rsidR="00015B70">
        <w:t xml:space="preserve"> </w:t>
      </w:r>
      <w:r w:rsidRPr="0030196E">
        <w:t xml:space="preserve">M. </w:t>
      </w:r>
      <w:proofErr w:type="spellStart"/>
      <w:r w:rsidRPr="0030196E">
        <w:t>Stankovi´c</w:t>
      </w:r>
      <w:proofErr w:type="spellEnd"/>
      <w:r w:rsidRPr="0030196E">
        <w:t xml:space="preserve">, K. </w:t>
      </w:r>
      <w:proofErr w:type="spellStart"/>
      <w:r w:rsidRPr="0030196E">
        <w:t>Kalcher</w:t>
      </w:r>
      <w:proofErr w:type="spellEnd"/>
      <w:r w:rsidRPr="0030196E">
        <w:t xml:space="preserve">, </w:t>
      </w:r>
      <w:r w:rsidRPr="0030196E">
        <w:rPr>
          <w:i/>
          <w:iCs/>
        </w:rPr>
        <w:t xml:space="preserve">Sens. Actuators B </w:t>
      </w:r>
      <w:r w:rsidRPr="0030196E">
        <w:rPr>
          <w:b/>
          <w:iCs/>
        </w:rPr>
        <w:t>2016,</w:t>
      </w:r>
      <w:r w:rsidR="002E6EF4" w:rsidRPr="0030196E">
        <w:rPr>
          <w:i/>
          <w:iCs/>
        </w:rPr>
        <w:t xml:space="preserve"> </w:t>
      </w:r>
      <w:r w:rsidR="002E6EF4" w:rsidRPr="00AC7A35">
        <w:rPr>
          <w:i/>
          <w:iCs/>
        </w:rPr>
        <w:t>233</w:t>
      </w:r>
      <w:r w:rsidR="00872F34">
        <w:rPr>
          <w:iCs/>
        </w:rPr>
        <w:t>, 144-147;</w:t>
      </w:r>
      <w:r w:rsidRPr="0030196E">
        <w:rPr>
          <w:iCs/>
        </w:rPr>
        <w:t xml:space="preserve"> </w:t>
      </w:r>
      <w:proofErr w:type="gramStart"/>
      <w:r w:rsidRPr="0030196E">
        <w:rPr>
          <w:b/>
          <w:iCs/>
        </w:rPr>
        <w:t>DOI:</w:t>
      </w:r>
      <w:r w:rsidR="00AC7A35">
        <w:rPr>
          <w:iCs/>
        </w:rPr>
        <w:t>10.1016/j.snb</w:t>
      </w:r>
      <w:proofErr w:type="gramEnd"/>
      <w:r w:rsidR="00AC7A35">
        <w:rPr>
          <w:iCs/>
        </w:rPr>
        <w:t>.2016.04.069</w:t>
      </w:r>
    </w:p>
    <w:p w:rsidR="002E6EF4" w:rsidRPr="0030196E" w:rsidRDefault="002E6EF4" w:rsidP="002E6EF4">
      <w:pPr>
        <w:numPr>
          <w:ilvl w:val="0"/>
          <w:numId w:val="38"/>
        </w:numPr>
        <w:spacing w:line="360" w:lineRule="auto"/>
        <w:jc w:val="both"/>
        <w:rPr>
          <w:b/>
          <w:bCs/>
        </w:rPr>
      </w:pPr>
      <w:r w:rsidRPr="0030196E">
        <w:t xml:space="preserve">L. </w:t>
      </w:r>
      <w:proofErr w:type="spellStart"/>
      <w:r w:rsidRPr="0030196E">
        <w:t>Janíková-Bandžuchová</w:t>
      </w:r>
      <w:proofErr w:type="spellEnd"/>
      <w:r w:rsidRPr="0030196E">
        <w:t xml:space="preserve">, R. </w:t>
      </w:r>
      <w:proofErr w:type="spellStart"/>
      <w:r w:rsidRPr="0030196E">
        <w:t>Šelešovská</w:t>
      </w:r>
      <w:proofErr w:type="spellEnd"/>
      <w:r w:rsidRPr="0030196E">
        <w:t xml:space="preserve">, K. </w:t>
      </w:r>
      <w:proofErr w:type="spellStart"/>
      <w:r w:rsidRPr="0030196E">
        <w:t>Schwarzová-Pecková</w:t>
      </w:r>
      <w:proofErr w:type="spellEnd"/>
      <w:r w:rsidRPr="0030196E">
        <w:t xml:space="preserve">, J. </w:t>
      </w:r>
      <w:proofErr w:type="spellStart"/>
      <w:r w:rsidRPr="0030196E">
        <w:t>Chýlková</w:t>
      </w:r>
      <w:proofErr w:type="spellEnd"/>
      <w:r w:rsidRPr="0030196E">
        <w:t xml:space="preserve">, </w:t>
      </w:r>
      <w:proofErr w:type="spellStart"/>
      <w:r w:rsidRPr="0030196E">
        <w:rPr>
          <w:i/>
        </w:rPr>
        <w:t>Electrochimica</w:t>
      </w:r>
      <w:proofErr w:type="spellEnd"/>
      <w:r w:rsidRPr="0030196E">
        <w:rPr>
          <w:i/>
        </w:rPr>
        <w:t xml:space="preserve"> </w:t>
      </w:r>
      <w:proofErr w:type="spellStart"/>
      <w:r w:rsidRPr="0030196E">
        <w:rPr>
          <w:i/>
        </w:rPr>
        <w:t>Acta</w:t>
      </w:r>
      <w:proofErr w:type="spellEnd"/>
      <w:r w:rsidRPr="0030196E">
        <w:t xml:space="preserve"> </w:t>
      </w:r>
      <w:r w:rsidRPr="0030196E">
        <w:rPr>
          <w:b/>
        </w:rPr>
        <w:t xml:space="preserve">2015, </w:t>
      </w:r>
      <w:r w:rsidRPr="00AC7A35">
        <w:rPr>
          <w:i/>
        </w:rPr>
        <w:t>154</w:t>
      </w:r>
      <w:r w:rsidRPr="0030196E">
        <w:t>, 421–429</w:t>
      </w:r>
      <w:r w:rsidR="00872F34">
        <w:t>;</w:t>
      </w:r>
      <w:r w:rsidRPr="0030196E">
        <w:t xml:space="preserve"> </w:t>
      </w:r>
      <w:proofErr w:type="gramStart"/>
      <w:r w:rsidRPr="0030196E">
        <w:rPr>
          <w:b/>
        </w:rPr>
        <w:t>DOI:</w:t>
      </w:r>
      <w:r w:rsidR="00AC7A35">
        <w:t>10.1016/j.electacta</w:t>
      </w:r>
      <w:proofErr w:type="gramEnd"/>
      <w:r w:rsidR="00AC7A35">
        <w:t>.2014.12.064</w:t>
      </w:r>
    </w:p>
    <w:p w:rsidR="006070A5" w:rsidRPr="0030196E" w:rsidRDefault="00EF6759" w:rsidP="00A66456">
      <w:pPr>
        <w:numPr>
          <w:ilvl w:val="0"/>
          <w:numId w:val="38"/>
        </w:numPr>
        <w:spacing w:line="360" w:lineRule="auto"/>
        <w:jc w:val="both"/>
        <w:rPr>
          <w:bCs/>
        </w:rPr>
      </w:pPr>
      <w:r w:rsidRPr="0030196E">
        <w:rPr>
          <w:bCs/>
        </w:rPr>
        <w:t xml:space="preserve">A. </w:t>
      </w:r>
      <w:proofErr w:type="spellStart"/>
      <w:r w:rsidR="006070A5" w:rsidRPr="0030196E">
        <w:rPr>
          <w:bCs/>
        </w:rPr>
        <w:t>Vasilescu</w:t>
      </w:r>
      <w:proofErr w:type="spellEnd"/>
      <w:r w:rsidR="006070A5" w:rsidRPr="0030196E">
        <w:rPr>
          <w:bCs/>
        </w:rPr>
        <w:t xml:space="preserve">, </w:t>
      </w:r>
      <w:r w:rsidRPr="0030196E">
        <w:rPr>
          <w:bCs/>
        </w:rPr>
        <w:t>A.</w:t>
      </w:r>
      <w:r w:rsidR="00015B70">
        <w:rPr>
          <w:bCs/>
        </w:rPr>
        <w:t xml:space="preserve"> </w:t>
      </w:r>
      <w:r w:rsidRPr="0030196E">
        <w:rPr>
          <w:bCs/>
        </w:rPr>
        <w:t xml:space="preserve">M. </w:t>
      </w:r>
      <w:proofErr w:type="spellStart"/>
      <w:r w:rsidR="006070A5" w:rsidRPr="0030196E">
        <w:rPr>
          <w:bCs/>
        </w:rPr>
        <w:t>Titoiu</w:t>
      </w:r>
      <w:proofErr w:type="spellEnd"/>
      <w:r w:rsidR="006070A5" w:rsidRPr="0030196E">
        <w:rPr>
          <w:bCs/>
        </w:rPr>
        <w:t xml:space="preserve">, </w:t>
      </w:r>
      <w:r w:rsidRPr="0030196E">
        <w:rPr>
          <w:bCs/>
        </w:rPr>
        <w:t xml:space="preserve">C. </w:t>
      </w:r>
      <w:proofErr w:type="spellStart"/>
      <w:r w:rsidR="006070A5" w:rsidRPr="0030196E">
        <w:rPr>
          <w:bCs/>
        </w:rPr>
        <w:t>Purcarea</w:t>
      </w:r>
      <w:proofErr w:type="spellEnd"/>
      <w:r w:rsidR="006070A5" w:rsidRPr="0030196E">
        <w:rPr>
          <w:bCs/>
        </w:rPr>
        <w:t xml:space="preserve">, </w:t>
      </w:r>
      <w:r w:rsidRPr="0030196E">
        <w:rPr>
          <w:bCs/>
        </w:rPr>
        <w:t xml:space="preserve">G. </w:t>
      </w:r>
      <w:proofErr w:type="spellStart"/>
      <w:r w:rsidR="006070A5" w:rsidRPr="0030196E">
        <w:rPr>
          <w:bCs/>
        </w:rPr>
        <w:t>Necula-Petrareanu</w:t>
      </w:r>
      <w:proofErr w:type="spellEnd"/>
      <w:r w:rsidR="006070A5" w:rsidRPr="0030196E">
        <w:rPr>
          <w:bCs/>
        </w:rPr>
        <w:t xml:space="preserve">, Romanian OSIM Patent Application No. A/00587, </w:t>
      </w:r>
      <w:r w:rsidR="006070A5" w:rsidRPr="00015B70">
        <w:rPr>
          <w:bCs/>
        </w:rPr>
        <w:t>13 August</w:t>
      </w:r>
      <w:r w:rsidR="006070A5" w:rsidRPr="0030196E">
        <w:rPr>
          <w:bCs/>
        </w:rPr>
        <w:t xml:space="preserve"> </w:t>
      </w:r>
      <w:r w:rsidR="006070A5" w:rsidRPr="0030196E">
        <w:rPr>
          <w:b/>
          <w:bCs/>
        </w:rPr>
        <w:t>2018</w:t>
      </w:r>
      <w:bookmarkStart w:id="13" w:name="_GoBack"/>
      <w:bookmarkEnd w:id="13"/>
    </w:p>
    <w:p w:rsidR="002E6EF4" w:rsidRPr="0030196E" w:rsidRDefault="002E6EF4" w:rsidP="000E3533">
      <w:pPr>
        <w:numPr>
          <w:ilvl w:val="0"/>
          <w:numId w:val="38"/>
        </w:numPr>
        <w:spacing w:line="360" w:lineRule="auto"/>
        <w:jc w:val="both"/>
        <w:rPr>
          <w:b/>
          <w:bCs/>
        </w:rPr>
      </w:pPr>
      <w:r w:rsidRPr="0030196E">
        <w:rPr>
          <w:bCs/>
        </w:rPr>
        <w:lastRenderedPageBreak/>
        <w:t>R</w:t>
      </w:r>
      <w:r w:rsidR="000E3533" w:rsidRPr="0030196E">
        <w:rPr>
          <w:bCs/>
        </w:rPr>
        <w:t xml:space="preserve">. </w:t>
      </w:r>
      <w:proofErr w:type="spellStart"/>
      <w:r w:rsidRPr="0030196E">
        <w:rPr>
          <w:bCs/>
        </w:rPr>
        <w:t>Šelešovská</w:t>
      </w:r>
      <w:proofErr w:type="spellEnd"/>
      <w:r w:rsidR="000E3533" w:rsidRPr="0030196E">
        <w:rPr>
          <w:bCs/>
        </w:rPr>
        <w:t xml:space="preserve">, </w:t>
      </w:r>
      <w:r w:rsidRPr="0030196E">
        <w:rPr>
          <w:bCs/>
        </w:rPr>
        <w:t>K</w:t>
      </w:r>
      <w:r w:rsidR="000E3533" w:rsidRPr="0030196E">
        <w:rPr>
          <w:bCs/>
        </w:rPr>
        <w:t xml:space="preserve">. </w:t>
      </w:r>
      <w:proofErr w:type="spellStart"/>
      <w:r w:rsidRPr="0030196E">
        <w:rPr>
          <w:bCs/>
        </w:rPr>
        <w:t>Schwarzová-Pecková</w:t>
      </w:r>
      <w:proofErr w:type="spellEnd"/>
      <w:r w:rsidR="000E3533" w:rsidRPr="0030196E">
        <w:rPr>
          <w:bCs/>
        </w:rPr>
        <w:t xml:space="preserve">, </w:t>
      </w:r>
      <w:r w:rsidRPr="0030196E">
        <w:rPr>
          <w:bCs/>
        </w:rPr>
        <w:t>R</w:t>
      </w:r>
      <w:r w:rsidR="000E3533" w:rsidRPr="0030196E">
        <w:rPr>
          <w:bCs/>
        </w:rPr>
        <w:t xml:space="preserve">. </w:t>
      </w:r>
      <w:proofErr w:type="spellStart"/>
      <w:r w:rsidRPr="0030196E">
        <w:rPr>
          <w:bCs/>
        </w:rPr>
        <w:t>Sokolová</w:t>
      </w:r>
      <w:proofErr w:type="spellEnd"/>
      <w:r w:rsidR="000E3533" w:rsidRPr="0030196E">
        <w:rPr>
          <w:bCs/>
        </w:rPr>
        <w:t xml:space="preserve">, </w:t>
      </w:r>
      <w:r w:rsidRPr="0030196E">
        <w:rPr>
          <w:bCs/>
        </w:rPr>
        <w:t>K</w:t>
      </w:r>
      <w:r w:rsidR="000E3533" w:rsidRPr="0030196E">
        <w:rPr>
          <w:bCs/>
        </w:rPr>
        <w:t xml:space="preserve">. </w:t>
      </w:r>
      <w:proofErr w:type="spellStart"/>
      <w:r w:rsidRPr="0030196E">
        <w:rPr>
          <w:bCs/>
        </w:rPr>
        <w:t>Krejčová</w:t>
      </w:r>
      <w:proofErr w:type="spellEnd"/>
      <w:r w:rsidR="000E3533" w:rsidRPr="0030196E">
        <w:rPr>
          <w:bCs/>
        </w:rPr>
        <w:t xml:space="preserve">, </w:t>
      </w:r>
      <w:r w:rsidRPr="0030196E">
        <w:rPr>
          <w:bCs/>
        </w:rPr>
        <w:t>P</w:t>
      </w:r>
      <w:r w:rsidR="000E3533" w:rsidRPr="0030196E">
        <w:rPr>
          <w:bCs/>
        </w:rPr>
        <w:t xml:space="preserve">. </w:t>
      </w:r>
      <w:proofErr w:type="spellStart"/>
      <w:r w:rsidRPr="0030196E">
        <w:rPr>
          <w:bCs/>
        </w:rPr>
        <w:t>Martinková-Kelíšková</w:t>
      </w:r>
      <w:proofErr w:type="spellEnd"/>
      <w:r w:rsidR="000E3533" w:rsidRPr="0030196E">
        <w:rPr>
          <w:bCs/>
        </w:rPr>
        <w:t xml:space="preserve">, </w:t>
      </w:r>
      <w:proofErr w:type="spellStart"/>
      <w:r w:rsidR="000E3533" w:rsidRPr="0030196E">
        <w:rPr>
          <w:i/>
        </w:rPr>
        <w:t>Electrochimica</w:t>
      </w:r>
      <w:proofErr w:type="spellEnd"/>
      <w:r w:rsidR="000E3533" w:rsidRPr="0030196E">
        <w:rPr>
          <w:i/>
        </w:rPr>
        <w:t xml:space="preserve"> </w:t>
      </w:r>
      <w:proofErr w:type="spellStart"/>
      <w:r w:rsidR="000E3533" w:rsidRPr="0030196E">
        <w:rPr>
          <w:i/>
        </w:rPr>
        <w:t>Acta</w:t>
      </w:r>
      <w:proofErr w:type="spellEnd"/>
      <w:r w:rsidR="000E3533" w:rsidRPr="0030196E">
        <w:t xml:space="preserve"> </w:t>
      </w:r>
      <w:r w:rsidR="000E3533" w:rsidRPr="0030196E">
        <w:rPr>
          <w:b/>
        </w:rPr>
        <w:t xml:space="preserve">2015, </w:t>
      </w:r>
      <w:r w:rsidR="000E3533" w:rsidRPr="00AC7A35">
        <w:rPr>
          <w:i/>
        </w:rPr>
        <w:t>381(10)</w:t>
      </w:r>
      <w:r w:rsidR="000E3533" w:rsidRPr="0030196E">
        <w:t>, 138260</w:t>
      </w:r>
      <w:r w:rsidR="00872F34">
        <w:t>;</w:t>
      </w:r>
      <w:r w:rsidR="000E3533" w:rsidRPr="0030196E">
        <w:t xml:space="preserve"> </w:t>
      </w:r>
      <w:proofErr w:type="gramStart"/>
      <w:r w:rsidR="000E3533" w:rsidRPr="0030196E">
        <w:rPr>
          <w:b/>
        </w:rPr>
        <w:t>DOI:</w:t>
      </w:r>
      <w:r w:rsidR="000E3533" w:rsidRPr="0030196E">
        <w:t>10.1016/j.electacta</w:t>
      </w:r>
      <w:proofErr w:type="gramEnd"/>
      <w:r w:rsidR="000E3533" w:rsidRPr="0030196E">
        <w:t>.2021.138260</w:t>
      </w:r>
    </w:p>
    <w:p w:rsidR="004A0F77" w:rsidRPr="0030196E" w:rsidRDefault="004A0F77" w:rsidP="00666724">
      <w:pPr>
        <w:numPr>
          <w:ilvl w:val="0"/>
          <w:numId w:val="38"/>
        </w:numPr>
        <w:spacing w:line="360" w:lineRule="auto"/>
        <w:jc w:val="both"/>
        <w:rPr>
          <w:b/>
          <w:bCs/>
        </w:rPr>
      </w:pPr>
      <w:r w:rsidRPr="0030196E">
        <w:rPr>
          <w:iCs/>
        </w:rPr>
        <w:t>N.</w:t>
      </w:r>
      <w:r w:rsidR="00DB42BA">
        <w:rPr>
          <w:iCs/>
        </w:rPr>
        <w:t xml:space="preserve"> </w:t>
      </w:r>
      <w:r w:rsidRPr="0030196E">
        <w:rPr>
          <w:iCs/>
        </w:rPr>
        <w:t>S.</w:t>
      </w:r>
      <w:r w:rsidR="00DB42BA">
        <w:rPr>
          <w:iCs/>
        </w:rPr>
        <w:t xml:space="preserve"> </w:t>
      </w:r>
      <w:r w:rsidRPr="0030196E">
        <w:rPr>
          <w:iCs/>
        </w:rPr>
        <w:t xml:space="preserve">Khan, D. Pradhan, S. </w:t>
      </w:r>
      <w:proofErr w:type="spellStart"/>
      <w:r w:rsidRPr="0030196E">
        <w:rPr>
          <w:iCs/>
        </w:rPr>
        <w:t>Choudhary</w:t>
      </w:r>
      <w:proofErr w:type="spellEnd"/>
      <w:r w:rsidRPr="0030196E">
        <w:rPr>
          <w:iCs/>
        </w:rPr>
        <w:t>, P</w:t>
      </w:r>
      <w:r w:rsidR="00DB42BA">
        <w:rPr>
          <w:iCs/>
        </w:rPr>
        <w:t>.</w:t>
      </w:r>
      <w:r w:rsidRPr="0030196E">
        <w:rPr>
          <w:iCs/>
        </w:rPr>
        <w:t xml:space="preserve"> </w:t>
      </w:r>
      <w:proofErr w:type="spellStart"/>
      <w:r w:rsidRPr="0030196E">
        <w:rPr>
          <w:iCs/>
        </w:rPr>
        <w:t>Saxena</w:t>
      </w:r>
      <w:proofErr w:type="spellEnd"/>
      <w:r w:rsidRPr="0030196E">
        <w:rPr>
          <w:iCs/>
        </w:rPr>
        <w:t>, N.</w:t>
      </w:r>
      <w:r w:rsidR="00DB42BA">
        <w:rPr>
          <w:iCs/>
        </w:rPr>
        <w:t xml:space="preserve"> </w:t>
      </w:r>
      <w:r w:rsidRPr="0030196E">
        <w:rPr>
          <w:iCs/>
        </w:rPr>
        <w:t xml:space="preserve">K. </w:t>
      </w:r>
      <w:proofErr w:type="spellStart"/>
      <w:r w:rsidRPr="0030196E">
        <w:rPr>
          <w:iCs/>
        </w:rPr>
        <w:t>Poddar</w:t>
      </w:r>
      <w:proofErr w:type="spellEnd"/>
      <w:r w:rsidRPr="0030196E">
        <w:rPr>
          <w:iCs/>
        </w:rPr>
        <w:t>, A.</w:t>
      </w:r>
      <w:r w:rsidR="00DB42BA">
        <w:rPr>
          <w:iCs/>
        </w:rPr>
        <w:t xml:space="preserve"> </w:t>
      </w:r>
      <w:r w:rsidRPr="0030196E">
        <w:rPr>
          <w:iCs/>
        </w:rPr>
        <w:t xml:space="preserve">K. Jain, </w:t>
      </w:r>
      <w:r w:rsidRPr="0030196E">
        <w:rPr>
          <w:i/>
          <w:iCs/>
        </w:rPr>
        <w:t xml:space="preserve">Journal of Analytical Science and </w:t>
      </w:r>
      <w:proofErr w:type="gramStart"/>
      <w:r w:rsidRPr="0030196E">
        <w:rPr>
          <w:i/>
          <w:iCs/>
        </w:rPr>
        <w:t xml:space="preserve">Technology </w:t>
      </w:r>
      <w:r w:rsidRPr="0030196E">
        <w:rPr>
          <w:iCs/>
        </w:rPr>
        <w:t xml:space="preserve"> </w:t>
      </w:r>
      <w:r w:rsidRPr="0030196E">
        <w:rPr>
          <w:b/>
          <w:iCs/>
        </w:rPr>
        <w:t>2021</w:t>
      </w:r>
      <w:proofErr w:type="gramEnd"/>
      <w:r w:rsidRPr="0030196E">
        <w:rPr>
          <w:iCs/>
        </w:rPr>
        <w:t>,  12-32</w:t>
      </w:r>
      <w:r w:rsidR="00872F34">
        <w:rPr>
          <w:iCs/>
        </w:rPr>
        <w:t>;</w:t>
      </w:r>
      <w:r w:rsidRPr="0030196E">
        <w:rPr>
          <w:iCs/>
        </w:rPr>
        <w:t xml:space="preserve"> </w:t>
      </w:r>
      <w:r w:rsidRPr="0030196E">
        <w:rPr>
          <w:b/>
          <w:iCs/>
        </w:rPr>
        <w:t>DOI:</w:t>
      </w:r>
      <w:r w:rsidR="00AC7A35">
        <w:rPr>
          <w:iCs/>
        </w:rPr>
        <w:t>10.1186/s40543-021-00282-6</w:t>
      </w:r>
    </w:p>
    <w:p w:rsidR="004A0F77" w:rsidRPr="0030196E" w:rsidRDefault="004A0F77" w:rsidP="00666724">
      <w:pPr>
        <w:numPr>
          <w:ilvl w:val="0"/>
          <w:numId w:val="38"/>
        </w:numPr>
        <w:spacing w:line="360" w:lineRule="auto"/>
        <w:jc w:val="both"/>
        <w:rPr>
          <w:b/>
          <w:bCs/>
        </w:rPr>
      </w:pPr>
      <w:r w:rsidRPr="0030196E">
        <w:t>N.</w:t>
      </w:r>
      <w:r w:rsidR="00DB42BA">
        <w:t xml:space="preserve"> </w:t>
      </w:r>
      <w:r w:rsidRPr="0030196E">
        <w:t xml:space="preserve">I. </w:t>
      </w:r>
      <w:proofErr w:type="spellStart"/>
      <w:r w:rsidRPr="0030196E">
        <w:t>Zaabaa</w:t>
      </w:r>
      <w:proofErr w:type="spellEnd"/>
      <w:r w:rsidRPr="0030196E">
        <w:t>, K.</w:t>
      </w:r>
      <w:r w:rsidR="00DB42BA">
        <w:t xml:space="preserve"> </w:t>
      </w:r>
      <w:r w:rsidRPr="0030196E">
        <w:t>L</w:t>
      </w:r>
      <w:r w:rsidR="00DB42BA">
        <w:t xml:space="preserve">. </w:t>
      </w:r>
      <w:proofErr w:type="spellStart"/>
      <w:r w:rsidR="00DB42BA">
        <w:t>Fooa</w:t>
      </w:r>
      <w:proofErr w:type="spellEnd"/>
      <w:r w:rsidR="00DB42BA">
        <w:t xml:space="preserve">, U. </w:t>
      </w:r>
      <w:proofErr w:type="spellStart"/>
      <w:r w:rsidR="00DB42BA">
        <w:t>Hashima</w:t>
      </w:r>
      <w:r w:rsidR="00872F34">
        <w:t>d</w:t>
      </w:r>
      <w:proofErr w:type="spellEnd"/>
      <w:r w:rsidR="00DB42BA">
        <w:t>,</w:t>
      </w:r>
      <w:r w:rsidR="00872F34">
        <w:t xml:space="preserve"> S.</w:t>
      </w:r>
      <w:r w:rsidR="00DB42BA">
        <w:t xml:space="preserve"> </w:t>
      </w:r>
      <w:r w:rsidR="00872F34">
        <w:t xml:space="preserve">J. </w:t>
      </w:r>
      <w:proofErr w:type="spellStart"/>
      <w:r w:rsidR="00872F34">
        <w:t>Tanb</w:t>
      </w:r>
      <w:r w:rsidRPr="0030196E">
        <w:t>c</w:t>
      </w:r>
      <w:proofErr w:type="spellEnd"/>
      <w:r w:rsidRPr="0030196E">
        <w:t>, W.</w:t>
      </w:r>
      <w:r w:rsidR="00DB42BA">
        <w:t xml:space="preserve"> </w:t>
      </w:r>
      <w:r w:rsidRPr="0030196E">
        <w:t>W. Liu, C.</w:t>
      </w:r>
      <w:r w:rsidR="00DB42BA">
        <w:t xml:space="preserve"> </w:t>
      </w:r>
      <w:r w:rsidRPr="0030196E">
        <w:t xml:space="preserve">H. </w:t>
      </w:r>
      <w:proofErr w:type="spellStart"/>
      <w:r w:rsidRPr="0030196E">
        <w:t>Voona</w:t>
      </w:r>
      <w:proofErr w:type="spellEnd"/>
      <w:r w:rsidRPr="0030196E">
        <w:t xml:space="preserve">, </w:t>
      </w:r>
      <w:r w:rsidRPr="0030196E">
        <w:rPr>
          <w:i/>
        </w:rPr>
        <w:t xml:space="preserve">Solvent Influence </w:t>
      </w:r>
      <w:r w:rsidRPr="0030196E">
        <w:rPr>
          <w:b/>
        </w:rPr>
        <w:t>2017</w:t>
      </w:r>
      <w:r w:rsidRPr="0030196E">
        <w:t xml:space="preserve">, </w:t>
      </w:r>
      <w:r w:rsidRPr="00AC7A35">
        <w:rPr>
          <w:i/>
        </w:rPr>
        <w:t>8</w:t>
      </w:r>
      <w:r w:rsidR="00872F34">
        <w:t>, 469</w:t>
      </w:r>
      <w:r w:rsidRPr="0030196E">
        <w:t>–477</w:t>
      </w:r>
      <w:r w:rsidR="00872F34">
        <w:t>;</w:t>
      </w:r>
      <w:r w:rsidRPr="0030196E">
        <w:t xml:space="preserve"> </w:t>
      </w:r>
      <w:proofErr w:type="gramStart"/>
      <w:r w:rsidRPr="0030196E">
        <w:rPr>
          <w:b/>
        </w:rPr>
        <w:t>DOI:</w:t>
      </w:r>
      <w:r w:rsidR="00AC7A35">
        <w:t>10.1016/j.proeng</w:t>
      </w:r>
      <w:proofErr w:type="gramEnd"/>
      <w:r w:rsidR="00AC7A35">
        <w:t>.2017.04.118</w:t>
      </w:r>
    </w:p>
    <w:p w:rsidR="004A0F77" w:rsidRPr="0030196E" w:rsidRDefault="004A0F77" w:rsidP="00666724">
      <w:pPr>
        <w:numPr>
          <w:ilvl w:val="0"/>
          <w:numId w:val="38"/>
        </w:numPr>
        <w:spacing w:line="360" w:lineRule="auto"/>
        <w:jc w:val="both"/>
        <w:rPr>
          <w:b/>
          <w:bCs/>
        </w:rPr>
      </w:pPr>
      <w:r w:rsidRPr="0030196E">
        <w:t>Y. Xu, H.</w:t>
      </w:r>
      <w:r w:rsidR="00DB42BA">
        <w:t xml:space="preserve"> Bai, G. </w:t>
      </w:r>
      <w:r w:rsidRPr="0030196E">
        <w:t xml:space="preserve">Lu, C. Li, G. Shi, </w:t>
      </w:r>
      <w:r w:rsidRPr="0030196E">
        <w:rPr>
          <w:i/>
          <w:iCs/>
        </w:rPr>
        <w:t>J. Am. Chem. Soc.</w:t>
      </w:r>
      <w:r w:rsidRPr="0030196E">
        <w:t> </w:t>
      </w:r>
      <w:r w:rsidRPr="0030196E">
        <w:rPr>
          <w:b/>
        </w:rPr>
        <w:t>2008,</w:t>
      </w:r>
      <w:r w:rsidRPr="0030196E">
        <w:rPr>
          <w:b/>
          <w:bCs/>
        </w:rPr>
        <w:t xml:space="preserve"> </w:t>
      </w:r>
      <w:r w:rsidRPr="00AC7A35">
        <w:rPr>
          <w:i/>
          <w:iCs/>
        </w:rPr>
        <w:t>130</w:t>
      </w:r>
      <w:r w:rsidRPr="00AC7A35">
        <w:rPr>
          <w:i/>
        </w:rPr>
        <w:t>(18)</w:t>
      </w:r>
      <w:r w:rsidRPr="0030196E">
        <w:t xml:space="preserve">, 5856-5857. </w:t>
      </w:r>
      <w:hyperlink r:id="rId49" w:tooltip="DOI URL" w:history="1">
        <w:r w:rsidRPr="0030196E">
          <w:rPr>
            <w:rStyle w:val="Kpr"/>
            <w:b/>
            <w:color w:val="auto"/>
            <w:u w:val="none"/>
          </w:rPr>
          <w:t>DOI:</w:t>
        </w:r>
        <w:r w:rsidRPr="0030196E">
          <w:rPr>
            <w:rStyle w:val="Kpr"/>
            <w:color w:val="auto"/>
            <w:u w:val="none"/>
          </w:rPr>
          <w:t>10.1021/ja800745y</w:t>
        </w:r>
      </w:hyperlink>
    </w:p>
    <w:p w:rsidR="004A0F77" w:rsidRPr="0030196E" w:rsidRDefault="004A0F77" w:rsidP="00666724">
      <w:pPr>
        <w:numPr>
          <w:ilvl w:val="0"/>
          <w:numId w:val="38"/>
        </w:numPr>
        <w:spacing w:line="360" w:lineRule="auto"/>
        <w:jc w:val="both"/>
        <w:rPr>
          <w:b/>
          <w:bCs/>
        </w:rPr>
      </w:pPr>
      <w:r w:rsidRPr="0030196E">
        <w:t xml:space="preserve">X. Wang, I. </w:t>
      </w:r>
      <w:proofErr w:type="spellStart"/>
      <w:r w:rsidRPr="0030196E">
        <w:t>Kholmanov</w:t>
      </w:r>
      <w:proofErr w:type="spellEnd"/>
      <w:r w:rsidRPr="0030196E">
        <w:t>, H. Chou, S.</w:t>
      </w:r>
      <w:r w:rsidR="00DB42BA">
        <w:t xml:space="preserve"> </w:t>
      </w:r>
      <w:r w:rsidRPr="0030196E">
        <w:t xml:space="preserve">R. Rodney, </w:t>
      </w:r>
      <w:r w:rsidR="003F4342" w:rsidRPr="0030196E">
        <w:rPr>
          <w:i/>
          <w:iCs/>
        </w:rPr>
        <w:t>ACS Nano</w:t>
      </w:r>
      <w:r w:rsidRPr="0030196E">
        <w:rPr>
          <w:i/>
          <w:iCs/>
        </w:rPr>
        <w:t xml:space="preserve"> </w:t>
      </w:r>
      <w:r w:rsidRPr="0030196E">
        <w:rPr>
          <w:b/>
        </w:rPr>
        <w:t xml:space="preserve">2015, </w:t>
      </w:r>
      <w:r w:rsidRPr="00AC7A35">
        <w:rPr>
          <w:i/>
          <w:iCs/>
        </w:rPr>
        <w:t>9</w:t>
      </w:r>
      <w:r w:rsidRPr="00AC7A35">
        <w:rPr>
          <w:i/>
        </w:rPr>
        <w:t>(9)</w:t>
      </w:r>
      <w:r w:rsidR="00872F34">
        <w:t xml:space="preserve">, 87378743; </w:t>
      </w:r>
      <w:hyperlink r:id="rId50" w:tooltip="DOI URL" w:history="1">
        <w:r w:rsidRPr="0030196E">
          <w:rPr>
            <w:rStyle w:val="Kpr"/>
            <w:b/>
            <w:color w:val="auto"/>
            <w:u w:val="none"/>
          </w:rPr>
          <w:t>DOI:</w:t>
        </w:r>
        <w:r w:rsidRPr="0030196E">
          <w:rPr>
            <w:rStyle w:val="Kpr"/>
            <w:color w:val="auto"/>
            <w:u w:val="none"/>
          </w:rPr>
          <w:t>10.1021/acsnano.5b03814</w:t>
        </w:r>
      </w:hyperlink>
    </w:p>
    <w:p w:rsidR="004A0F77" w:rsidRPr="0030196E" w:rsidRDefault="004A0F77" w:rsidP="00666724">
      <w:pPr>
        <w:numPr>
          <w:ilvl w:val="0"/>
          <w:numId w:val="38"/>
        </w:numPr>
        <w:spacing w:line="360" w:lineRule="auto"/>
        <w:jc w:val="both"/>
        <w:rPr>
          <w:b/>
          <w:bCs/>
        </w:rPr>
      </w:pPr>
      <w:r w:rsidRPr="0030196E">
        <w:t xml:space="preserve">Y. Jiang, D. </w:t>
      </w:r>
      <w:proofErr w:type="spellStart"/>
      <w:r w:rsidRPr="0030196E">
        <w:t>Shengyuan</w:t>
      </w:r>
      <w:proofErr w:type="spellEnd"/>
      <w:r w:rsidRPr="0030196E">
        <w:t xml:space="preserve">, L. </w:t>
      </w:r>
      <w:proofErr w:type="spellStart"/>
      <w:r w:rsidRPr="0030196E">
        <w:t>Janping</w:t>
      </w:r>
      <w:proofErr w:type="spellEnd"/>
      <w:r w:rsidRPr="0030196E">
        <w:t xml:space="preserve">, J. </w:t>
      </w:r>
      <w:proofErr w:type="spellStart"/>
      <w:r w:rsidRPr="0030196E">
        <w:t>Huangxian</w:t>
      </w:r>
      <w:proofErr w:type="spellEnd"/>
      <w:r w:rsidRPr="0030196E">
        <w:t xml:space="preserve">, G. </w:t>
      </w:r>
      <w:proofErr w:type="spellStart"/>
      <w:r w:rsidRPr="0030196E">
        <w:t>Sundaram</w:t>
      </w:r>
      <w:proofErr w:type="spellEnd"/>
      <w:r w:rsidRPr="0030196E">
        <w:t xml:space="preserve">, </w:t>
      </w:r>
      <w:proofErr w:type="spellStart"/>
      <w:r w:rsidRPr="0030196E">
        <w:rPr>
          <w:i/>
          <w:iCs/>
        </w:rPr>
        <w:t>Biosens</w:t>
      </w:r>
      <w:proofErr w:type="spellEnd"/>
      <w:r w:rsidRPr="0030196E">
        <w:rPr>
          <w:i/>
          <w:iCs/>
        </w:rPr>
        <w:t xml:space="preserve">. </w:t>
      </w:r>
      <w:proofErr w:type="spellStart"/>
      <w:r w:rsidRPr="0030196E">
        <w:rPr>
          <w:i/>
          <w:iCs/>
        </w:rPr>
        <w:t>Bioelectron</w:t>
      </w:r>
      <w:proofErr w:type="spellEnd"/>
      <w:r w:rsidRPr="0030196E">
        <w:rPr>
          <w:i/>
          <w:iCs/>
        </w:rPr>
        <w:t>.</w:t>
      </w:r>
      <w:r w:rsidRPr="0030196E">
        <w:t xml:space="preserve"> </w:t>
      </w:r>
      <w:r w:rsidRPr="0030196E">
        <w:rPr>
          <w:b/>
        </w:rPr>
        <w:t>2011</w:t>
      </w:r>
      <w:r w:rsidRPr="0030196E">
        <w:t>,</w:t>
      </w:r>
      <w:r w:rsidRPr="0030196E">
        <w:rPr>
          <w:b/>
          <w:bCs/>
        </w:rPr>
        <w:t xml:space="preserve"> </w:t>
      </w:r>
      <w:r w:rsidRPr="00AC7A35">
        <w:rPr>
          <w:i/>
          <w:iCs/>
        </w:rPr>
        <w:t>29</w:t>
      </w:r>
      <w:r w:rsidRPr="00AC7A35">
        <w:rPr>
          <w:i/>
        </w:rPr>
        <w:t>(1)</w:t>
      </w:r>
      <w:r w:rsidRPr="0030196E">
        <w:t>, 159-166</w:t>
      </w:r>
      <w:r w:rsidR="00872F34">
        <w:t>;</w:t>
      </w:r>
      <w:r w:rsidRPr="0030196E">
        <w:t xml:space="preserve"> </w:t>
      </w:r>
      <w:hyperlink r:id="rId51" w:tgtFrame="_blank" w:tooltip="Persistent link using digital object identifier" w:history="1">
        <w:r w:rsidRPr="0030196E">
          <w:rPr>
            <w:rStyle w:val="Kpr"/>
            <w:b/>
            <w:color w:val="auto"/>
            <w:u w:val="none"/>
          </w:rPr>
          <w:t>DOI:</w:t>
        </w:r>
        <w:r w:rsidRPr="0030196E">
          <w:rPr>
            <w:rStyle w:val="Kpr"/>
            <w:color w:val="auto"/>
            <w:u w:val="none"/>
          </w:rPr>
          <w:t>10.1016/j.bios.2011.08.011</w:t>
        </w:r>
      </w:hyperlink>
    </w:p>
    <w:p w:rsidR="004A0F77" w:rsidRPr="0030196E" w:rsidRDefault="004A0F77" w:rsidP="00666724">
      <w:pPr>
        <w:numPr>
          <w:ilvl w:val="0"/>
          <w:numId w:val="38"/>
        </w:numPr>
        <w:spacing w:line="360" w:lineRule="auto"/>
        <w:jc w:val="both"/>
        <w:rPr>
          <w:b/>
          <w:bCs/>
        </w:rPr>
      </w:pPr>
      <w:r w:rsidRPr="0030196E">
        <w:t xml:space="preserve">D. </w:t>
      </w:r>
      <w:proofErr w:type="spellStart"/>
      <w:r w:rsidRPr="0030196E">
        <w:t>Caschera</w:t>
      </w:r>
      <w:proofErr w:type="spellEnd"/>
      <w:r w:rsidRPr="0030196E">
        <w:t xml:space="preserve">, F. </w:t>
      </w:r>
      <w:proofErr w:type="spellStart"/>
      <w:r w:rsidRPr="0030196E">
        <w:t>Federici</w:t>
      </w:r>
      <w:proofErr w:type="spellEnd"/>
      <w:r w:rsidRPr="0030196E">
        <w:t xml:space="preserve">, D. Zane, F. </w:t>
      </w:r>
      <w:proofErr w:type="spellStart"/>
      <w:r w:rsidRPr="0030196E">
        <w:t>Focanti</w:t>
      </w:r>
      <w:proofErr w:type="spellEnd"/>
      <w:r w:rsidRPr="0030196E">
        <w:t xml:space="preserve">, A. </w:t>
      </w:r>
      <w:proofErr w:type="spellStart"/>
      <w:r w:rsidRPr="0030196E">
        <w:t>Curulli</w:t>
      </w:r>
      <w:proofErr w:type="spellEnd"/>
      <w:r w:rsidRPr="0030196E">
        <w:t xml:space="preserve">, G. </w:t>
      </w:r>
      <w:proofErr w:type="spellStart"/>
      <w:r w:rsidRPr="0030196E">
        <w:t>Padeletti</w:t>
      </w:r>
      <w:proofErr w:type="spellEnd"/>
      <w:r w:rsidRPr="0030196E">
        <w:t xml:space="preserve">, </w:t>
      </w:r>
      <w:r w:rsidRPr="0030196E">
        <w:rPr>
          <w:i/>
        </w:rPr>
        <w:t xml:space="preserve">J. </w:t>
      </w:r>
      <w:proofErr w:type="spellStart"/>
      <w:r w:rsidRPr="0030196E">
        <w:rPr>
          <w:i/>
        </w:rPr>
        <w:t>Nanopart</w:t>
      </w:r>
      <w:proofErr w:type="spellEnd"/>
      <w:r w:rsidRPr="0030196E">
        <w:rPr>
          <w:i/>
        </w:rPr>
        <w:t>. Res.</w:t>
      </w:r>
      <w:r w:rsidRPr="0030196E">
        <w:t xml:space="preserve"> </w:t>
      </w:r>
      <w:r w:rsidRPr="0030196E">
        <w:rPr>
          <w:b/>
        </w:rPr>
        <w:t xml:space="preserve">2009, </w:t>
      </w:r>
      <w:r w:rsidRPr="0030196E">
        <w:rPr>
          <w:iCs/>
        </w:rPr>
        <w:t>11</w:t>
      </w:r>
      <w:r w:rsidRPr="0030196E">
        <w:t>, 1925–1936</w:t>
      </w:r>
      <w:r w:rsidR="00872F34">
        <w:t>;</w:t>
      </w:r>
      <w:r w:rsidRPr="0030196E">
        <w:t xml:space="preserve"> </w:t>
      </w:r>
      <w:r w:rsidRPr="0030196E">
        <w:rPr>
          <w:b/>
        </w:rPr>
        <w:t>DOI:</w:t>
      </w:r>
      <w:r w:rsidR="00AC7A35">
        <w:t>10.1007/s11051-008-9547-0</w:t>
      </w:r>
    </w:p>
    <w:p w:rsidR="004A0F77" w:rsidRPr="0030196E" w:rsidRDefault="004A0F77" w:rsidP="00666724">
      <w:pPr>
        <w:numPr>
          <w:ilvl w:val="0"/>
          <w:numId w:val="38"/>
        </w:numPr>
        <w:spacing w:line="360" w:lineRule="auto"/>
        <w:jc w:val="both"/>
        <w:rPr>
          <w:b/>
          <w:bCs/>
        </w:rPr>
      </w:pPr>
      <w:r w:rsidRPr="0030196E">
        <w:t>M.</w:t>
      </w:r>
      <w:r w:rsidR="00DB42BA">
        <w:t xml:space="preserve"> </w:t>
      </w:r>
      <w:r w:rsidRPr="0030196E">
        <w:t xml:space="preserve">H. </w:t>
      </w:r>
      <w:proofErr w:type="spellStart"/>
      <w:r w:rsidRPr="0030196E">
        <w:t>Mahnashi</w:t>
      </w:r>
      <w:proofErr w:type="spellEnd"/>
      <w:r w:rsidRPr="0030196E">
        <w:t>, A.M. Mahmoud, S.A. </w:t>
      </w:r>
      <w:proofErr w:type="spellStart"/>
      <w:r w:rsidRPr="0030196E">
        <w:t>Alkahtani</w:t>
      </w:r>
      <w:proofErr w:type="spellEnd"/>
      <w:r w:rsidRPr="0030196E">
        <w:t xml:space="preserve">, R. </w:t>
      </w:r>
      <w:proofErr w:type="gramStart"/>
      <w:r w:rsidRPr="0030196E">
        <w:t>Ali,  M.M.</w:t>
      </w:r>
      <w:proofErr w:type="gramEnd"/>
      <w:r w:rsidRPr="0030196E">
        <w:t xml:space="preserve"> El-</w:t>
      </w:r>
      <w:proofErr w:type="spellStart"/>
      <w:r w:rsidRPr="0030196E">
        <w:t>Wekil</w:t>
      </w:r>
      <w:proofErr w:type="spellEnd"/>
      <w:r w:rsidRPr="0030196E">
        <w:t xml:space="preserve">,  </w:t>
      </w:r>
      <w:r w:rsidRPr="0030196E">
        <w:rPr>
          <w:i/>
          <w:iCs/>
        </w:rPr>
        <w:t xml:space="preserve">Anal. </w:t>
      </w:r>
      <w:proofErr w:type="spellStart"/>
      <w:r w:rsidRPr="0030196E">
        <w:rPr>
          <w:i/>
          <w:iCs/>
        </w:rPr>
        <w:t>Bioanal</w:t>
      </w:r>
      <w:proofErr w:type="spellEnd"/>
      <w:r w:rsidRPr="0030196E">
        <w:rPr>
          <w:i/>
          <w:iCs/>
        </w:rPr>
        <w:t>. Chem.</w:t>
      </w:r>
      <w:r w:rsidRPr="0030196E">
        <w:rPr>
          <w:b/>
          <w:i/>
          <w:iCs/>
        </w:rPr>
        <w:t xml:space="preserve"> </w:t>
      </w:r>
      <w:r w:rsidRPr="0030196E">
        <w:rPr>
          <w:b/>
        </w:rPr>
        <w:t>2020</w:t>
      </w:r>
      <w:r w:rsidRPr="0030196E">
        <w:t>, </w:t>
      </w:r>
      <w:r w:rsidRPr="00AC7A35">
        <w:rPr>
          <w:bCs/>
          <w:i/>
        </w:rPr>
        <w:t>412</w:t>
      </w:r>
      <w:r w:rsidRPr="0030196E">
        <w:t>, 355–364</w:t>
      </w:r>
      <w:r w:rsidR="00872F34">
        <w:t>;</w:t>
      </w:r>
      <w:r w:rsidRPr="0030196E">
        <w:t xml:space="preserve"> </w:t>
      </w:r>
      <w:r w:rsidRPr="0030196E">
        <w:rPr>
          <w:b/>
        </w:rPr>
        <w:t>DOI:</w:t>
      </w:r>
      <w:r w:rsidR="00AC7A35">
        <w:t>10.1007/s00216-019-02245-8</w:t>
      </w:r>
    </w:p>
    <w:p w:rsidR="004A0F77" w:rsidRPr="0030196E" w:rsidRDefault="004A0F77" w:rsidP="00666724">
      <w:pPr>
        <w:numPr>
          <w:ilvl w:val="0"/>
          <w:numId w:val="38"/>
        </w:numPr>
        <w:spacing w:line="360" w:lineRule="auto"/>
        <w:jc w:val="both"/>
        <w:rPr>
          <w:b/>
          <w:bCs/>
        </w:rPr>
      </w:pPr>
      <w:r w:rsidRPr="0030196E">
        <w:t xml:space="preserve">Food and Agriculture Organization of the United Nations (FAO). </w:t>
      </w:r>
      <w:hyperlink r:id="rId52" w:history="1">
        <w:r w:rsidRPr="0030196E">
          <w:rPr>
            <w:rStyle w:val="Kpr"/>
            <w:color w:val="auto"/>
            <w:u w:val="none"/>
          </w:rPr>
          <w:t>www.fao.org/fao-who-codexalimentarius/codex-texts/dbs/pestres/pesticide-detail</w:t>
        </w:r>
      </w:hyperlink>
      <w:r w:rsidRPr="0030196E">
        <w:t xml:space="preserve">. (accessed December 22, </w:t>
      </w:r>
      <w:r w:rsidRPr="00872F34">
        <w:rPr>
          <w:b/>
        </w:rPr>
        <w:t>2021</w:t>
      </w:r>
      <w:r w:rsidRPr="0030196E">
        <w:t>).</w:t>
      </w:r>
    </w:p>
    <w:p w:rsidR="003236D4" w:rsidRPr="0030196E" w:rsidRDefault="003236D4" w:rsidP="008736CE">
      <w:pPr>
        <w:spacing w:line="240" w:lineRule="auto"/>
        <w:jc w:val="both"/>
        <w:rPr>
          <w:bCs/>
          <w:kern w:val="32"/>
        </w:rPr>
      </w:pPr>
    </w:p>
    <w:sectPr w:rsidR="003236D4" w:rsidRPr="0030196E" w:rsidSect="005117B0">
      <w:headerReference w:type="even" r:id="rId53"/>
      <w:headerReference w:type="default" r:id="rId54"/>
      <w:footerReference w:type="even" r:id="rId55"/>
      <w:footerReference w:type="default" r:id="rId56"/>
      <w:headerReference w:type="first" r:id="rId57"/>
      <w:footerReference w:type="first" r:id="rId58"/>
      <w:pgSz w:w="11901" w:h="16840" w:code="9"/>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A01" w:rsidRDefault="00CD1A01" w:rsidP="00AF2C92">
      <w:r>
        <w:separator/>
      </w:r>
    </w:p>
  </w:endnote>
  <w:endnote w:type="continuationSeparator" w:id="0">
    <w:p w:rsidR="00CD1A01" w:rsidRDefault="00CD1A01"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B70" w:rsidRDefault="00015B7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B70" w:rsidRDefault="00015B7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B70" w:rsidRDefault="00015B7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A01" w:rsidRDefault="00CD1A01" w:rsidP="00AF2C92">
      <w:r>
        <w:separator/>
      </w:r>
    </w:p>
  </w:footnote>
  <w:footnote w:type="continuationSeparator" w:id="0">
    <w:p w:rsidR="00CD1A01" w:rsidRDefault="00CD1A01" w:rsidP="00AF2C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B70" w:rsidRDefault="00015B7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B70" w:rsidRDefault="00015B7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B70" w:rsidRDefault="00015B7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9.3pt;height:1.7pt;visibility:visible;mso-wrap-style:square" o:bullet="t">
        <v:imagedata r:id="rId1" o:title=""/>
      </v:shape>
    </w:pict>
  </w:numPicBullet>
  <w:numPicBullet w:numPicBulletId="1">
    <w:pict>
      <v:shape id="_x0000_i1069" type="#_x0000_t75" style="width:19.3pt;height:1.7pt;visibility:visible;mso-wrap-style:square" o:bullet="t">
        <v:imagedata r:id="rId2" o:title=""/>
      </v:shape>
    </w:pict>
  </w:numPicBullet>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E846BF1"/>
    <w:multiLevelType w:val="multilevel"/>
    <w:tmpl w:val="C1B4D2AC"/>
    <w:lvl w:ilvl="0">
      <w:start w:val="1"/>
      <w:numFmt w:val="decimal"/>
      <w:lvlText w:val="%1."/>
      <w:lvlJc w:val="left"/>
      <w:pPr>
        <w:ind w:left="720" w:hanging="360"/>
      </w:p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196741B"/>
    <w:multiLevelType w:val="hybridMultilevel"/>
    <w:tmpl w:val="B94AC5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36E7601"/>
    <w:multiLevelType w:val="multilevel"/>
    <w:tmpl w:val="ACB8B5F6"/>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3D31A2C"/>
    <w:multiLevelType w:val="hybridMultilevel"/>
    <w:tmpl w:val="091CC840"/>
    <w:lvl w:ilvl="0" w:tplc="CA8A8644">
      <w:start w:val="1"/>
      <w:numFmt w:val="decimal"/>
      <w:lvlText w:val="%1."/>
      <w:lvlJc w:val="left"/>
      <w:pPr>
        <w:ind w:left="502" w:hanging="360"/>
      </w:pPr>
      <w:rPr>
        <w:b w:val="0"/>
        <w:color w:val="auto"/>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3" w15:restartNumberingAfterBreak="0">
    <w:nsid w:val="56CE6927"/>
    <w:multiLevelType w:val="multilevel"/>
    <w:tmpl w:val="B0F4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BB41A0"/>
    <w:multiLevelType w:val="multilevel"/>
    <w:tmpl w:val="AB4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8CD146D"/>
    <w:multiLevelType w:val="multilevel"/>
    <w:tmpl w:val="9D7C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EB35ED"/>
    <w:multiLevelType w:val="multilevel"/>
    <w:tmpl w:val="1CEA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4"/>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5"/>
  </w:num>
  <w:num w:numId="15">
    <w:abstractNumId w:val="15"/>
  </w:num>
  <w:num w:numId="16">
    <w:abstractNumId w:val="18"/>
  </w:num>
  <w:num w:numId="17">
    <w:abstractNumId w:val="11"/>
  </w:num>
  <w:num w:numId="18">
    <w:abstractNumId w:val="0"/>
  </w:num>
  <w:num w:numId="19">
    <w:abstractNumId w:val="12"/>
  </w:num>
  <w:num w:numId="20">
    <w:abstractNumId w:val="25"/>
  </w:num>
  <w:num w:numId="21">
    <w:abstractNumId w:val="25"/>
  </w:num>
  <w:num w:numId="22">
    <w:abstractNumId w:val="25"/>
  </w:num>
  <w:num w:numId="23">
    <w:abstractNumId w:val="25"/>
  </w:num>
  <w:num w:numId="24">
    <w:abstractNumId w:val="19"/>
  </w:num>
  <w:num w:numId="25">
    <w:abstractNumId w:val="20"/>
  </w:num>
  <w:num w:numId="26">
    <w:abstractNumId w:val="26"/>
  </w:num>
  <w:num w:numId="27">
    <w:abstractNumId w:val="28"/>
  </w:num>
  <w:num w:numId="28">
    <w:abstractNumId w:val="25"/>
  </w:num>
  <w:num w:numId="29">
    <w:abstractNumId w:val="14"/>
  </w:num>
  <w:num w:numId="30">
    <w:abstractNumId w:val="29"/>
  </w:num>
  <w:num w:numId="31">
    <w:abstractNumId w:val="21"/>
  </w:num>
  <w:num w:numId="32">
    <w:abstractNumId w:val="17"/>
  </w:num>
  <w:num w:numId="33">
    <w:abstractNumId w:val="27"/>
  </w:num>
  <w:num w:numId="34">
    <w:abstractNumId w:val="31"/>
  </w:num>
  <w:num w:numId="35">
    <w:abstractNumId w:val="23"/>
  </w:num>
  <w:num w:numId="36">
    <w:abstractNumId w:val="30"/>
  </w:num>
  <w:num w:numId="37">
    <w:abstractNumId w:val="13"/>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MzQxNDM2BtKWRko6SsGpxcWZ+XkgBUbGtQCP9Wk0LQAAAA=="/>
  </w:docVars>
  <w:rsids>
    <w:rsidRoot w:val="00016515"/>
    <w:rsid w:val="00001899"/>
    <w:rsid w:val="000049AD"/>
    <w:rsid w:val="00004CBC"/>
    <w:rsid w:val="0000681B"/>
    <w:rsid w:val="000133C0"/>
    <w:rsid w:val="00014C4E"/>
    <w:rsid w:val="00015B70"/>
    <w:rsid w:val="00016515"/>
    <w:rsid w:val="00017107"/>
    <w:rsid w:val="000202E2"/>
    <w:rsid w:val="00022441"/>
    <w:rsid w:val="0002261E"/>
    <w:rsid w:val="00023C7C"/>
    <w:rsid w:val="00024839"/>
    <w:rsid w:val="00026871"/>
    <w:rsid w:val="0002770F"/>
    <w:rsid w:val="00037A98"/>
    <w:rsid w:val="00040B9D"/>
    <w:rsid w:val="000427FB"/>
    <w:rsid w:val="0004455E"/>
    <w:rsid w:val="000457FF"/>
    <w:rsid w:val="00047CB5"/>
    <w:rsid w:val="00047E65"/>
    <w:rsid w:val="00051FAA"/>
    <w:rsid w:val="000572A9"/>
    <w:rsid w:val="0005754E"/>
    <w:rsid w:val="00061325"/>
    <w:rsid w:val="00070B10"/>
    <w:rsid w:val="000733AC"/>
    <w:rsid w:val="0007403E"/>
    <w:rsid w:val="00074B81"/>
    <w:rsid w:val="00074D22"/>
    <w:rsid w:val="00075081"/>
    <w:rsid w:val="0007528A"/>
    <w:rsid w:val="000811AB"/>
    <w:rsid w:val="00083C5F"/>
    <w:rsid w:val="0009172C"/>
    <w:rsid w:val="000930EC"/>
    <w:rsid w:val="00094D4E"/>
    <w:rsid w:val="00095E61"/>
    <w:rsid w:val="000963AB"/>
    <w:rsid w:val="000966C1"/>
    <w:rsid w:val="000970AC"/>
    <w:rsid w:val="00097CAC"/>
    <w:rsid w:val="000A1167"/>
    <w:rsid w:val="000A201D"/>
    <w:rsid w:val="000A4428"/>
    <w:rsid w:val="000A4615"/>
    <w:rsid w:val="000A6D40"/>
    <w:rsid w:val="000A7BC3"/>
    <w:rsid w:val="000B1661"/>
    <w:rsid w:val="000B1F0B"/>
    <w:rsid w:val="000B2E88"/>
    <w:rsid w:val="000B4603"/>
    <w:rsid w:val="000B4F88"/>
    <w:rsid w:val="000C09BE"/>
    <w:rsid w:val="000C1380"/>
    <w:rsid w:val="000C554F"/>
    <w:rsid w:val="000D0DC5"/>
    <w:rsid w:val="000D15FF"/>
    <w:rsid w:val="000D28DF"/>
    <w:rsid w:val="000D488B"/>
    <w:rsid w:val="000D68DF"/>
    <w:rsid w:val="000E138D"/>
    <w:rsid w:val="000E187A"/>
    <w:rsid w:val="000E1D22"/>
    <w:rsid w:val="000E2D61"/>
    <w:rsid w:val="000E3533"/>
    <w:rsid w:val="000E450E"/>
    <w:rsid w:val="000E4DDB"/>
    <w:rsid w:val="000E6259"/>
    <w:rsid w:val="000F4677"/>
    <w:rsid w:val="000F5BE0"/>
    <w:rsid w:val="00100587"/>
    <w:rsid w:val="0010284E"/>
    <w:rsid w:val="00103122"/>
    <w:rsid w:val="0010336A"/>
    <w:rsid w:val="001050F1"/>
    <w:rsid w:val="00105AEA"/>
    <w:rsid w:val="00106DAF"/>
    <w:rsid w:val="00111B1B"/>
    <w:rsid w:val="00114ABE"/>
    <w:rsid w:val="00116023"/>
    <w:rsid w:val="00122A52"/>
    <w:rsid w:val="001251E0"/>
    <w:rsid w:val="00132EF7"/>
    <w:rsid w:val="00134A51"/>
    <w:rsid w:val="00134C61"/>
    <w:rsid w:val="00135B45"/>
    <w:rsid w:val="00140727"/>
    <w:rsid w:val="0014576A"/>
    <w:rsid w:val="00160628"/>
    <w:rsid w:val="00161344"/>
    <w:rsid w:val="00162195"/>
    <w:rsid w:val="0016322A"/>
    <w:rsid w:val="00165A21"/>
    <w:rsid w:val="001705CE"/>
    <w:rsid w:val="0017714B"/>
    <w:rsid w:val="001804DF"/>
    <w:rsid w:val="00181BDC"/>
    <w:rsid w:val="00181DB0"/>
    <w:rsid w:val="001829E3"/>
    <w:rsid w:val="001924C0"/>
    <w:rsid w:val="0019394A"/>
    <w:rsid w:val="00196E1B"/>
    <w:rsid w:val="0019731E"/>
    <w:rsid w:val="001A09FE"/>
    <w:rsid w:val="001A5E51"/>
    <w:rsid w:val="001A67C9"/>
    <w:rsid w:val="001A69DE"/>
    <w:rsid w:val="001A713C"/>
    <w:rsid w:val="001B1C7C"/>
    <w:rsid w:val="001B398F"/>
    <w:rsid w:val="001B46C6"/>
    <w:rsid w:val="001B4B48"/>
    <w:rsid w:val="001B4D1F"/>
    <w:rsid w:val="001B5550"/>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1F7BDD"/>
    <w:rsid w:val="002014E7"/>
    <w:rsid w:val="0020415E"/>
    <w:rsid w:val="002044B5"/>
    <w:rsid w:val="00204FF4"/>
    <w:rsid w:val="0021056E"/>
    <w:rsid w:val="0021075D"/>
    <w:rsid w:val="0021165A"/>
    <w:rsid w:val="00211BC9"/>
    <w:rsid w:val="00212E6E"/>
    <w:rsid w:val="0021620C"/>
    <w:rsid w:val="00216E78"/>
    <w:rsid w:val="00217275"/>
    <w:rsid w:val="002206E4"/>
    <w:rsid w:val="002211DD"/>
    <w:rsid w:val="00232F3C"/>
    <w:rsid w:val="00236F4B"/>
    <w:rsid w:val="00242B0D"/>
    <w:rsid w:val="002467C6"/>
    <w:rsid w:val="0024692A"/>
    <w:rsid w:val="00252BBA"/>
    <w:rsid w:val="00253123"/>
    <w:rsid w:val="002561B1"/>
    <w:rsid w:val="00264001"/>
    <w:rsid w:val="00266354"/>
    <w:rsid w:val="00267A18"/>
    <w:rsid w:val="00271AA7"/>
    <w:rsid w:val="00273462"/>
    <w:rsid w:val="0027395B"/>
    <w:rsid w:val="0027437C"/>
    <w:rsid w:val="00275854"/>
    <w:rsid w:val="00280F2F"/>
    <w:rsid w:val="00282F3D"/>
    <w:rsid w:val="00283B41"/>
    <w:rsid w:val="00284AA9"/>
    <w:rsid w:val="00285F28"/>
    <w:rsid w:val="00286398"/>
    <w:rsid w:val="002A3C42"/>
    <w:rsid w:val="002A4357"/>
    <w:rsid w:val="002A5D75"/>
    <w:rsid w:val="002B1B1A"/>
    <w:rsid w:val="002B7228"/>
    <w:rsid w:val="002C28D3"/>
    <w:rsid w:val="002C4A52"/>
    <w:rsid w:val="002C53EE"/>
    <w:rsid w:val="002C68B8"/>
    <w:rsid w:val="002D0614"/>
    <w:rsid w:val="002D21A2"/>
    <w:rsid w:val="002D24F7"/>
    <w:rsid w:val="002D2799"/>
    <w:rsid w:val="002D2CD7"/>
    <w:rsid w:val="002D4DDC"/>
    <w:rsid w:val="002D4F75"/>
    <w:rsid w:val="002D6493"/>
    <w:rsid w:val="002D7AB6"/>
    <w:rsid w:val="002E06D0"/>
    <w:rsid w:val="002E3C27"/>
    <w:rsid w:val="002E403A"/>
    <w:rsid w:val="002E6EF4"/>
    <w:rsid w:val="002E7F3A"/>
    <w:rsid w:val="002F4EDB"/>
    <w:rsid w:val="002F5173"/>
    <w:rsid w:val="002F6054"/>
    <w:rsid w:val="0030196E"/>
    <w:rsid w:val="00306D7C"/>
    <w:rsid w:val="00310E13"/>
    <w:rsid w:val="00315713"/>
    <w:rsid w:val="00315FF8"/>
    <w:rsid w:val="0031686C"/>
    <w:rsid w:val="00316FE0"/>
    <w:rsid w:val="003204D2"/>
    <w:rsid w:val="003236D4"/>
    <w:rsid w:val="00323A88"/>
    <w:rsid w:val="00324A38"/>
    <w:rsid w:val="0032605E"/>
    <w:rsid w:val="003275D1"/>
    <w:rsid w:val="0033072F"/>
    <w:rsid w:val="00330B2A"/>
    <w:rsid w:val="00331157"/>
    <w:rsid w:val="00331E17"/>
    <w:rsid w:val="00333063"/>
    <w:rsid w:val="003408E3"/>
    <w:rsid w:val="00343480"/>
    <w:rsid w:val="00345E89"/>
    <w:rsid w:val="003472A4"/>
    <w:rsid w:val="003522A1"/>
    <w:rsid w:val="0035254B"/>
    <w:rsid w:val="00353555"/>
    <w:rsid w:val="00353F2E"/>
    <w:rsid w:val="003565D4"/>
    <w:rsid w:val="003607FB"/>
    <w:rsid w:val="00360FD5"/>
    <w:rsid w:val="0036340D"/>
    <w:rsid w:val="003634A5"/>
    <w:rsid w:val="00366868"/>
    <w:rsid w:val="00367506"/>
    <w:rsid w:val="00370085"/>
    <w:rsid w:val="003744A7"/>
    <w:rsid w:val="00376235"/>
    <w:rsid w:val="00381FB6"/>
    <w:rsid w:val="003836D3"/>
    <w:rsid w:val="00383A52"/>
    <w:rsid w:val="00386E23"/>
    <w:rsid w:val="00391652"/>
    <w:rsid w:val="0039507F"/>
    <w:rsid w:val="003A1260"/>
    <w:rsid w:val="003A20A1"/>
    <w:rsid w:val="003A295F"/>
    <w:rsid w:val="003A41DD"/>
    <w:rsid w:val="003A7033"/>
    <w:rsid w:val="003B47FE"/>
    <w:rsid w:val="003B5673"/>
    <w:rsid w:val="003B6287"/>
    <w:rsid w:val="003B62C9"/>
    <w:rsid w:val="003C7176"/>
    <w:rsid w:val="003D0929"/>
    <w:rsid w:val="003D4729"/>
    <w:rsid w:val="003D7DD6"/>
    <w:rsid w:val="003E329C"/>
    <w:rsid w:val="003E5AAF"/>
    <w:rsid w:val="003E600D"/>
    <w:rsid w:val="003E64DF"/>
    <w:rsid w:val="003E6A5D"/>
    <w:rsid w:val="003F1512"/>
    <w:rsid w:val="003F193A"/>
    <w:rsid w:val="003F4207"/>
    <w:rsid w:val="003F4342"/>
    <w:rsid w:val="003F5C46"/>
    <w:rsid w:val="003F7CBB"/>
    <w:rsid w:val="003F7D34"/>
    <w:rsid w:val="00411906"/>
    <w:rsid w:val="00412C8E"/>
    <w:rsid w:val="00413DE8"/>
    <w:rsid w:val="0041518D"/>
    <w:rsid w:val="0042221D"/>
    <w:rsid w:val="00423322"/>
    <w:rsid w:val="0042448F"/>
    <w:rsid w:val="00424DD3"/>
    <w:rsid w:val="004269C5"/>
    <w:rsid w:val="00433107"/>
    <w:rsid w:val="00435939"/>
    <w:rsid w:val="00437CC7"/>
    <w:rsid w:val="00442B9C"/>
    <w:rsid w:val="00445EFA"/>
    <w:rsid w:val="0044738A"/>
    <w:rsid w:val="004473D3"/>
    <w:rsid w:val="00447496"/>
    <w:rsid w:val="00452231"/>
    <w:rsid w:val="00460C13"/>
    <w:rsid w:val="00463228"/>
    <w:rsid w:val="00463782"/>
    <w:rsid w:val="004667E0"/>
    <w:rsid w:val="0046760E"/>
    <w:rsid w:val="00467AEC"/>
    <w:rsid w:val="00470E10"/>
    <w:rsid w:val="00477A97"/>
    <w:rsid w:val="00481343"/>
    <w:rsid w:val="0048549E"/>
    <w:rsid w:val="004930C6"/>
    <w:rsid w:val="00493347"/>
    <w:rsid w:val="00496092"/>
    <w:rsid w:val="004A08DB"/>
    <w:rsid w:val="004A0F77"/>
    <w:rsid w:val="004A25D0"/>
    <w:rsid w:val="004A37E8"/>
    <w:rsid w:val="004A3B97"/>
    <w:rsid w:val="004A7549"/>
    <w:rsid w:val="004B09D4"/>
    <w:rsid w:val="004B309D"/>
    <w:rsid w:val="004B330A"/>
    <w:rsid w:val="004B7C8E"/>
    <w:rsid w:val="004C3D3C"/>
    <w:rsid w:val="004D0EDC"/>
    <w:rsid w:val="004D1220"/>
    <w:rsid w:val="004D14B3"/>
    <w:rsid w:val="004D1529"/>
    <w:rsid w:val="004D2253"/>
    <w:rsid w:val="004D41E3"/>
    <w:rsid w:val="004D5514"/>
    <w:rsid w:val="004D56C3"/>
    <w:rsid w:val="004E0338"/>
    <w:rsid w:val="004E4FF3"/>
    <w:rsid w:val="004E56A8"/>
    <w:rsid w:val="004F3B55"/>
    <w:rsid w:val="004F428E"/>
    <w:rsid w:val="004F4E46"/>
    <w:rsid w:val="004F6B7D"/>
    <w:rsid w:val="004F770C"/>
    <w:rsid w:val="005015F6"/>
    <w:rsid w:val="005030C4"/>
    <w:rsid w:val="00503147"/>
    <w:rsid w:val="005031C5"/>
    <w:rsid w:val="00504FDC"/>
    <w:rsid w:val="00507E0E"/>
    <w:rsid w:val="005117B0"/>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549B"/>
    <w:rsid w:val="00566596"/>
    <w:rsid w:val="0057162F"/>
    <w:rsid w:val="005741E9"/>
    <w:rsid w:val="005748CF"/>
    <w:rsid w:val="005817D4"/>
    <w:rsid w:val="00584270"/>
    <w:rsid w:val="00584738"/>
    <w:rsid w:val="00586D0C"/>
    <w:rsid w:val="005920B0"/>
    <w:rsid w:val="0059380D"/>
    <w:rsid w:val="00595A8F"/>
    <w:rsid w:val="005977C2"/>
    <w:rsid w:val="00597BF2"/>
    <w:rsid w:val="005A1550"/>
    <w:rsid w:val="005A1F54"/>
    <w:rsid w:val="005A3020"/>
    <w:rsid w:val="005B134E"/>
    <w:rsid w:val="005B2039"/>
    <w:rsid w:val="005B2E9C"/>
    <w:rsid w:val="005B344F"/>
    <w:rsid w:val="005B3FBA"/>
    <w:rsid w:val="005B4A1D"/>
    <w:rsid w:val="005B674D"/>
    <w:rsid w:val="005C056D"/>
    <w:rsid w:val="005C0CBE"/>
    <w:rsid w:val="005C1FCF"/>
    <w:rsid w:val="005C3F41"/>
    <w:rsid w:val="005C3FFF"/>
    <w:rsid w:val="005D1885"/>
    <w:rsid w:val="005D4A38"/>
    <w:rsid w:val="005E2EEA"/>
    <w:rsid w:val="005E3708"/>
    <w:rsid w:val="005E3CCD"/>
    <w:rsid w:val="005E3D6B"/>
    <w:rsid w:val="005E5B55"/>
    <w:rsid w:val="005E5E4A"/>
    <w:rsid w:val="005E693D"/>
    <w:rsid w:val="005E75BF"/>
    <w:rsid w:val="005F181E"/>
    <w:rsid w:val="005F57BA"/>
    <w:rsid w:val="005F61E6"/>
    <w:rsid w:val="005F6C45"/>
    <w:rsid w:val="005F7AB0"/>
    <w:rsid w:val="00605A69"/>
    <w:rsid w:val="00605E6B"/>
    <w:rsid w:val="00606C54"/>
    <w:rsid w:val="006070A5"/>
    <w:rsid w:val="006114DF"/>
    <w:rsid w:val="00614375"/>
    <w:rsid w:val="00615B0A"/>
    <w:rsid w:val="006168CF"/>
    <w:rsid w:val="0062011B"/>
    <w:rsid w:val="00625B84"/>
    <w:rsid w:val="00626DE0"/>
    <w:rsid w:val="0062754A"/>
    <w:rsid w:val="00630901"/>
    <w:rsid w:val="00631F8E"/>
    <w:rsid w:val="0063228F"/>
    <w:rsid w:val="00632BEF"/>
    <w:rsid w:val="00632F69"/>
    <w:rsid w:val="006363C9"/>
    <w:rsid w:val="00636EE9"/>
    <w:rsid w:val="00640950"/>
    <w:rsid w:val="00641AE7"/>
    <w:rsid w:val="00642629"/>
    <w:rsid w:val="006437F9"/>
    <w:rsid w:val="006471AE"/>
    <w:rsid w:val="0064782B"/>
    <w:rsid w:val="0065293D"/>
    <w:rsid w:val="00653EFC"/>
    <w:rsid w:val="00654021"/>
    <w:rsid w:val="0065735A"/>
    <w:rsid w:val="00661045"/>
    <w:rsid w:val="00666724"/>
    <w:rsid w:val="00666DA8"/>
    <w:rsid w:val="00671057"/>
    <w:rsid w:val="00675AAF"/>
    <w:rsid w:val="0068031A"/>
    <w:rsid w:val="00681B2F"/>
    <w:rsid w:val="0068335F"/>
    <w:rsid w:val="00687217"/>
    <w:rsid w:val="00693302"/>
    <w:rsid w:val="0069640B"/>
    <w:rsid w:val="006A1B83"/>
    <w:rsid w:val="006A21CD"/>
    <w:rsid w:val="006A5918"/>
    <w:rsid w:val="006A61B5"/>
    <w:rsid w:val="006B21B2"/>
    <w:rsid w:val="006B4A4A"/>
    <w:rsid w:val="006B74A2"/>
    <w:rsid w:val="006B76A8"/>
    <w:rsid w:val="006C19B2"/>
    <w:rsid w:val="006C3E88"/>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1F1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5CFA"/>
    <w:rsid w:val="0074707E"/>
    <w:rsid w:val="007516DC"/>
    <w:rsid w:val="00752E58"/>
    <w:rsid w:val="00754B80"/>
    <w:rsid w:val="00760900"/>
    <w:rsid w:val="007613B4"/>
    <w:rsid w:val="00761918"/>
    <w:rsid w:val="00762F03"/>
    <w:rsid w:val="0076413B"/>
    <w:rsid w:val="007648AE"/>
    <w:rsid w:val="00764BF8"/>
    <w:rsid w:val="0076514D"/>
    <w:rsid w:val="00773A7A"/>
    <w:rsid w:val="00773D59"/>
    <w:rsid w:val="00781003"/>
    <w:rsid w:val="007871C2"/>
    <w:rsid w:val="007911FD"/>
    <w:rsid w:val="00792855"/>
    <w:rsid w:val="00793930"/>
    <w:rsid w:val="00793DD1"/>
    <w:rsid w:val="00794FEC"/>
    <w:rsid w:val="007A003E"/>
    <w:rsid w:val="007A1965"/>
    <w:rsid w:val="007A1C95"/>
    <w:rsid w:val="007A2ED1"/>
    <w:rsid w:val="007A4BE6"/>
    <w:rsid w:val="007A7F72"/>
    <w:rsid w:val="007B02A4"/>
    <w:rsid w:val="007B0DC6"/>
    <w:rsid w:val="007B1094"/>
    <w:rsid w:val="007B1762"/>
    <w:rsid w:val="007B3320"/>
    <w:rsid w:val="007B74ED"/>
    <w:rsid w:val="007C301F"/>
    <w:rsid w:val="007C4540"/>
    <w:rsid w:val="007C65AF"/>
    <w:rsid w:val="007D135D"/>
    <w:rsid w:val="007D730F"/>
    <w:rsid w:val="007D7CD8"/>
    <w:rsid w:val="007E3AA7"/>
    <w:rsid w:val="007E402A"/>
    <w:rsid w:val="007E6A0A"/>
    <w:rsid w:val="007F737D"/>
    <w:rsid w:val="0080308E"/>
    <w:rsid w:val="00803C3E"/>
    <w:rsid w:val="00805303"/>
    <w:rsid w:val="00806705"/>
    <w:rsid w:val="00806738"/>
    <w:rsid w:val="00812866"/>
    <w:rsid w:val="008216D5"/>
    <w:rsid w:val="008249CE"/>
    <w:rsid w:val="00831A50"/>
    <w:rsid w:val="00831B3C"/>
    <w:rsid w:val="00831C89"/>
    <w:rsid w:val="00832114"/>
    <w:rsid w:val="00833061"/>
    <w:rsid w:val="00834C46"/>
    <w:rsid w:val="00835F6D"/>
    <w:rsid w:val="0084093E"/>
    <w:rsid w:val="00841CE1"/>
    <w:rsid w:val="008473D8"/>
    <w:rsid w:val="008528DC"/>
    <w:rsid w:val="00852B8C"/>
    <w:rsid w:val="00854981"/>
    <w:rsid w:val="00864B2E"/>
    <w:rsid w:val="00865963"/>
    <w:rsid w:val="00871C1D"/>
    <w:rsid w:val="00872F34"/>
    <w:rsid w:val="008736CE"/>
    <w:rsid w:val="0087450E"/>
    <w:rsid w:val="00875A82"/>
    <w:rsid w:val="00876CA3"/>
    <w:rsid w:val="008772FE"/>
    <w:rsid w:val="008775F1"/>
    <w:rsid w:val="008821AE"/>
    <w:rsid w:val="00883D3A"/>
    <w:rsid w:val="008854F7"/>
    <w:rsid w:val="00885A9D"/>
    <w:rsid w:val="008929D2"/>
    <w:rsid w:val="00893636"/>
    <w:rsid w:val="00893B94"/>
    <w:rsid w:val="00893E35"/>
    <w:rsid w:val="00896E9D"/>
    <w:rsid w:val="00896F11"/>
    <w:rsid w:val="008A1049"/>
    <w:rsid w:val="008A1C98"/>
    <w:rsid w:val="008A322D"/>
    <w:rsid w:val="008A4D72"/>
    <w:rsid w:val="008A6285"/>
    <w:rsid w:val="008A63B2"/>
    <w:rsid w:val="008B0EBA"/>
    <w:rsid w:val="008B345D"/>
    <w:rsid w:val="008C1FC2"/>
    <w:rsid w:val="008C2980"/>
    <w:rsid w:val="008C49FB"/>
    <w:rsid w:val="008C4DD6"/>
    <w:rsid w:val="008C5AFB"/>
    <w:rsid w:val="008C6E49"/>
    <w:rsid w:val="008D07FB"/>
    <w:rsid w:val="008D0C02"/>
    <w:rsid w:val="008D357D"/>
    <w:rsid w:val="008D435A"/>
    <w:rsid w:val="008D7643"/>
    <w:rsid w:val="008E387B"/>
    <w:rsid w:val="008E6087"/>
    <w:rsid w:val="008E758D"/>
    <w:rsid w:val="008F10A7"/>
    <w:rsid w:val="008F28A8"/>
    <w:rsid w:val="008F500A"/>
    <w:rsid w:val="008F755D"/>
    <w:rsid w:val="008F7A39"/>
    <w:rsid w:val="009013B1"/>
    <w:rsid w:val="009021E8"/>
    <w:rsid w:val="00904016"/>
    <w:rsid w:val="00904677"/>
    <w:rsid w:val="00905EE2"/>
    <w:rsid w:val="00906A31"/>
    <w:rsid w:val="00911440"/>
    <w:rsid w:val="00911712"/>
    <w:rsid w:val="00911B27"/>
    <w:rsid w:val="009170BE"/>
    <w:rsid w:val="00920B55"/>
    <w:rsid w:val="009262C9"/>
    <w:rsid w:val="00930EB9"/>
    <w:rsid w:val="00931FD2"/>
    <w:rsid w:val="00933DC7"/>
    <w:rsid w:val="009418F4"/>
    <w:rsid w:val="00941E5F"/>
    <w:rsid w:val="00942BBC"/>
    <w:rsid w:val="00944180"/>
    <w:rsid w:val="00944AA0"/>
    <w:rsid w:val="00947DA2"/>
    <w:rsid w:val="00951177"/>
    <w:rsid w:val="0096288F"/>
    <w:rsid w:val="009640C2"/>
    <w:rsid w:val="009673E8"/>
    <w:rsid w:val="0097372A"/>
    <w:rsid w:val="00974DB8"/>
    <w:rsid w:val="00980661"/>
    <w:rsid w:val="0098093B"/>
    <w:rsid w:val="00984222"/>
    <w:rsid w:val="009876D4"/>
    <w:rsid w:val="00990C12"/>
    <w:rsid w:val="009914A5"/>
    <w:rsid w:val="00992814"/>
    <w:rsid w:val="0099548E"/>
    <w:rsid w:val="00996456"/>
    <w:rsid w:val="00996A12"/>
    <w:rsid w:val="00997B0F"/>
    <w:rsid w:val="009A0CC3"/>
    <w:rsid w:val="009A1CAD"/>
    <w:rsid w:val="009A2CE6"/>
    <w:rsid w:val="009A3440"/>
    <w:rsid w:val="009A5832"/>
    <w:rsid w:val="009A6838"/>
    <w:rsid w:val="009A741E"/>
    <w:rsid w:val="009B24B5"/>
    <w:rsid w:val="009B4EBC"/>
    <w:rsid w:val="009B5ABB"/>
    <w:rsid w:val="009B73CE"/>
    <w:rsid w:val="009C2461"/>
    <w:rsid w:val="009C5A15"/>
    <w:rsid w:val="009C6FE2"/>
    <w:rsid w:val="009C7674"/>
    <w:rsid w:val="009D004A"/>
    <w:rsid w:val="009D5880"/>
    <w:rsid w:val="009E0CFF"/>
    <w:rsid w:val="009E1FD4"/>
    <w:rsid w:val="009E3B07"/>
    <w:rsid w:val="009E51D1"/>
    <w:rsid w:val="009E5531"/>
    <w:rsid w:val="009F16BF"/>
    <w:rsid w:val="009F171E"/>
    <w:rsid w:val="009F3D2F"/>
    <w:rsid w:val="009F552D"/>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5D8A"/>
    <w:rsid w:val="00A3717A"/>
    <w:rsid w:val="00A4088C"/>
    <w:rsid w:val="00A4456B"/>
    <w:rsid w:val="00A448D4"/>
    <w:rsid w:val="00A452E0"/>
    <w:rsid w:val="00A47850"/>
    <w:rsid w:val="00A506DF"/>
    <w:rsid w:val="00A51EA5"/>
    <w:rsid w:val="00A53742"/>
    <w:rsid w:val="00A557A1"/>
    <w:rsid w:val="00A6178C"/>
    <w:rsid w:val="00A63059"/>
    <w:rsid w:val="00A63AE3"/>
    <w:rsid w:val="00A651A4"/>
    <w:rsid w:val="00A66456"/>
    <w:rsid w:val="00A71361"/>
    <w:rsid w:val="00A746E2"/>
    <w:rsid w:val="00A81FF2"/>
    <w:rsid w:val="00A83904"/>
    <w:rsid w:val="00A90A79"/>
    <w:rsid w:val="00A9332D"/>
    <w:rsid w:val="00A96B30"/>
    <w:rsid w:val="00AA442D"/>
    <w:rsid w:val="00AA59B5"/>
    <w:rsid w:val="00AA7777"/>
    <w:rsid w:val="00AA7B84"/>
    <w:rsid w:val="00AC0B4C"/>
    <w:rsid w:val="00AC1164"/>
    <w:rsid w:val="00AC2296"/>
    <w:rsid w:val="00AC2754"/>
    <w:rsid w:val="00AC48B0"/>
    <w:rsid w:val="00AC4ACD"/>
    <w:rsid w:val="00AC5DFB"/>
    <w:rsid w:val="00AC7A35"/>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641D"/>
    <w:rsid w:val="00B077FA"/>
    <w:rsid w:val="00B127D7"/>
    <w:rsid w:val="00B13B0C"/>
    <w:rsid w:val="00B14408"/>
    <w:rsid w:val="00B14448"/>
    <w:rsid w:val="00B1453A"/>
    <w:rsid w:val="00B1626B"/>
    <w:rsid w:val="00B20F82"/>
    <w:rsid w:val="00B25BD5"/>
    <w:rsid w:val="00B260A3"/>
    <w:rsid w:val="00B34079"/>
    <w:rsid w:val="00B36AE8"/>
    <w:rsid w:val="00B3793A"/>
    <w:rsid w:val="00B401BA"/>
    <w:rsid w:val="00B407E4"/>
    <w:rsid w:val="00B425B6"/>
    <w:rsid w:val="00B42A72"/>
    <w:rsid w:val="00B441AE"/>
    <w:rsid w:val="00B45A65"/>
    <w:rsid w:val="00B45F33"/>
    <w:rsid w:val="00B46D50"/>
    <w:rsid w:val="00B53170"/>
    <w:rsid w:val="00B548B9"/>
    <w:rsid w:val="00B56DBE"/>
    <w:rsid w:val="00B57ECB"/>
    <w:rsid w:val="00B62999"/>
    <w:rsid w:val="00B63BE3"/>
    <w:rsid w:val="00B63DD1"/>
    <w:rsid w:val="00B64885"/>
    <w:rsid w:val="00B64FA3"/>
    <w:rsid w:val="00B6552C"/>
    <w:rsid w:val="00B66810"/>
    <w:rsid w:val="00B67D15"/>
    <w:rsid w:val="00B72BE3"/>
    <w:rsid w:val="00B7395C"/>
    <w:rsid w:val="00B73B80"/>
    <w:rsid w:val="00B770C7"/>
    <w:rsid w:val="00B80F26"/>
    <w:rsid w:val="00B822BD"/>
    <w:rsid w:val="00B825EB"/>
    <w:rsid w:val="00B842F4"/>
    <w:rsid w:val="00B91A7B"/>
    <w:rsid w:val="00B929DD"/>
    <w:rsid w:val="00B93998"/>
    <w:rsid w:val="00B93AF6"/>
    <w:rsid w:val="00B95405"/>
    <w:rsid w:val="00B963F1"/>
    <w:rsid w:val="00BA020A"/>
    <w:rsid w:val="00BB025A"/>
    <w:rsid w:val="00BB02A4"/>
    <w:rsid w:val="00BB0805"/>
    <w:rsid w:val="00BB1270"/>
    <w:rsid w:val="00BB1E44"/>
    <w:rsid w:val="00BB3058"/>
    <w:rsid w:val="00BB5267"/>
    <w:rsid w:val="00BB52B8"/>
    <w:rsid w:val="00BB59D8"/>
    <w:rsid w:val="00BB7E69"/>
    <w:rsid w:val="00BC0E51"/>
    <w:rsid w:val="00BC3C1F"/>
    <w:rsid w:val="00BC4967"/>
    <w:rsid w:val="00BC7CE7"/>
    <w:rsid w:val="00BD295E"/>
    <w:rsid w:val="00BD4664"/>
    <w:rsid w:val="00BD72EB"/>
    <w:rsid w:val="00BD78E5"/>
    <w:rsid w:val="00BE05BF"/>
    <w:rsid w:val="00BE1193"/>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2D5B"/>
    <w:rsid w:val="00C33993"/>
    <w:rsid w:val="00C34A62"/>
    <w:rsid w:val="00C4069E"/>
    <w:rsid w:val="00C41ADC"/>
    <w:rsid w:val="00C44149"/>
    <w:rsid w:val="00C44410"/>
    <w:rsid w:val="00C44A15"/>
    <w:rsid w:val="00C4630A"/>
    <w:rsid w:val="00C50514"/>
    <w:rsid w:val="00C52328"/>
    <w:rsid w:val="00C523F0"/>
    <w:rsid w:val="00C526D2"/>
    <w:rsid w:val="00C53A91"/>
    <w:rsid w:val="00C5794E"/>
    <w:rsid w:val="00C60968"/>
    <w:rsid w:val="00C62724"/>
    <w:rsid w:val="00C63D39"/>
    <w:rsid w:val="00C63EDD"/>
    <w:rsid w:val="00C654C4"/>
    <w:rsid w:val="00C65B36"/>
    <w:rsid w:val="00C7292E"/>
    <w:rsid w:val="00C74E88"/>
    <w:rsid w:val="00C80924"/>
    <w:rsid w:val="00C8286B"/>
    <w:rsid w:val="00C85689"/>
    <w:rsid w:val="00C9399F"/>
    <w:rsid w:val="00C947F8"/>
    <w:rsid w:val="00C9515F"/>
    <w:rsid w:val="00C963C5"/>
    <w:rsid w:val="00CA030C"/>
    <w:rsid w:val="00CA1F41"/>
    <w:rsid w:val="00CA32EE"/>
    <w:rsid w:val="00CA376C"/>
    <w:rsid w:val="00CA5771"/>
    <w:rsid w:val="00CA5DA9"/>
    <w:rsid w:val="00CA6A1A"/>
    <w:rsid w:val="00CC1E75"/>
    <w:rsid w:val="00CC2E0E"/>
    <w:rsid w:val="00CC361C"/>
    <w:rsid w:val="00CC474B"/>
    <w:rsid w:val="00CC658C"/>
    <w:rsid w:val="00CC67BF"/>
    <w:rsid w:val="00CC6A02"/>
    <w:rsid w:val="00CD0843"/>
    <w:rsid w:val="00CD1A01"/>
    <w:rsid w:val="00CD4E31"/>
    <w:rsid w:val="00CD5A78"/>
    <w:rsid w:val="00CD619E"/>
    <w:rsid w:val="00CD7345"/>
    <w:rsid w:val="00CE00AB"/>
    <w:rsid w:val="00CE372E"/>
    <w:rsid w:val="00CE7C58"/>
    <w:rsid w:val="00CF0A1B"/>
    <w:rsid w:val="00CF0E0D"/>
    <w:rsid w:val="00CF19F6"/>
    <w:rsid w:val="00CF2F4F"/>
    <w:rsid w:val="00CF4F82"/>
    <w:rsid w:val="00CF536D"/>
    <w:rsid w:val="00CF643E"/>
    <w:rsid w:val="00D01099"/>
    <w:rsid w:val="00D02E9D"/>
    <w:rsid w:val="00D03B48"/>
    <w:rsid w:val="00D10CB8"/>
    <w:rsid w:val="00D12806"/>
    <w:rsid w:val="00D12D44"/>
    <w:rsid w:val="00D140E8"/>
    <w:rsid w:val="00D1464B"/>
    <w:rsid w:val="00D15018"/>
    <w:rsid w:val="00D158AC"/>
    <w:rsid w:val="00D1694C"/>
    <w:rsid w:val="00D201A9"/>
    <w:rsid w:val="00D20F5E"/>
    <w:rsid w:val="00D23B76"/>
    <w:rsid w:val="00D24B4A"/>
    <w:rsid w:val="00D27D8D"/>
    <w:rsid w:val="00D36FCC"/>
    <w:rsid w:val="00D379A3"/>
    <w:rsid w:val="00D45B29"/>
    <w:rsid w:val="00D45FF3"/>
    <w:rsid w:val="00D512CF"/>
    <w:rsid w:val="00D528B9"/>
    <w:rsid w:val="00D53186"/>
    <w:rsid w:val="00D5487D"/>
    <w:rsid w:val="00D60140"/>
    <w:rsid w:val="00D6024A"/>
    <w:rsid w:val="00D608B5"/>
    <w:rsid w:val="00D61C3D"/>
    <w:rsid w:val="00D64739"/>
    <w:rsid w:val="00D7121E"/>
    <w:rsid w:val="00D71F99"/>
    <w:rsid w:val="00D73CA4"/>
    <w:rsid w:val="00D73D71"/>
    <w:rsid w:val="00D74396"/>
    <w:rsid w:val="00D80284"/>
    <w:rsid w:val="00D81F71"/>
    <w:rsid w:val="00D8642D"/>
    <w:rsid w:val="00D90A5E"/>
    <w:rsid w:val="00D91A68"/>
    <w:rsid w:val="00D9312E"/>
    <w:rsid w:val="00D95A68"/>
    <w:rsid w:val="00DA17C7"/>
    <w:rsid w:val="00DA1C32"/>
    <w:rsid w:val="00DA6A9A"/>
    <w:rsid w:val="00DB1EFD"/>
    <w:rsid w:val="00DB312A"/>
    <w:rsid w:val="00DB3EAF"/>
    <w:rsid w:val="00DB42BA"/>
    <w:rsid w:val="00DB46C6"/>
    <w:rsid w:val="00DC3203"/>
    <w:rsid w:val="00DC3C99"/>
    <w:rsid w:val="00DC4DD7"/>
    <w:rsid w:val="00DC52F5"/>
    <w:rsid w:val="00DC5FD0"/>
    <w:rsid w:val="00DD0354"/>
    <w:rsid w:val="00DD210E"/>
    <w:rsid w:val="00DD27D7"/>
    <w:rsid w:val="00DD458C"/>
    <w:rsid w:val="00DD72E9"/>
    <w:rsid w:val="00DD7605"/>
    <w:rsid w:val="00DE1AAD"/>
    <w:rsid w:val="00DE2020"/>
    <w:rsid w:val="00DE3476"/>
    <w:rsid w:val="00DE7BEA"/>
    <w:rsid w:val="00DF00ED"/>
    <w:rsid w:val="00DF2945"/>
    <w:rsid w:val="00DF30C9"/>
    <w:rsid w:val="00DF5B84"/>
    <w:rsid w:val="00DF6D5B"/>
    <w:rsid w:val="00DF771B"/>
    <w:rsid w:val="00DF7EE2"/>
    <w:rsid w:val="00E01BAA"/>
    <w:rsid w:val="00E0282A"/>
    <w:rsid w:val="00E02F9B"/>
    <w:rsid w:val="00E032C9"/>
    <w:rsid w:val="00E07E14"/>
    <w:rsid w:val="00E14F94"/>
    <w:rsid w:val="00E17336"/>
    <w:rsid w:val="00E17D15"/>
    <w:rsid w:val="00E17E56"/>
    <w:rsid w:val="00E22B95"/>
    <w:rsid w:val="00E30331"/>
    <w:rsid w:val="00E30BB8"/>
    <w:rsid w:val="00E31C42"/>
    <w:rsid w:val="00E31F9C"/>
    <w:rsid w:val="00E35696"/>
    <w:rsid w:val="00E40488"/>
    <w:rsid w:val="00E40589"/>
    <w:rsid w:val="00E40A8E"/>
    <w:rsid w:val="00E411E5"/>
    <w:rsid w:val="00E46DA2"/>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0B50"/>
    <w:rsid w:val="00E81660"/>
    <w:rsid w:val="00E854FE"/>
    <w:rsid w:val="00E906CC"/>
    <w:rsid w:val="00E91DE1"/>
    <w:rsid w:val="00E939A0"/>
    <w:rsid w:val="00E95013"/>
    <w:rsid w:val="00E97E4E"/>
    <w:rsid w:val="00EA1CC2"/>
    <w:rsid w:val="00EA2D76"/>
    <w:rsid w:val="00EA4644"/>
    <w:rsid w:val="00EA6AA2"/>
    <w:rsid w:val="00EA758A"/>
    <w:rsid w:val="00EB096F"/>
    <w:rsid w:val="00EB199F"/>
    <w:rsid w:val="00EB21A4"/>
    <w:rsid w:val="00EB27C4"/>
    <w:rsid w:val="00EB3302"/>
    <w:rsid w:val="00EB3B0C"/>
    <w:rsid w:val="00EB4ABE"/>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6759"/>
    <w:rsid w:val="00EF7463"/>
    <w:rsid w:val="00EF7971"/>
    <w:rsid w:val="00F002EF"/>
    <w:rsid w:val="00F00646"/>
    <w:rsid w:val="00F01EE9"/>
    <w:rsid w:val="00F04900"/>
    <w:rsid w:val="00F065A4"/>
    <w:rsid w:val="00F06C87"/>
    <w:rsid w:val="00F1081E"/>
    <w:rsid w:val="00F126B9"/>
    <w:rsid w:val="00F12715"/>
    <w:rsid w:val="00F144D5"/>
    <w:rsid w:val="00F146F0"/>
    <w:rsid w:val="00F15039"/>
    <w:rsid w:val="00F20FF3"/>
    <w:rsid w:val="00F2190B"/>
    <w:rsid w:val="00F228B5"/>
    <w:rsid w:val="00F2389C"/>
    <w:rsid w:val="00F25C67"/>
    <w:rsid w:val="00F30DFF"/>
    <w:rsid w:val="00F32277"/>
    <w:rsid w:val="00F32B80"/>
    <w:rsid w:val="00F340EB"/>
    <w:rsid w:val="00F35285"/>
    <w:rsid w:val="00F43B9D"/>
    <w:rsid w:val="00F44D5E"/>
    <w:rsid w:val="00F53A35"/>
    <w:rsid w:val="00F55A3D"/>
    <w:rsid w:val="00F5744B"/>
    <w:rsid w:val="00F57EE7"/>
    <w:rsid w:val="00F61209"/>
    <w:rsid w:val="00F6259E"/>
    <w:rsid w:val="00F63663"/>
    <w:rsid w:val="00F65DD4"/>
    <w:rsid w:val="00F66D88"/>
    <w:rsid w:val="00F672B2"/>
    <w:rsid w:val="00F674E1"/>
    <w:rsid w:val="00F71017"/>
    <w:rsid w:val="00F83973"/>
    <w:rsid w:val="00F84FC7"/>
    <w:rsid w:val="00F87FA3"/>
    <w:rsid w:val="00F93D8C"/>
    <w:rsid w:val="00FA3102"/>
    <w:rsid w:val="00FA48D4"/>
    <w:rsid w:val="00FA54FA"/>
    <w:rsid w:val="00FA68D1"/>
    <w:rsid w:val="00FA6A25"/>
    <w:rsid w:val="00FA6D39"/>
    <w:rsid w:val="00FA6EBC"/>
    <w:rsid w:val="00FB227E"/>
    <w:rsid w:val="00FB3D61"/>
    <w:rsid w:val="00FB41C7"/>
    <w:rsid w:val="00FB44CE"/>
    <w:rsid w:val="00FB5009"/>
    <w:rsid w:val="00FB76AB"/>
    <w:rsid w:val="00FC033C"/>
    <w:rsid w:val="00FD03FE"/>
    <w:rsid w:val="00FD126E"/>
    <w:rsid w:val="00FD1E1A"/>
    <w:rsid w:val="00FD3C36"/>
    <w:rsid w:val="00FD4D81"/>
    <w:rsid w:val="00FD7498"/>
    <w:rsid w:val="00FD7FB3"/>
    <w:rsid w:val="00FE13F1"/>
    <w:rsid w:val="00FE4152"/>
    <w:rsid w:val="00FE4713"/>
    <w:rsid w:val="00FE4C69"/>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0A037"/>
  <w14:defaultImageDpi w14:val="330"/>
  <w15:docId w15:val="{164C3463-9C1D-4B0C-A198-4009573B4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EBC"/>
    <w:pPr>
      <w:spacing w:line="480" w:lineRule="auto"/>
    </w:pPr>
    <w:rPr>
      <w:sz w:val="24"/>
      <w:szCs w:val="24"/>
    </w:rPr>
  </w:style>
  <w:style w:type="paragraph" w:styleId="Balk1">
    <w:name w:val="heading 1"/>
    <w:basedOn w:val="Normal"/>
    <w:next w:val="Paragraph"/>
    <w:link w:val="Balk1Char"/>
    <w:qFormat/>
    <w:rsid w:val="00AE1ED4"/>
    <w:pPr>
      <w:keepNext/>
      <w:spacing w:before="360" w:after="60" w:line="360" w:lineRule="auto"/>
      <w:ind w:right="567"/>
      <w:contextualSpacing/>
      <w:outlineLvl w:val="0"/>
    </w:pPr>
    <w:rPr>
      <w:rFonts w:cs="Arial"/>
      <w:b/>
      <w:bCs/>
      <w:kern w:val="32"/>
      <w:szCs w:val="32"/>
    </w:rPr>
  </w:style>
  <w:style w:type="paragraph" w:styleId="Balk2">
    <w:name w:val="heading 2"/>
    <w:basedOn w:val="Normal"/>
    <w:next w:val="Paragraph"/>
    <w:link w:val="Balk2Char"/>
    <w:qFormat/>
    <w:rsid w:val="008D07FB"/>
    <w:pPr>
      <w:keepNext/>
      <w:spacing w:before="360" w:after="60" w:line="360" w:lineRule="auto"/>
      <w:ind w:right="567"/>
      <w:contextualSpacing/>
      <w:outlineLvl w:val="1"/>
    </w:pPr>
    <w:rPr>
      <w:rFonts w:cs="Arial"/>
      <w:b/>
      <w:bCs/>
      <w:i/>
      <w:iCs/>
      <w:szCs w:val="28"/>
    </w:rPr>
  </w:style>
  <w:style w:type="paragraph" w:styleId="Balk3">
    <w:name w:val="heading 3"/>
    <w:basedOn w:val="Normal"/>
    <w:next w:val="Paragraph"/>
    <w:link w:val="Balk3Char"/>
    <w:qFormat/>
    <w:rsid w:val="00DF7EE2"/>
    <w:pPr>
      <w:keepNext/>
      <w:spacing w:before="360" w:after="60" w:line="360" w:lineRule="auto"/>
      <w:ind w:right="567"/>
      <w:contextualSpacing/>
      <w:outlineLvl w:val="2"/>
    </w:pPr>
    <w:rPr>
      <w:rFonts w:cs="Arial"/>
      <w:bCs/>
      <w:i/>
      <w:szCs w:val="26"/>
    </w:rPr>
  </w:style>
  <w:style w:type="paragraph" w:styleId="Balk4">
    <w:name w:val="heading 4"/>
    <w:basedOn w:val="Paragraph"/>
    <w:next w:val="Newparagraph"/>
    <w:link w:val="Balk4Char"/>
    <w:rsid w:val="00F43B9D"/>
    <w:pPr>
      <w:spacing w:before="360"/>
      <w:outlineLvl w:val="3"/>
    </w:pPr>
    <w:rPr>
      <w:bCs/>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Girinti">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Balk2Char">
    <w:name w:val="Başlık 2 Char"/>
    <w:basedOn w:val="VarsaylanParagrafYazTipi"/>
    <w:link w:val="Balk2"/>
    <w:rsid w:val="008D07FB"/>
    <w:rPr>
      <w:rFonts w:cs="Arial"/>
      <w:b/>
      <w:bCs/>
      <w:i/>
      <w:iCs/>
      <w:sz w:val="24"/>
      <w:szCs w:val="28"/>
    </w:rPr>
  </w:style>
  <w:style w:type="character" w:customStyle="1" w:styleId="Balk1Char">
    <w:name w:val="Başlık 1 Char"/>
    <w:basedOn w:val="VarsaylanParagrafYazTipi"/>
    <w:link w:val="Balk1"/>
    <w:rsid w:val="00AE1ED4"/>
    <w:rPr>
      <w:rFonts w:cs="Arial"/>
      <w:b/>
      <w:bCs/>
      <w:kern w:val="32"/>
      <w:sz w:val="24"/>
      <w:szCs w:val="32"/>
    </w:rPr>
  </w:style>
  <w:style w:type="character" w:customStyle="1" w:styleId="Balk3Char">
    <w:name w:val="Başlık 3 Char"/>
    <w:basedOn w:val="VarsaylanParagrafYazTipi"/>
    <w:link w:val="Balk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DipnotMetni">
    <w:name w:val="footnote text"/>
    <w:basedOn w:val="Normal"/>
    <w:link w:val="DipnotMetniChar"/>
    <w:autoRedefine/>
    <w:rsid w:val="006C19B2"/>
    <w:pPr>
      <w:ind w:left="284" w:hanging="284"/>
    </w:pPr>
    <w:rPr>
      <w:sz w:val="22"/>
      <w:szCs w:val="20"/>
    </w:rPr>
  </w:style>
  <w:style w:type="character" w:customStyle="1" w:styleId="DipnotMetniChar">
    <w:name w:val="Dipnot Metni Char"/>
    <w:basedOn w:val="VarsaylanParagrafYazTipi"/>
    <w:link w:val="DipnotMetni"/>
    <w:rsid w:val="006C19B2"/>
    <w:rPr>
      <w:sz w:val="22"/>
    </w:rPr>
  </w:style>
  <w:style w:type="character" w:styleId="DipnotBavurusu">
    <w:name w:val="footnote reference"/>
    <w:basedOn w:val="VarsaylanParagrafYazTipi"/>
    <w:rsid w:val="00AF2C92"/>
    <w:rPr>
      <w:vertAlign w:val="superscript"/>
    </w:rPr>
  </w:style>
  <w:style w:type="paragraph" w:styleId="SonnotMetni">
    <w:name w:val="endnote text"/>
    <w:basedOn w:val="Normal"/>
    <w:link w:val="SonnotMetniChar"/>
    <w:autoRedefine/>
    <w:rsid w:val="006C19B2"/>
    <w:pPr>
      <w:ind w:left="284" w:hanging="284"/>
    </w:pPr>
    <w:rPr>
      <w:sz w:val="22"/>
      <w:szCs w:val="20"/>
    </w:rPr>
  </w:style>
  <w:style w:type="character" w:customStyle="1" w:styleId="SonnotMetniChar">
    <w:name w:val="Sonnot Metni Char"/>
    <w:basedOn w:val="VarsaylanParagrafYazTipi"/>
    <w:link w:val="SonnotMetni"/>
    <w:rsid w:val="006C19B2"/>
    <w:rPr>
      <w:sz w:val="22"/>
    </w:rPr>
  </w:style>
  <w:style w:type="character" w:styleId="SonnotBavurusu">
    <w:name w:val="endnote reference"/>
    <w:basedOn w:val="VarsaylanParagrafYazTipi"/>
    <w:rsid w:val="00EC571B"/>
    <w:rPr>
      <w:vertAlign w:val="superscript"/>
    </w:rPr>
  </w:style>
  <w:style w:type="character" w:customStyle="1" w:styleId="Balk4Char">
    <w:name w:val="Başlık 4 Char"/>
    <w:basedOn w:val="VarsaylanParagrafYazTipi"/>
    <w:link w:val="Balk4"/>
    <w:rsid w:val="00F43B9D"/>
    <w:rPr>
      <w:bCs/>
      <w:sz w:val="24"/>
      <w:szCs w:val="28"/>
    </w:rPr>
  </w:style>
  <w:style w:type="paragraph" w:styleId="stBilgi">
    <w:name w:val="header"/>
    <w:basedOn w:val="Normal"/>
    <w:link w:val="stBilgiChar"/>
    <w:rsid w:val="003F193A"/>
    <w:pPr>
      <w:tabs>
        <w:tab w:val="center" w:pos="4320"/>
        <w:tab w:val="right" w:pos="8640"/>
      </w:tabs>
      <w:spacing w:after="120" w:line="240" w:lineRule="auto"/>
      <w:contextualSpacing/>
    </w:pPr>
  </w:style>
  <w:style w:type="character" w:customStyle="1" w:styleId="stBilgiChar">
    <w:name w:val="Üst Bilgi Char"/>
    <w:basedOn w:val="VarsaylanParagrafYazTipi"/>
    <w:link w:val="stBilgi"/>
    <w:rsid w:val="003F193A"/>
    <w:rPr>
      <w:rFonts w:eastAsia="Times New Roman"/>
      <w:sz w:val="24"/>
      <w:szCs w:val="24"/>
      <w:lang w:eastAsia="en-GB"/>
    </w:rPr>
  </w:style>
  <w:style w:type="paragraph" w:styleId="AltBilgi">
    <w:name w:val="footer"/>
    <w:basedOn w:val="Normal"/>
    <w:link w:val="AltBilgiChar"/>
    <w:rsid w:val="00AE6A21"/>
    <w:pPr>
      <w:tabs>
        <w:tab w:val="center" w:pos="4320"/>
        <w:tab w:val="right" w:pos="8640"/>
      </w:tabs>
      <w:spacing w:before="240" w:line="240" w:lineRule="auto"/>
      <w:contextualSpacing/>
    </w:pPr>
  </w:style>
  <w:style w:type="character" w:customStyle="1" w:styleId="AltBilgiChar">
    <w:name w:val="Alt Bilgi Char"/>
    <w:basedOn w:val="VarsaylanParagrafYazTipi"/>
    <w:link w:val="AltBilgi"/>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Kpr">
    <w:name w:val="Hyperlink"/>
    <w:basedOn w:val="VarsaylanParagrafYazTipi"/>
    <w:uiPriority w:val="99"/>
    <w:unhideWhenUsed/>
    <w:rsid w:val="000E1D22"/>
    <w:rPr>
      <w:color w:val="0000FF" w:themeColor="hyperlink"/>
      <w:u w:val="single"/>
    </w:rPr>
  </w:style>
  <w:style w:type="paragraph" w:styleId="ListeParagraf">
    <w:name w:val="List Paragraph"/>
    <w:basedOn w:val="Normal"/>
    <w:uiPriority w:val="34"/>
    <w:qFormat/>
    <w:rsid w:val="00507E0E"/>
    <w:pPr>
      <w:spacing w:after="160" w:line="259" w:lineRule="auto"/>
      <w:ind w:left="720"/>
      <w:contextualSpacing/>
    </w:pPr>
    <w:rPr>
      <w:rFonts w:asciiTheme="minorHAnsi" w:eastAsiaTheme="minorHAnsi" w:hAnsiTheme="minorHAnsi" w:cstheme="minorBidi"/>
      <w:sz w:val="22"/>
      <w:szCs w:val="22"/>
      <w:lang w:val="tr-TR" w:eastAsia="en-US"/>
    </w:rPr>
  </w:style>
  <w:style w:type="paragraph" w:styleId="NormalWeb">
    <w:name w:val="Normal (Web)"/>
    <w:basedOn w:val="Normal"/>
    <w:uiPriority w:val="99"/>
    <w:unhideWhenUsed/>
    <w:rsid w:val="00507E0E"/>
    <w:pPr>
      <w:spacing w:before="100" w:beforeAutospacing="1" w:after="100" w:afterAutospacing="1" w:line="240" w:lineRule="auto"/>
    </w:pPr>
    <w:rPr>
      <w:lang w:val="tr-TR" w:eastAsia="tr-TR"/>
    </w:rPr>
  </w:style>
  <w:style w:type="table" w:styleId="TabloKlavuzu">
    <w:name w:val="Table Grid"/>
    <w:basedOn w:val="NormalTablo"/>
    <w:uiPriority w:val="39"/>
    <w:rsid w:val="00D27D8D"/>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VarsaylanParagrafYazTipi"/>
    <w:rsid w:val="00904016"/>
  </w:style>
  <w:style w:type="character" w:customStyle="1" w:styleId="pubyear">
    <w:name w:val="pubyear"/>
    <w:basedOn w:val="VarsaylanParagrafYazTipi"/>
    <w:rsid w:val="00904016"/>
  </w:style>
  <w:style w:type="character" w:customStyle="1" w:styleId="vol">
    <w:name w:val="vol"/>
    <w:basedOn w:val="VarsaylanParagrafYazTipi"/>
    <w:rsid w:val="00904016"/>
  </w:style>
  <w:style w:type="character" w:customStyle="1" w:styleId="pagefirst">
    <w:name w:val="pagefirst"/>
    <w:basedOn w:val="VarsaylanParagrafYazTipi"/>
    <w:rsid w:val="00904016"/>
  </w:style>
  <w:style w:type="character" w:customStyle="1" w:styleId="pagelast">
    <w:name w:val="pagelast"/>
    <w:basedOn w:val="VarsaylanParagrafYazTipi"/>
    <w:rsid w:val="00904016"/>
  </w:style>
  <w:style w:type="paragraph" w:styleId="ResimYazs">
    <w:name w:val="caption"/>
    <w:basedOn w:val="Normal"/>
    <w:next w:val="Normal"/>
    <w:unhideWhenUsed/>
    <w:rsid w:val="00C85689"/>
    <w:pPr>
      <w:spacing w:after="200" w:line="240" w:lineRule="auto"/>
    </w:pPr>
    <w:rPr>
      <w:i/>
      <w:iCs/>
      <w:color w:val="1F497D" w:themeColor="text2"/>
      <w:sz w:val="18"/>
      <w:szCs w:val="18"/>
    </w:rPr>
  </w:style>
  <w:style w:type="character" w:styleId="zlenenKpr">
    <w:name w:val="FollowedHyperlink"/>
    <w:basedOn w:val="VarsaylanParagrafYazTipi"/>
    <w:semiHidden/>
    <w:unhideWhenUsed/>
    <w:rsid w:val="004A0F77"/>
    <w:rPr>
      <w:color w:val="800080" w:themeColor="followedHyperlink"/>
      <w:u w:val="single"/>
    </w:rPr>
  </w:style>
  <w:style w:type="character" w:styleId="SatrNumaras">
    <w:name w:val="line number"/>
    <w:basedOn w:val="VarsaylanParagrafYazTipi"/>
    <w:semiHidden/>
    <w:unhideWhenUsed/>
    <w:rsid w:val="00511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0752">
      <w:bodyDiv w:val="1"/>
      <w:marLeft w:val="0"/>
      <w:marRight w:val="0"/>
      <w:marTop w:val="0"/>
      <w:marBottom w:val="0"/>
      <w:divBdr>
        <w:top w:val="none" w:sz="0" w:space="0" w:color="auto"/>
        <w:left w:val="none" w:sz="0" w:space="0" w:color="auto"/>
        <w:bottom w:val="none" w:sz="0" w:space="0" w:color="auto"/>
        <w:right w:val="none" w:sz="0" w:space="0" w:color="auto"/>
      </w:divBdr>
      <w:divsChild>
        <w:div w:id="1305936449">
          <w:marLeft w:val="0"/>
          <w:marRight w:val="0"/>
          <w:marTop w:val="0"/>
          <w:marBottom w:val="0"/>
          <w:divBdr>
            <w:top w:val="none" w:sz="0" w:space="0" w:color="auto"/>
            <w:left w:val="none" w:sz="0" w:space="0" w:color="auto"/>
            <w:bottom w:val="none" w:sz="0" w:space="0" w:color="auto"/>
            <w:right w:val="none" w:sz="0" w:space="0" w:color="auto"/>
          </w:divBdr>
        </w:div>
      </w:divsChild>
    </w:div>
    <w:div w:id="25059605">
      <w:bodyDiv w:val="1"/>
      <w:marLeft w:val="0"/>
      <w:marRight w:val="0"/>
      <w:marTop w:val="0"/>
      <w:marBottom w:val="0"/>
      <w:divBdr>
        <w:top w:val="none" w:sz="0" w:space="0" w:color="auto"/>
        <w:left w:val="none" w:sz="0" w:space="0" w:color="auto"/>
        <w:bottom w:val="none" w:sz="0" w:space="0" w:color="auto"/>
        <w:right w:val="none" w:sz="0" w:space="0" w:color="auto"/>
      </w:divBdr>
    </w:div>
    <w:div w:id="27530226">
      <w:bodyDiv w:val="1"/>
      <w:marLeft w:val="0"/>
      <w:marRight w:val="0"/>
      <w:marTop w:val="0"/>
      <w:marBottom w:val="0"/>
      <w:divBdr>
        <w:top w:val="none" w:sz="0" w:space="0" w:color="auto"/>
        <w:left w:val="none" w:sz="0" w:space="0" w:color="auto"/>
        <w:bottom w:val="none" w:sz="0" w:space="0" w:color="auto"/>
        <w:right w:val="none" w:sz="0" w:space="0" w:color="auto"/>
      </w:divBdr>
      <w:divsChild>
        <w:div w:id="1644894113">
          <w:marLeft w:val="0"/>
          <w:marRight w:val="0"/>
          <w:marTop w:val="0"/>
          <w:marBottom w:val="120"/>
          <w:divBdr>
            <w:top w:val="none" w:sz="0" w:space="0" w:color="auto"/>
            <w:left w:val="none" w:sz="0" w:space="0" w:color="auto"/>
            <w:bottom w:val="none" w:sz="0" w:space="0" w:color="auto"/>
            <w:right w:val="none" w:sz="0" w:space="0" w:color="auto"/>
          </w:divBdr>
          <w:divsChild>
            <w:div w:id="55393607">
              <w:marLeft w:val="0"/>
              <w:marRight w:val="0"/>
              <w:marTop w:val="0"/>
              <w:marBottom w:val="0"/>
              <w:divBdr>
                <w:top w:val="none" w:sz="0" w:space="0" w:color="auto"/>
                <w:left w:val="none" w:sz="0" w:space="0" w:color="auto"/>
                <w:bottom w:val="none" w:sz="0" w:space="0" w:color="auto"/>
                <w:right w:val="none" w:sz="0" w:space="0" w:color="auto"/>
              </w:divBdr>
              <w:divsChild>
                <w:div w:id="131942669">
                  <w:marLeft w:val="0"/>
                  <w:marRight w:val="0"/>
                  <w:marTop w:val="0"/>
                  <w:marBottom w:val="0"/>
                  <w:divBdr>
                    <w:top w:val="none" w:sz="0" w:space="0" w:color="auto"/>
                    <w:left w:val="none" w:sz="0" w:space="0" w:color="auto"/>
                    <w:bottom w:val="none" w:sz="0" w:space="0" w:color="auto"/>
                    <w:right w:val="none" w:sz="0" w:space="0" w:color="auto"/>
                  </w:divBdr>
                  <w:divsChild>
                    <w:div w:id="1050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42134">
      <w:bodyDiv w:val="1"/>
      <w:marLeft w:val="0"/>
      <w:marRight w:val="0"/>
      <w:marTop w:val="0"/>
      <w:marBottom w:val="0"/>
      <w:divBdr>
        <w:top w:val="none" w:sz="0" w:space="0" w:color="auto"/>
        <w:left w:val="none" w:sz="0" w:space="0" w:color="auto"/>
        <w:bottom w:val="none" w:sz="0" w:space="0" w:color="auto"/>
        <w:right w:val="none" w:sz="0" w:space="0" w:color="auto"/>
      </w:divBdr>
      <w:divsChild>
        <w:div w:id="1130585981">
          <w:marLeft w:val="0"/>
          <w:marRight w:val="0"/>
          <w:marTop w:val="0"/>
          <w:marBottom w:val="0"/>
          <w:divBdr>
            <w:top w:val="none" w:sz="0" w:space="0" w:color="auto"/>
            <w:left w:val="none" w:sz="0" w:space="0" w:color="auto"/>
            <w:bottom w:val="none" w:sz="0" w:space="0" w:color="auto"/>
            <w:right w:val="none" w:sz="0" w:space="0" w:color="auto"/>
          </w:divBdr>
          <w:divsChild>
            <w:div w:id="1573347607">
              <w:marLeft w:val="0"/>
              <w:marRight w:val="0"/>
              <w:marTop w:val="0"/>
              <w:marBottom w:val="0"/>
              <w:divBdr>
                <w:top w:val="none" w:sz="0" w:space="0" w:color="auto"/>
                <w:left w:val="none" w:sz="0" w:space="0" w:color="auto"/>
                <w:bottom w:val="none" w:sz="0" w:space="0" w:color="auto"/>
                <w:right w:val="none" w:sz="0" w:space="0" w:color="auto"/>
              </w:divBdr>
            </w:div>
          </w:divsChild>
        </w:div>
        <w:div w:id="1530099210">
          <w:marLeft w:val="0"/>
          <w:marRight w:val="0"/>
          <w:marTop w:val="0"/>
          <w:marBottom w:val="0"/>
          <w:divBdr>
            <w:top w:val="none" w:sz="0" w:space="0" w:color="auto"/>
            <w:left w:val="none" w:sz="0" w:space="0" w:color="auto"/>
            <w:bottom w:val="none" w:sz="0" w:space="0" w:color="auto"/>
            <w:right w:val="none" w:sz="0" w:space="0" w:color="auto"/>
          </w:divBdr>
        </w:div>
      </w:divsChild>
    </w:div>
    <w:div w:id="239603318">
      <w:bodyDiv w:val="1"/>
      <w:marLeft w:val="0"/>
      <w:marRight w:val="0"/>
      <w:marTop w:val="0"/>
      <w:marBottom w:val="0"/>
      <w:divBdr>
        <w:top w:val="none" w:sz="0" w:space="0" w:color="auto"/>
        <w:left w:val="none" w:sz="0" w:space="0" w:color="auto"/>
        <w:bottom w:val="none" w:sz="0" w:space="0" w:color="auto"/>
        <w:right w:val="none" w:sz="0" w:space="0" w:color="auto"/>
      </w:divBdr>
      <w:divsChild>
        <w:div w:id="1877430462">
          <w:marLeft w:val="0"/>
          <w:marRight w:val="0"/>
          <w:marTop w:val="0"/>
          <w:marBottom w:val="0"/>
          <w:divBdr>
            <w:top w:val="none" w:sz="0" w:space="0" w:color="auto"/>
            <w:left w:val="none" w:sz="0" w:space="0" w:color="auto"/>
            <w:bottom w:val="none" w:sz="0" w:space="0" w:color="auto"/>
            <w:right w:val="none" w:sz="0" w:space="0" w:color="auto"/>
          </w:divBdr>
        </w:div>
        <w:div w:id="445462919">
          <w:marLeft w:val="0"/>
          <w:marRight w:val="0"/>
          <w:marTop w:val="0"/>
          <w:marBottom w:val="0"/>
          <w:divBdr>
            <w:top w:val="none" w:sz="0" w:space="0" w:color="auto"/>
            <w:left w:val="none" w:sz="0" w:space="0" w:color="auto"/>
            <w:bottom w:val="none" w:sz="0" w:space="0" w:color="auto"/>
            <w:right w:val="none" w:sz="0" w:space="0" w:color="auto"/>
          </w:divBdr>
        </w:div>
      </w:divsChild>
    </w:div>
    <w:div w:id="240680638">
      <w:bodyDiv w:val="1"/>
      <w:marLeft w:val="0"/>
      <w:marRight w:val="0"/>
      <w:marTop w:val="0"/>
      <w:marBottom w:val="0"/>
      <w:divBdr>
        <w:top w:val="none" w:sz="0" w:space="0" w:color="auto"/>
        <w:left w:val="none" w:sz="0" w:space="0" w:color="auto"/>
        <w:bottom w:val="none" w:sz="0" w:space="0" w:color="auto"/>
        <w:right w:val="none" w:sz="0" w:space="0" w:color="auto"/>
      </w:divBdr>
    </w:div>
    <w:div w:id="346253452">
      <w:bodyDiv w:val="1"/>
      <w:marLeft w:val="0"/>
      <w:marRight w:val="0"/>
      <w:marTop w:val="0"/>
      <w:marBottom w:val="0"/>
      <w:divBdr>
        <w:top w:val="none" w:sz="0" w:space="0" w:color="auto"/>
        <w:left w:val="none" w:sz="0" w:space="0" w:color="auto"/>
        <w:bottom w:val="none" w:sz="0" w:space="0" w:color="auto"/>
        <w:right w:val="none" w:sz="0" w:space="0" w:color="auto"/>
      </w:divBdr>
      <w:divsChild>
        <w:div w:id="881751719">
          <w:marLeft w:val="0"/>
          <w:marRight w:val="0"/>
          <w:marTop w:val="0"/>
          <w:marBottom w:val="120"/>
          <w:divBdr>
            <w:top w:val="none" w:sz="0" w:space="0" w:color="auto"/>
            <w:left w:val="none" w:sz="0" w:space="0" w:color="auto"/>
            <w:bottom w:val="none" w:sz="0" w:space="0" w:color="auto"/>
            <w:right w:val="none" w:sz="0" w:space="0" w:color="auto"/>
          </w:divBdr>
          <w:divsChild>
            <w:div w:id="1368680103">
              <w:marLeft w:val="0"/>
              <w:marRight w:val="0"/>
              <w:marTop w:val="0"/>
              <w:marBottom w:val="0"/>
              <w:divBdr>
                <w:top w:val="none" w:sz="0" w:space="0" w:color="auto"/>
                <w:left w:val="none" w:sz="0" w:space="0" w:color="auto"/>
                <w:bottom w:val="none" w:sz="0" w:space="0" w:color="auto"/>
                <w:right w:val="none" w:sz="0" w:space="0" w:color="auto"/>
              </w:divBdr>
              <w:divsChild>
                <w:div w:id="1110080312">
                  <w:marLeft w:val="0"/>
                  <w:marRight w:val="0"/>
                  <w:marTop w:val="0"/>
                  <w:marBottom w:val="0"/>
                  <w:divBdr>
                    <w:top w:val="none" w:sz="0" w:space="0" w:color="auto"/>
                    <w:left w:val="none" w:sz="0" w:space="0" w:color="auto"/>
                    <w:bottom w:val="none" w:sz="0" w:space="0" w:color="auto"/>
                    <w:right w:val="none" w:sz="0" w:space="0" w:color="auto"/>
                  </w:divBdr>
                  <w:divsChild>
                    <w:div w:id="200546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589303">
      <w:bodyDiv w:val="1"/>
      <w:marLeft w:val="0"/>
      <w:marRight w:val="0"/>
      <w:marTop w:val="0"/>
      <w:marBottom w:val="0"/>
      <w:divBdr>
        <w:top w:val="none" w:sz="0" w:space="0" w:color="auto"/>
        <w:left w:val="none" w:sz="0" w:space="0" w:color="auto"/>
        <w:bottom w:val="none" w:sz="0" w:space="0" w:color="auto"/>
        <w:right w:val="none" w:sz="0" w:space="0" w:color="auto"/>
      </w:divBdr>
    </w:div>
    <w:div w:id="561331918">
      <w:bodyDiv w:val="1"/>
      <w:marLeft w:val="0"/>
      <w:marRight w:val="0"/>
      <w:marTop w:val="0"/>
      <w:marBottom w:val="0"/>
      <w:divBdr>
        <w:top w:val="none" w:sz="0" w:space="0" w:color="auto"/>
        <w:left w:val="none" w:sz="0" w:space="0" w:color="auto"/>
        <w:bottom w:val="none" w:sz="0" w:space="0" w:color="auto"/>
        <w:right w:val="none" w:sz="0" w:space="0" w:color="auto"/>
      </w:divBdr>
    </w:div>
    <w:div w:id="564026447">
      <w:bodyDiv w:val="1"/>
      <w:marLeft w:val="0"/>
      <w:marRight w:val="0"/>
      <w:marTop w:val="0"/>
      <w:marBottom w:val="0"/>
      <w:divBdr>
        <w:top w:val="none" w:sz="0" w:space="0" w:color="auto"/>
        <w:left w:val="none" w:sz="0" w:space="0" w:color="auto"/>
        <w:bottom w:val="none" w:sz="0" w:space="0" w:color="auto"/>
        <w:right w:val="none" w:sz="0" w:space="0" w:color="auto"/>
      </w:divBdr>
    </w:div>
    <w:div w:id="619992694">
      <w:bodyDiv w:val="1"/>
      <w:marLeft w:val="0"/>
      <w:marRight w:val="0"/>
      <w:marTop w:val="0"/>
      <w:marBottom w:val="0"/>
      <w:divBdr>
        <w:top w:val="none" w:sz="0" w:space="0" w:color="auto"/>
        <w:left w:val="none" w:sz="0" w:space="0" w:color="auto"/>
        <w:bottom w:val="none" w:sz="0" w:space="0" w:color="auto"/>
        <w:right w:val="none" w:sz="0" w:space="0" w:color="auto"/>
      </w:divBdr>
      <w:divsChild>
        <w:div w:id="751001177">
          <w:marLeft w:val="0"/>
          <w:marRight w:val="0"/>
          <w:marTop w:val="0"/>
          <w:marBottom w:val="120"/>
          <w:divBdr>
            <w:top w:val="none" w:sz="0" w:space="0" w:color="auto"/>
            <w:left w:val="none" w:sz="0" w:space="0" w:color="auto"/>
            <w:bottom w:val="none" w:sz="0" w:space="0" w:color="auto"/>
            <w:right w:val="none" w:sz="0" w:space="0" w:color="auto"/>
          </w:divBdr>
          <w:divsChild>
            <w:div w:id="616448603">
              <w:marLeft w:val="0"/>
              <w:marRight w:val="0"/>
              <w:marTop w:val="0"/>
              <w:marBottom w:val="0"/>
              <w:divBdr>
                <w:top w:val="none" w:sz="0" w:space="0" w:color="auto"/>
                <w:left w:val="none" w:sz="0" w:space="0" w:color="auto"/>
                <w:bottom w:val="none" w:sz="0" w:space="0" w:color="auto"/>
                <w:right w:val="none" w:sz="0" w:space="0" w:color="auto"/>
              </w:divBdr>
              <w:divsChild>
                <w:div w:id="191502295">
                  <w:marLeft w:val="0"/>
                  <w:marRight w:val="0"/>
                  <w:marTop w:val="0"/>
                  <w:marBottom w:val="0"/>
                  <w:divBdr>
                    <w:top w:val="none" w:sz="0" w:space="0" w:color="auto"/>
                    <w:left w:val="none" w:sz="0" w:space="0" w:color="auto"/>
                    <w:bottom w:val="none" w:sz="0" w:space="0" w:color="auto"/>
                    <w:right w:val="none" w:sz="0" w:space="0" w:color="auto"/>
                  </w:divBdr>
                  <w:divsChild>
                    <w:div w:id="17504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14827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70348042">
      <w:bodyDiv w:val="1"/>
      <w:marLeft w:val="0"/>
      <w:marRight w:val="0"/>
      <w:marTop w:val="0"/>
      <w:marBottom w:val="0"/>
      <w:divBdr>
        <w:top w:val="none" w:sz="0" w:space="0" w:color="auto"/>
        <w:left w:val="none" w:sz="0" w:space="0" w:color="auto"/>
        <w:bottom w:val="none" w:sz="0" w:space="0" w:color="auto"/>
        <w:right w:val="none" w:sz="0" w:space="0" w:color="auto"/>
      </w:divBdr>
      <w:divsChild>
        <w:div w:id="696352407">
          <w:marLeft w:val="0"/>
          <w:marRight w:val="0"/>
          <w:marTop w:val="0"/>
          <w:marBottom w:val="0"/>
          <w:divBdr>
            <w:top w:val="none" w:sz="0" w:space="0" w:color="auto"/>
            <w:left w:val="none" w:sz="0" w:space="0" w:color="auto"/>
            <w:bottom w:val="none" w:sz="0" w:space="0" w:color="auto"/>
            <w:right w:val="none" w:sz="0" w:space="0" w:color="auto"/>
          </w:divBdr>
          <w:divsChild>
            <w:div w:id="2061391639">
              <w:marLeft w:val="0"/>
              <w:marRight w:val="0"/>
              <w:marTop w:val="0"/>
              <w:marBottom w:val="0"/>
              <w:divBdr>
                <w:top w:val="none" w:sz="0" w:space="0" w:color="auto"/>
                <w:left w:val="none" w:sz="0" w:space="0" w:color="auto"/>
                <w:bottom w:val="none" w:sz="0" w:space="0" w:color="auto"/>
                <w:right w:val="none" w:sz="0" w:space="0" w:color="auto"/>
              </w:divBdr>
            </w:div>
          </w:divsChild>
        </w:div>
        <w:div w:id="664631576">
          <w:marLeft w:val="0"/>
          <w:marRight w:val="0"/>
          <w:marTop w:val="0"/>
          <w:marBottom w:val="0"/>
          <w:divBdr>
            <w:top w:val="none" w:sz="0" w:space="0" w:color="auto"/>
            <w:left w:val="none" w:sz="0" w:space="0" w:color="auto"/>
            <w:bottom w:val="none" w:sz="0" w:space="0" w:color="auto"/>
            <w:right w:val="none" w:sz="0" w:space="0" w:color="auto"/>
          </w:divBdr>
        </w:div>
      </w:divsChild>
    </w:div>
    <w:div w:id="1104227864">
      <w:bodyDiv w:val="1"/>
      <w:marLeft w:val="0"/>
      <w:marRight w:val="0"/>
      <w:marTop w:val="0"/>
      <w:marBottom w:val="0"/>
      <w:divBdr>
        <w:top w:val="none" w:sz="0" w:space="0" w:color="auto"/>
        <w:left w:val="none" w:sz="0" w:space="0" w:color="auto"/>
        <w:bottom w:val="none" w:sz="0" w:space="0" w:color="auto"/>
        <w:right w:val="none" w:sz="0" w:space="0" w:color="auto"/>
      </w:divBdr>
    </w:div>
    <w:div w:id="1144468798">
      <w:bodyDiv w:val="1"/>
      <w:marLeft w:val="0"/>
      <w:marRight w:val="0"/>
      <w:marTop w:val="0"/>
      <w:marBottom w:val="0"/>
      <w:divBdr>
        <w:top w:val="none" w:sz="0" w:space="0" w:color="auto"/>
        <w:left w:val="none" w:sz="0" w:space="0" w:color="auto"/>
        <w:bottom w:val="none" w:sz="0" w:space="0" w:color="auto"/>
        <w:right w:val="none" w:sz="0" w:space="0" w:color="auto"/>
      </w:divBdr>
    </w:div>
    <w:div w:id="1216892240">
      <w:bodyDiv w:val="1"/>
      <w:marLeft w:val="0"/>
      <w:marRight w:val="0"/>
      <w:marTop w:val="0"/>
      <w:marBottom w:val="0"/>
      <w:divBdr>
        <w:top w:val="none" w:sz="0" w:space="0" w:color="auto"/>
        <w:left w:val="none" w:sz="0" w:space="0" w:color="auto"/>
        <w:bottom w:val="none" w:sz="0" w:space="0" w:color="auto"/>
        <w:right w:val="none" w:sz="0" w:space="0" w:color="auto"/>
      </w:divBdr>
      <w:divsChild>
        <w:div w:id="229971618">
          <w:marLeft w:val="0"/>
          <w:marRight w:val="0"/>
          <w:marTop w:val="0"/>
          <w:marBottom w:val="0"/>
          <w:divBdr>
            <w:top w:val="none" w:sz="0" w:space="0" w:color="auto"/>
            <w:left w:val="none" w:sz="0" w:space="0" w:color="auto"/>
            <w:bottom w:val="none" w:sz="0" w:space="0" w:color="auto"/>
            <w:right w:val="none" w:sz="0" w:space="0" w:color="auto"/>
          </w:divBdr>
        </w:div>
      </w:divsChild>
    </w:div>
    <w:div w:id="1254701730">
      <w:bodyDiv w:val="1"/>
      <w:marLeft w:val="0"/>
      <w:marRight w:val="0"/>
      <w:marTop w:val="0"/>
      <w:marBottom w:val="0"/>
      <w:divBdr>
        <w:top w:val="none" w:sz="0" w:space="0" w:color="auto"/>
        <w:left w:val="none" w:sz="0" w:space="0" w:color="auto"/>
        <w:bottom w:val="none" w:sz="0" w:space="0" w:color="auto"/>
        <w:right w:val="none" w:sz="0" w:space="0" w:color="auto"/>
      </w:divBdr>
    </w:div>
    <w:div w:id="1343436908">
      <w:bodyDiv w:val="1"/>
      <w:marLeft w:val="0"/>
      <w:marRight w:val="0"/>
      <w:marTop w:val="0"/>
      <w:marBottom w:val="0"/>
      <w:divBdr>
        <w:top w:val="none" w:sz="0" w:space="0" w:color="auto"/>
        <w:left w:val="none" w:sz="0" w:space="0" w:color="auto"/>
        <w:bottom w:val="none" w:sz="0" w:space="0" w:color="auto"/>
        <w:right w:val="none" w:sz="0" w:space="0" w:color="auto"/>
      </w:divBdr>
    </w:div>
    <w:div w:id="1444762074">
      <w:bodyDiv w:val="1"/>
      <w:marLeft w:val="0"/>
      <w:marRight w:val="0"/>
      <w:marTop w:val="0"/>
      <w:marBottom w:val="0"/>
      <w:divBdr>
        <w:top w:val="none" w:sz="0" w:space="0" w:color="auto"/>
        <w:left w:val="none" w:sz="0" w:space="0" w:color="auto"/>
        <w:bottom w:val="none" w:sz="0" w:space="0" w:color="auto"/>
        <w:right w:val="none" w:sz="0" w:space="0" w:color="auto"/>
      </w:divBdr>
    </w:div>
    <w:div w:id="1456830369">
      <w:bodyDiv w:val="1"/>
      <w:marLeft w:val="0"/>
      <w:marRight w:val="0"/>
      <w:marTop w:val="0"/>
      <w:marBottom w:val="0"/>
      <w:divBdr>
        <w:top w:val="none" w:sz="0" w:space="0" w:color="auto"/>
        <w:left w:val="none" w:sz="0" w:space="0" w:color="auto"/>
        <w:bottom w:val="none" w:sz="0" w:space="0" w:color="auto"/>
        <w:right w:val="none" w:sz="0" w:space="0" w:color="auto"/>
      </w:divBdr>
      <w:divsChild>
        <w:div w:id="333457445">
          <w:marLeft w:val="0"/>
          <w:marRight w:val="0"/>
          <w:marTop w:val="0"/>
          <w:marBottom w:val="0"/>
          <w:divBdr>
            <w:top w:val="none" w:sz="0" w:space="0" w:color="auto"/>
            <w:left w:val="none" w:sz="0" w:space="0" w:color="auto"/>
            <w:bottom w:val="none" w:sz="0" w:space="0" w:color="auto"/>
            <w:right w:val="none" w:sz="0" w:space="0" w:color="auto"/>
          </w:divBdr>
          <w:divsChild>
            <w:div w:id="1354922049">
              <w:marLeft w:val="0"/>
              <w:marRight w:val="0"/>
              <w:marTop w:val="0"/>
              <w:marBottom w:val="0"/>
              <w:divBdr>
                <w:top w:val="none" w:sz="0" w:space="0" w:color="auto"/>
                <w:left w:val="none" w:sz="0" w:space="0" w:color="auto"/>
                <w:bottom w:val="none" w:sz="0" w:space="0" w:color="auto"/>
                <w:right w:val="none" w:sz="0" w:space="0" w:color="auto"/>
              </w:divBdr>
            </w:div>
          </w:divsChild>
        </w:div>
        <w:div w:id="657196261">
          <w:marLeft w:val="0"/>
          <w:marRight w:val="0"/>
          <w:marTop w:val="0"/>
          <w:marBottom w:val="0"/>
          <w:divBdr>
            <w:top w:val="none" w:sz="0" w:space="0" w:color="auto"/>
            <w:left w:val="none" w:sz="0" w:space="0" w:color="auto"/>
            <w:bottom w:val="none" w:sz="0" w:space="0" w:color="auto"/>
            <w:right w:val="none" w:sz="0" w:space="0" w:color="auto"/>
          </w:divBdr>
        </w:div>
      </w:divsChild>
    </w:div>
    <w:div w:id="1504274322">
      <w:bodyDiv w:val="1"/>
      <w:marLeft w:val="0"/>
      <w:marRight w:val="0"/>
      <w:marTop w:val="0"/>
      <w:marBottom w:val="0"/>
      <w:divBdr>
        <w:top w:val="none" w:sz="0" w:space="0" w:color="auto"/>
        <w:left w:val="none" w:sz="0" w:space="0" w:color="auto"/>
        <w:bottom w:val="none" w:sz="0" w:space="0" w:color="auto"/>
        <w:right w:val="none" w:sz="0" w:space="0" w:color="auto"/>
      </w:divBdr>
      <w:divsChild>
        <w:div w:id="1289774804">
          <w:marLeft w:val="0"/>
          <w:marRight w:val="0"/>
          <w:marTop w:val="0"/>
          <w:marBottom w:val="0"/>
          <w:divBdr>
            <w:top w:val="none" w:sz="0" w:space="0" w:color="auto"/>
            <w:left w:val="none" w:sz="0" w:space="0" w:color="auto"/>
            <w:bottom w:val="none" w:sz="0" w:space="0" w:color="auto"/>
            <w:right w:val="none" w:sz="0" w:space="0" w:color="auto"/>
          </w:divBdr>
          <w:divsChild>
            <w:div w:id="65998170">
              <w:marLeft w:val="0"/>
              <w:marRight w:val="0"/>
              <w:marTop w:val="0"/>
              <w:marBottom w:val="0"/>
              <w:divBdr>
                <w:top w:val="none" w:sz="0" w:space="0" w:color="auto"/>
                <w:left w:val="none" w:sz="0" w:space="0" w:color="auto"/>
                <w:bottom w:val="none" w:sz="0" w:space="0" w:color="auto"/>
                <w:right w:val="none" w:sz="0" w:space="0" w:color="auto"/>
              </w:divBdr>
            </w:div>
          </w:divsChild>
        </w:div>
        <w:div w:id="1818525484">
          <w:marLeft w:val="0"/>
          <w:marRight w:val="0"/>
          <w:marTop w:val="0"/>
          <w:marBottom w:val="0"/>
          <w:divBdr>
            <w:top w:val="none" w:sz="0" w:space="0" w:color="auto"/>
            <w:left w:val="none" w:sz="0" w:space="0" w:color="auto"/>
            <w:bottom w:val="none" w:sz="0" w:space="0" w:color="auto"/>
            <w:right w:val="none" w:sz="0" w:space="0" w:color="auto"/>
          </w:divBdr>
        </w:div>
      </w:divsChild>
    </w:div>
    <w:div w:id="1542017608">
      <w:bodyDiv w:val="1"/>
      <w:marLeft w:val="0"/>
      <w:marRight w:val="0"/>
      <w:marTop w:val="0"/>
      <w:marBottom w:val="0"/>
      <w:divBdr>
        <w:top w:val="none" w:sz="0" w:space="0" w:color="auto"/>
        <w:left w:val="none" w:sz="0" w:space="0" w:color="auto"/>
        <w:bottom w:val="none" w:sz="0" w:space="0" w:color="auto"/>
        <w:right w:val="none" w:sz="0" w:space="0" w:color="auto"/>
      </w:divBdr>
    </w:div>
    <w:div w:id="1689213290">
      <w:bodyDiv w:val="1"/>
      <w:marLeft w:val="0"/>
      <w:marRight w:val="0"/>
      <w:marTop w:val="0"/>
      <w:marBottom w:val="0"/>
      <w:divBdr>
        <w:top w:val="none" w:sz="0" w:space="0" w:color="auto"/>
        <w:left w:val="none" w:sz="0" w:space="0" w:color="auto"/>
        <w:bottom w:val="none" w:sz="0" w:space="0" w:color="auto"/>
        <w:right w:val="none" w:sz="0" w:space="0" w:color="auto"/>
      </w:divBdr>
      <w:divsChild>
        <w:div w:id="106971413">
          <w:marLeft w:val="0"/>
          <w:marRight w:val="0"/>
          <w:marTop w:val="0"/>
          <w:marBottom w:val="0"/>
          <w:divBdr>
            <w:top w:val="none" w:sz="0" w:space="0" w:color="auto"/>
            <w:left w:val="none" w:sz="0" w:space="0" w:color="auto"/>
            <w:bottom w:val="none" w:sz="0" w:space="0" w:color="auto"/>
            <w:right w:val="none" w:sz="0" w:space="0" w:color="auto"/>
          </w:divBdr>
        </w:div>
      </w:divsChild>
    </w:div>
    <w:div w:id="1787890066">
      <w:bodyDiv w:val="1"/>
      <w:marLeft w:val="0"/>
      <w:marRight w:val="0"/>
      <w:marTop w:val="0"/>
      <w:marBottom w:val="0"/>
      <w:divBdr>
        <w:top w:val="none" w:sz="0" w:space="0" w:color="auto"/>
        <w:left w:val="none" w:sz="0" w:space="0" w:color="auto"/>
        <w:bottom w:val="none" w:sz="0" w:space="0" w:color="auto"/>
        <w:right w:val="none" w:sz="0" w:space="0" w:color="auto"/>
      </w:divBdr>
      <w:divsChild>
        <w:div w:id="1343818596">
          <w:marLeft w:val="0"/>
          <w:marRight w:val="0"/>
          <w:marTop w:val="0"/>
          <w:marBottom w:val="0"/>
          <w:divBdr>
            <w:top w:val="none" w:sz="0" w:space="0" w:color="auto"/>
            <w:left w:val="none" w:sz="0" w:space="0" w:color="auto"/>
            <w:bottom w:val="none" w:sz="0" w:space="0" w:color="auto"/>
            <w:right w:val="none" w:sz="0" w:space="0" w:color="auto"/>
          </w:divBdr>
          <w:divsChild>
            <w:div w:id="1128354517">
              <w:marLeft w:val="0"/>
              <w:marRight w:val="0"/>
              <w:marTop w:val="0"/>
              <w:marBottom w:val="0"/>
              <w:divBdr>
                <w:top w:val="none" w:sz="0" w:space="0" w:color="auto"/>
                <w:left w:val="none" w:sz="0" w:space="0" w:color="auto"/>
                <w:bottom w:val="none" w:sz="0" w:space="0" w:color="auto"/>
                <w:right w:val="none" w:sz="0" w:space="0" w:color="auto"/>
              </w:divBdr>
            </w:div>
          </w:divsChild>
        </w:div>
        <w:div w:id="2089231936">
          <w:marLeft w:val="0"/>
          <w:marRight w:val="0"/>
          <w:marTop w:val="0"/>
          <w:marBottom w:val="0"/>
          <w:divBdr>
            <w:top w:val="none" w:sz="0" w:space="0" w:color="auto"/>
            <w:left w:val="none" w:sz="0" w:space="0" w:color="auto"/>
            <w:bottom w:val="none" w:sz="0" w:space="0" w:color="auto"/>
            <w:right w:val="none" w:sz="0" w:space="0" w:color="auto"/>
          </w:divBdr>
        </w:div>
      </w:divsChild>
    </w:div>
    <w:div w:id="1845896748">
      <w:bodyDiv w:val="1"/>
      <w:marLeft w:val="0"/>
      <w:marRight w:val="0"/>
      <w:marTop w:val="0"/>
      <w:marBottom w:val="0"/>
      <w:divBdr>
        <w:top w:val="none" w:sz="0" w:space="0" w:color="auto"/>
        <w:left w:val="none" w:sz="0" w:space="0" w:color="auto"/>
        <w:bottom w:val="none" w:sz="0" w:space="0" w:color="auto"/>
        <w:right w:val="none" w:sz="0" w:space="0" w:color="auto"/>
      </w:divBdr>
    </w:div>
    <w:div w:id="210588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yperlink" Target="https://analyticalsciencejournals.onlinelibrary.wiley.com/doi/full/10.1002/elan.202100196?casa_token=0WXDQkdhvyIAAAAA%3AXCmhjZnl-mGoq3VpkI1ISM0JFiLdll0v2UTOQNpe-jF_qCzL90BOYxbYAry_LXgWvdvl5Pph-pPNOg" TargetMode="External"/><Relationship Id="rId26" Type="http://schemas.openxmlformats.org/officeDocument/2006/relationships/hyperlink" Target="https://doi.org/10.1016/j.progpolymsci.2010.11.003" TargetMode="External"/><Relationship Id="rId39" Type="http://schemas.openxmlformats.org/officeDocument/2006/relationships/hyperlink" Target="https://doi.org/10.1080/19440049.2013.801083" TargetMode="External"/><Relationship Id="rId21" Type="http://schemas.openxmlformats.org/officeDocument/2006/relationships/hyperlink" Target="https://www.sciencedirect.com/science/article/pii/S0026265X21001053?casa_token=jZnUVYHAADUAAAAA:MZt8C-G0EpwfJTL98pZNTaUsBOXoVF7yjZ8mJ-2BiIpyda35LwWXz3RCJ4aYNYzf-Bw8ovXtcw" TargetMode="External"/><Relationship Id="rId34" Type="http://schemas.openxmlformats.org/officeDocument/2006/relationships/hyperlink" Target="https://www.sciencedirect.com/science/journal/00144886/275/part/P1" TargetMode="External"/><Relationship Id="rId42" Type="http://schemas.openxmlformats.org/officeDocument/2006/relationships/hyperlink" Target="https://www.sciencedirect.com/science/article/abs/pii/S0013468616324707" TargetMode="External"/><Relationship Id="rId47" Type="http://schemas.openxmlformats.org/officeDocument/2006/relationships/hyperlink" Target="https://doi.org/10.1016/j.microc.2013.05.002" TargetMode="External"/><Relationship Id="rId50" Type="http://schemas.openxmlformats.org/officeDocument/2006/relationships/hyperlink" Target="https://doi.org/10.1021/acsnano.5b03814"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hyperlink" Target="https://www.sciencedirect.com/science/article/pii/S0039914018312669?casa_token=Uhv8BcPq6o8AAAAA:ehK9x-AjdIlR2xPtriiJBmtncuBjVCIeZoV08oJFx67ODUAA-AC8vCrRNt21Bwu5qITcdj3ASQ" TargetMode="External"/><Relationship Id="rId11" Type="http://schemas.openxmlformats.org/officeDocument/2006/relationships/image" Target="media/image6.png"/><Relationship Id="rId24" Type="http://schemas.openxmlformats.org/officeDocument/2006/relationships/hyperlink" Target="https://doi.org/10.1016/j.snb.2015.02.090" TargetMode="External"/><Relationship Id="rId32" Type="http://schemas.openxmlformats.org/officeDocument/2006/relationships/hyperlink" Target="https://doi.org/10.1016/j.foodchem.2020.126429" TargetMode="External"/><Relationship Id="rId37" Type="http://schemas.openxmlformats.org/officeDocument/2006/relationships/hyperlink" Target="https://www.ecfr.gov/cgi-bin/text-idx" TargetMode="External"/><Relationship Id="rId40" Type="http://schemas.openxmlformats.org/officeDocument/2006/relationships/hyperlink" Target="https://doi.org/10.1080/10643389.2015.1010431" TargetMode="External"/><Relationship Id="rId45" Type="http://schemas.openxmlformats.org/officeDocument/2006/relationships/hyperlink" Target="https://www.sciencedirect.com/science/journal/0026265X"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s://www.sciencedirect.com/book/9780128047033/nanomaterial-and-polymer-membranes"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hyperlink" Target="https://www.sciencedirect.com/science/article/pii/S0026265X21001053?casa_token=jZnUVYHAADUAAAAA:MZt8C-G0EpwfJTL98pZNTaUsBOXoVF7yjZ8mJ-2BiIpyda35LwWXz3RCJ4aYNYzf-Bw8ovXtcw" TargetMode="External"/><Relationship Id="rId27" Type="http://schemas.openxmlformats.org/officeDocument/2006/relationships/hyperlink" Target="https://www.sciencedirect.com/science/article/pii/S0039914018312669?casa_token=Uhv8BcPq6o8AAAAA:ehK9x-AjdIlR2xPtriiJBmtncuBjVCIeZoV08oJFx67ODUAA-AC8vCrRNt21Bwu5qITcdj3ASQ" TargetMode="External"/><Relationship Id="rId30" Type="http://schemas.openxmlformats.org/officeDocument/2006/relationships/hyperlink" Target="https://doi.org/10.1016/j.talanta.2018.11.114" TargetMode="External"/><Relationship Id="rId35" Type="http://schemas.openxmlformats.org/officeDocument/2006/relationships/hyperlink" Target="https://doi.org/10.1016/j.expneurol.2015.09.017" TargetMode="External"/><Relationship Id="rId43" Type="http://schemas.openxmlformats.org/officeDocument/2006/relationships/hyperlink" Target="https://www.sciencedirect.com/science/journal/00134686" TargetMode="External"/><Relationship Id="rId48" Type="http://schemas.openxmlformats.org/officeDocument/2006/relationships/hyperlink" Target="https://doi.org/10.1016/j.cclet.2008.07.013" TargetMode="External"/><Relationship Id="rId56" Type="http://schemas.openxmlformats.org/officeDocument/2006/relationships/footer" Target="footer2.xml"/><Relationship Id="rId8" Type="http://schemas.openxmlformats.org/officeDocument/2006/relationships/image" Target="media/image3.jpeg"/><Relationship Id="rId51" Type="http://schemas.openxmlformats.org/officeDocument/2006/relationships/hyperlink" Target="https://doi.org/10.1016/j.bios.2011.08.011" TargetMode="External"/><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0.png"/><Relationship Id="rId25" Type="http://schemas.openxmlformats.org/officeDocument/2006/relationships/hyperlink" Target="https://doi.org/10.1016/j.aca.2013.03.061" TargetMode="External"/><Relationship Id="rId33" Type="http://schemas.openxmlformats.org/officeDocument/2006/relationships/hyperlink" Target="https://www.sciencedirect.com/science/journal/00144886" TargetMode="External"/><Relationship Id="rId38" Type="http://schemas.openxmlformats.org/officeDocument/2006/relationships/hyperlink" Target="https://doi.org/10.1016/j.expneurol.2015.09.017" TargetMode="External"/><Relationship Id="rId46" Type="http://schemas.openxmlformats.org/officeDocument/2006/relationships/hyperlink" Target="https://www.sciencedirect.com/science/journal/0026265X/110/supp/C" TargetMode="External"/><Relationship Id="rId59" Type="http://schemas.openxmlformats.org/officeDocument/2006/relationships/fontTable" Target="fontTable.xml"/><Relationship Id="rId20" Type="http://schemas.openxmlformats.org/officeDocument/2006/relationships/hyperlink" Target="https://doi.org/10.1016/B978-0-12-804703-3.00004-8" TargetMode="External"/><Relationship Id="rId41" Type="http://schemas.openxmlformats.org/officeDocument/2006/relationships/hyperlink" Target="https://doi.org/10.1002/jssc.201700455"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www.sciencedirect.com/science/article/pii/S0026265X21001053?casa_token=jZnUVYHAADUAAAAA:MZt8C-G0EpwfJTL98pZNTaUsBOXoVF7yjZ8mJ-2BiIpyda35LwWXz3RCJ4aYNYzf-Bw8ovXtcw" TargetMode="External"/><Relationship Id="rId28" Type="http://schemas.openxmlformats.org/officeDocument/2006/relationships/hyperlink" Target="https://www.sciencedirect.com/science/article/pii/S0039914018312669?casa_token=Uhv8BcPq6o8AAAAA:ehK9x-AjdIlR2xPtriiJBmtncuBjVCIeZoV08oJFx67ODUAA-AC8vCrRNt21Bwu5qITcdj3ASQ" TargetMode="External"/><Relationship Id="rId36" Type="http://schemas.openxmlformats.org/officeDocument/2006/relationships/hyperlink" Target="https://doi.org/10.1016/j.foodchem.2019.125923" TargetMode="External"/><Relationship Id="rId49" Type="http://schemas.openxmlformats.org/officeDocument/2006/relationships/hyperlink" Target="https://doi.org/10.1021/ja800745y" TargetMode="External"/><Relationship Id="rId57" Type="http://schemas.openxmlformats.org/officeDocument/2006/relationships/header" Target="header3.xml"/><Relationship Id="rId10" Type="http://schemas.openxmlformats.org/officeDocument/2006/relationships/image" Target="media/image5.jpeg"/><Relationship Id="rId31" Type="http://schemas.openxmlformats.org/officeDocument/2006/relationships/hyperlink" Target="https://www.sciencedirect.com/science/journal/03088146" TargetMode="External"/><Relationship Id="rId44" Type="http://schemas.openxmlformats.org/officeDocument/2006/relationships/hyperlink" Target="https://doi.org/10.1016/j.electacta.2016.11.133" TargetMode="External"/><Relationship Id="rId52" Type="http://schemas.openxmlformats.org/officeDocument/2006/relationships/hyperlink" Target="http://www.fao.org/fao-who-codexalimentarius/codex-texts/dbs/pestres/pesticide-detail" TargetMode="External"/><Relationship Id="rId6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0533\AppData\Local\Temp\Rar$DIa0.706\TF_Template_Word_Windows_2016.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90533\Desktop\NAZ&#304;FE%20MASA%20&#220;ST&#220;\YAYIN%20NAZ&#304;FE-SEMA\GRAF&#304;KLER\Kalibrasyon%20grafi&#287;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90533\Desktop\YAYIN%20NAZ&#304;FE-SEMA\GRAF&#304;KLER\GRAF&#304;KLER%20MAKAL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258809184285035"/>
          <c:y val="3.3914255962569896E-2"/>
          <c:w val="0.81681432806510701"/>
          <c:h val="0.7331293506789911"/>
        </c:manualLayout>
      </c:layout>
      <c:scatterChart>
        <c:scatterStyle val="lineMarker"/>
        <c:varyColors val="0"/>
        <c:ser>
          <c:idx val="0"/>
          <c:order val="0"/>
          <c:spPr>
            <a:ln w="19050" cap="rnd">
              <a:solidFill>
                <a:schemeClr val="dk1">
                  <a:tint val="88500"/>
                </a:schemeClr>
              </a:solidFill>
              <a:round/>
            </a:ln>
            <a:effectLst/>
          </c:spPr>
          <c:marker>
            <c:symbol val="circle"/>
            <c:size val="7"/>
            <c:spPr>
              <a:solidFill>
                <a:schemeClr val="dk1">
                  <a:tint val="88500"/>
                </a:schemeClr>
              </a:solidFill>
              <a:ln w="9525">
                <a:solidFill>
                  <a:schemeClr val="dk1">
                    <a:tint val="88500"/>
                  </a:schemeClr>
                </a:solidFill>
              </a:ln>
              <a:effectLst/>
            </c:spPr>
          </c:marker>
          <c:xVal>
            <c:numRef>
              <c:f>pH!$D$3:$D$8</c:f>
              <c:numCache>
                <c:formatCode>General</c:formatCode>
                <c:ptCount val="6"/>
                <c:pt idx="0">
                  <c:v>5</c:v>
                </c:pt>
                <c:pt idx="1">
                  <c:v>6</c:v>
                </c:pt>
                <c:pt idx="2">
                  <c:v>7</c:v>
                </c:pt>
                <c:pt idx="3">
                  <c:v>8</c:v>
                </c:pt>
                <c:pt idx="4">
                  <c:v>9</c:v>
                </c:pt>
                <c:pt idx="5">
                  <c:v>10</c:v>
                </c:pt>
              </c:numCache>
            </c:numRef>
          </c:xVal>
          <c:yVal>
            <c:numRef>
              <c:f>pH!$E$3:$E$8</c:f>
              <c:numCache>
                <c:formatCode>General</c:formatCode>
                <c:ptCount val="6"/>
                <c:pt idx="0">
                  <c:v>2.0270000000000001</c:v>
                </c:pt>
                <c:pt idx="1">
                  <c:v>5.2560000000000002</c:v>
                </c:pt>
                <c:pt idx="2">
                  <c:v>5.4450000000000003</c:v>
                </c:pt>
                <c:pt idx="3">
                  <c:v>6.6050000000000004</c:v>
                </c:pt>
                <c:pt idx="4">
                  <c:v>5.43</c:v>
                </c:pt>
                <c:pt idx="5">
                  <c:v>3.8149999999999999</c:v>
                </c:pt>
              </c:numCache>
            </c:numRef>
          </c:yVal>
          <c:smooth val="0"/>
          <c:extLst>
            <c:ext xmlns:c16="http://schemas.microsoft.com/office/drawing/2014/chart" uri="{C3380CC4-5D6E-409C-BE32-E72D297353CC}">
              <c16:uniqueId val="{00000000-C4D9-4B2F-9A26-62DBEB7497DA}"/>
            </c:ext>
          </c:extLst>
        </c:ser>
        <c:dLbls>
          <c:showLegendKey val="0"/>
          <c:showVal val="0"/>
          <c:showCatName val="0"/>
          <c:showSerName val="0"/>
          <c:showPercent val="0"/>
          <c:showBubbleSize val="0"/>
        </c:dLbls>
        <c:axId val="643734799"/>
        <c:axId val="642874783"/>
      </c:scatterChart>
      <c:valAx>
        <c:axId val="643734799"/>
        <c:scaling>
          <c:orientation val="minMax"/>
          <c:min val="4"/>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pH</a:t>
                </a:r>
              </a:p>
            </c:rich>
          </c:tx>
          <c:layout>
            <c:manualLayout>
              <c:xMode val="edge"/>
              <c:yMode val="edge"/>
              <c:x val="0.49143412828792082"/>
              <c:y val="0.8550062938561249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in"/>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tr-TR"/>
          </a:p>
        </c:txPr>
        <c:crossAx val="642874783"/>
        <c:crosses val="autoZero"/>
        <c:crossBetween val="midCat"/>
      </c:valAx>
      <c:valAx>
        <c:axId val="642874783"/>
        <c:scaling>
          <c:orientation val="minMax"/>
          <c:max val="8"/>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tr-TR" sz="1200" b="1"/>
                  <a:t>Peak current</a:t>
                </a:r>
                <a:r>
                  <a:rPr lang="en-US" sz="1200" b="1"/>
                  <a:t>, µA</a:t>
                </a:r>
              </a:p>
            </c:rich>
          </c:tx>
          <c:layout>
            <c:manualLayout>
              <c:xMode val="edge"/>
              <c:yMode val="edge"/>
              <c:x val="1.8124496248992497E-2"/>
              <c:y val="0.2762371748985922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in"/>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tr-TR"/>
          </a:p>
        </c:txPr>
        <c:crossAx val="643734799"/>
        <c:crosses val="autoZero"/>
        <c:crossBetween val="midCat"/>
        <c:majorUnit val="2"/>
      </c:valAx>
      <c:spPr>
        <a:noFill/>
        <a:ln w="1270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63855086296031"/>
          <c:y val="0.10115413655484845"/>
          <c:w val="0.82885508629603122"/>
          <c:h val="0.70878474094847732"/>
        </c:manualLayout>
      </c:layout>
      <c:scatterChart>
        <c:scatterStyle val="lineMarker"/>
        <c:varyColors val="0"/>
        <c:ser>
          <c:idx val="0"/>
          <c:order val="0"/>
          <c:spPr>
            <a:ln w="19050" cap="rnd">
              <a:noFill/>
              <a:round/>
            </a:ln>
            <a:effectLst/>
          </c:spPr>
          <c:marker>
            <c:symbol val="circle"/>
            <c:size val="5"/>
            <c:spPr>
              <a:solidFill>
                <a:schemeClr val="tx1"/>
              </a:solidFill>
              <a:ln w="15875">
                <a:solidFill>
                  <a:schemeClr val="tx1"/>
                </a:solidFill>
              </a:ln>
              <a:effectLst/>
            </c:spPr>
          </c:marker>
          <c:trendline>
            <c:spPr>
              <a:ln w="19050" cap="rnd">
                <a:solidFill>
                  <a:schemeClr val="tx1"/>
                </a:solidFill>
                <a:prstDash val="solid"/>
              </a:ln>
              <a:effectLst/>
            </c:spPr>
            <c:trendlineType val="linear"/>
            <c:dispRSqr val="1"/>
            <c:dispEq val="1"/>
            <c:trendlineLbl>
              <c:layout>
                <c:manualLayout>
                  <c:x val="0.12166229221347331"/>
                  <c:y val="0.45953187358429509"/>
                </c:manualLayout>
              </c:layout>
              <c:numFmt formatCode="General" sourceLinked="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trendlineLbl>
          </c:trendline>
          <c:xVal>
            <c:numRef>
              <c:f>'SCAN RATE-POLATLI ÖLÇÜMLER'!$A$14:$A$21</c:f>
              <c:numCache>
                <c:formatCode>0.000</c:formatCode>
                <c:ptCount val="8"/>
                <c:pt idx="0">
                  <c:v>3.1622776601683795</c:v>
                </c:pt>
                <c:pt idx="1">
                  <c:v>5</c:v>
                </c:pt>
                <c:pt idx="2">
                  <c:v>7.0710678118654755</c:v>
                </c:pt>
                <c:pt idx="3">
                  <c:v>8.6602540378443873</c:v>
                </c:pt>
                <c:pt idx="4">
                  <c:v>10</c:v>
                </c:pt>
                <c:pt idx="5">
                  <c:v>12.24744871391589</c:v>
                </c:pt>
                <c:pt idx="6">
                  <c:v>14.142135623730951</c:v>
                </c:pt>
                <c:pt idx="7">
                  <c:v>15.811388300841896</c:v>
                </c:pt>
              </c:numCache>
            </c:numRef>
          </c:xVal>
          <c:yVal>
            <c:numRef>
              <c:f>'SCAN RATE-POLATLI ÖLÇÜMLER'!$B$14:$B$21</c:f>
              <c:numCache>
                <c:formatCode>0.00</c:formatCode>
                <c:ptCount val="8"/>
                <c:pt idx="0">
                  <c:v>18.8</c:v>
                </c:pt>
                <c:pt idx="1">
                  <c:v>28.82</c:v>
                </c:pt>
                <c:pt idx="2">
                  <c:v>41.2</c:v>
                </c:pt>
                <c:pt idx="3">
                  <c:v>59.53</c:v>
                </c:pt>
                <c:pt idx="4">
                  <c:v>65.27</c:v>
                </c:pt>
                <c:pt idx="5">
                  <c:v>77.459999999999994</c:v>
                </c:pt>
                <c:pt idx="6">
                  <c:v>87.61</c:v>
                </c:pt>
                <c:pt idx="7">
                  <c:v>92.78</c:v>
                </c:pt>
              </c:numCache>
            </c:numRef>
          </c:yVal>
          <c:smooth val="0"/>
          <c:extLst>
            <c:ext xmlns:c16="http://schemas.microsoft.com/office/drawing/2014/chart" uri="{C3380CC4-5D6E-409C-BE32-E72D297353CC}">
              <c16:uniqueId val="{00000000-9EB1-4109-9ECD-663572194BE1}"/>
            </c:ext>
          </c:extLst>
        </c:ser>
        <c:dLbls>
          <c:showLegendKey val="0"/>
          <c:showVal val="0"/>
          <c:showCatName val="0"/>
          <c:showSerName val="0"/>
          <c:showPercent val="0"/>
          <c:showBubbleSize val="0"/>
        </c:dLbls>
        <c:axId val="467685776"/>
        <c:axId val="467682824"/>
      </c:scatterChart>
      <c:valAx>
        <c:axId val="467685776"/>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sym typeface="Symbol" panose="05050102010706020507" pitchFamily="18" charset="2"/>
                  </a:rPr>
                  <a:t></a:t>
                </a:r>
                <a:r>
                  <a:rPr lang="en-US" sz="1200" b="1" baseline="30000"/>
                  <a:t>1/2</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tr-TR"/>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tr-TR"/>
          </a:p>
        </c:txPr>
        <c:crossAx val="467682824"/>
        <c:crosses val="autoZero"/>
        <c:crossBetween val="midCat"/>
      </c:valAx>
      <c:valAx>
        <c:axId val="46768282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I</a:t>
                </a:r>
                <a:r>
                  <a:rPr lang="en-US" sz="1200" b="1" baseline="-25000"/>
                  <a:t>p</a:t>
                </a:r>
                <a:r>
                  <a:rPr lang="en-US" sz="1200" b="1"/>
                  <a:t>, µA</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tr-TR"/>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tr-TR"/>
          </a:p>
        </c:txPr>
        <c:crossAx val="467685776"/>
        <c:crosses val="autoZero"/>
        <c:crossBetween val="midCat"/>
      </c:valAx>
      <c:spPr>
        <a:noFill/>
        <a:ln w="15875">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23F76-BF51-4589-86C0-FD3CBE57E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18</TotalTime>
  <Pages>21</Pages>
  <Words>5372</Words>
  <Characters>30623</Characters>
  <Application>Microsoft Office Word</Application>
  <DocSecurity>0</DocSecurity>
  <Lines>255</Lines>
  <Paragraphs>71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TF_Template_Word_Windows_2016</vt:lpstr>
      <vt:lpstr>TF_Template_Word_Windows_2016</vt:lpstr>
    </vt:vector>
  </TitlesOfParts>
  <Company>Informa Plc</Company>
  <LinksUpToDate>false</LinksUpToDate>
  <CharactersWithSpaces>35924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90533</dc:creator>
  <cp:lastModifiedBy>Nazife Aslan</cp:lastModifiedBy>
  <cp:revision>3</cp:revision>
  <cp:lastPrinted>2011-07-22T14:54:00Z</cp:lastPrinted>
  <dcterms:created xsi:type="dcterms:W3CDTF">2022-04-04T08:35:00Z</dcterms:created>
  <dcterms:modified xsi:type="dcterms:W3CDTF">2022-04-04T09:18:00Z</dcterms:modified>
</cp:coreProperties>
</file>