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FEAFB" w14:textId="77777777" w:rsidR="002720DB" w:rsidRDefault="005E74AB">
      <w:pPr>
        <w:pStyle w:val="Body"/>
        <w:spacing w:after="0" w:line="360" w:lineRule="auto"/>
        <w:rPr>
          <w:rFonts w:ascii="Times New Roman" w:eastAsia="Times New Roman" w:hAnsi="Times New Roman" w:cs="Times New Roman"/>
          <w:b/>
          <w:bCs/>
          <w:sz w:val="24"/>
          <w:szCs w:val="24"/>
        </w:rPr>
      </w:pPr>
      <w:r>
        <w:rPr>
          <w:rFonts w:ascii="Times New Roman" w:hAnsi="Times New Roman"/>
          <w:b/>
          <w:bCs/>
          <w:sz w:val="24"/>
          <w:szCs w:val="24"/>
        </w:rPr>
        <w:t>Supplementary Data</w:t>
      </w:r>
    </w:p>
    <w:p w14:paraId="39C675BA"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sz w:val="24"/>
          <w:szCs w:val="24"/>
        </w:rPr>
        <w:t>To verify that the OSI index correlates with COVID-19 patient disease status, we compared laboratory results of two ICU COVID-19 patients with differing disease courses. The two patients’ oxidative stress analysis results were compared to biochemical and hematological laboratory values of the same date. The recommendations for the management of patients infected with SARS-CoV-2 virus are to evaluate C-reactive protein (CRP), interleukin-6 (IL-6), and neutrophil to lymphocyte ratio. We compared the values from the recommended laboratory tests with our oxidative stress index results. The neutrophil to lymphocyte ratio (NLR) is an index for predicting COVID-19 in-hospital mortality. A trend between OSI and NLR may exist, but we needed neutrophil and lymphocyte counts expressed with comparable units and we needed a way to better describe this correlation.</w:t>
      </w:r>
    </w:p>
    <w:p w14:paraId="0D9F328C" w14:textId="77777777" w:rsidR="002720DB" w:rsidRDefault="002720DB">
      <w:pPr>
        <w:pStyle w:val="Body"/>
        <w:spacing w:after="0" w:line="360" w:lineRule="auto"/>
        <w:rPr>
          <w:rFonts w:ascii="Times New Roman" w:eastAsia="Times New Roman" w:hAnsi="Times New Roman" w:cs="Times New Roman"/>
          <w:sz w:val="24"/>
          <w:szCs w:val="24"/>
        </w:rPr>
      </w:pPr>
    </w:p>
    <w:p w14:paraId="2F62CD66" w14:textId="77777777" w:rsidR="002720DB" w:rsidRDefault="005E74AB">
      <w:pPr>
        <w:pStyle w:val="Brezrazmikov"/>
        <w:spacing w:line="360" w:lineRule="auto"/>
        <w:rPr>
          <w:rFonts w:ascii="Times New Roman" w:eastAsia="Times New Roman" w:hAnsi="Times New Roman" w:cs="Times New Roman"/>
          <w:sz w:val="24"/>
          <w:szCs w:val="24"/>
        </w:rPr>
      </w:pPr>
      <w:r>
        <w:rPr>
          <w:rFonts w:ascii="Times New Roman" w:hAnsi="Times New Roman"/>
          <w:b/>
          <w:bCs/>
          <w:sz w:val="24"/>
          <w:szCs w:val="24"/>
        </w:rPr>
        <w:t>Patient 1:</w:t>
      </w:r>
      <w:r>
        <w:rPr>
          <w:rFonts w:ascii="Times New Roman" w:hAnsi="Times New Roman"/>
          <w:sz w:val="24"/>
          <w:szCs w:val="24"/>
        </w:rPr>
        <w:t xml:space="preserve"> A 71-year-old woman with dilatative cardiomyopathy, arterial hypertension, chronic atrial fibrillation, and depression presented to the emergency department due to dyspnea, unproductive cough, chest pain depending on body position, and temperature lasting for three days. Clinical examination showed a slightly elevated body temperature, regular heart pulse rate, eupneic breathing, and oxygen saturation of 96% breathing room air. No typical COVID-19 pulmonary infiltrates or other pathological changes were seen on the initial chest x-ray. A nasopharyngeal swab was positive for SARS-CoV-2 and she was admitted to the regular ward for additional diagnostics and observation. An ischemic myocardial event was ruled out. In the following days, her condition deteriorated and she was admitted to the ICU on the fifth day of hospitalization due to respiratory failure, where she was intubated and started on mechanical ventilation.</w:t>
      </w:r>
      <w:r>
        <w:rPr>
          <w:rFonts w:ascii="Times New Roman" w:hAnsi="Times New Roman"/>
          <w:color w:val="FF0000"/>
          <w:sz w:val="24"/>
          <w:szCs w:val="24"/>
          <w:u w:color="FF0000"/>
        </w:rPr>
        <w:t xml:space="preserve"> </w:t>
      </w:r>
      <w:r>
        <w:rPr>
          <w:rFonts w:ascii="Times New Roman" w:hAnsi="Times New Roman"/>
          <w:sz w:val="24"/>
          <w:szCs w:val="24"/>
        </w:rPr>
        <w:t>A chest X-ray showed bilateral consolidations and a lung ultrasound showed diffuse B-lines. Laboratory results on admission to the ICU showed a normal white blood cell (WBC) count (4200/mm</w:t>
      </w:r>
      <w:r>
        <w:rPr>
          <w:rFonts w:ascii="Times New Roman" w:hAnsi="Times New Roman"/>
          <w:sz w:val="24"/>
          <w:szCs w:val="24"/>
          <w:vertAlign w:val="superscript"/>
        </w:rPr>
        <w:t>3</w:t>
      </w:r>
      <w:r>
        <w:rPr>
          <w:rFonts w:ascii="Times New Roman" w:hAnsi="Times New Roman"/>
          <w:sz w:val="24"/>
          <w:szCs w:val="24"/>
        </w:rPr>
        <w:t>) with a low percentage of lymphocytes (17.8%), and normal procalcitonin (PCT; 0,02 μg/L) and troponin (21 ng/l) levels. CRP (85 mg/L), IL-6 (43,6 ng/L), blood urea, creatinine, D-dimer, N-terminal brain natriuretic propeptide (</w:t>
      </w:r>
      <w:r>
        <w:rPr>
          <w:rFonts w:ascii="Times New Roman" w:hAnsi="Times New Roman"/>
          <w:i/>
          <w:iCs/>
          <w:sz w:val="24"/>
          <w:szCs w:val="24"/>
        </w:rPr>
        <w:t>NTproBNP</w:t>
      </w:r>
      <w:r>
        <w:rPr>
          <w:rFonts w:ascii="Times New Roman" w:hAnsi="Times New Roman"/>
          <w:sz w:val="24"/>
          <w:szCs w:val="24"/>
        </w:rPr>
        <w:t xml:space="preserve">), lactate dehydrogenase (LDH), and fibrinogen were elevated. Due to severe respiratory failure, she was started on experimental antiviral therapy with hydroxychloroquine under interim local guidelines and antibiotic therapy with ceftriaxone. Possible infections with hepatitis B virus (HBV), hepatitis C virus (HCV), and human immunodeficiency virus (HIV) were excluded at the start of antiviral </w:t>
      </w:r>
      <w:r>
        <w:rPr>
          <w:rFonts w:ascii="Times New Roman" w:hAnsi="Times New Roman"/>
          <w:sz w:val="24"/>
          <w:szCs w:val="24"/>
        </w:rPr>
        <w:lastRenderedPageBreak/>
        <w:t>therapy. The patient received therapeutic doses of subcutaneous low-molecular-weight heparin (LMWH) for chronic atrial fibrillation and stress ulcer bleeding prophylaxis. The patient remained intubated (70% fraction of inspired oxygen with positive end-expiratory pressure [PEEP] of 10 cmH</w:t>
      </w:r>
      <w:r>
        <w:rPr>
          <w:rFonts w:ascii="Times New Roman" w:hAnsi="Times New Roman"/>
          <w:sz w:val="24"/>
          <w:szCs w:val="24"/>
          <w:vertAlign w:val="subscript"/>
        </w:rPr>
        <w:t>2</w:t>
      </w:r>
      <w:r>
        <w:rPr>
          <w:rFonts w:ascii="Times New Roman" w:hAnsi="Times New Roman"/>
          <w:sz w:val="24"/>
          <w:szCs w:val="24"/>
        </w:rPr>
        <w:t xml:space="preserve">O and ratio of arterial oxygen partial pressure to fraction of inspired oxygen below 100) and sedated. On the fifteenth day after admission to the ICU there was an additional deterioration of her condition. According to the increase in laboratory inflammation markers (leukocyte, CRP, and PCT) and hemodynamic instability, antimicrobial treatment was modified and cefepime was started. After transient improvement, additional complications followed. Several nosocomial infections, deep vein thrombosis, and deterioration of cardiac function were confirmed. Treatment with glucocorticoids was started due to organizing pneumonia and a tracheotomy was performed due to prolonged intubation.  The patient's clinical and respiratory status then gradually improved. After 65 days of ICU treatment, she was decannulated and transferred to the regular ward. </w:t>
      </w:r>
    </w:p>
    <w:p w14:paraId="7C6E7FCB" w14:textId="77777777" w:rsidR="002720DB" w:rsidRDefault="002720DB">
      <w:pPr>
        <w:pStyle w:val="Body"/>
        <w:spacing w:after="0" w:line="360" w:lineRule="auto"/>
        <w:rPr>
          <w:rFonts w:ascii="Times New Roman" w:eastAsia="Times New Roman" w:hAnsi="Times New Roman" w:cs="Times New Roman"/>
          <w:sz w:val="24"/>
          <w:szCs w:val="24"/>
        </w:rPr>
      </w:pPr>
    </w:p>
    <w:p w14:paraId="3629825D" w14:textId="77777777" w:rsidR="002720DB" w:rsidRDefault="005E74AB">
      <w:pPr>
        <w:pStyle w:val="Body"/>
        <w:spacing w:after="0" w:line="360" w:lineRule="auto"/>
        <w:rPr>
          <w:rStyle w:val="viiyi"/>
        </w:rPr>
      </w:pPr>
      <w:r>
        <w:rPr>
          <w:noProof/>
          <w:lang w:val="sl-SI" w:eastAsia="sl-SI"/>
        </w:rPr>
        <w:drawing>
          <wp:inline distT="0" distB="0" distL="0" distR="0" wp14:anchorId="620AE2B0" wp14:editId="56A76396">
            <wp:extent cx="4926827" cy="2417427"/>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17AE7C0"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1: Oxidative stress index as a function of time. Day 0 is the first day in the critical care unit.</w:t>
      </w:r>
    </w:p>
    <w:p w14:paraId="131992E9" w14:textId="77777777" w:rsidR="002720DB" w:rsidRDefault="002720DB">
      <w:pPr>
        <w:pStyle w:val="Body"/>
        <w:spacing w:after="0" w:line="360" w:lineRule="auto"/>
        <w:rPr>
          <w:rStyle w:val="viiyi"/>
        </w:rPr>
      </w:pPr>
    </w:p>
    <w:p w14:paraId="5725A652" w14:textId="77777777" w:rsidR="002720DB" w:rsidRDefault="005E74AB">
      <w:pPr>
        <w:pStyle w:val="Body"/>
        <w:spacing w:after="0" w:line="360" w:lineRule="auto"/>
        <w:rPr>
          <w:rFonts w:ascii="Times New Roman" w:eastAsia="Times New Roman" w:hAnsi="Times New Roman" w:cs="Times New Roman"/>
          <w:sz w:val="24"/>
          <w:szCs w:val="24"/>
        </w:rPr>
      </w:pPr>
      <w:r>
        <w:rPr>
          <w:noProof/>
          <w:lang w:val="sl-SI" w:eastAsia="sl-SI"/>
        </w:rPr>
        <w:lastRenderedPageBreak/>
        <w:drawing>
          <wp:inline distT="0" distB="0" distL="0" distR="0" wp14:anchorId="6EA44FAD" wp14:editId="3091860D">
            <wp:extent cx="5521385" cy="3129063"/>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6A8209"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2: C-reactive protein (CRP), interleukin 6 (IL-6), and neutrophil to lymphocyte (N/L) values as a function of time. Day 0 is the first day in the critical care unit.</w:t>
      </w:r>
    </w:p>
    <w:p w14:paraId="430B82D7" w14:textId="77777777" w:rsidR="002720DB" w:rsidRDefault="002720DB">
      <w:pPr>
        <w:pStyle w:val="Body"/>
        <w:spacing w:after="0" w:line="360" w:lineRule="auto"/>
        <w:rPr>
          <w:rFonts w:ascii="Times New Roman" w:eastAsia="Times New Roman" w:hAnsi="Times New Roman" w:cs="Times New Roman"/>
          <w:sz w:val="24"/>
          <w:szCs w:val="24"/>
        </w:rPr>
      </w:pPr>
    </w:p>
    <w:p w14:paraId="2BA73757"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sz w:val="24"/>
          <w:szCs w:val="24"/>
        </w:rPr>
        <w:t>CRP values, the ratio of neutrophils to lymphocytes, and IL-6 values correlated well. All parameters were completely outside the reference values in the first days of measurements and indicate extensive inflammation and an aggressive immune system that accelerates the synthesis of neutrophils, while the virus completely disables lymphocytes and inhibits their function. Further results show that the patient's body slowly began to fight back, as the results normalized at the end of the measurements.</w:t>
      </w:r>
    </w:p>
    <w:p w14:paraId="4902D826" w14:textId="77777777" w:rsidR="002720DB" w:rsidRDefault="002720DB">
      <w:pPr>
        <w:pStyle w:val="Body"/>
        <w:spacing w:after="0" w:line="360" w:lineRule="auto"/>
        <w:rPr>
          <w:rFonts w:ascii="Times New Roman" w:eastAsia="Times New Roman" w:hAnsi="Times New Roman" w:cs="Times New Roman"/>
          <w:sz w:val="24"/>
          <w:szCs w:val="24"/>
        </w:rPr>
      </w:pPr>
    </w:p>
    <w:p w14:paraId="0D2B17F4" w14:textId="2416B0C1"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sz w:val="24"/>
          <w:szCs w:val="24"/>
        </w:rPr>
        <w:t>Leukocyte values are provided as both a percentage and an absolute value. Absolute values are more comparable in a ratio than percentages so we used absolute values as 10</w:t>
      </w:r>
      <w:r>
        <w:rPr>
          <w:rFonts w:ascii="Times New Roman" w:hAnsi="Times New Roman"/>
          <w:sz w:val="24"/>
          <w:szCs w:val="24"/>
          <w:vertAlign w:val="superscript"/>
        </w:rPr>
        <w:t>9</w:t>
      </w:r>
      <w:r>
        <w:rPr>
          <w:rFonts w:ascii="Times New Roman" w:hAnsi="Times New Roman"/>
          <w:sz w:val="24"/>
          <w:szCs w:val="24"/>
        </w:rPr>
        <w:t xml:space="preserve">/l instead of % of change for our ratio calculations (Figure 3). Neutrophil to lymphocyte ratio </w:t>
      </w:r>
      <w:r w:rsidR="00EB43EE">
        <w:rPr>
          <w:rFonts w:ascii="Times New Roman" w:hAnsi="Times New Roman"/>
          <w:sz w:val="24"/>
          <w:szCs w:val="24"/>
        </w:rPr>
        <w:t xml:space="preserve">decreasing </w:t>
      </w:r>
      <w:bookmarkStart w:id="0" w:name="_GoBack"/>
      <w:bookmarkEnd w:id="0"/>
      <w:r>
        <w:rPr>
          <w:rFonts w:ascii="Times New Roman" w:hAnsi="Times New Roman"/>
          <w:sz w:val="24"/>
          <w:szCs w:val="24"/>
        </w:rPr>
        <w:t>is anticipated as OSI levels indicate a patient’s health declining.</w:t>
      </w:r>
    </w:p>
    <w:p w14:paraId="49429F91" w14:textId="77777777" w:rsidR="002720DB" w:rsidRDefault="002720DB">
      <w:pPr>
        <w:pStyle w:val="Body"/>
        <w:spacing w:after="0" w:line="360" w:lineRule="auto"/>
        <w:rPr>
          <w:rFonts w:ascii="Times New Roman" w:eastAsia="Times New Roman" w:hAnsi="Times New Roman" w:cs="Times New Roman"/>
          <w:sz w:val="24"/>
          <w:szCs w:val="24"/>
        </w:rPr>
      </w:pPr>
    </w:p>
    <w:p w14:paraId="1BF052CC" w14:textId="77777777" w:rsidR="002720DB" w:rsidRDefault="005E74AB">
      <w:pPr>
        <w:pStyle w:val="Body"/>
        <w:rPr>
          <w:rStyle w:val="viiyi"/>
        </w:rPr>
      </w:pPr>
      <w:r>
        <w:rPr>
          <w:rStyle w:val="viiyi"/>
          <w:noProof/>
          <w:lang w:val="sl-SI" w:eastAsia="sl-SI"/>
        </w:rPr>
        <w:lastRenderedPageBreak/>
        <mc:AlternateContent>
          <mc:Choice Requires="wps">
            <w:drawing>
              <wp:anchor distT="0" distB="0" distL="0" distR="0" simplePos="0" relativeHeight="251665408" behindDoc="0" locked="0" layoutInCell="1" allowOverlap="1" wp14:anchorId="59D07145" wp14:editId="2C964806">
                <wp:simplePos x="0" y="0"/>
                <wp:positionH relativeFrom="column">
                  <wp:posOffset>4815205</wp:posOffset>
                </wp:positionH>
                <wp:positionV relativeFrom="line">
                  <wp:posOffset>2910205</wp:posOffset>
                </wp:positionV>
                <wp:extent cx="533400" cy="514350"/>
                <wp:effectExtent l="0" t="0" r="0" b="0"/>
                <wp:wrapNone/>
                <wp:docPr id="1073741827" name="officeArt object" descr="Polje z besedilom 2"/>
                <wp:cNvGraphicFramePr/>
                <a:graphic xmlns:a="http://schemas.openxmlformats.org/drawingml/2006/main">
                  <a:graphicData uri="http://schemas.microsoft.com/office/word/2010/wordprocessingShape">
                    <wps:wsp>
                      <wps:cNvSpPr txBox="1"/>
                      <wps:spPr>
                        <a:xfrm>
                          <a:off x="0" y="0"/>
                          <a:ext cx="533400" cy="514350"/>
                        </a:xfrm>
                        <a:prstGeom prst="rect">
                          <a:avLst/>
                        </a:prstGeom>
                        <a:solidFill>
                          <a:srgbClr val="FFFFFF"/>
                        </a:solidFill>
                        <a:ln w="12700" cap="flat">
                          <a:noFill/>
                          <a:miter lim="400000"/>
                        </a:ln>
                        <a:effectLst/>
                      </wps:spPr>
                      <wps:txbx>
                        <w:txbxContent>
                          <w:p w14:paraId="766C4FF9" w14:textId="77777777" w:rsidR="002720DB" w:rsidRDefault="005E74AB">
                            <w:pPr>
                              <w:pStyle w:val="Body"/>
                              <w:spacing w:after="0" w:line="240" w:lineRule="auto"/>
                              <w:jc w:val="center"/>
                              <w:rPr>
                                <w:rFonts w:ascii="Arial" w:eastAsia="Arial" w:hAnsi="Arial" w:cs="Arial"/>
                                <w:b/>
                                <w:bCs/>
                              </w:rPr>
                            </w:pPr>
                            <w:r>
                              <w:rPr>
                                <w:rFonts w:ascii="Arial" w:hAnsi="Arial"/>
                                <w:b/>
                                <w:bCs/>
                              </w:rPr>
                              <w:t>NLR</w:t>
                            </w:r>
                          </w:p>
                          <w:p w14:paraId="34450D7A" w14:textId="77777777" w:rsidR="002720DB" w:rsidRDefault="005E74AB">
                            <w:pPr>
                              <w:pStyle w:val="Body"/>
                              <w:spacing w:after="0" w:line="240" w:lineRule="auto"/>
                              <w:jc w:val="center"/>
                            </w:pPr>
                            <w:r>
                              <w:rPr>
                                <w:rFonts w:ascii="Arial" w:hAnsi="Arial"/>
                                <w:b/>
                                <w:bCs/>
                              </w:rPr>
                              <w:t>Plot</w:t>
                            </w:r>
                          </w:p>
                        </w:txbxContent>
                      </wps:txbx>
                      <wps:bodyPr wrap="square" lIns="45719" tIns="45719" rIns="45719" bIns="45719" numCol="1" anchor="t">
                        <a:noAutofit/>
                      </wps:bodyPr>
                    </wps:wsp>
                  </a:graphicData>
                </a:graphic>
              </wp:anchor>
            </w:drawing>
          </mc:Choice>
          <mc:Fallback xmlns:cx1="http://schemas.microsoft.com/office/drawing/2015/9/8/chartex">
            <w:pict>
              <v:shapetype w14:anchorId="59D07145" id="_x0000_t202" coordsize="21600,21600" o:spt="202" path="m,l,21600r21600,l21600,xe">
                <v:stroke joinstyle="miter"/>
                <v:path gradientshapeok="t" o:connecttype="rect"/>
              </v:shapetype>
              <v:shape id="officeArt object" o:spid="_x0000_s1026" type="#_x0000_t202" alt="Polje z besedilom 2" style="position:absolute;margin-left:379.15pt;margin-top:229.15pt;width:42pt;height:40.5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" stroked="f" strokeweight="1pt">
                <v:stroke miterlimit="4"/>
                <v:textbox inset="1.27mm,1.27mm,1.27mm,1.27mm">
                  <w:txbxContent>
                    <w:p w14:paraId="766C4FF9" w14:textId="77777777" w:rsidR="002720DB" w:rsidRDefault="005E74AB">
                      <w:pPr>
                        <w:pStyle w:val="Body"/>
                        <w:spacing w:after="0" w:line="240" w:lineRule="auto"/>
                        <w:jc w:val="center"/>
                        <w:rPr>
                          <w:rFonts w:ascii="Arial" w:eastAsia="Arial" w:hAnsi="Arial" w:cs="Arial"/>
                          <w:b/>
                          <w:bCs/>
                        </w:rPr>
                      </w:pPr>
                      <w:r>
                        <w:rPr>
                          <w:rFonts w:ascii="Arial" w:hAnsi="Arial"/>
                          <w:b/>
                          <w:bCs/>
                        </w:rPr>
                        <w:t>NLR</w:t>
                      </w:r>
                    </w:p>
                    <w:p w14:paraId="34450D7A" w14:textId="77777777" w:rsidR="002720DB" w:rsidRDefault="005E74AB">
                      <w:pPr>
                        <w:pStyle w:val="Body"/>
                        <w:spacing w:after="0" w:line="240" w:lineRule="auto"/>
                        <w:jc w:val="center"/>
                      </w:pPr>
                      <w:r>
                        <w:rPr>
                          <w:rFonts w:ascii="Arial" w:hAnsi="Arial"/>
                          <w:b/>
                          <w:bCs/>
                        </w:rPr>
                        <w:t>Plot</w:t>
                      </w:r>
                    </w:p>
                  </w:txbxContent>
                </v:textbox>
                <w10:wrap anchory="line"/>
              </v:shape>
            </w:pict>
          </mc:Fallback>
        </mc:AlternateContent>
      </w:r>
      <w:r>
        <w:rPr>
          <w:rStyle w:val="viiyi"/>
          <w:noProof/>
          <w:lang w:val="sl-SI" w:eastAsia="sl-SI"/>
        </w:rPr>
        <mc:AlternateContent>
          <mc:Choice Requires="wps">
            <w:drawing>
              <wp:anchor distT="0" distB="0" distL="0" distR="0" simplePos="0" relativeHeight="251664384" behindDoc="0" locked="0" layoutInCell="1" allowOverlap="1" wp14:anchorId="1C55CD7F" wp14:editId="22B94746">
                <wp:simplePos x="0" y="0"/>
                <wp:positionH relativeFrom="column">
                  <wp:posOffset>4948555</wp:posOffset>
                </wp:positionH>
                <wp:positionV relativeFrom="line">
                  <wp:posOffset>100329</wp:posOffset>
                </wp:positionV>
                <wp:extent cx="533400" cy="514350"/>
                <wp:effectExtent l="0" t="0" r="0" b="0"/>
                <wp:wrapNone/>
                <wp:docPr id="1073741828" name="officeArt object" descr="Polje z besedilom 2"/>
                <wp:cNvGraphicFramePr/>
                <a:graphic xmlns:a="http://schemas.openxmlformats.org/drawingml/2006/main">
                  <a:graphicData uri="http://schemas.microsoft.com/office/word/2010/wordprocessingShape">
                    <wps:wsp>
                      <wps:cNvSpPr txBox="1"/>
                      <wps:spPr>
                        <a:xfrm>
                          <a:off x="0" y="0"/>
                          <a:ext cx="533400" cy="514350"/>
                        </a:xfrm>
                        <a:prstGeom prst="rect">
                          <a:avLst/>
                        </a:prstGeom>
                        <a:solidFill>
                          <a:srgbClr val="FFFFFF"/>
                        </a:solidFill>
                        <a:ln w="12700" cap="flat">
                          <a:noFill/>
                          <a:miter lim="400000"/>
                        </a:ln>
                        <a:effectLst/>
                      </wps:spPr>
                      <wps:txbx>
                        <w:txbxContent>
                          <w:p w14:paraId="4B920D53" w14:textId="77777777" w:rsidR="002720DB" w:rsidRDefault="005E74AB">
                            <w:pPr>
                              <w:pStyle w:val="Body"/>
                              <w:spacing w:after="0" w:line="240" w:lineRule="auto"/>
                              <w:jc w:val="center"/>
                              <w:rPr>
                                <w:rFonts w:ascii="Arial" w:eastAsia="Arial" w:hAnsi="Arial" w:cs="Arial"/>
                                <w:b/>
                                <w:bCs/>
                              </w:rPr>
                            </w:pPr>
                            <w:r>
                              <w:rPr>
                                <w:rFonts w:ascii="Arial" w:hAnsi="Arial"/>
                                <w:b/>
                                <w:bCs/>
                              </w:rPr>
                              <w:t>OSI</w:t>
                            </w:r>
                          </w:p>
                          <w:p w14:paraId="3D1613A0" w14:textId="77777777" w:rsidR="002720DB" w:rsidRDefault="005E74AB">
                            <w:pPr>
                              <w:pStyle w:val="Body"/>
                              <w:spacing w:after="0" w:line="240" w:lineRule="auto"/>
                              <w:jc w:val="center"/>
                            </w:pPr>
                            <w:r>
                              <w:rPr>
                                <w:rFonts w:ascii="Arial" w:hAnsi="Arial"/>
                                <w:b/>
                                <w:bCs/>
                              </w:rPr>
                              <w:t>Plot</w:t>
                            </w:r>
                          </w:p>
                        </w:txbxContent>
                      </wps:txbx>
                      <wps:bodyPr wrap="square" lIns="45719" tIns="45719" rIns="45719" bIns="45719" numCol="1" anchor="t">
                        <a:noAutofit/>
                      </wps:bodyPr>
                    </wps:wsp>
                  </a:graphicData>
                </a:graphic>
              </wp:anchor>
            </w:drawing>
          </mc:Choice>
          <mc:Fallback xmlns:cx1="http://schemas.microsoft.com/office/drawing/2015/9/8/chartex">
            <w:pict>
              <v:shape w14:anchorId="1C55CD7F" id="_x0000_s1027" type="#_x0000_t202" alt="Polje z besedilom 2" style="position:absolute;margin-left:389.65pt;margin-top:7.9pt;width:42pt;height:40.5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" stroked="f" strokeweight="1pt">
                <v:stroke miterlimit="4"/>
                <v:textbox inset="1.27mm,1.27mm,1.27mm,1.27mm">
                  <w:txbxContent>
                    <w:p w14:paraId="4B920D53" w14:textId="77777777" w:rsidR="002720DB" w:rsidRDefault="005E74AB">
                      <w:pPr>
                        <w:pStyle w:val="Body"/>
                        <w:spacing w:after="0" w:line="240" w:lineRule="auto"/>
                        <w:jc w:val="center"/>
                        <w:rPr>
                          <w:rFonts w:ascii="Arial" w:eastAsia="Arial" w:hAnsi="Arial" w:cs="Arial"/>
                          <w:b/>
                          <w:bCs/>
                        </w:rPr>
                      </w:pPr>
                      <w:r>
                        <w:rPr>
                          <w:rFonts w:ascii="Arial" w:hAnsi="Arial"/>
                          <w:b/>
                          <w:bCs/>
                        </w:rPr>
                        <w:t>OSI</w:t>
                      </w:r>
                    </w:p>
                    <w:p w14:paraId="3D1613A0" w14:textId="77777777" w:rsidR="002720DB" w:rsidRDefault="005E74AB">
                      <w:pPr>
                        <w:pStyle w:val="Body"/>
                        <w:spacing w:after="0" w:line="240" w:lineRule="auto"/>
                        <w:jc w:val="center"/>
                      </w:pPr>
                      <w:r>
                        <w:rPr>
                          <w:rFonts w:ascii="Arial" w:hAnsi="Arial"/>
                          <w:b/>
                          <w:bCs/>
                        </w:rPr>
                        <w:t>Plot</w:t>
                      </w:r>
                    </w:p>
                  </w:txbxContent>
                </v:textbox>
                <w10:wrap anchory="line"/>
              </v:shape>
            </w:pict>
          </mc:Fallback>
        </mc:AlternateContent>
      </w:r>
      <w:r>
        <w:rPr>
          <w:rStyle w:val="viiyi"/>
          <w:noProof/>
          <w:lang w:val="sl-SI" w:eastAsia="sl-SI"/>
        </w:rPr>
        <mc:AlternateContent>
          <mc:Choice Requires="wps">
            <w:drawing>
              <wp:anchor distT="0" distB="0" distL="0" distR="0" simplePos="0" relativeHeight="251663360" behindDoc="0" locked="0" layoutInCell="1" allowOverlap="1" wp14:anchorId="38EFFC81" wp14:editId="69B6C3EB">
                <wp:simplePos x="0" y="0"/>
                <wp:positionH relativeFrom="column">
                  <wp:posOffset>1612388</wp:posOffset>
                </wp:positionH>
                <wp:positionV relativeFrom="line">
                  <wp:posOffset>909078</wp:posOffset>
                </wp:positionV>
                <wp:extent cx="669291" cy="2333626"/>
                <wp:effectExtent l="0" t="0" r="0" b="0"/>
                <wp:wrapNone/>
                <wp:docPr id="1073741829" name="officeArt object" descr="Raven puščični povezovalnik 5"/>
                <wp:cNvGraphicFramePr/>
                <a:graphic xmlns:a="http://schemas.openxmlformats.org/drawingml/2006/main">
                  <a:graphicData uri="http://schemas.microsoft.com/office/word/2010/wordprocessingShape">
                    <wps:wsp>
                      <wps:cNvCnPr/>
                      <wps:spPr>
                        <a:xfrm>
                          <a:off x="0" y="0"/>
                          <a:ext cx="669291" cy="2333626"/>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28" style="visibility:visible;position:absolute;margin-left:127.0pt;margin-top:71.6pt;width:52.7pt;height:183.8pt;z-index:251663360;mso-position-horizontal:absolute;mso-position-horizontal-relative:text;mso-position-vertical:absolute;mso-position-vertical-relative:line;mso-wrap-distance-left:0.0pt;mso-wrap-distance-top:0.0pt;mso-wrap-distance-right:0.0pt;mso-wrap-distance-bottom:0.0pt;">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62336" behindDoc="0" locked="0" layoutInCell="1" allowOverlap="1" wp14:anchorId="2386ED28" wp14:editId="0A44E8C2">
                <wp:simplePos x="0" y="0"/>
                <wp:positionH relativeFrom="column">
                  <wp:posOffset>1557117</wp:posOffset>
                </wp:positionH>
                <wp:positionV relativeFrom="line">
                  <wp:posOffset>909906</wp:posOffset>
                </wp:positionV>
                <wp:extent cx="45720" cy="3009901"/>
                <wp:effectExtent l="0" t="0" r="0" b="0"/>
                <wp:wrapNone/>
                <wp:docPr id="1073741830" name="officeArt object" descr="Raven puščični povezovalnik 13"/>
                <wp:cNvGraphicFramePr/>
                <a:graphic xmlns:a="http://schemas.openxmlformats.org/drawingml/2006/main">
                  <a:graphicData uri="http://schemas.microsoft.com/office/word/2010/wordprocessingShape">
                    <wps:wsp>
                      <wps:cNvCnPr/>
                      <wps:spPr>
                        <a:xfrm flipH="1">
                          <a:off x="0" y="0"/>
                          <a:ext cx="45720" cy="3009901"/>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29" style="visibility:visible;position:absolute;margin-left:122.6pt;margin-top:71.6pt;width:3.6pt;height:237.0pt;z-index:251662336;mso-position-horizontal:absolute;mso-position-horizontal-relative:text;mso-position-vertical:absolute;mso-position-vertical-relative:line;mso-wrap-distance-left:0.0pt;mso-wrap-distance-top:0.0pt;mso-wrap-distance-right:0.0pt;mso-wrap-distance-bottom:0.0pt;flip:x;">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61312" behindDoc="0" locked="0" layoutInCell="1" allowOverlap="1" wp14:anchorId="10A20A0F" wp14:editId="3368A20A">
                <wp:simplePos x="0" y="0"/>
                <wp:positionH relativeFrom="column">
                  <wp:posOffset>1656065</wp:posOffset>
                </wp:positionH>
                <wp:positionV relativeFrom="line">
                  <wp:posOffset>696161</wp:posOffset>
                </wp:positionV>
                <wp:extent cx="2238376" cy="9526"/>
                <wp:effectExtent l="0" t="0" r="0" b="0"/>
                <wp:wrapNone/>
                <wp:docPr id="1073741831" name="officeArt object" descr="Raven puščični povezovalnik 19"/>
                <wp:cNvGraphicFramePr/>
                <a:graphic xmlns:a="http://schemas.openxmlformats.org/drawingml/2006/main">
                  <a:graphicData uri="http://schemas.microsoft.com/office/word/2010/wordprocessingShape">
                    <wps:wsp>
                      <wps:cNvCnPr/>
                      <wps:spPr>
                        <a:xfrm>
                          <a:off x="0" y="0"/>
                          <a:ext cx="2238376" cy="9526"/>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30" style="visibility:visible;position:absolute;margin-left:130.4pt;margin-top:54.8pt;width:176.2pt;height:0.8pt;z-index:251661312;mso-position-horizontal:absolute;mso-position-horizontal-relative:text;mso-position-vertical:absolute;mso-position-vertical-relative:line;mso-wrap-distance-left:0.0pt;mso-wrap-distance-top:0.0pt;mso-wrap-distance-right:0.0pt;mso-wrap-distance-bottom:0.0pt;">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60288" behindDoc="0" locked="0" layoutInCell="1" allowOverlap="1" wp14:anchorId="501D2323" wp14:editId="08D9D6D3">
                <wp:simplePos x="0" y="0"/>
                <wp:positionH relativeFrom="column">
                  <wp:posOffset>3891279</wp:posOffset>
                </wp:positionH>
                <wp:positionV relativeFrom="line">
                  <wp:posOffset>367029</wp:posOffset>
                </wp:positionV>
                <wp:extent cx="1" cy="4686301"/>
                <wp:effectExtent l="0" t="0" r="0" b="0"/>
                <wp:wrapNone/>
                <wp:docPr id="1073741832" name="officeArt object" descr="Raven povezovalnik 20"/>
                <wp:cNvGraphicFramePr/>
                <a:graphic xmlns:a="http://schemas.openxmlformats.org/drawingml/2006/main">
                  <a:graphicData uri="http://schemas.microsoft.com/office/word/2010/wordprocessingShape">
                    <wps:wsp>
                      <wps:cNvCnPr/>
                      <wps:spPr>
                        <a:xfrm flipH="1">
                          <a:off x="0" y="0"/>
                          <a:ext cx="1" cy="4686301"/>
                        </a:xfrm>
                        <a:prstGeom prst="line">
                          <a:avLst/>
                        </a:prstGeom>
                        <a:noFill/>
                        <a:ln w="6350" cap="flat">
                          <a:solidFill>
                            <a:srgbClr val="000000"/>
                          </a:solidFill>
                          <a:prstDash val="dash"/>
                          <a:miter lim="800000"/>
                        </a:ln>
                        <a:effectLst/>
                      </wps:spPr>
                      <wps:bodyPr/>
                    </wps:wsp>
                  </a:graphicData>
                </a:graphic>
              </wp:anchor>
            </w:drawing>
          </mc:Choice>
          <mc:Fallback xmlns:cx1="http://schemas.microsoft.com/office/drawing/2015/9/8/chartex">
            <w:pict>
              <v:line id="_x0000_s1031" style="visibility:visible;position:absolute;margin-left:306.4pt;margin-top:28.9pt;width:0.0pt;height:369.0pt;z-index:2516602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5pt" dashstyle="dash" endcap="flat" miterlimit="800.0%" joinstyle="miter" linestyle="single" startarrow="none" startarrowwidth="medium" startarrowlength="medium" endarrow="none"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59264" behindDoc="0" locked="0" layoutInCell="1" allowOverlap="1" wp14:anchorId="28131FB7" wp14:editId="00B478C4">
                <wp:simplePos x="0" y="0"/>
                <wp:positionH relativeFrom="column">
                  <wp:posOffset>2348229</wp:posOffset>
                </wp:positionH>
                <wp:positionV relativeFrom="line">
                  <wp:posOffset>367029</wp:posOffset>
                </wp:positionV>
                <wp:extent cx="1" cy="4686301"/>
                <wp:effectExtent l="0" t="0" r="0" b="0"/>
                <wp:wrapNone/>
                <wp:docPr id="1073741833" name="officeArt object" descr="Raven povezovalnik 21"/>
                <wp:cNvGraphicFramePr/>
                <a:graphic xmlns:a="http://schemas.openxmlformats.org/drawingml/2006/main">
                  <a:graphicData uri="http://schemas.microsoft.com/office/word/2010/wordprocessingShape">
                    <wps:wsp>
                      <wps:cNvCnPr/>
                      <wps:spPr>
                        <a:xfrm flipH="1">
                          <a:off x="0" y="0"/>
                          <a:ext cx="1" cy="4686301"/>
                        </a:xfrm>
                        <a:prstGeom prst="line">
                          <a:avLst/>
                        </a:prstGeom>
                        <a:noFill/>
                        <a:ln w="6350" cap="flat">
                          <a:solidFill>
                            <a:srgbClr val="000000"/>
                          </a:solidFill>
                          <a:prstDash val="dash"/>
                          <a:miter lim="800000"/>
                        </a:ln>
                        <a:effectLst/>
                      </wps:spPr>
                      <wps:bodyPr/>
                    </wps:wsp>
                  </a:graphicData>
                </a:graphic>
              </wp:anchor>
            </w:drawing>
          </mc:Choice>
          <mc:Fallback xmlns:cx1="http://schemas.microsoft.com/office/drawing/2015/9/8/chartex">
            <w:pict>
              <v:line id="_x0000_s1032" style="visibility:visible;position:absolute;margin-left:184.9pt;margin-top:28.9pt;width:0.0pt;height:369.0pt;z-index:251659264;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5pt" dashstyle="dash" endcap="flat" miterlimit="800.0%" joinstyle="miter" linestyle="single" startarrow="none" startarrowwidth="medium" startarrowlength="medium" endarrow="none" endarrowwidth="medium" endarrowlength="medium"/>
                <w10:wrap type="none" side="bothSides" anchorx="text"/>
              </v:line>
            </w:pict>
          </mc:Fallback>
        </mc:AlternateContent>
      </w:r>
      <w:r>
        <w:rPr>
          <w:noProof/>
          <w:lang w:val="sl-SI" w:eastAsia="sl-SI"/>
        </w:rPr>
        <w:drawing>
          <wp:inline distT="0" distB="0" distL="0" distR="0" wp14:anchorId="26899D0B" wp14:editId="085A7E6D">
            <wp:extent cx="5469521" cy="2339571"/>
            <wp:effectExtent l="0" t="0" r="0" b="0"/>
            <wp:docPr id="1073741834"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val="sl-SI" w:eastAsia="sl-SI"/>
        </w:rPr>
        <w:drawing>
          <wp:inline distT="0" distB="0" distL="0" distR="0" wp14:anchorId="12B0C8E5" wp14:editId="2317B83F">
            <wp:extent cx="5576704" cy="2431291"/>
            <wp:effectExtent l="0" t="0" r="0" b="0"/>
            <wp:docPr id="107374183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A51CC5"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3: OSI index in relation to neutrophil lymphocyte ratio (NLR) for patient 1.</w:t>
      </w:r>
    </w:p>
    <w:p w14:paraId="724DA866" w14:textId="77777777" w:rsidR="002720DB" w:rsidRDefault="002720DB">
      <w:pPr>
        <w:pStyle w:val="Body"/>
        <w:spacing w:after="0" w:line="360" w:lineRule="auto"/>
        <w:rPr>
          <w:rFonts w:ascii="Times New Roman" w:eastAsia="Times New Roman" w:hAnsi="Times New Roman" w:cs="Times New Roman"/>
          <w:sz w:val="24"/>
          <w:szCs w:val="24"/>
        </w:rPr>
      </w:pPr>
    </w:p>
    <w:p w14:paraId="2842548E"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sz w:val="24"/>
          <w:szCs w:val="24"/>
        </w:rPr>
        <w:t>Biochemical and hematological parameters helped us obtain a slightly broader picture of the patient's condition. Correlation with our predictions based on the coordinate system was drawn. The patient was classified in quadrants III and IV where low values of d-ROMs and normal values of PAT are located. These results indicate a long-term infection and exhaustion of the individual, but the antioxidant defense is still working. Moreover, the biochemical and hematological parameters in the initial days indicate a state of extensive inflammation and a poor prognosis for the patient. Regardless, the patient’s condition began to improve in the last days of the measurements. We can conclude that the patient still had enough antioxidant power to improve in the last few days.</w:t>
      </w:r>
    </w:p>
    <w:p w14:paraId="13B29D09" w14:textId="77777777" w:rsidR="002720DB" w:rsidRDefault="002720DB">
      <w:pPr>
        <w:pStyle w:val="Body"/>
        <w:spacing w:after="0" w:line="360" w:lineRule="auto"/>
        <w:rPr>
          <w:rFonts w:ascii="Times New Roman" w:eastAsia="Times New Roman" w:hAnsi="Times New Roman" w:cs="Times New Roman"/>
          <w:sz w:val="24"/>
          <w:szCs w:val="24"/>
        </w:rPr>
      </w:pPr>
    </w:p>
    <w:p w14:paraId="463F26C1"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b/>
          <w:bCs/>
          <w:sz w:val="24"/>
          <w:szCs w:val="24"/>
        </w:rPr>
        <w:lastRenderedPageBreak/>
        <w:t>Patient 2</w:t>
      </w:r>
      <w:r>
        <w:rPr>
          <w:rFonts w:ascii="Times New Roman" w:hAnsi="Times New Roman"/>
          <w:sz w:val="24"/>
          <w:szCs w:val="24"/>
        </w:rPr>
        <w:t xml:space="preserve">: A 75-year-old man with a history of arterial hypertension, hypercholesterolemia, total right hip replacement, cholecystectomy, and pancreatitis was admitted to the gastroenterology department due to fever, abdominal pain, nausea, and vomiting. A nasopharyngeal swab for the SARS-CoV-2 virus was negative. </w:t>
      </w:r>
      <w:r>
        <w:rPr>
          <w:rFonts w:ascii="Times New Roman" w:hAnsi="Times New Roman"/>
          <w:i/>
          <w:iCs/>
          <w:sz w:val="24"/>
          <w:szCs w:val="24"/>
        </w:rPr>
        <w:t>Salmonella infantis</w:t>
      </w:r>
      <w:r>
        <w:rPr>
          <w:rFonts w:ascii="Times New Roman" w:hAnsi="Times New Roman"/>
          <w:sz w:val="24"/>
          <w:szCs w:val="24"/>
        </w:rPr>
        <w:t xml:space="preserve"> and </w:t>
      </w:r>
      <w:r>
        <w:rPr>
          <w:rFonts w:ascii="Times New Roman" w:hAnsi="Times New Roman"/>
          <w:i/>
          <w:iCs/>
          <w:sz w:val="24"/>
          <w:szCs w:val="24"/>
        </w:rPr>
        <w:t xml:space="preserve">Streptococcus mitis </w:t>
      </w:r>
      <w:r>
        <w:rPr>
          <w:rFonts w:ascii="Times New Roman" w:hAnsi="Times New Roman"/>
          <w:sz w:val="24"/>
          <w:szCs w:val="24"/>
        </w:rPr>
        <w:t>were isolated from blood cultures and treatment with ceftriaxone was started. The clinical condition gradually improved and elevated laboratory inflammation markers normalized.  However, after ten days of hospitalization, the patient was transferred to the quarantine ward due to contact with a COVID-positive patient. Eight days later, a repeat nasopharyngeal smear was positive for SARS-CoV-2, respiratory symptoms with cough and hypoxia occurred, and a week later he was admitted to the ICU due to respiratory failure. On examination, the patient had a respiratory rate of 30 breaths per minute and oxygen saturation of 88% while receiving high flow oxygen (15 L/min) via a non-rebreather mask. Moreover, the patient was afebrile, normotensive, and had a normal cardiac function. The patient was sedated, intubated, and mechanically ventilated. A chest X-ray showed extensive peripheral bilateral opacities and the ratio of arterial oxygen partial pressure to inspired oxygen was 105. Upon admission to the ICU, the patient's laboratory test results were 77mg/L for CRP, and 5900/mm</w:t>
      </w:r>
      <w:r>
        <w:rPr>
          <w:rFonts w:ascii="Times New Roman" w:hAnsi="Times New Roman"/>
          <w:sz w:val="24"/>
          <w:szCs w:val="24"/>
          <w:vertAlign w:val="superscript"/>
        </w:rPr>
        <w:t>3</w:t>
      </w:r>
      <w:r>
        <w:rPr>
          <w:rFonts w:ascii="Times New Roman" w:hAnsi="Times New Roman"/>
          <w:sz w:val="24"/>
          <w:szCs w:val="24"/>
        </w:rPr>
        <w:t xml:space="preserve"> for WBC, with a normal percentage of neutrophils (58%) and lymphocytes (25.4%). A high sensitive troponin level, blood urea, creatinine, fibrinogen, and PCT concentration were in the normal range. However, IL-6, D-dimer, </w:t>
      </w:r>
      <w:r>
        <w:rPr>
          <w:rFonts w:ascii="Times New Roman" w:hAnsi="Times New Roman"/>
          <w:i/>
          <w:iCs/>
          <w:sz w:val="24"/>
          <w:szCs w:val="24"/>
        </w:rPr>
        <w:t>NTproBNP, L</w:t>
      </w:r>
      <w:r>
        <w:rPr>
          <w:rFonts w:ascii="Times New Roman" w:hAnsi="Times New Roman"/>
          <w:sz w:val="24"/>
          <w:szCs w:val="24"/>
        </w:rPr>
        <w:t>DH, and fibrinogen were elevated. Experimental antiviral therapy with lopinavir/ritonavir and hydroxychloroquine sulfate via nasogastric tube was initiated. However, antiviral treatment was discontinued after five days due to bradycardia and prolonged QTc interval. The patient received prophylactic doses of LMWH and stress ulcer bleeding prophylaxis as well. Three days after ICU admission, nosocomial pneumonia was suspected and antimicrobial treatment with piperacillin/tazobactam was started. As respiratory parameters of ventilation began to gradually improve, a lower FiO2 was required and lung compliance was adequate. However, laboratory indicators of inflammation increased and an abdominal CT scan revealed thrombosis of the superior mesenteric artery, extensive splenic infarction, and walled-off pancreatic necrosis was suspected</w:t>
      </w:r>
      <w:r>
        <w:rPr>
          <w:rFonts w:ascii="Times New Roman" w:hAnsi="Times New Roman"/>
          <w:b/>
          <w:bCs/>
          <w:sz w:val="24"/>
          <w:szCs w:val="24"/>
        </w:rPr>
        <w:t xml:space="preserve">. </w:t>
      </w:r>
      <w:r>
        <w:rPr>
          <w:rFonts w:ascii="Times New Roman" w:hAnsi="Times New Roman"/>
          <w:sz w:val="24"/>
          <w:szCs w:val="24"/>
        </w:rPr>
        <w:t xml:space="preserve">Renal function deteriorated as well and hemodialysis was required. The patient remained intubated and sedated. Subsequently, there was massive bleeding from the upper gastrointestinal tract and gastroscopy confirmed extensive stress ulcers. His condition remained </w:t>
      </w:r>
      <w:r>
        <w:rPr>
          <w:rFonts w:ascii="Times New Roman" w:hAnsi="Times New Roman"/>
          <w:sz w:val="24"/>
          <w:szCs w:val="24"/>
        </w:rPr>
        <w:lastRenderedPageBreak/>
        <w:t>critical while being aggressively managed in the ICU and ultimately the patient's family decided to pursue palliative care and the patient passed away.</w:t>
      </w:r>
    </w:p>
    <w:p w14:paraId="7FBE94B3" w14:textId="77777777" w:rsidR="002720DB" w:rsidRDefault="002720DB">
      <w:pPr>
        <w:pStyle w:val="Body"/>
        <w:spacing w:after="0" w:line="360" w:lineRule="auto"/>
        <w:rPr>
          <w:rFonts w:ascii="Times New Roman" w:eastAsia="Times New Roman" w:hAnsi="Times New Roman" w:cs="Times New Roman"/>
          <w:sz w:val="24"/>
          <w:szCs w:val="24"/>
        </w:rPr>
      </w:pPr>
    </w:p>
    <w:p w14:paraId="4D5B8805" w14:textId="77777777" w:rsidR="002720DB" w:rsidRDefault="005E74AB">
      <w:pPr>
        <w:pStyle w:val="Body"/>
        <w:spacing w:after="0" w:line="360" w:lineRule="auto"/>
        <w:rPr>
          <w:rFonts w:ascii="Times New Roman" w:eastAsia="Times New Roman" w:hAnsi="Times New Roman" w:cs="Times New Roman"/>
          <w:sz w:val="24"/>
          <w:szCs w:val="24"/>
        </w:rPr>
      </w:pPr>
      <w:r>
        <w:rPr>
          <w:noProof/>
          <w:lang w:val="sl-SI" w:eastAsia="sl-SI"/>
        </w:rPr>
        <w:drawing>
          <wp:inline distT="0" distB="0" distL="0" distR="0" wp14:anchorId="600409CF" wp14:editId="15F9463F">
            <wp:extent cx="5263562" cy="3769849"/>
            <wp:effectExtent l="0" t="0" r="0" b="0"/>
            <wp:docPr id="107374183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7DFE5C"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4: Oxidative stress index as a function of time. Day 0 is the first day in the critical care unit.</w:t>
      </w:r>
    </w:p>
    <w:p w14:paraId="3B93E165" w14:textId="77777777" w:rsidR="002720DB" w:rsidRDefault="002720DB">
      <w:pPr>
        <w:pStyle w:val="Body"/>
        <w:spacing w:after="0" w:line="360" w:lineRule="auto"/>
        <w:rPr>
          <w:rFonts w:ascii="Times New Roman" w:eastAsia="Times New Roman" w:hAnsi="Times New Roman" w:cs="Times New Roman"/>
          <w:sz w:val="24"/>
          <w:szCs w:val="24"/>
        </w:rPr>
      </w:pPr>
    </w:p>
    <w:p w14:paraId="333AAE98" w14:textId="77777777" w:rsidR="002720DB" w:rsidRDefault="005E74AB">
      <w:pPr>
        <w:pStyle w:val="Body"/>
        <w:spacing w:after="0" w:line="360" w:lineRule="auto"/>
        <w:rPr>
          <w:rFonts w:ascii="Times New Roman" w:eastAsia="Times New Roman" w:hAnsi="Times New Roman" w:cs="Times New Roman"/>
          <w:sz w:val="24"/>
          <w:szCs w:val="24"/>
        </w:rPr>
      </w:pPr>
      <w:r>
        <w:rPr>
          <w:noProof/>
          <w:lang w:val="sl-SI" w:eastAsia="sl-SI"/>
        </w:rPr>
        <w:lastRenderedPageBreak/>
        <w:drawing>
          <wp:inline distT="0" distB="0" distL="0" distR="0" wp14:anchorId="17089A3C" wp14:editId="40119DE1">
            <wp:extent cx="5459155" cy="3281463"/>
            <wp:effectExtent l="0" t="0" r="0" b="0"/>
            <wp:docPr id="107374183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48BAF5"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5: C-reactive protein (CRP), interleukin 6 (IL-6), and neutrophil to lymphocyte values as a function of time. Day 0 is the first day in the critical care unit.</w:t>
      </w:r>
    </w:p>
    <w:p w14:paraId="1A393C9F" w14:textId="77777777" w:rsidR="002720DB" w:rsidRDefault="002720DB">
      <w:pPr>
        <w:pStyle w:val="Body"/>
        <w:spacing w:after="0" w:line="360" w:lineRule="auto"/>
        <w:rPr>
          <w:rFonts w:ascii="Times New Roman" w:eastAsia="Times New Roman" w:hAnsi="Times New Roman" w:cs="Times New Roman"/>
          <w:sz w:val="24"/>
          <w:szCs w:val="24"/>
        </w:rPr>
      </w:pPr>
    </w:p>
    <w:p w14:paraId="20D75DBB"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1338ABB" w14:textId="77777777" w:rsidR="002720DB" w:rsidRDefault="00E77E53">
      <w:pPr>
        <w:pStyle w:val="Body"/>
        <w:spacing w:after="0" w:line="360" w:lineRule="auto"/>
        <w:rPr>
          <w:rFonts w:ascii="Times New Roman" w:eastAsia="Times New Roman" w:hAnsi="Times New Roman" w:cs="Times New Roman"/>
          <w:sz w:val="24"/>
          <w:szCs w:val="24"/>
        </w:rPr>
      </w:pPr>
      <w:r w:rsidRPr="00F12268">
        <w:rPr>
          <w:rStyle w:val="tlid-translation"/>
          <w:rFonts w:ascii="Times New Roman" w:hAnsi="Times New Roman" w:cs="Times New Roman"/>
          <w:sz w:val="24"/>
          <w:szCs w:val="24"/>
          <w:lang w:val="en"/>
        </w:rPr>
        <w:t xml:space="preserve">CRP values, the </w:t>
      </w:r>
      <w:r>
        <w:rPr>
          <w:rStyle w:val="tlid-translation"/>
          <w:rFonts w:ascii="Times New Roman" w:hAnsi="Times New Roman" w:cs="Times New Roman"/>
          <w:sz w:val="24"/>
          <w:szCs w:val="24"/>
          <w:lang w:val="en"/>
        </w:rPr>
        <w:t>ratio</w:t>
      </w:r>
      <w:r w:rsidRPr="00F12268">
        <w:rPr>
          <w:rStyle w:val="tlid-translation"/>
          <w:rFonts w:ascii="Times New Roman" w:hAnsi="Times New Roman" w:cs="Times New Roman"/>
          <w:sz w:val="24"/>
          <w:szCs w:val="24"/>
          <w:lang w:val="en"/>
        </w:rPr>
        <w:t xml:space="preserve"> of neutrophils </w:t>
      </w:r>
      <w:r>
        <w:rPr>
          <w:rStyle w:val="tlid-translation"/>
          <w:rFonts w:ascii="Times New Roman" w:hAnsi="Times New Roman" w:cs="Times New Roman"/>
          <w:sz w:val="24"/>
          <w:szCs w:val="24"/>
          <w:lang w:val="en"/>
        </w:rPr>
        <w:t>to</w:t>
      </w:r>
      <w:r w:rsidRPr="00F12268">
        <w:rPr>
          <w:rStyle w:val="tlid-translation"/>
          <w:rFonts w:ascii="Times New Roman" w:hAnsi="Times New Roman" w:cs="Times New Roman"/>
          <w:sz w:val="24"/>
          <w:szCs w:val="24"/>
          <w:lang w:val="en"/>
        </w:rPr>
        <w:t xml:space="preserve"> lymphocytes</w:t>
      </w:r>
      <w:r>
        <w:rPr>
          <w:rStyle w:val="tlid-translation"/>
          <w:rFonts w:ascii="Times New Roman" w:hAnsi="Times New Roman" w:cs="Times New Roman"/>
          <w:sz w:val="24"/>
          <w:szCs w:val="24"/>
          <w:lang w:val="en"/>
        </w:rPr>
        <w:t>,</w:t>
      </w:r>
      <w:r w:rsidRPr="00F12268">
        <w:rPr>
          <w:rStyle w:val="tlid-translation"/>
          <w:rFonts w:ascii="Times New Roman" w:hAnsi="Times New Roman" w:cs="Times New Roman"/>
          <w:sz w:val="24"/>
          <w:szCs w:val="24"/>
          <w:lang w:val="en"/>
        </w:rPr>
        <w:t xml:space="preserve"> and IL-6 values correlate</w:t>
      </w:r>
      <w:r>
        <w:rPr>
          <w:rStyle w:val="tlid-translation"/>
          <w:rFonts w:ascii="Times New Roman" w:hAnsi="Times New Roman" w:cs="Times New Roman"/>
          <w:sz w:val="24"/>
          <w:szCs w:val="24"/>
          <w:lang w:val="en"/>
        </w:rPr>
        <w:t>d</w:t>
      </w:r>
      <w:r w:rsidRPr="00F12268">
        <w:rPr>
          <w:rStyle w:val="tlid-translation"/>
          <w:rFonts w:ascii="Times New Roman" w:hAnsi="Times New Roman" w:cs="Times New Roman"/>
          <w:sz w:val="24"/>
          <w:szCs w:val="24"/>
          <w:lang w:val="en"/>
        </w:rPr>
        <w:t xml:space="preserve"> well</w:t>
      </w:r>
      <w:r w:rsidR="005E74AB">
        <w:rPr>
          <w:rFonts w:ascii="Times New Roman" w:hAnsi="Times New Roman"/>
          <w:sz w:val="24"/>
          <w:szCs w:val="24"/>
        </w:rPr>
        <w:t xml:space="preserve"> with each other. High CRP and IL-6 values indicate extensive</w:t>
      </w:r>
      <w:r w:rsidR="005E74AB">
        <w:t xml:space="preserve"> </w:t>
      </w:r>
      <w:r w:rsidR="005E74AB">
        <w:rPr>
          <w:rFonts w:ascii="Times New Roman" w:hAnsi="Times New Roman"/>
          <w:sz w:val="24"/>
          <w:szCs w:val="24"/>
        </w:rPr>
        <w:t>inflammation, and an elevated neutrophil to lymphocyte ratio suggests an aggressive immune response of neutrophils with characteristic lymphopenia observed in patients with COVID-19. The results in the initial days of the measurements indicate the poor condition of the patient, which then improves around day 7, but deteriorates rapidly in the following days of the measurements.</w:t>
      </w:r>
    </w:p>
    <w:p w14:paraId="315DD976" w14:textId="77777777" w:rsidR="002720DB" w:rsidRDefault="005E74AB">
      <w:pPr>
        <w:pStyle w:val="Body"/>
        <w:spacing w:after="0" w:line="360" w:lineRule="auto"/>
        <w:rPr>
          <w:rFonts w:ascii="Times New Roman" w:eastAsia="Times New Roman" w:hAnsi="Times New Roman" w:cs="Times New Roman"/>
          <w:sz w:val="24"/>
          <w:szCs w:val="24"/>
        </w:rPr>
      </w:pPr>
      <w:r>
        <w:rPr>
          <w:rFonts w:ascii="Times New Roman" w:hAnsi="Times New Roman"/>
          <w:sz w:val="24"/>
          <w:szCs w:val="24"/>
        </w:rPr>
        <w:t>The state of oxidative stress follows a similar trajectory. The oxidative stress index slowly decreases and improves in the same way as the other parameters around day 7. OSI levels start to rise again with slight falls after days 35 to 42, and given that oxidants and antioxidants change with CRP, we assume that in the following days the oxidative stress index began to rise steadily.</w:t>
      </w:r>
    </w:p>
    <w:p w14:paraId="786C602D" w14:textId="77777777" w:rsidR="002720DB" w:rsidRDefault="002720DB">
      <w:pPr>
        <w:pStyle w:val="Body"/>
        <w:spacing w:after="0" w:line="360" w:lineRule="auto"/>
        <w:rPr>
          <w:rFonts w:ascii="Times New Roman" w:eastAsia="Times New Roman" w:hAnsi="Times New Roman" w:cs="Times New Roman"/>
          <w:sz w:val="24"/>
          <w:szCs w:val="24"/>
        </w:rPr>
      </w:pPr>
    </w:p>
    <w:p w14:paraId="70B2A1A8" w14:textId="77777777" w:rsidR="002720DB" w:rsidRDefault="002720DB">
      <w:pPr>
        <w:pStyle w:val="Body"/>
        <w:spacing w:after="0" w:line="360" w:lineRule="auto"/>
        <w:rPr>
          <w:rFonts w:ascii="Times New Roman" w:eastAsia="Times New Roman" w:hAnsi="Times New Roman" w:cs="Times New Roman"/>
          <w:sz w:val="24"/>
          <w:szCs w:val="24"/>
        </w:rPr>
      </w:pPr>
    </w:p>
    <w:p w14:paraId="0FF0A3A5" w14:textId="77777777" w:rsidR="002720DB" w:rsidRDefault="002720DB">
      <w:pPr>
        <w:pStyle w:val="Body"/>
        <w:spacing w:after="0" w:line="360" w:lineRule="auto"/>
        <w:rPr>
          <w:rFonts w:ascii="Times New Roman" w:eastAsia="Times New Roman" w:hAnsi="Times New Roman" w:cs="Times New Roman"/>
          <w:sz w:val="24"/>
          <w:szCs w:val="24"/>
        </w:rPr>
      </w:pPr>
    </w:p>
    <w:p w14:paraId="1DC29CED" w14:textId="77777777" w:rsidR="002720DB" w:rsidRDefault="002720DB">
      <w:pPr>
        <w:pStyle w:val="Body"/>
        <w:spacing w:after="0" w:line="360" w:lineRule="auto"/>
        <w:rPr>
          <w:rFonts w:ascii="Times New Roman" w:eastAsia="Times New Roman" w:hAnsi="Times New Roman" w:cs="Times New Roman"/>
          <w:sz w:val="24"/>
          <w:szCs w:val="24"/>
        </w:rPr>
      </w:pPr>
    </w:p>
    <w:p w14:paraId="4E0AFB7A" w14:textId="77777777" w:rsidR="002720DB" w:rsidRDefault="002720DB">
      <w:pPr>
        <w:pStyle w:val="Body"/>
        <w:spacing w:after="0" w:line="360" w:lineRule="auto"/>
        <w:rPr>
          <w:rFonts w:ascii="Times New Roman" w:eastAsia="Times New Roman" w:hAnsi="Times New Roman" w:cs="Times New Roman"/>
          <w:sz w:val="24"/>
          <w:szCs w:val="24"/>
        </w:rPr>
      </w:pPr>
    </w:p>
    <w:p w14:paraId="165E46D2" w14:textId="77777777" w:rsidR="002720DB" w:rsidRDefault="002720DB">
      <w:pPr>
        <w:pStyle w:val="Body"/>
        <w:spacing w:after="0" w:line="360" w:lineRule="auto"/>
        <w:rPr>
          <w:rFonts w:ascii="Times New Roman" w:eastAsia="Times New Roman" w:hAnsi="Times New Roman" w:cs="Times New Roman"/>
          <w:sz w:val="24"/>
          <w:szCs w:val="24"/>
        </w:rPr>
      </w:pPr>
    </w:p>
    <w:p w14:paraId="39CFB56A" w14:textId="77777777" w:rsidR="002720DB" w:rsidRDefault="005E74AB">
      <w:pPr>
        <w:pStyle w:val="Body"/>
        <w:rPr>
          <w:rStyle w:val="viiyi"/>
        </w:rPr>
      </w:pPr>
      <w:r>
        <w:rPr>
          <w:rStyle w:val="viiyi"/>
          <w:noProof/>
          <w:lang w:val="sl-SI" w:eastAsia="sl-SI"/>
        </w:rPr>
        <mc:AlternateContent>
          <mc:Choice Requires="wps">
            <w:drawing>
              <wp:anchor distT="0" distB="0" distL="0" distR="0" simplePos="0" relativeHeight="251668480" behindDoc="0" locked="0" layoutInCell="1" allowOverlap="1" wp14:anchorId="7EE28F69" wp14:editId="54A4A4B5">
                <wp:simplePos x="0" y="0"/>
                <wp:positionH relativeFrom="column">
                  <wp:posOffset>2871152</wp:posOffset>
                </wp:positionH>
                <wp:positionV relativeFrom="line">
                  <wp:posOffset>1262379</wp:posOffset>
                </wp:positionV>
                <wp:extent cx="1" cy="2809876"/>
                <wp:effectExtent l="0" t="0" r="0" b="0"/>
                <wp:wrapNone/>
                <wp:docPr id="1073741838" name="officeArt object" descr="Raven puščični povezovalnik 36"/>
                <wp:cNvGraphicFramePr/>
                <a:graphic xmlns:a="http://schemas.openxmlformats.org/drawingml/2006/main">
                  <a:graphicData uri="http://schemas.microsoft.com/office/word/2010/wordprocessingShape">
                    <wps:wsp>
                      <wps:cNvCnPr/>
                      <wps:spPr>
                        <a:xfrm flipH="1">
                          <a:off x="0" y="0"/>
                          <a:ext cx="1" cy="2809876"/>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33" style="visibility:visible;position:absolute;margin-left:226.1pt;margin-top:99.4pt;width:0.0pt;height:221.2pt;z-index:251668480;mso-position-horizontal:absolute;mso-position-horizontal-relative:text;mso-position-vertical:absolute;mso-position-vertical-relative:line;mso-wrap-distance-left:0.0pt;mso-wrap-distance-top:0.0pt;mso-wrap-distance-right:0.0pt;mso-wrap-distance-bottom:0.0pt;flip:x;">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67456" behindDoc="0" locked="0" layoutInCell="1" allowOverlap="1" wp14:anchorId="4B4F8D71" wp14:editId="45F21226">
                <wp:simplePos x="0" y="0"/>
                <wp:positionH relativeFrom="column">
                  <wp:posOffset>1891140</wp:posOffset>
                </wp:positionH>
                <wp:positionV relativeFrom="line">
                  <wp:posOffset>2271198</wp:posOffset>
                </wp:positionV>
                <wp:extent cx="609601" cy="2247901"/>
                <wp:effectExtent l="0" t="0" r="0" b="0"/>
                <wp:wrapNone/>
                <wp:docPr id="1073741839" name="officeArt object" descr="Raven puščični povezovalnik 37"/>
                <wp:cNvGraphicFramePr/>
                <a:graphic xmlns:a="http://schemas.openxmlformats.org/drawingml/2006/main">
                  <a:graphicData uri="http://schemas.microsoft.com/office/word/2010/wordprocessingShape">
                    <wps:wsp>
                      <wps:cNvCnPr/>
                      <wps:spPr>
                        <a:xfrm>
                          <a:off x="0" y="0"/>
                          <a:ext cx="609601" cy="2247901"/>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34" style="visibility:visible;position:absolute;margin-left:148.9pt;margin-top:178.8pt;width:48.0pt;height:177.0pt;z-index:251667456;mso-position-horizontal:absolute;mso-position-horizontal-relative:text;mso-position-vertical:absolute;mso-position-vertical-relative:line;mso-wrap-distance-left:0.0pt;mso-wrap-distance-top:0.0pt;mso-wrap-distance-right:0.0pt;mso-wrap-distance-bottom:0.0pt;">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rStyle w:val="viiyi"/>
          <w:noProof/>
          <w:lang w:val="sl-SI" w:eastAsia="sl-SI"/>
        </w:rPr>
        <mc:AlternateContent>
          <mc:Choice Requires="wps">
            <w:drawing>
              <wp:anchor distT="0" distB="0" distL="0" distR="0" simplePos="0" relativeHeight="251666432" behindDoc="0" locked="0" layoutInCell="1" allowOverlap="1" wp14:anchorId="72AF1D6F" wp14:editId="43091F2A">
                <wp:simplePos x="0" y="0"/>
                <wp:positionH relativeFrom="column">
                  <wp:posOffset>1195801</wp:posOffset>
                </wp:positionH>
                <wp:positionV relativeFrom="line">
                  <wp:posOffset>928229</wp:posOffset>
                </wp:positionV>
                <wp:extent cx="590551" cy="2343151"/>
                <wp:effectExtent l="0" t="0" r="0" b="0"/>
                <wp:wrapNone/>
                <wp:docPr id="1073741840" name="officeArt object" descr="Raven puščični povezovalnik 38"/>
                <wp:cNvGraphicFramePr/>
                <a:graphic xmlns:a="http://schemas.openxmlformats.org/drawingml/2006/main">
                  <a:graphicData uri="http://schemas.microsoft.com/office/word/2010/wordprocessingShape">
                    <wps:wsp>
                      <wps:cNvCnPr/>
                      <wps:spPr>
                        <a:xfrm>
                          <a:off x="0" y="0"/>
                          <a:ext cx="590551" cy="2343151"/>
                        </a:xfrm>
                        <a:prstGeom prst="line">
                          <a:avLst/>
                        </a:prstGeom>
                        <a:noFill/>
                        <a:ln w="6350" cap="flat">
                          <a:solidFill>
                            <a:schemeClr val="accent1"/>
                          </a:solidFill>
                          <a:prstDash val="solid"/>
                          <a:miter lim="800000"/>
                          <a:tailEnd type="triangle" w="med" len="med"/>
                        </a:ln>
                        <a:effectLst/>
                      </wps:spPr>
                      <wps:bodyPr/>
                    </wps:wsp>
                  </a:graphicData>
                </a:graphic>
              </wp:anchor>
            </w:drawing>
          </mc:Choice>
          <mc:Fallback xmlns:cx1="http://schemas.microsoft.com/office/drawing/2015/9/8/chartex">
            <w:pict>
              <v:line id="_x0000_s1035" style="visibility:visible;position:absolute;margin-left:94.2pt;margin-top:73.1pt;width:46.5pt;height:184.5pt;z-index:251666432;mso-position-horizontal:absolute;mso-position-horizontal-relative:text;mso-position-vertical:absolute;mso-position-vertical-relative:line;mso-wrap-distance-left:0.0pt;mso-wrap-distance-top:0.0pt;mso-wrap-distance-right:0.0pt;mso-wrap-distance-bottom:0.0pt;">
                <v:fill on="f"/>
                <v:stroke filltype="solid" color="#5B9BD5" opacity="100.0%" weight="0.5pt" dashstyle="solid" endcap="flat" miterlimit="800.0%" joinstyle="miter" linestyle="single" startarrow="none" startarrowwidth="medium" startarrowlength="medium" endarrow="block" endarrowwidth="medium" endarrowlength="medium"/>
                <w10:wrap type="none" side="bothSides" anchorx="text"/>
              </v:line>
            </w:pict>
          </mc:Fallback>
        </mc:AlternateContent>
      </w:r>
      <w:r>
        <w:rPr>
          <w:noProof/>
          <w:lang w:val="sl-SI" w:eastAsia="sl-SI"/>
        </w:rPr>
        <w:drawing>
          <wp:inline distT="0" distB="0" distL="0" distR="0" wp14:anchorId="4FFD6134" wp14:editId="4686E4A7">
            <wp:extent cx="4283260" cy="2444502"/>
            <wp:effectExtent l="0" t="0" r="0" b="0"/>
            <wp:docPr id="1073741841"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sl-SI" w:eastAsia="sl-SI"/>
        </w:rPr>
        <w:drawing>
          <wp:inline distT="0" distB="0" distL="0" distR="0" wp14:anchorId="3FFEAF90" wp14:editId="28A1F970">
            <wp:extent cx="4272712" cy="2424420"/>
            <wp:effectExtent l="0" t="0" r="0" b="0"/>
            <wp:docPr id="1073741842"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6F7627" w14:textId="77777777" w:rsidR="002720DB" w:rsidRDefault="005E74AB">
      <w:pPr>
        <w:pStyle w:val="Body"/>
        <w:spacing w:after="0" w:line="360" w:lineRule="auto"/>
        <w:rPr>
          <w:rFonts w:ascii="Arial" w:eastAsia="Arial" w:hAnsi="Arial" w:cs="Arial"/>
          <w:sz w:val="16"/>
          <w:szCs w:val="16"/>
        </w:rPr>
      </w:pPr>
      <w:r>
        <w:rPr>
          <w:rFonts w:ascii="Arial" w:hAnsi="Arial"/>
          <w:sz w:val="16"/>
          <w:szCs w:val="16"/>
        </w:rPr>
        <w:t>Figure 6: OSI index in relation to neutrophil-lymphocyte ratio (NLR) for patient 2.</w:t>
      </w:r>
    </w:p>
    <w:p w14:paraId="7F149D6A" w14:textId="77777777" w:rsidR="002720DB" w:rsidRDefault="002720DB">
      <w:pPr>
        <w:pStyle w:val="Body"/>
        <w:spacing w:after="0" w:line="360" w:lineRule="auto"/>
        <w:rPr>
          <w:rFonts w:ascii="Times New Roman" w:eastAsia="Times New Roman" w:hAnsi="Times New Roman" w:cs="Times New Roman"/>
          <w:sz w:val="24"/>
          <w:szCs w:val="24"/>
        </w:rPr>
      </w:pPr>
    </w:p>
    <w:p w14:paraId="54E7F766" w14:textId="77777777" w:rsidR="002720DB" w:rsidRDefault="005E74AB">
      <w:pPr>
        <w:pStyle w:val="Body"/>
        <w:spacing w:after="0" w:line="360" w:lineRule="auto"/>
      </w:pPr>
      <w:r>
        <w:rPr>
          <w:rFonts w:ascii="Times New Roman" w:hAnsi="Times New Roman"/>
          <w:sz w:val="24"/>
          <w:szCs w:val="24"/>
        </w:rPr>
        <w:t>We also made a comparison with the coordinate system in this patient. This is classified in quadrant IV where low levels of oxidants and high levels of antioxidants are concentrated. This quadrant has the worst prognosis as a long-term infection is already present, the individual is not able to form ROS, redox signaling is inadequate, and most likely multiple tissue damage is present. The biochemical and hematological parameters show the same and we can conclude that despite the intermediate improvement of the condition, the patient did not recover.</w:t>
      </w:r>
    </w:p>
    <w:sectPr w:rsidR="002720D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CFD1E" w14:textId="77777777" w:rsidR="00551F4F" w:rsidRDefault="00551F4F">
      <w:r>
        <w:separator/>
      </w:r>
    </w:p>
  </w:endnote>
  <w:endnote w:type="continuationSeparator" w:id="0">
    <w:p w14:paraId="52446D7D" w14:textId="77777777" w:rsidR="00551F4F" w:rsidRDefault="0055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A4C97" w14:textId="77777777" w:rsidR="002720DB" w:rsidRDefault="002720DB">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C6A4" w14:textId="77777777" w:rsidR="00551F4F" w:rsidRDefault="00551F4F">
      <w:r>
        <w:separator/>
      </w:r>
    </w:p>
  </w:footnote>
  <w:footnote w:type="continuationSeparator" w:id="0">
    <w:p w14:paraId="6244BF11" w14:textId="77777777" w:rsidR="00551F4F" w:rsidRDefault="00551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E2C3" w14:textId="77777777" w:rsidR="002720DB" w:rsidRDefault="002720D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B"/>
    <w:rsid w:val="002720DB"/>
    <w:rsid w:val="003E4F25"/>
    <w:rsid w:val="004C010F"/>
    <w:rsid w:val="00551F4F"/>
    <w:rsid w:val="005E74AB"/>
    <w:rsid w:val="008B68AC"/>
    <w:rsid w:val="00E77E53"/>
    <w:rsid w:val="00EB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6558"/>
  <w15:docId w15:val="{B40420A0-FD6D-43B4-B9AE-AB38C495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rezrazmikov">
    <w:name w:val="No Spacing"/>
    <w:rPr>
      <w:rFonts w:ascii="Calibri" w:hAnsi="Calibri" w:cs="Arial Unicode MS"/>
      <w:color w:val="000000"/>
      <w:sz w:val="22"/>
      <w:szCs w:val="22"/>
      <w:u w:color="000000"/>
    </w:rPr>
  </w:style>
  <w:style w:type="character" w:customStyle="1" w:styleId="viiyi">
    <w:name w:val="viiyi"/>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E77E5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7E53"/>
    <w:rPr>
      <w:rFonts w:ascii="Segoe UI" w:hAnsi="Segoe UI" w:cs="Segoe UI"/>
      <w:sz w:val="18"/>
      <w:szCs w:val="18"/>
    </w:rPr>
  </w:style>
  <w:style w:type="character" w:customStyle="1" w:styleId="tlid-translation">
    <w:name w:val="tlid-translation"/>
    <w:basedOn w:val="Privzetapisavaodstavka"/>
    <w:rsid w:val="00E7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ov_delovni_lis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ov_delovni_lis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ov_delovni_lis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ov_delovni_lis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ov_delovni_lis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ov_delovni_lis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ov_delovni_lis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ov_delovni_lis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autoTitleDeleted val="1"/>
    <c:plotArea>
      <c:layout>
        <c:manualLayout>
          <c:layoutTarget val="inner"/>
          <c:xMode val="edge"/>
          <c:yMode val="edge"/>
          <c:x val="0.105949"/>
          <c:y val="5.0988400000000003E-2"/>
          <c:w val="0.88905100000000004"/>
          <c:h val="0.79051000000000005"/>
        </c:manualLayout>
      </c:layout>
      <c:lineChart>
        <c:grouping val="standard"/>
        <c:varyColors val="0"/>
        <c:ser>
          <c:idx val="0"/>
          <c:order val="0"/>
          <c:tx>
            <c:strRef>
              <c:f>Sheet1!$A$2</c:f>
              <c:strCache>
                <c:ptCount val="1"/>
                <c:pt idx="0">
                  <c:v>Series1</c:v>
                </c:pt>
              </c:strCache>
            </c:strRef>
          </c:tx>
          <c:spPr>
            <a:ln w="22225" cap="rnd">
              <a:solidFill>
                <a:schemeClr val="accent1"/>
              </a:solidFill>
              <a:prstDash val="solid"/>
              <a:round/>
            </a:ln>
            <a:effectLst/>
          </c:spPr>
          <c:marker>
            <c:symbol val="diamond"/>
            <c:size val="5"/>
            <c:spPr>
              <a:solidFill>
                <a:schemeClr val="accent1"/>
              </a:solidFill>
              <a:ln w="9525" cap="flat">
                <a:solidFill>
                  <a:schemeClr val="accent1"/>
                </a:solidFill>
                <a:prstDash val="solid"/>
                <a:round/>
              </a:ln>
              <a:effectLst/>
            </c:spPr>
          </c:marker>
          <c:cat>
            <c:strRef>
              <c:f>Sheet1!$B$1:$N$1</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Sheet1!$B$2:$N$2</c:f>
              <c:numCache>
                <c:formatCode>General</c:formatCode>
                <c:ptCount val="13"/>
                <c:pt idx="0">
                  <c:v>109</c:v>
                </c:pt>
                <c:pt idx="1">
                  <c:v>126</c:v>
                </c:pt>
                <c:pt idx="2">
                  <c:v>169</c:v>
                </c:pt>
                <c:pt idx="3">
                  <c:v>136</c:v>
                </c:pt>
                <c:pt idx="4">
                  <c:v>131</c:v>
                </c:pt>
                <c:pt idx="5">
                  <c:v>120</c:v>
                </c:pt>
                <c:pt idx="6">
                  <c:v>128</c:v>
                </c:pt>
                <c:pt idx="7">
                  <c:v>133</c:v>
                </c:pt>
                <c:pt idx="8">
                  <c:v>135</c:v>
                </c:pt>
                <c:pt idx="9">
                  <c:v>136</c:v>
                </c:pt>
                <c:pt idx="10">
                  <c:v>117</c:v>
                </c:pt>
                <c:pt idx="11">
                  <c:v>109</c:v>
                </c:pt>
                <c:pt idx="12">
                  <c:v>100</c:v>
                </c:pt>
              </c:numCache>
            </c:numRef>
          </c:val>
          <c:smooth val="0"/>
          <c:extLst>
            <c:ext xmlns:c16="http://schemas.microsoft.com/office/drawing/2014/chart" uri="{C3380CC4-5D6E-409C-BE32-E72D297353CC}">
              <c16:uniqueId val="{00000000-1137-4F25-AAB5-D9ED6DFF7C67}"/>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title>
          <c:tx>
            <c:rich>
              <a:bodyPr rot="0"/>
              <a:lstStyle/>
              <a:p>
                <a:pPr>
                  <a:defRPr sz="900" b="0" i="0" u="none" strike="noStrike">
                    <a:solidFill>
                      <a:srgbClr val="000000"/>
                    </a:solidFill>
                    <a:latin typeface="Arial"/>
                  </a:defRPr>
                </a:pPr>
                <a:r>
                  <a:rPr lang="en-US" sz="900" b="0" i="0" u="none" strike="noStrike">
                    <a:solidFill>
                      <a:srgbClr val="000000"/>
                    </a:solidFill>
                    <a:latin typeface="Arial"/>
                  </a:rPr>
                  <a:t>Sampling day</a:t>
                </a:r>
              </a:p>
            </c:rich>
          </c:tx>
          <c:overlay val="1"/>
        </c:title>
        <c:numFmt formatCode="General" sourceLinked="0"/>
        <c:majorTickMark val="none"/>
        <c:minorTickMark val="none"/>
        <c:tickLblPos val="low"/>
        <c:spPr>
          <a:ln w="12700" cap="flat">
            <a:solidFill>
              <a:srgbClr val="000000"/>
            </a:solidFill>
            <a:prstDash val="solid"/>
            <a:round/>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max val="200"/>
        </c:scaling>
        <c:delete val="0"/>
        <c:axPos val="l"/>
        <c:title>
          <c:tx>
            <c:rich>
              <a:bodyPr rot="-5400000"/>
              <a:lstStyle/>
              <a:p>
                <a:pPr>
                  <a:defRPr sz="900" b="0" i="0" u="none" strike="noStrike">
                    <a:solidFill>
                      <a:srgbClr val="000000"/>
                    </a:solidFill>
                    <a:latin typeface="Arial"/>
                  </a:defRPr>
                </a:pPr>
                <a:r>
                  <a:rPr lang="en-US" sz="900" b="0" i="0" u="none" strike="noStrike">
                    <a:solidFill>
                      <a:srgbClr val="000000"/>
                    </a:solidFill>
                    <a:latin typeface="Arial"/>
                  </a:rPr>
                  <a:t>Oxidative stress index (osi)</a:t>
                </a:r>
              </a:p>
            </c:rich>
          </c:tx>
          <c:overlay val="1"/>
        </c:title>
        <c:numFmt formatCode="0" sourceLinked="0"/>
        <c:majorTickMark val="none"/>
        <c:minorTickMark val="none"/>
        <c:tickLblPos val="nextTo"/>
        <c:spPr>
          <a:ln w="12700" cap="flat">
            <a:solidFill>
              <a:srgbClr val="000000"/>
            </a:solidFill>
            <a:prstDash val="solid"/>
            <a:round/>
          </a:ln>
        </c:spPr>
        <c:txPr>
          <a:bodyPr rot="0"/>
          <a:lstStyle/>
          <a:p>
            <a:pPr>
              <a:defRPr sz="900" b="0" i="0" u="none" strike="noStrike">
                <a:solidFill>
                  <a:srgbClr val="000000"/>
                </a:solidFill>
                <a:latin typeface="Arial"/>
              </a:defRPr>
            </a:pPr>
            <a:endParaRPr lang="sl-SI"/>
          </a:p>
        </c:txPr>
        <c:crossAx val="2094734552"/>
        <c:crosses val="autoZero"/>
        <c:crossBetween val="between"/>
        <c:majorUnit val="50"/>
        <c:minorUnit val="2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autoTitleDeleted val="1"/>
    <c:plotArea>
      <c:layout>
        <c:manualLayout>
          <c:layoutTarget val="inner"/>
          <c:xMode val="edge"/>
          <c:yMode val="edge"/>
          <c:x val="6.1053900000000001E-2"/>
          <c:y val="0.14963199999999999"/>
          <c:w val="0.87214100000000006"/>
          <c:h val="0.78415999999999997"/>
        </c:manualLayout>
      </c:layout>
      <c:lineChart>
        <c:grouping val="standard"/>
        <c:varyColors val="0"/>
        <c:ser>
          <c:idx val="0"/>
          <c:order val="0"/>
          <c:tx>
            <c:strRef>
              <c:f>Sheet1!$A$2</c:f>
              <c:strCache>
                <c:ptCount val="1"/>
                <c:pt idx="0">
                  <c:v>CRP</c:v>
                </c:pt>
              </c:strCache>
            </c:strRef>
          </c:tx>
          <c:spPr>
            <a:ln w="28575" cap="rnd">
              <a:solidFill>
                <a:schemeClr val="accent1"/>
              </a:solidFill>
              <a:prstDash val="solid"/>
              <a:round/>
            </a:ln>
            <a:effectLst/>
          </c:spPr>
          <c:marker>
            <c:symbol val="circle"/>
            <c:size val="5"/>
            <c:spPr>
              <a:solidFill>
                <a:schemeClr val="accent1"/>
              </a:solidFill>
              <a:ln w="12700" cap="flat">
                <a:noFill/>
                <a:miter lim="400000"/>
              </a:ln>
              <a:effectLst/>
            </c:spPr>
          </c:marker>
          <c:cat>
            <c:strRef>
              <c:f>Sheet1!$B$1:$U$1</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Sheet1!$B$2:$U$2</c:f>
              <c:numCache>
                <c:formatCode>General</c:formatCode>
                <c:ptCount val="20"/>
                <c:pt idx="0">
                  <c:v>85</c:v>
                </c:pt>
                <c:pt idx="1">
                  <c:v>88</c:v>
                </c:pt>
                <c:pt idx="2">
                  <c:v>95</c:v>
                </c:pt>
                <c:pt idx="3">
                  <c:v>253</c:v>
                </c:pt>
                <c:pt idx="4">
                  <c:v>296</c:v>
                </c:pt>
                <c:pt idx="5">
                  <c:v>275</c:v>
                </c:pt>
                <c:pt idx="6">
                  <c:v>195</c:v>
                </c:pt>
                <c:pt idx="7">
                  <c:v>185</c:v>
                </c:pt>
                <c:pt idx="8">
                  <c:v>176</c:v>
                </c:pt>
                <c:pt idx="9">
                  <c:v>156</c:v>
                </c:pt>
                <c:pt idx="10">
                  <c:v>190</c:v>
                </c:pt>
                <c:pt idx="11">
                  <c:v>223</c:v>
                </c:pt>
                <c:pt idx="12">
                  <c:v>210</c:v>
                </c:pt>
                <c:pt idx="13">
                  <c:v>244</c:v>
                </c:pt>
                <c:pt idx="14">
                  <c:v>237</c:v>
                </c:pt>
                <c:pt idx="15">
                  <c:v>303</c:v>
                </c:pt>
                <c:pt idx="16">
                  <c:v>256</c:v>
                </c:pt>
                <c:pt idx="17">
                  <c:v>285</c:v>
                </c:pt>
                <c:pt idx="18">
                  <c:v>224</c:v>
                </c:pt>
                <c:pt idx="19">
                  <c:v>193</c:v>
                </c:pt>
              </c:numCache>
            </c:numRef>
          </c:val>
          <c:smooth val="0"/>
          <c:extLst>
            <c:ext xmlns:c16="http://schemas.microsoft.com/office/drawing/2014/chart" uri="{C3380CC4-5D6E-409C-BE32-E72D297353CC}">
              <c16:uniqueId val="{00000000-5E5D-44D3-8727-B555A5454B49}"/>
            </c:ext>
          </c:extLst>
        </c:ser>
        <c:ser>
          <c:idx val="2"/>
          <c:order val="1"/>
          <c:tx>
            <c:strRef>
              <c:f>Sheet1!$A$4</c:f>
              <c:strCache>
                <c:ptCount val="1"/>
                <c:pt idx="0">
                  <c:v>IL-6</c:v>
                </c:pt>
              </c:strCache>
            </c:strRef>
          </c:tx>
          <c:spPr>
            <a:ln w="28575" cap="rnd">
              <a:solidFill>
                <a:schemeClr val="accent3"/>
              </a:solidFill>
              <a:prstDash val="solid"/>
              <a:round/>
            </a:ln>
            <a:effectLst/>
          </c:spPr>
          <c:marker>
            <c:symbol val="circle"/>
            <c:size val="5"/>
            <c:spPr>
              <a:solidFill>
                <a:schemeClr val="accent3"/>
              </a:solidFill>
              <a:ln w="12700" cap="flat">
                <a:noFill/>
                <a:miter lim="400000"/>
              </a:ln>
              <a:effectLst/>
            </c:spPr>
          </c:marker>
          <c:cat>
            <c:strRef>
              <c:f>Sheet1!$B$1:$U$1</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Sheet1!$B$4:$U$4</c:f>
              <c:numCache>
                <c:formatCode>General</c:formatCode>
                <c:ptCount val="20"/>
                <c:pt idx="0">
                  <c:v>43.6</c:v>
                </c:pt>
                <c:pt idx="1">
                  <c:v>26.5</c:v>
                </c:pt>
                <c:pt idx="2">
                  <c:v>236.8</c:v>
                </c:pt>
                <c:pt idx="3">
                  <c:v>759.3</c:v>
                </c:pt>
                <c:pt idx="4">
                  <c:v>305.39999999999998</c:v>
                </c:pt>
                <c:pt idx="5">
                  <c:v>116.6</c:v>
                </c:pt>
                <c:pt idx="6">
                  <c:v>133.19999999999999</c:v>
                </c:pt>
                <c:pt idx="7">
                  <c:v>67.5</c:v>
                </c:pt>
                <c:pt idx="8">
                  <c:v>51</c:v>
                </c:pt>
                <c:pt idx="9">
                  <c:v>87.6</c:v>
                </c:pt>
                <c:pt idx="10">
                  <c:v>151.5</c:v>
                </c:pt>
                <c:pt idx="12">
                  <c:v>457.5</c:v>
                </c:pt>
                <c:pt idx="15">
                  <c:v>721.6</c:v>
                </c:pt>
                <c:pt idx="16">
                  <c:v>759.5</c:v>
                </c:pt>
                <c:pt idx="17">
                  <c:v>257.8</c:v>
                </c:pt>
                <c:pt idx="18">
                  <c:v>216.8</c:v>
                </c:pt>
                <c:pt idx="19">
                  <c:v>141.9</c:v>
                </c:pt>
              </c:numCache>
            </c:numRef>
          </c:val>
          <c:smooth val="0"/>
          <c:extLst>
            <c:ext xmlns:c16="http://schemas.microsoft.com/office/drawing/2014/chart" uri="{C3380CC4-5D6E-409C-BE32-E72D297353CC}">
              <c16:uniqueId val="{00000001-5E5D-44D3-8727-B555A5454B49}"/>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2"/>
          <c:tx>
            <c:strRef>
              <c:f>Sheet1!$A$3</c:f>
              <c:strCache>
                <c:ptCount val="1"/>
                <c:pt idx="0">
                  <c:v>N/L</c:v>
                </c:pt>
              </c:strCache>
            </c:strRef>
          </c:tx>
          <c:spPr>
            <a:ln w="28575" cap="rnd">
              <a:solidFill>
                <a:schemeClr val="accent2"/>
              </a:solidFill>
              <a:prstDash val="solid"/>
              <a:round/>
            </a:ln>
            <a:effectLst/>
          </c:spPr>
          <c:marker>
            <c:symbol val="circle"/>
            <c:size val="5"/>
            <c:spPr>
              <a:solidFill>
                <a:schemeClr val="accent2"/>
              </a:solidFill>
              <a:ln w="12700" cap="flat">
                <a:noFill/>
                <a:miter lim="400000"/>
              </a:ln>
              <a:effectLst/>
            </c:spPr>
          </c:marker>
          <c:cat>
            <c:strRef>
              <c:f>Sheet1!$B$1:$U$1</c:f>
              <c:strCache>
                <c:ptCount val="20"/>
                <c:pt idx="0">
                  <c:v>Day 0</c:v>
                </c:pt>
                <c:pt idx="1">
                  <c:v>Day 1</c:v>
                </c:pt>
                <c:pt idx="2">
                  <c:v>Day 2</c:v>
                </c:pt>
                <c:pt idx="3">
                  <c:v>Day 3</c:v>
                </c:pt>
                <c:pt idx="4">
                  <c:v>Day 4</c:v>
                </c:pt>
                <c:pt idx="5">
                  <c:v>Day 5</c:v>
                </c:pt>
                <c:pt idx="6">
                  <c:v>Day 6</c:v>
                </c:pt>
                <c:pt idx="7">
                  <c:v>Day 7</c:v>
                </c:pt>
                <c:pt idx="8">
                  <c:v>Day 8</c:v>
                </c:pt>
                <c:pt idx="9">
                  <c:v>Day 9</c:v>
                </c:pt>
                <c:pt idx="10">
                  <c:v>Day 10</c:v>
                </c:pt>
                <c:pt idx="11">
                  <c:v>Day 11</c:v>
                </c:pt>
                <c:pt idx="12">
                  <c:v>Day 12</c:v>
                </c:pt>
                <c:pt idx="13">
                  <c:v>Day 13</c:v>
                </c:pt>
                <c:pt idx="14">
                  <c:v>Day 14</c:v>
                </c:pt>
                <c:pt idx="15">
                  <c:v>Day 15</c:v>
                </c:pt>
                <c:pt idx="16">
                  <c:v>Day 16</c:v>
                </c:pt>
                <c:pt idx="17">
                  <c:v>Day 17</c:v>
                </c:pt>
                <c:pt idx="18">
                  <c:v>Day 18</c:v>
                </c:pt>
                <c:pt idx="19">
                  <c:v>Day 19</c:v>
                </c:pt>
              </c:strCache>
            </c:strRef>
          </c:cat>
          <c:val>
            <c:numRef>
              <c:f>Sheet1!$B$3:$U$3</c:f>
              <c:numCache>
                <c:formatCode>General</c:formatCode>
                <c:ptCount val="20"/>
                <c:pt idx="0">
                  <c:v>3.9324319999999999</c:v>
                </c:pt>
                <c:pt idx="1">
                  <c:v>6.8095239999999997</c:v>
                </c:pt>
                <c:pt idx="2">
                  <c:v>5.4626869999999998</c:v>
                </c:pt>
                <c:pt idx="3">
                  <c:v>29</c:v>
                </c:pt>
                <c:pt idx="4">
                  <c:v>12.984375</c:v>
                </c:pt>
                <c:pt idx="5">
                  <c:v>7.9850750000000001</c:v>
                </c:pt>
                <c:pt idx="6">
                  <c:v>6.7142860000000004</c:v>
                </c:pt>
                <c:pt idx="7">
                  <c:v>11.315789000000001</c:v>
                </c:pt>
                <c:pt idx="8">
                  <c:v>11.833333</c:v>
                </c:pt>
                <c:pt idx="9">
                  <c:v>10.125</c:v>
                </c:pt>
                <c:pt idx="10">
                  <c:v>8</c:v>
                </c:pt>
                <c:pt idx="11">
                  <c:v>23</c:v>
                </c:pt>
                <c:pt idx="12">
                  <c:v>25.2</c:v>
                </c:pt>
                <c:pt idx="13">
                  <c:v>26.867925</c:v>
                </c:pt>
                <c:pt idx="14">
                  <c:v>18.795455</c:v>
                </c:pt>
                <c:pt idx="15">
                  <c:v>19.444444000000001</c:v>
                </c:pt>
                <c:pt idx="16">
                  <c:v>15.258065</c:v>
                </c:pt>
                <c:pt idx="17">
                  <c:v>13.131783</c:v>
                </c:pt>
                <c:pt idx="18">
                  <c:v>12.628318999999999</c:v>
                </c:pt>
                <c:pt idx="19">
                  <c:v>14.333333</c:v>
                </c:pt>
              </c:numCache>
            </c:numRef>
          </c:val>
          <c:smooth val="0"/>
          <c:extLst>
            <c:ext xmlns:c16="http://schemas.microsoft.com/office/drawing/2014/chart" uri="{C3380CC4-5D6E-409C-BE32-E72D297353CC}">
              <c16:uniqueId val="{00000002-5E5D-44D3-8727-B555A5454B49}"/>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200"/>
        <c:minorUnit val="100"/>
      </c:valAx>
      <c:catAx>
        <c:axId val="2094734555"/>
        <c:scaling>
          <c:orientation val="minMax"/>
        </c:scaling>
        <c:delete val="0"/>
        <c:axPos val="b"/>
        <c:numFmt formatCode="General" sourceLinked="1"/>
        <c:majorTickMark val="out"/>
        <c:minorTickMark val="none"/>
        <c:tickLblPos val="none"/>
        <c:spPr>
          <a:ln w="12700" cap="flat">
            <a:noFill/>
            <a:prstDash val="solid"/>
            <a:miter lim="800000"/>
          </a:ln>
        </c:spPr>
        <c:crossAx val="2094734556"/>
        <c:crosses val="autoZero"/>
        <c:auto val="1"/>
        <c:lblAlgn val="ctr"/>
        <c:lblOffset val="100"/>
        <c:noMultiLvlLbl val="1"/>
      </c:catAx>
      <c:valAx>
        <c:axId val="2094734556"/>
        <c:scaling>
          <c:orientation val="minMax"/>
        </c:scaling>
        <c:delete val="0"/>
        <c:axPos val="r"/>
        <c:numFmt formatCode="0.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5"/>
        <c:crosses val="max"/>
        <c:crossBetween val="between"/>
        <c:majorUnit val="7.5"/>
        <c:minorUnit val="3.75"/>
      </c:valAx>
      <c:spPr>
        <a:noFill/>
        <a:ln w="12700" cap="flat">
          <a:noFill/>
          <a:miter lim="400000"/>
        </a:ln>
        <a:effectLst/>
      </c:spPr>
    </c:plotArea>
    <c:legend>
      <c:legendPos val="t"/>
      <c:layout>
        <c:manualLayout>
          <c:xMode val="edge"/>
          <c:yMode val="edge"/>
          <c:x val="0.33771800000000002"/>
          <c:y val="0"/>
          <c:w val="0.32456400000000002"/>
          <c:h val="6.1584E-2"/>
        </c:manualLayout>
      </c:layout>
      <c:overlay val="1"/>
      <c:spPr>
        <a:noFill/>
        <a:ln w="12700" cap="flat">
          <a:noFill/>
          <a:miter lim="400000"/>
        </a:ln>
        <a:effectLst/>
      </c:spPr>
      <c:txPr>
        <a:bodyPr rot="0"/>
        <a:lstStyle/>
        <a:p>
          <a:pPr>
            <a:defRPr sz="900" b="0" i="0" u="none" strike="noStrike">
              <a:solidFill>
                <a:srgbClr val="000000"/>
              </a:solidFill>
              <a:latin typeface="Calibri"/>
            </a:defRPr>
          </a:pPr>
          <a:endParaRPr lang="sl-SI"/>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title>
      <c:tx>
        <c:rich>
          <a:bodyPr rot="0"/>
          <a:lstStyle/>
          <a:p>
            <a:pPr>
              <a:defRPr sz="1400" b="1" i="0" u="none" strike="noStrike">
                <a:solidFill>
                  <a:srgbClr val="000000"/>
                </a:solidFill>
                <a:latin typeface="Arial"/>
              </a:defRPr>
            </a:pPr>
            <a:r>
              <a:rPr lang="en-US" sz="1400" b="1" i="0" u="none" strike="noStrike">
                <a:solidFill>
                  <a:srgbClr val="000000"/>
                </a:solidFill>
                <a:latin typeface="Arial"/>
              </a:rPr>
              <a:t>Patient 1</a:t>
            </a:r>
          </a:p>
        </c:rich>
      </c:tx>
      <c:layout>
        <c:manualLayout>
          <c:xMode val="edge"/>
          <c:yMode val="edge"/>
          <c:x val="0.432255"/>
          <c:y val="0"/>
          <c:w val="0.13549"/>
          <c:h val="0.13705300000000001"/>
        </c:manualLayout>
      </c:layout>
      <c:overlay val="1"/>
      <c:spPr>
        <a:noFill/>
        <a:effectLst/>
      </c:spPr>
    </c:title>
    <c:autoTitleDeleted val="0"/>
    <c:plotArea>
      <c:layout>
        <c:manualLayout>
          <c:layoutTarget val="inner"/>
          <c:xMode val="edge"/>
          <c:yMode val="edge"/>
          <c:x val="0.10449700000000001"/>
          <c:y val="0.13705300000000001"/>
          <c:w val="0.89050300000000004"/>
          <c:h val="0.68522400000000006"/>
        </c:manualLayout>
      </c:layout>
      <c:lineChart>
        <c:grouping val="standard"/>
        <c:varyColors val="0"/>
        <c:ser>
          <c:idx val="0"/>
          <c:order val="0"/>
          <c:tx>
            <c:strRef>
              <c:f>Sheet1!$A$2</c:f>
              <c:strCache>
                <c:ptCount val="1"/>
                <c:pt idx="0">
                  <c:v>Series1</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dLbls>
            <c:numFmt formatCode="0" sourceLinked="0"/>
            <c:spPr>
              <a:noFill/>
              <a:ln>
                <a:noFill/>
              </a:ln>
              <a:effectLst/>
            </c:spPr>
            <c:txPr>
              <a:bodyPr/>
              <a:lstStyle/>
              <a:p>
                <a:pPr>
                  <a:defRPr sz="900" b="0" i="0" u="none" strike="noStrike">
                    <a:solidFill>
                      <a:srgbClr val="404040"/>
                    </a:solidFill>
                    <a:latin typeface="Calibri"/>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Sheet1!$B$2:$N$2</c:f>
              <c:numCache>
                <c:formatCode>General</c:formatCode>
                <c:ptCount val="13"/>
                <c:pt idx="0">
                  <c:v>109</c:v>
                </c:pt>
                <c:pt idx="1">
                  <c:v>126</c:v>
                </c:pt>
                <c:pt idx="2">
                  <c:v>169</c:v>
                </c:pt>
                <c:pt idx="3">
                  <c:v>136</c:v>
                </c:pt>
                <c:pt idx="4">
                  <c:v>131</c:v>
                </c:pt>
                <c:pt idx="5">
                  <c:v>120</c:v>
                </c:pt>
                <c:pt idx="6">
                  <c:v>128</c:v>
                </c:pt>
                <c:pt idx="7">
                  <c:v>133</c:v>
                </c:pt>
                <c:pt idx="8">
                  <c:v>135</c:v>
                </c:pt>
                <c:pt idx="9">
                  <c:v>136</c:v>
                </c:pt>
                <c:pt idx="10">
                  <c:v>117</c:v>
                </c:pt>
                <c:pt idx="11">
                  <c:v>109</c:v>
                </c:pt>
                <c:pt idx="12">
                  <c:v>100</c:v>
                </c:pt>
              </c:numCache>
            </c:numRef>
          </c:val>
          <c:smooth val="0"/>
          <c:extLst>
            <c:ext xmlns:c16="http://schemas.microsoft.com/office/drawing/2014/chart" uri="{C3380CC4-5D6E-409C-BE32-E72D297353CC}">
              <c16:uniqueId val="{00000000-CD21-4BBC-B614-499269E8A80E}"/>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title>
          <c:tx>
            <c:rich>
              <a:bodyPr rot="0"/>
              <a:lstStyle/>
              <a:p>
                <a:pPr>
                  <a:defRPr sz="1200" b="1" i="0" u="none" strike="noStrike">
                    <a:solidFill>
                      <a:srgbClr val="595959"/>
                    </a:solidFill>
                    <a:latin typeface="Calibri"/>
                  </a:defRPr>
                </a:pPr>
                <a:r>
                  <a:rPr lang="en-US" sz="1200" b="1" i="0" u="none" strike="noStrike">
                    <a:solidFill>
                      <a:srgbClr val="595959"/>
                    </a:solidFill>
                    <a:latin typeface="Calibri"/>
                  </a:rPr>
                  <a:t>Sampling day</a:t>
                </a:r>
              </a:p>
            </c:rich>
          </c:tx>
          <c:overlay val="1"/>
        </c:title>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max val="200"/>
        </c:scaling>
        <c:delete val="0"/>
        <c:axPos val="l"/>
        <c:title>
          <c:tx>
            <c:rich>
              <a:bodyPr rot="-5400000"/>
              <a:lstStyle/>
              <a:p>
                <a:pPr>
                  <a:defRPr sz="1200" b="1" i="0" u="none" strike="noStrike">
                    <a:solidFill>
                      <a:srgbClr val="000000"/>
                    </a:solidFill>
                    <a:latin typeface="Arial"/>
                  </a:defRPr>
                </a:pPr>
                <a:r>
                  <a:rPr lang="en-US" sz="1200" b="1" i="0" u="none" strike="noStrike">
                    <a:solidFill>
                      <a:srgbClr val="000000"/>
                    </a:solidFill>
                    <a:latin typeface="Arial"/>
                  </a:rPr>
                  <a:t>Oxidative stress index</a:t>
                </a:r>
              </a:p>
            </c:rich>
          </c:tx>
          <c:overlay val="1"/>
        </c:title>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50"/>
        <c:minorUnit val="2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autoTitleDeleted val="1"/>
    <c:plotArea>
      <c:layout>
        <c:manualLayout>
          <c:layoutTarget val="inner"/>
          <c:xMode val="edge"/>
          <c:yMode val="edge"/>
          <c:x val="0.10150000000000001"/>
          <c:y val="5.0697600000000002E-2"/>
          <c:w val="0.89349999999999996"/>
          <c:h val="0.86767899999999998"/>
        </c:manualLayout>
      </c:layout>
      <c:lineChart>
        <c:grouping val="standard"/>
        <c:varyColors val="0"/>
        <c:ser>
          <c:idx val="0"/>
          <c:order val="0"/>
          <c:tx>
            <c:strRef>
              <c:f>Sheet1!$A$2</c:f>
              <c:strCache>
                <c:ptCount val="1"/>
                <c:pt idx="0">
                  <c:v>Series1</c:v>
                </c:pt>
              </c:strCache>
            </c:strRef>
          </c:tx>
          <c:spPr>
            <a:ln w="28575" cap="rnd">
              <a:solidFill>
                <a:schemeClr val="accent1"/>
              </a:solidFill>
              <a:prstDash val="solid"/>
              <a:round/>
            </a:ln>
            <a:effectLst/>
          </c:spPr>
          <c:marker>
            <c:symbol val="none"/>
          </c:marker>
          <c:cat>
            <c:strRef>
              <c:f>Sheet1!$B$1:$N$1</c:f>
              <c:strCache>
                <c:ptCount val="13"/>
                <c:pt idx="0">
                  <c:v>Day 0</c:v>
                </c:pt>
                <c:pt idx="1">
                  <c:v>Day 4</c:v>
                </c:pt>
                <c:pt idx="2">
                  <c:v>Day 5</c:v>
                </c:pt>
                <c:pt idx="3">
                  <c:v>Day 6</c:v>
                </c:pt>
                <c:pt idx="4">
                  <c:v>Day 9</c:v>
                </c:pt>
                <c:pt idx="5">
                  <c:v>Day 10</c:v>
                </c:pt>
                <c:pt idx="6">
                  <c:v>Day 11</c:v>
                </c:pt>
                <c:pt idx="7">
                  <c:v>Day 12</c:v>
                </c:pt>
                <c:pt idx="8">
                  <c:v>Day 13</c:v>
                </c:pt>
                <c:pt idx="9">
                  <c:v>Day 16</c:v>
                </c:pt>
                <c:pt idx="10">
                  <c:v>Day 17</c:v>
                </c:pt>
                <c:pt idx="11">
                  <c:v>Day 18</c:v>
                </c:pt>
                <c:pt idx="12">
                  <c:v>Day 19</c:v>
                </c:pt>
              </c:strCache>
            </c:strRef>
          </c:cat>
          <c:val>
            <c:numRef>
              <c:f>Sheet1!$B$2:$N$2</c:f>
              <c:numCache>
                <c:formatCode>General</c:formatCode>
                <c:ptCount val="13"/>
                <c:pt idx="0">
                  <c:v>4.36646</c:v>
                </c:pt>
                <c:pt idx="1">
                  <c:v>3.625</c:v>
                </c:pt>
                <c:pt idx="2">
                  <c:v>3.5333329999999998</c:v>
                </c:pt>
                <c:pt idx="3">
                  <c:v>4.9285709999999998</c:v>
                </c:pt>
                <c:pt idx="4">
                  <c:v>6.5454549999999996</c:v>
                </c:pt>
                <c:pt idx="5">
                  <c:v>7</c:v>
                </c:pt>
                <c:pt idx="6">
                  <c:v>5.6153849999999998</c:v>
                </c:pt>
                <c:pt idx="7">
                  <c:v>6.25</c:v>
                </c:pt>
                <c:pt idx="8">
                  <c:v>5.3571429999999998</c:v>
                </c:pt>
                <c:pt idx="9">
                  <c:v>2.2050360000000002</c:v>
                </c:pt>
                <c:pt idx="10">
                  <c:v>2.124555</c:v>
                </c:pt>
                <c:pt idx="11">
                  <c:v>1.246073</c:v>
                </c:pt>
                <c:pt idx="12">
                  <c:v>1.28</c:v>
                </c:pt>
              </c:numCache>
            </c:numRef>
          </c:val>
          <c:smooth val="0"/>
          <c:extLst>
            <c:ext xmlns:c16="http://schemas.microsoft.com/office/drawing/2014/chart" uri="{C3380CC4-5D6E-409C-BE32-E72D297353CC}">
              <c16:uniqueId val="{00000000-7640-4588-AE07-4103C5D8C28B}"/>
            </c:ext>
          </c:extLst>
        </c:ser>
        <c:dLbls>
          <c:showLegendKey val="0"/>
          <c:showVal val="0"/>
          <c:showCatName val="0"/>
          <c:showSerName val="0"/>
          <c:showPercent val="0"/>
          <c:showBubbleSize val="0"/>
        </c:dLbls>
        <c:smooth val="0"/>
        <c:axId val="2094734552"/>
        <c:axId val="2094734553"/>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title>
          <c:tx>
            <c:rich>
              <a:bodyPr rot="-5400000"/>
              <a:lstStyle/>
              <a:p>
                <a:pPr>
                  <a:defRPr sz="1000" b="0" i="0" u="none" strike="noStrike">
                    <a:solidFill>
                      <a:srgbClr val="000000"/>
                    </a:solidFill>
                    <a:latin typeface="Arial"/>
                  </a:defRPr>
                </a:pPr>
                <a:r>
                  <a:rPr lang="en-US" sz="1000" b="0" i="0" u="none" strike="noStrike">
                    <a:solidFill>
                      <a:srgbClr val="000000"/>
                    </a:solidFill>
                    <a:latin typeface="Arial"/>
                  </a:rPr>
                  <a:t>NLR</a:t>
                </a:r>
              </a:p>
            </c:rich>
          </c:tx>
          <c:overlay val="1"/>
        </c:title>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1.75"/>
        <c:minorUnit val="0.87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autoTitleDeleted val="1"/>
    <c:plotArea>
      <c:layout>
        <c:manualLayout>
          <c:layoutTarget val="inner"/>
          <c:xMode val="edge"/>
          <c:yMode val="edge"/>
          <c:x val="0.11071599999999999"/>
          <c:y val="3.2696500000000003E-2"/>
          <c:w val="0.88428399999999996"/>
          <c:h val="0.91022400000000003"/>
        </c:manualLayout>
      </c:layout>
      <c:lineChart>
        <c:grouping val="standard"/>
        <c:varyColors val="0"/>
        <c:ser>
          <c:idx val="0"/>
          <c:order val="0"/>
          <c:tx>
            <c:strRef>
              <c:f>Sheet1!$A$2</c:f>
              <c:strCache>
                <c:ptCount val="1"/>
                <c:pt idx="0">
                  <c:v>Series1</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cat>
            <c:strRef>
              <c:f>Sheet1!$B$1:$L$1</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Sheet1!$B$2:$L$2</c:f>
              <c:numCache>
                <c:formatCode>General</c:formatCode>
                <c:ptCount val="11"/>
                <c:pt idx="0">
                  <c:v>77</c:v>
                </c:pt>
                <c:pt idx="1">
                  <c:v>240</c:v>
                </c:pt>
                <c:pt idx="2">
                  <c:v>220</c:v>
                </c:pt>
                <c:pt idx="3">
                  <c:v>37</c:v>
                </c:pt>
                <c:pt idx="4">
                  <c:v>89</c:v>
                </c:pt>
                <c:pt idx="5">
                  <c:v>152</c:v>
                </c:pt>
                <c:pt idx="6">
                  <c:v>194</c:v>
                </c:pt>
                <c:pt idx="7">
                  <c:v>91</c:v>
                </c:pt>
                <c:pt idx="8">
                  <c:v>63</c:v>
                </c:pt>
                <c:pt idx="9">
                  <c:v>79</c:v>
                </c:pt>
                <c:pt idx="10">
                  <c:v>99</c:v>
                </c:pt>
              </c:numCache>
            </c:numRef>
          </c:val>
          <c:smooth val="0"/>
          <c:extLst>
            <c:ext xmlns:c16="http://schemas.microsoft.com/office/drawing/2014/chart" uri="{C3380CC4-5D6E-409C-BE32-E72D297353CC}">
              <c16:uniqueId val="{00000000-E013-4FAD-8C03-4296B8824CC7}"/>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title>
          <c:tx>
            <c:rich>
              <a:bodyPr rot="-5400000"/>
              <a:lstStyle/>
              <a:p>
                <a:pPr>
                  <a:defRPr sz="1200" b="1" i="0" u="none" strike="noStrike">
                    <a:solidFill>
                      <a:srgbClr val="000000"/>
                    </a:solidFill>
                    <a:latin typeface="Times New Roman"/>
                  </a:defRPr>
                </a:pPr>
                <a:r>
                  <a:rPr lang="en-US" sz="1200" b="1" i="0" u="none" strike="noStrike">
                    <a:solidFill>
                      <a:srgbClr val="000000"/>
                    </a:solidFill>
                    <a:latin typeface="Times New Roman"/>
                  </a:rPr>
                  <a:t>Oxidative stress index (OSI)</a:t>
                </a:r>
              </a:p>
            </c:rich>
          </c:tx>
          <c:overlay val="1"/>
        </c:title>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75"/>
        <c:minorUnit val="37.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autoTitleDeleted val="1"/>
    <c:plotArea>
      <c:layout>
        <c:manualLayout>
          <c:layoutTarget val="inner"/>
          <c:xMode val="edge"/>
          <c:yMode val="edge"/>
          <c:x val="6.1749800000000001E-2"/>
          <c:y val="0.142682"/>
          <c:w val="0.87068299999999998"/>
          <c:h val="0.79360299999999995"/>
        </c:manualLayout>
      </c:layout>
      <c:lineChart>
        <c:grouping val="standard"/>
        <c:varyColors val="0"/>
        <c:ser>
          <c:idx val="0"/>
          <c:order val="0"/>
          <c:tx>
            <c:strRef>
              <c:f>Sheet1!$A$2</c:f>
              <c:strCache>
                <c:ptCount val="1"/>
                <c:pt idx="0">
                  <c:v>CRP</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cat>
            <c:strRef>
              <c:f>Sheet1!$B$1:$M$1</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Sheet1!$B$2:$M$2</c:f>
              <c:numCache>
                <c:formatCode>General</c:formatCode>
                <c:ptCount val="12"/>
                <c:pt idx="0">
                  <c:v>77</c:v>
                </c:pt>
                <c:pt idx="1">
                  <c:v>240</c:v>
                </c:pt>
                <c:pt idx="2">
                  <c:v>220</c:v>
                </c:pt>
                <c:pt idx="3">
                  <c:v>37</c:v>
                </c:pt>
                <c:pt idx="4">
                  <c:v>23</c:v>
                </c:pt>
                <c:pt idx="5">
                  <c:v>170</c:v>
                </c:pt>
                <c:pt idx="6">
                  <c:v>152</c:v>
                </c:pt>
                <c:pt idx="7">
                  <c:v>174</c:v>
                </c:pt>
                <c:pt idx="8">
                  <c:v>146</c:v>
                </c:pt>
                <c:pt idx="9">
                  <c:v>63</c:v>
                </c:pt>
                <c:pt idx="10">
                  <c:v>79</c:v>
                </c:pt>
                <c:pt idx="11">
                  <c:v>99</c:v>
                </c:pt>
              </c:numCache>
            </c:numRef>
          </c:val>
          <c:smooth val="0"/>
          <c:extLst>
            <c:ext xmlns:c16="http://schemas.microsoft.com/office/drawing/2014/chart" uri="{C3380CC4-5D6E-409C-BE32-E72D297353CC}">
              <c16:uniqueId val="{00000000-CF9C-4659-83E1-04B4F4DA268F}"/>
            </c:ext>
          </c:extLst>
        </c:ser>
        <c:ser>
          <c:idx val="2"/>
          <c:order val="1"/>
          <c:tx>
            <c:strRef>
              <c:f>Sheet1!$A$4</c:f>
              <c:strCache>
                <c:ptCount val="1"/>
                <c:pt idx="0">
                  <c:v>IL-6</c:v>
                </c:pt>
              </c:strCache>
            </c:strRef>
          </c:tx>
          <c:spPr>
            <a:ln w="28575" cap="rnd">
              <a:solidFill>
                <a:schemeClr val="accent3"/>
              </a:solidFill>
              <a:prstDash val="solid"/>
              <a:round/>
            </a:ln>
            <a:effectLst/>
          </c:spPr>
          <c:marker>
            <c:symbol val="circle"/>
            <c:size val="4"/>
            <c:spPr>
              <a:solidFill>
                <a:schemeClr val="accent3"/>
              </a:solidFill>
              <a:ln w="9525" cap="flat">
                <a:solidFill>
                  <a:schemeClr val="accent3"/>
                </a:solidFill>
                <a:prstDash val="solid"/>
                <a:miter lim="800000"/>
              </a:ln>
              <a:effectLst/>
            </c:spPr>
          </c:marker>
          <c:cat>
            <c:strRef>
              <c:f>Sheet1!$B$1:$M$1</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Sheet1!$B$4:$M$4</c:f>
              <c:numCache>
                <c:formatCode>General</c:formatCode>
                <c:ptCount val="12"/>
                <c:pt idx="0">
                  <c:v>150.4</c:v>
                </c:pt>
                <c:pt idx="1">
                  <c:v>536.70000000000005</c:v>
                </c:pt>
                <c:pt idx="2">
                  <c:v>43.9</c:v>
                </c:pt>
                <c:pt idx="3">
                  <c:v>50.9</c:v>
                </c:pt>
                <c:pt idx="4">
                  <c:v>50.8</c:v>
                </c:pt>
                <c:pt idx="5">
                  <c:v>238</c:v>
                </c:pt>
                <c:pt idx="6">
                  <c:v>95.5</c:v>
                </c:pt>
                <c:pt idx="7">
                  <c:v>95.5</c:v>
                </c:pt>
                <c:pt idx="8">
                  <c:v>83</c:v>
                </c:pt>
                <c:pt idx="9">
                  <c:v>82.4</c:v>
                </c:pt>
                <c:pt idx="10">
                  <c:v>162.1</c:v>
                </c:pt>
                <c:pt idx="11">
                  <c:v>360.9</c:v>
                </c:pt>
              </c:numCache>
            </c:numRef>
          </c:val>
          <c:smooth val="0"/>
          <c:extLst>
            <c:ext xmlns:c16="http://schemas.microsoft.com/office/drawing/2014/chart" uri="{C3380CC4-5D6E-409C-BE32-E72D297353CC}">
              <c16:uniqueId val="{00000001-CF9C-4659-83E1-04B4F4DA268F}"/>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2"/>
          <c:tx>
            <c:strRef>
              <c:f>Sheet1!$A$3</c:f>
              <c:strCache>
                <c:ptCount val="1"/>
                <c:pt idx="0">
                  <c:v>N/L</c:v>
                </c:pt>
              </c:strCache>
            </c:strRef>
          </c:tx>
          <c:spPr>
            <a:ln w="28575" cap="rnd">
              <a:solidFill>
                <a:schemeClr val="accent2"/>
              </a:solidFill>
              <a:prstDash val="solid"/>
              <a:round/>
            </a:ln>
            <a:effectLst/>
          </c:spPr>
          <c:marker>
            <c:symbol val="circle"/>
            <c:size val="4"/>
            <c:spPr>
              <a:solidFill>
                <a:schemeClr val="accent2"/>
              </a:solidFill>
              <a:ln w="9525" cap="flat">
                <a:solidFill>
                  <a:schemeClr val="accent2"/>
                </a:solidFill>
                <a:prstDash val="solid"/>
                <a:miter lim="800000"/>
              </a:ln>
              <a:effectLst/>
            </c:spPr>
          </c:marker>
          <c:cat>
            <c:strRef>
              <c:f>Sheet1!$B$1:$M$1</c:f>
              <c:strCache>
                <c:ptCount val="12"/>
                <c:pt idx="0">
                  <c:v>Day 0</c:v>
                </c:pt>
                <c:pt idx="1">
                  <c:v>Day 2</c:v>
                </c:pt>
                <c:pt idx="2">
                  <c:v>Day 4</c:v>
                </c:pt>
                <c:pt idx="3">
                  <c:v>Day 7</c:v>
                </c:pt>
                <c:pt idx="4">
                  <c:v>Day 14</c:v>
                </c:pt>
                <c:pt idx="5">
                  <c:v>Day 21</c:v>
                </c:pt>
                <c:pt idx="6">
                  <c:v>Day 28</c:v>
                </c:pt>
                <c:pt idx="7">
                  <c:v>Day 35</c:v>
                </c:pt>
                <c:pt idx="8">
                  <c:v>Day 42</c:v>
                </c:pt>
                <c:pt idx="9">
                  <c:v>Day 44</c:v>
                </c:pt>
                <c:pt idx="10">
                  <c:v>Day 45</c:v>
                </c:pt>
                <c:pt idx="11">
                  <c:v>Day 46</c:v>
                </c:pt>
              </c:strCache>
            </c:strRef>
          </c:cat>
          <c:val>
            <c:numRef>
              <c:f>Sheet1!$B$3:$M$3</c:f>
              <c:numCache>
                <c:formatCode>General</c:formatCode>
                <c:ptCount val="12"/>
                <c:pt idx="0">
                  <c:v>2.2770269999999999</c:v>
                </c:pt>
                <c:pt idx="1">
                  <c:v>3.3066200000000001</c:v>
                </c:pt>
                <c:pt idx="2">
                  <c:v>20.017391</c:v>
                </c:pt>
                <c:pt idx="3">
                  <c:v>42.833333000000003</c:v>
                </c:pt>
                <c:pt idx="4">
                  <c:v>16.411764999999999</c:v>
                </c:pt>
                <c:pt idx="5">
                  <c:v>26.863636</c:v>
                </c:pt>
                <c:pt idx="6">
                  <c:v>6.8652480000000002</c:v>
                </c:pt>
                <c:pt idx="7">
                  <c:v>4.3913039999999999</c:v>
                </c:pt>
                <c:pt idx="8">
                  <c:v>2.125</c:v>
                </c:pt>
                <c:pt idx="9">
                  <c:v>9.375</c:v>
                </c:pt>
                <c:pt idx="10">
                  <c:v>7.64</c:v>
                </c:pt>
                <c:pt idx="11">
                  <c:v>11.392405</c:v>
                </c:pt>
              </c:numCache>
            </c:numRef>
          </c:val>
          <c:smooth val="0"/>
          <c:extLst>
            <c:ext xmlns:c16="http://schemas.microsoft.com/office/drawing/2014/chart" uri="{C3380CC4-5D6E-409C-BE32-E72D297353CC}">
              <c16:uniqueId val="{00000002-CF9C-4659-83E1-04B4F4DA268F}"/>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150"/>
        <c:minorUnit val="75"/>
      </c:valAx>
      <c:catAx>
        <c:axId val="2094734555"/>
        <c:scaling>
          <c:orientation val="minMax"/>
        </c:scaling>
        <c:delete val="0"/>
        <c:axPos val="b"/>
        <c:numFmt formatCode="General" sourceLinked="1"/>
        <c:majorTickMark val="out"/>
        <c:minorTickMark val="none"/>
        <c:tickLblPos val="none"/>
        <c:spPr>
          <a:ln w="12700" cap="flat">
            <a:noFill/>
            <a:prstDash val="solid"/>
            <a:miter lim="800000"/>
          </a:ln>
        </c:spPr>
        <c:crossAx val="2094734556"/>
        <c:crosses val="autoZero"/>
        <c:auto val="1"/>
        <c:lblAlgn val="ctr"/>
        <c:lblOffset val="100"/>
        <c:noMultiLvlLbl val="1"/>
      </c:catAx>
      <c:valAx>
        <c:axId val="2094734556"/>
        <c:scaling>
          <c:orientation val="minMax"/>
        </c:scaling>
        <c:delete val="0"/>
        <c:axPos val="r"/>
        <c:numFmt formatCode="0.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5"/>
        <c:crosses val="max"/>
        <c:crossBetween val="between"/>
        <c:majorUnit val="12.5"/>
        <c:minorUnit val="6.25"/>
      </c:valAx>
      <c:spPr>
        <a:noFill/>
        <a:ln w="12700" cap="flat">
          <a:noFill/>
          <a:miter lim="400000"/>
        </a:ln>
        <a:effectLst/>
      </c:spPr>
    </c:plotArea>
    <c:legend>
      <c:legendPos val="t"/>
      <c:layout>
        <c:manualLayout>
          <c:xMode val="edge"/>
          <c:yMode val="edge"/>
          <c:x val="0.32686100000000001"/>
          <c:y val="0"/>
          <c:w val="0.346277"/>
          <c:h val="6.2562699999999999E-2"/>
        </c:manualLayout>
      </c:layout>
      <c:overlay val="1"/>
      <c:spPr>
        <a:noFill/>
        <a:ln w="12700" cap="flat">
          <a:noFill/>
          <a:miter lim="400000"/>
        </a:ln>
        <a:effectLst/>
      </c:spPr>
      <c:txPr>
        <a:bodyPr rot="0"/>
        <a:lstStyle/>
        <a:p>
          <a:pPr>
            <a:defRPr sz="900" b="0" i="0" u="none" strike="noStrike">
              <a:solidFill>
                <a:srgbClr val="000000"/>
              </a:solidFill>
              <a:latin typeface="Arial"/>
            </a:defRPr>
          </a:pPr>
          <a:endParaRPr lang="sl-SI"/>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title>
      <c:tx>
        <c:rich>
          <a:bodyPr rot="0"/>
          <a:lstStyle/>
          <a:p>
            <a:pPr>
              <a:defRPr sz="1400" b="1" i="0" u="none" strike="noStrike">
                <a:solidFill>
                  <a:srgbClr val="000000"/>
                </a:solidFill>
                <a:latin typeface="Arial"/>
              </a:defRPr>
            </a:pPr>
            <a:r>
              <a:rPr lang="en-US" sz="1400" b="1" i="0" u="none" strike="noStrike">
                <a:solidFill>
                  <a:srgbClr val="000000"/>
                </a:solidFill>
                <a:latin typeface="Arial"/>
              </a:rPr>
              <a:t>Patient 2</a:t>
            </a:r>
          </a:p>
        </c:rich>
      </c:tx>
      <c:layout>
        <c:manualLayout>
          <c:xMode val="edge"/>
          <c:yMode val="edge"/>
          <c:x val="0.413493"/>
          <c:y val="0"/>
          <c:w val="0.173014"/>
          <c:h val="0.13116900000000001"/>
        </c:manualLayout>
      </c:layout>
      <c:overlay val="1"/>
      <c:spPr>
        <a:noFill/>
        <a:effectLst/>
      </c:spPr>
    </c:title>
    <c:autoTitleDeleted val="0"/>
    <c:plotArea>
      <c:layout>
        <c:manualLayout>
          <c:layoutTarget val="inner"/>
          <c:xMode val="edge"/>
          <c:yMode val="edge"/>
          <c:x val="0.133437"/>
          <c:y val="0.13116900000000001"/>
          <c:w val="0.86156299999999997"/>
          <c:h val="0.78758099999999998"/>
        </c:manualLayout>
      </c:layout>
      <c:lineChart>
        <c:grouping val="standard"/>
        <c:varyColors val="0"/>
        <c:ser>
          <c:idx val="0"/>
          <c:order val="0"/>
          <c:tx>
            <c:strRef>
              <c:f>Sheet1!$A$2</c:f>
              <c:strCache>
                <c:ptCount val="1"/>
                <c:pt idx="0">
                  <c:v>Series1</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dLbls>
            <c:numFmt formatCode="0" sourceLinked="0"/>
            <c:spPr>
              <a:noFill/>
              <a:ln>
                <a:noFill/>
              </a:ln>
              <a:effectLst/>
            </c:spPr>
            <c:txPr>
              <a:bodyPr/>
              <a:lstStyle/>
              <a:p>
                <a:pPr>
                  <a:defRPr sz="900" b="0" i="0" u="none" strike="noStrike">
                    <a:solidFill>
                      <a:srgbClr val="404040"/>
                    </a:solidFill>
                    <a:latin typeface="Calibri"/>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Sheet1!$B$2:$L$2</c:f>
              <c:numCache>
                <c:formatCode>General</c:formatCode>
                <c:ptCount val="11"/>
                <c:pt idx="0">
                  <c:v>77</c:v>
                </c:pt>
                <c:pt idx="1">
                  <c:v>240</c:v>
                </c:pt>
                <c:pt idx="2">
                  <c:v>220</c:v>
                </c:pt>
                <c:pt idx="3">
                  <c:v>37</c:v>
                </c:pt>
                <c:pt idx="4">
                  <c:v>89</c:v>
                </c:pt>
                <c:pt idx="5">
                  <c:v>152</c:v>
                </c:pt>
                <c:pt idx="6">
                  <c:v>194</c:v>
                </c:pt>
                <c:pt idx="7">
                  <c:v>91</c:v>
                </c:pt>
                <c:pt idx="8">
                  <c:v>63</c:v>
                </c:pt>
                <c:pt idx="9">
                  <c:v>79</c:v>
                </c:pt>
                <c:pt idx="10">
                  <c:v>99</c:v>
                </c:pt>
              </c:numCache>
            </c:numRef>
          </c:val>
          <c:smooth val="0"/>
          <c:extLst>
            <c:ext xmlns:c16="http://schemas.microsoft.com/office/drawing/2014/chart" uri="{C3380CC4-5D6E-409C-BE32-E72D297353CC}">
              <c16:uniqueId val="{00000000-2E5C-43F8-A1C0-DFED59FB5D13}"/>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title>
          <c:tx>
            <c:rich>
              <a:bodyPr rot="-5400000"/>
              <a:lstStyle/>
              <a:p>
                <a:pPr>
                  <a:defRPr sz="1200" b="1" i="0" u="none" strike="noStrike">
                    <a:solidFill>
                      <a:srgbClr val="000000"/>
                    </a:solidFill>
                    <a:latin typeface="Arial"/>
                  </a:defRPr>
                </a:pPr>
                <a:r>
                  <a:rPr lang="en-US" sz="1200" b="1" i="0" u="none" strike="noStrike">
                    <a:solidFill>
                      <a:srgbClr val="000000"/>
                    </a:solidFill>
                    <a:latin typeface="Arial"/>
                  </a:rPr>
                  <a:t>Oxidative stress index</a:t>
                </a:r>
              </a:p>
            </c:rich>
          </c:tx>
          <c:overlay val="1"/>
        </c:title>
        <c:numFmt formatCode="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2"/>
        <c:crosses val="autoZero"/>
        <c:crossBetween val="between"/>
        <c:majorUnit val="75"/>
        <c:minorUnit val="37.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sl-SI"/>
  <c:roundedCorners val="0"/>
  <c:style val="2"/>
  <c:chart>
    <c:title>
      <c:tx>
        <c:rich>
          <a:bodyPr rot="0"/>
          <a:lstStyle/>
          <a:p>
            <a:pPr>
              <a:defRPr sz="1800" b="1" i="0" u="none" strike="noStrike">
                <a:solidFill>
                  <a:srgbClr val="000000"/>
                </a:solidFill>
                <a:latin typeface="Calibri"/>
              </a:defRPr>
            </a:pPr>
            <a:r>
              <a:rPr lang="en-US" sz="1800" b="1" i="0" u="none" strike="noStrike">
                <a:solidFill>
                  <a:srgbClr val="000000"/>
                </a:solidFill>
                <a:latin typeface="Calibri"/>
              </a:rPr>
              <a:t>N/L</a:t>
            </a:r>
          </a:p>
        </c:rich>
      </c:tx>
      <c:layout>
        <c:manualLayout>
          <c:xMode val="edge"/>
          <c:yMode val="edge"/>
          <c:x val="0.45957300000000001"/>
          <c:y val="0"/>
          <c:w val="8.0854300000000004E-2"/>
          <c:h val="0.15051400000000001"/>
        </c:manualLayout>
      </c:layout>
      <c:overlay val="1"/>
      <c:spPr>
        <a:noFill/>
        <a:effectLst/>
      </c:spPr>
    </c:title>
    <c:autoTitleDeleted val="0"/>
    <c:plotArea>
      <c:layout>
        <c:manualLayout>
          <c:layoutTarget val="inner"/>
          <c:xMode val="edge"/>
          <c:yMode val="edge"/>
          <c:x val="0.133966"/>
          <c:y val="0.15051400000000001"/>
          <c:w val="0.86103399999999997"/>
          <c:h val="0.76766800000000002"/>
        </c:manualLayout>
      </c:layout>
      <c:lineChart>
        <c:grouping val="standard"/>
        <c:varyColors val="0"/>
        <c:ser>
          <c:idx val="0"/>
          <c:order val="0"/>
          <c:tx>
            <c:strRef>
              <c:f>Sheet1!$A$2</c:f>
              <c:strCache>
                <c:ptCount val="1"/>
                <c:pt idx="0">
                  <c:v>N/L</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cat>
            <c:strRef>
              <c:f>Sheet1!$B$1:$L$1</c:f>
              <c:strCache>
                <c:ptCount val="11"/>
                <c:pt idx="0">
                  <c:v>Day 0</c:v>
                </c:pt>
                <c:pt idx="1">
                  <c:v>Day 2</c:v>
                </c:pt>
                <c:pt idx="2">
                  <c:v>Day 4</c:v>
                </c:pt>
                <c:pt idx="3">
                  <c:v>Day7</c:v>
                </c:pt>
                <c:pt idx="4">
                  <c:v>Day 14</c:v>
                </c:pt>
                <c:pt idx="5">
                  <c:v>Day 21</c:v>
                </c:pt>
                <c:pt idx="6">
                  <c:v>Day 35</c:v>
                </c:pt>
                <c:pt idx="7">
                  <c:v>Day 42</c:v>
                </c:pt>
                <c:pt idx="8">
                  <c:v>Day 44</c:v>
                </c:pt>
                <c:pt idx="9">
                  <c:v>Day 45</c:v>
                </c:pt>
                <c:pt idx="10">
                  <c:v>Day 46</c:v>
                </c:pt>
              </c:strCache>
            </c:strRef>
          </c:cat>
          <c:val>
            <c:numRef>
              <c:f>Sheet1!$B$2:$L$2</c:f>
              <c:numCache>
                <c:formatCode>General</c:formatCode>
                <c:ptCount val="11"/>
                <c:pt idx="0">
                  <c:v>2.2770269999999999</c:v>
                </c:pt>
                <c:pt idx="1">
                  <c:v>3.3066200000000001</c:v>
                </c:pt>
                <c:pt idx="2">
                  <c:v>20.017391</c:v>
                </c:pt>
                <c:pt idx="3">
                  <c:v>42.833333000000003</c:v>
                </c:pt>
                <c:pt idx="4">
                  <c:v>10.625</c:v>
                </c:pt>
                <c:pt idx="5">
                  <c:v>6.8652480000000002</c:v>
                </c:pt>
                <c:pt idx="6">
                  <c:v>18.444444000000001</c:v>
                </c:pt>
                <c:pt idx="7">
                  <c:v>10.058824</c:v>
                </c:pt>
                <c:pt idx="8">
                  <c:v>9.375</c:v>
                </c:pt>
                <c:pt idx="9">
                  <c:v>7.64</c:v>
                </c:pt>
                <c:pt idx="10">
                  <c:v>11.392405</c:v>
                </c:pt>
              </c:numCache>
            </c:numRef>
          </c:val>
          <c:smooth val="0"/>
          <c:extLst>
            <c:ext xmlns:c16="http://schemas.microsoft.com/office/drawing/2014/chart" uri="{C3380CC4-5D6E-409C-BE32-E72D297353CC}">
              <c16:uniqueId val="{00000000-9282-428B-ABF9-15B044D8C93D}"/>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numFmt formatCode="General" sourceLinked="0"/>
        <c:majorTickMark val="none"/>
        <c:minorTickMark val="none"/>
        <c:tickLblPos val="low"/>
        <c:spPr>
          <a:ln w="12700" cap="flat">
            <a:solidFill>
              <a:srgbClr val="000000"/>
            </a:solidFill>
            <a:prstDash val="solid"/>
            <a:miter lim="800000"/>
          </a:ln>
        </c:spPr>
        <c:txPr>
          <a:bodyPr rot="0"/>
          <a:lstStyle/>
          <a:p>
            <a:pPr>
              <a:defRPr sz="900" b="0" i="0" u="none" strike="noStrike">
                <a:solidFill>
                  <a:srgbClr val="000000"/>
                </a:solidFill>
                <a:latin typeface="Arial"/>
              </a:defRPr>
            </a:pPr>
            <a:endParaRPr lang="sl-SI"/>
          </a:p>
        </c:txPr>
        <c:crossAx val="2094734553"/>
        <c:crosses val="autoZero"/>
        <c:auto val="1"/>
        <c:lblAlgn val="ctr"/>
        <c:lblOffset val="100"/>
        <c:noMultiLvlLbl val="1"/>
      </c:catAx>
      <c:valAx>
        <c:axId val="2094734553"/>
        <c:scaling>
          <c:orientation val="minMax"/>
        </c:scaling>
        <c:delete val="0"/>
        <c:axPos val="l"/>
        <c:title>
          <c:tx>
            <c:rich>
              <a:bodyPr rot="-5400000"/>
              <a:lstStyle/>
              <a:p>
                <a:pPr>
                  <a:defRPr sz="1200" b="1" i="0" u="none" strike="noStrike">
                    <a:solidFill>
                      <a:srgbClr val="000000"/>
                    </a:solidFill>
                    <a:latin typeface="Arial"/>
                  </a:defRPr>
                </a:pPr>
                <a:r>
                  <a:rPr lang="en-US" sz="1200" b="1" i="0" u="none" strike="noStrike">
                    <a:solidFill>
                      <a:srgbClr val="000000"/>
                    </a:solidFill>
                    <a:latin typeface="Arial"/>
                  </a:rPr>
                  <a:t>N/L</a:t>
                </a:r>
              </a:p>
            </c:rich>
          </c:tx>
          <c:overlay val="1"/>
        </c:title>
        <c:numFmt formatCode="0.0" sourceLinked="0"/>
        <c:majorTickMark val="none"/>
        <c:minorTickMark val="none"/>
        <c:tickLblPos val="nextTo"/>
        <c:spPr>
          <a:ln w="12700" cap="flat">
            <a:solidFill>
              <a:srgbClr val="000000"/>
            </a:solidFill>
            <a:prstDash val="solid"/>
            <a:miter lim="800000"/>
          </a:ln>
        </c:spPr>
        <c:txPr>
          <a:bodyPr rot="0"/>
          <a:lstStyle/>
          <a:p>
            <a:pPr>
              <a:defRPr sz="900" b="0" i="0" u="none" strike="noStrike">
                <a:solidFill>
                  <a:srgbClr val="000000"/>
                </a:solidFill>
                <a:latin typeface="Calibri"/>
              </a:defRPr>
            </a:pPr>
            <a:endParaRPr lang="sl-SI"/>
          </a:p>
        </c:txPr>
        <c:crossAx val="2094734552"/>
        <c:crosses val="autoZero"/>
        <c:crossBetween val="between"/>
        <c:majorUnit val="12.5"/>
        <c:minorUnit val="6.25"/>
      </c:valAx>
      <c:spPr>
        <a:noFill/>
        <a:ln w="12700" cap="flat">
          <a:noFill/>
          <a:miter lim="400000"/>
        </a:ln>
        <a:effectLst/>
      </c:spPr>
    </c:plotArea>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1580</Words>
  <Characters>9007</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Jennifer N</dc:creator>
  <cp:lastModifiedBy>Uporabnik</cp:lastModifiedBy>
  <cp:revision>3</cp:revision>
  <dcterms:created xsi:type="dcterms:W3CDTF">2022-10-11T15:25:00Z</dcterms:created>
  <dcterms:modified xsi:type="dcterms:W3CDTF">2022-10-11T15:26:00Z</dcterms:modified>
</cp:coreProperties>
</file>