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2C8" w:rsidRDefault="003A6E3C" w:rsidP="00AA62C8">
      <w:pPr>
        <w:spacing w:before="240"/>
        <w:jc w:val="center"/>
        <w:rPr>
          <w:rFonts w:ascii="Times New Roman" w:hAnsi="Times New Roman" w:cs="Times New Roman"/>
          <w:b/>
          <w:bCs/>
          <w:sz w:val="24"/>
          <w:szCs w:val="24"/>
        </w:rPr>
      </w:pPr>
      <w:r w:rsidRPr="00543A50">
        <w:rPr>
          <w:rFonts w:ascii="Times New Roman" w:hAnsi="Times New Roman" w:cs="Times New Roman"/>
          <w:b/>
          <w:bCs/>
          <w:sz w:val="24"/>
          <w:szCs w:val="24"/>
        </w:rPr>
        <w:t xml:space="preserve">Synthesis, Characterization, </w:t>
      </w:r>
      <w:r w:rsidR="00AA62C8" w:rsidRPr="00543A50">
        <w:rPr>
          <w:rFonts w:ascii="Times New Roman" w:hAnsi="Times New Roman" w:cs="Times New Roman"/>
          <w:b/>
          <w:bCs/>
          <w:sz w:val="24"/>
          <w:szCs w:val="24"/>
        </w:rPr>
        <w:t>Biological Activities and Ab-initio Study</w:t>
      </w:r>
      <w:r w:rsidR="005117C5" w:rsidRPr="00543A50">
        <w:rPr>
          <w:rFonts w:ascii="Times New Roman" w:hAnsi="Times New Roman" w:cs="Times New Roman"/>
          <w:b/>
          <w:bCs/>
          <w:sz w:val="24"/>
          <w:szCs w:val="24"/>
        </w:rPr>
        <w:t xml:space="preserve"> of</w:t>
      </w:r>
      <w:r w:rsidR="00D30A1A" w:rsidRPr="00543A50">
        <w:rPr>
          <w:rFonts w:ascii="Times New Roman" w:hAnsi="Times New Roman" w:cs="Times New Roman"/>
          <w:b/>
          <w:bCs/>
          <w:sz w:val="24"/>
          <w:szCs w:val="24"/>
        </w:rPr>
        <w:t xml:space="preserve"> Transition</w:t>
      </w:r>
      <w:r w:rsidR="005117C5" w:rsidRPr="00543A50">
        <w:rPr>
          <w:rFonts w:ascii="Times New Roman" w:hAnsi="Times New Roman" w:cs="Times New Roman"/>
          <w:b/>
          <w:bCs/>
          <w:sz w:val="24"/>
          <w:szCs w:val="24"/>
        </w:rPr>
        <w:t xml:space="preserve"> </w:t>
      </w:r>
      <w:r w:rsidRPr="00543A50">
        <w:rPr>
          <w:rFonts w:ascii="Times New Roman" w:hAnsi="Times New Roman" w:cs="Times New Roman"/>
          <w:b/>
          <w:bCs/>
          <w:sz w:val="24"/>
          <w:szCs w:val="24"/>
        </w:rPr>
        <w:t>Metal Complexes of [Methyl 2-((4-chlorophenyl</w:t>
      </w:r>
      <w:proofErr w:type="gramStart"/>
      <w:r w:rsidRPr="00543A50">
        <w:rPr>
          <w:rFonts w:ascii="Times New Roman" w:hAnsi="Times New Roman" w:cs="Times New Roman"/>
          <w:b/>
          <w:bCs/>
          <w:sz w:val="24"/>
          <w:szCs w:val="24"/>
        </w:rPr>
        <w:t>)(</w:t>
      </w:r>
      <w:proofErr w:type="spellStart"/>
      <w:proofErr w:type="gramEnd"/>
      <w:r w:rsidRPr="00543A50">
        <w:rPr>
          <w:rFonts w:ascii="Times New Roman" w:hAnsi="Times New Roman" w:cs="Times New Roman"/>
          <w:b/>
          <w:bCs/>
          <w:sz w:val="24"/>
          <w:szCs w:val="24"/>
        </w:rPr>
        <w:t>hydroxy</w:t>
      </w:r>
      <w:proofErr w:type="spellEnd"/>
      <w:r w:rsidRPr="00543A50">
        <w:rPr>
          <w:rFonts w:ascii="Times New Roman" w:hAnsi="Times New Roman" w:cs="Times New Roman"/>
          <w:b/>
          <w:bCs/>
          <w:sz w:val="24"/>
          <w:szCs w:val="24"/>
        </w:rPr>
        <w:t>)</w:t>
      </w:r>
      <w:proofErr w:type="spellStart"/>
      <w:r w:rsidRPr="00543A50">
        <w:rPr>
          <w:rFonts w:ascii="Times New Roman" w:hAnsi="Times New Roman" w:cs="Times New Roman"/>
          <w:b/>
          <w:bCs/>
          <w:sz w:val="24"/>
          <w:szCs w:val="24"/>
        </w:rPr>
        <w:t>methyle</w:t>
      </w:r>
      <w:proofErr w:type="spellEnd"/>
      <w:r w:rsidRPr="00543A50">
        <w:rPr>
          <w:rFonts w:ascii="Times New Roman" w:hAnsi="Times New Roman" w:cs="Times New Roman"/>
          <w:b/>
          <w:bCs/>
          <w:sz w:val="24"/>
          <w:szCs w:val="24"/>
        </w:rPr>
        <w:t>) acrylate]</w:t>
      </w:r>
    </w:p>
    <w:p w:rsidR="003A6E3C" w:rsidRPr="007202C3" w:rsidRDefault="003A6E3C" w:rsidP="00AA62C8">
      <w:pPr>
        <w:spacing w:before="240"/>
        <w:rPr>
          <w:rFonts w:ascii="Times New Roman" w:hAnsi="Times New Roman" w:cs="Times New Roman"/>
          <w:sz w:val="20"/>
          <w:szCs w:val="20"/>
          <w:vertAlign w:val="superscript"/>
        </w:rPr>
      </w:pPr>
      <w:r w:rsidRPr="007202C3">
        <w:rPr>
          <w:rFonts w:ascii="Times New Roman" w:hAnsi="Times New Roman" w:cs="Times New Roman"/>
          <w:sz w:val="20"/>
          <w:szCs w:val="20"/>
          <w:vertAlign w:val="superscript"/>
        </w:rPr>
        <w:t>1</w:t>
      </w:r>
      <w:r w:rsidRPr="007202C3">
        <w:rPr>
          <w:rFonts w:ascii="Times New Roman" w:hAnsi="Times New Roman" w:cs="Times New Roman"/>
          <w:sz w:val="20"/>
          <w:szCs w:val="20"/>
        </w:rPr>
        <w:t xml:space="preserve">Shazia </w:t>
      </w:r>
      <w:proofErr w:type="spellStart"/>
      <w:r w:rsidRPr="007202C3">
        <w:rPr>
          <w:rFonts w:ascii="Times New Roman" w:hAnsi="Times New Roman" w:cs="Times New Roman"/>
          <w:sz w:val="20"/>
          <w:szCs w:val="20"/>
        </w:rPr>
        <w:t>Ishfaq</w:t>
      </w:r>
      <w:proofErr w:type="spellEnd"/>
      <w:r w:rsidRPr="007202C3">
        <w:rPr>
          <w:rFonts w:ascii="Times New Roman" w:hAnsi="Times New Roman" w:cs="Times New Roman"/>
          <w:sz w:val="20"/>
          <w:szCs w:val="20"/>
        </w:rPr>
        <w:t xml:space="preserve">, </w:t>
      </w:r>
      <w:r w:rsidRPr="007202C3">
        <w:rPr>
          <w:rFonts w:ascii="Times New Roman" w:hAnsi="Times New Roman" w:cs="Times New Roman"/>
          <w:sz w:val="20"/>
          <w:szCs w:val="20"/>
          <w:vertAlign w:val="superscript"/>
        </w:rPr>
        <w:t>2</w:t>
      </w:r>
      <w:r w:rsidRPr="007202C3">
        <w:rPr>
          <w:rFonts w:ascii="Times New Roman" w:hAnsi="Times New Roman" w:cs="Times New Roman"/>
          <w:sz w:val="20"/>
          <w:szCs w:val="20"/>
        </w:rPr>
        <w:t>*</w:t>
      </w:r>
      <w:proofErr w:type="spellStart"/>
      <w:r w:rsidRPr="007202C3">
        <w:rPr>
          <w:rFonts w:ascii="Times New Roman" w:hAnsi="Times New Roman" w:cs="Times New Roman"/>
          <w:sz w:val="20"/>
          <w:szCs w:val="20"/>
        </w:rPr>
        <w:t>Shazia</w:t>
      </w:r>
      <w:proofErr w:type="spellEnd"/>
      <w:r w:rsidRPr="007202C3">
        <w:rPr>
          <w:rFonts w:ascii="Times New Roman" w:hAnsi="Times New Roman" w:cs="Times New Roman"/>
          <w:sz w:val="20"/>
          <w:szCs w:val="20"/>
        </w:rPr>
        <w:t xml:space="preserve"> </w:t>
      </w:r>
      <w:proofErr w:type="spellStart"/>
      <w:r w:rsidRPr="007202C3">
        <w:rPr>
          <w:rFonts w:ascii="Times New Roman" w:hAnsi="Times New Roman" w:cs="Times New Roman"/>
          <w:sz w:val="20"/>
          <w:szCs w:val="20"/>
        </w:rPr>
        <w:t>Nisar</w:t>
      </w:r>
      <w:proofErr w:type="spellEnd"/>
      <w:r w:rsidRPr="007202C3">
        <w:rPr>
          <w:rFonts w:ascii="Times New Roman" w:hAnsi="Times New Roman" w:cs="Times New Roman"/>
          <w:sz w:val="20"/>
          <w:szCs w:val="20"/>
        </w:rPr>
        <w:t xml:space="preserve">, </w:t>
      </w:r>
      <w:r w:rsidRPr="007202C3">
        <w:rPr>
          <w:rFonts w:ascii="Times New Roman" w:hAnsi="Times New Roman" w:cs="Times New Roman"/>
          <w:sz w:val="20"/>
          <w:szCs w:val="20"/>
          <w:vertAlign w:val="superscript"/>
        </w:rPr>
        <w:t>3</w:t>
      </w:r>
      <w:r w:rsidRPr="007202C3">
        <w:rPr>
          <w:rFonts w:ascii="Times New Roman" w:hAnsi="Times New Roman" w:cs="Times New Roman"/>
          <w:sz w:val="20"/>
          <w:szCs w:val="20"/>
        </w:rPr>
        <w:t xml:space="preserve">Saqib Ali, </w:t>
      </w:r>
      <w:r w:rsidRPr="007202C3">
        <w:rPr>
          <w:rFonts w:ascii="Times New Roman" w:hAnsi="Times New Roman" w:cs="Times New Roman"/>
          <w:sz w:val="20"/>
          <w:szCs w:val="20"/>
          <w:vertAlign w:val="superscript"/>
        </w:rPr>
        <w:t>4</w:t>
      </w:r>
      <w:r w:rsidRPr="007202C3">
        <w:rPr>
          <w:rFonts w:ascii="Times New Roman" w:hAnsi="Times New Roman" w:cs="Times New Roman"/>
          <w:sz w:val="20"/>
          <w:szCs w:val="20"/>
        </w:rPr>
        <w:t xml:space="preserve">Sadaf Iqbal, </w:t>
      </w:r>
      <w:r w:rsidRPr="007202C3">
        <w:rPr>
          <w:rFonts w:ascii="Times New Roman" w:hAnsi="Times New Roman" w:cs="Times New Roman"/>
          <w:sz w:val="20"/>
          <w:szCs w:val="20"/>
          <w:vertAlign w:val="superscript"/>
        </w:rPr>
        <w:t>5</w:t>
      </w:r>
      <w:r w:rsidRPr="007202C3">
        <w:rPr>
          <w:rFonts w:ascii="Times New Roman" w:hAnsi="Times New Roman" w:cs="Times New Roman"/>
          <w:sz w:val="20"/>
          <w:szCs w:val="20"/>
        </w:rPr>
        <w:t xml:space="preserve">Saima </w:t>
      </w:r>
      <w:proofErr w:type="spellStart"/>
      <w:r w:rsidRPr="007202C3">
        <w:rPr>
          <w:rFonts w:ascii="Times New Roman" w:hAnsi="Times New Roman" w:cs="Times New Roman"/>
          <w:sz w:val="20"/>
          <w:szCs w:val="20"/>
        </w:rPr>
        <w:t>Imad</w:t>
      </w:r>
      <w:proofErr w:type="spellEnd"/>
      <w:r w:rsidRPr="007202C3">
        <w:rPr>
          <w:rFonts w:ascii="Times New Roman" w:hAnsi="Times New Roman" w:cs="Times New Roman"/>
          <w:sz w:val="20"/>
          <w:szCs w:val="20"/>
        </w:rPr>
        <w:t xml:space="preserve">, </w:t>
      </w:r>
      <w:r w:rsidRPr="007202C3">
        <w:rPr>
          <w:rFonts w:ascii="Times New Roman" w:hAnsi="Times New Roman" w:cs="Times New Roman"/>
          <w:sz w:val="20"/>
          <w:szCs w:val="20"/>
          <w:vertAlign w:val="superscript"/>
        </w:rPr>
        <w:t>6</w:t>
      </w:r>
      <w:r w:rsidRPr="007202C3">
        <w:rPr>
          <w:rFonts w:ascii="Times New Roman" w:hAnsi="Times New Roman" w:cs="Times New Roman"/>
          <w:sz w:val="20"/>
          <w:szCs w:val="20"/>
        </w:rPr>
        <w:t xml:space="preserve">Samina Iqbal, </w:t>
      </w:r>
      <w:r w:rsidRPr="007202C3">
        <w:rPr>
          <w:rFonts w:ascii="Times New Roman" w:hAnsi="Times New Roman" w:cs="Times New Roman"/>
          <w:sz w:val="20"/>
          <w:szCs w:val="20"/>
          <w:vertAlign w:val="superscript"/>
        </w:rPr>
        <w:t>7</w:t>
      </w:r>
      <w:r w:rsidRPr="007202C3">
        <w:rPr>
          <w:rFonts w:ascii="Times New Roman" w:hAnsi="Times New Roman" w:cs="Times New Roman"/>
          <w:sz w:val="20"/>
          <w:szCs w:val="20"/>
        </w:rPr>
        <w:t xml:space="preserve">Saeeda </w:t>
      </w:r>
      <w:proofErr w:type="spellStart"/>
      <w:r w:rsidRPr="007202C3">
        <w:rPr>
          <w:rFonts w:ascii="Times New Roman" w:hAnsi="Times New Roman" w:cs="Times New Roman"/>
          <w:sz w:val="20"/>
          <w:szCs w:val="20"/>
        </w:rPr>
        <w:t>Bano</w:t>
      </w:r>
      <w:proofErr w:type="spellEnd"/>
      <w:r w:rsidRPr="007202C3">
        <w:rPr>
          <w:rFonts w:ascii="Times New Roman" w:hAnsi="Times New Roman" w:cs="Times New Roman"/>
          <w:sz w:val="20"/>
          <w:szCs w:val="20"/>
        </w:rPr>
        <w:t xml:space="preserve">, </w:t>
      </w:r>
      <w:r w:rsidRPr="007202C3">
        <w:rPr>
          <w:rFonts w:ascii="Times New Roman" w:hAnsi="Times New Roman" w:cs="Times New Roman"/>
          <w:sz w:val="20"/>
          <w:szCs w:val="20"/>
          <w:vertAlign w:val="superscript"/>
        </w:rPr>
        <w:t>8</w:t>
      </w:r>
      <w:r w:rsidRPr="007202C3">
        <w:rPr>
          <w:rFonts w:ascii="Times New Roman" w:hAnsi="Times New Roman" w:cs="Times New Roman"/>
          <w:sz w:val="20"/>
          <w:szCs w:val="20"/>
        </w:rPr>
        <w:t xml:space="preserve">Syeda </w:t>
      </w:r>
      <w:proofErr w:type="spellStart"/>
      <w:r w:rsidRPr="007202C3">
        <w:rPr>
          <w:rFonts w:ascii="Times New Roman" w:hAnsi="Times New Roman" w:cs="Times New Roman"/>
          <w:sz w:val="20"/>
          <w:szCs w:val="20"/>
        </w:rPr>
        <w:t>Kanwal</w:t>
      </w:r>
      <w:proofErr w:type="spellEnd"/>
      <w:r w:rsidRPr="007202C3">
        <w:rPr>
          <w:rFonts w:ascii="Times New Roman" w:hAnsi="Times New Roman" w:cs="Times New Roman"/>
          <w:sz w:val="20"/>
          <w:szCs w:val="20"/>
        </w:rPr>
        <w:t xml:space="preserve"> </w:t>
      </w:r>
      <w:proofErr w:type="spellStart"/>
      <w:r w:rsidRPr="007202C3">
        <w:rPr>
          <w:rFonts w:ascii="Times New Roman" w:hAnsi="Times New Roman" w:cs="Times New Roman"/>
          <w:sz w:val="20"/>
          <w:szCs w:val="20"/>
        </w:rPr>
        <w:t>Zahid</w:t>
      </w:r>
      <w:proofErr w:type="spellEnd"/>
      <w:r w:rsidRPr="007202C3">
        <w:rPr>
          <w:rFonts w:ascii="Times New Roman" w:hAnsi="Times New Roman" w:cs="Times New Roman"/>
          <w:sz w:val="20"/>
          <w:szCs w:val="20"/>
        </w:rPr>
        <w:t xml:space="preserve">, </w:t>
      </w:r>
      <w:r w:rsidRPr="007202C3">
        <w:rPr>
          <w:rFonts w:ascii="Times New Roman" w:hAnsi="Times New Roman" w:cs="Times New Roman"/>
          <w:sz w:val="20"/>
          <w:szCs w:val="20"/>
          <w:vertAlign w:val="superscript"/>
        </w:rPr>
        <w:t>9</w:t>
      </w:r>
      <w:r w:rsidR="00751A47" w:rsidRPr="007202C3">
        <w:rPr>
          <w:rFonts w:ascii="Times New Roman" w:hAnsi="Times New Roman" w:cs="Times New Roman"/>
          <w:sz w:val="20"/>
          <w:szCs w:val="20"/>
        </w:rPr>
        <w:t>Nasreen Fatima</w:t>
      </w:r>
      <w:r w:rsidRPr="007202C3">
        <w:rPr>
          <w:rFonts w:ascii="Times New Roman" w:hAnsi="Times New Roman" w:cs="Times New Roman"/>
          <w:sz w:val="20"/>
          <w:szCs w:val="20"/>
        </w:rPr>
        <w:t xml:space="preserve">, </w:t>
      </w:r>
      <w:r w:rsidR="00751A47" w:rsidRPr="007202C3">
        <w:rPr>
          <w:rFonts w:ascii="Times New Roman" w:hAnsi="Times New Roman" w:cs="Times New Roman"/>
          <w:sz w:val="20"/>
          <w:szCs w:val="20"/>
          <w:vertAlign w:val="superscript"/>
        </w:rPr>
        <w:t>10</w:t>
      </w:r>
      <w:r w:rsidRPr="007202C3">
        <w:rPr>
          <w:rFonts w:ascii="Times New Roman" w:hAnsi="Times New Roman" w:cs="Times New Roman"/>
          <w:sz w:val="20"/>
          <w:szCs w:val="20"/>
        </w:rPr>
        <w:t xml:space="preserve">Muhammad </w:t>
      </w:r>
      <w:proofErr w:type="spellStart"/>
      <w:r w:rsidRPr="007202C3">
        <w:rPr>
          <w:rFonts w:ascii="Times New Roman" w:hAnsi="Times New Roman" w:cs="Times New Roman"/>
          <w:sz w:val="20"/>
          <w:szCs w:val="20"/>
        </w:rPr>
        <w:t>Shahzaman</w:t>
      </w:r>
      <w:proofErr w:type="spellEnd"/>
      <w:r w:rsidRPr="007202C3">
        <w:rPr>
          <w:rFonts w:ascii="Times New Roman" w:hAnsi="Times New Roman" w:cs="Times New Roman"/>
          <w:sz w:val="20"/>
          <w:szCs w:val="20"/>
        </w:rPr>
        <w:t>,</w:t>
      </w:r>
    </w:p>
    <w:p w:rsidR="003A6E3C" w:rsidRPr="007202C3" w:rsidRDefault="003A6E3C" w:rsidP="003A6E3C">
      <w:pPr>
        <w:widowControl w:val="0"/>
        <w:jc w:val="center"/>
        <w:rPr>
          <w:rFonts w:ascii="Times New Roman" w:hAnsi="Times New Roman" w:cs="Times New Roman"/>
          <w:i/>
          <w:iCs/>
          <w:sz w:val="20"/>
          <w:szCs w:val="20"/>
        </w:rPr>
      </w:pPr>
      <w:r w:rsidRPr="007202C3">
        <w:rPr>
          <w:rFonts w:ascii="Times New Roman" w:hAnsi="Times New Roman" w:cs="Times New Roman"/>
          <w:i/>
          <w:iCs/>
          <w:sz w:val="20"/>
          <w:szCs w:val="20"/>
          <w:vertAlign w:val="superscript"/>
        </w:rPr>
        <w:t>1</w:t>
      </w:r>
      <w:proofErr w:type="gramStart"/>
      <w:r w:rsidRPr="007202C3">
        <w:rPr>
          <w:rFonts w:ascii="Times New Roman" w:hAnsi="Times New Roman" w:cs="Times New Roman"/>
          <w:i/>
          <w:iCs/>
          <w:sz w:val="20"/>
          <w:szCs w:val="20"/>
          <w:vertAlign w:val="superscript"/>
        </w:rPr>
        <w:t>,2,4,8,9</w:t>
      </w:r>
      <w:proofErr w:type="gramEnd"/>
      <w:r w:rsidRPr="007202C3">
        <w:rPr>
          <w:rFonts w:ascii="Times New Roman" w:hAnsi="Times New Roman" w:cs="Times New Roman"/>
          <w:i/>
          <w:iCs/>
          <w:sz w:val="20"/>
          <w:szCs w:val="20"/>
          <w:vertAlign w:val="superscript"/>
        </w:rPr>
        <w:t xml:space="preserve"> </w:t>
      </w:r>
      <w:r w:rsidRPr="007202C3">
        <w:rPr>
          <w:rFonts w:ascii="Times New Roman" w:hAnsi="Times New Roman" w:cs="Times New Roman"/>
          <w:i/>
          <w:iCs/>
          <w:sz w:val="20"/>
          <w:szCs w:val="20"/>
        </w:rPr>
        <w:t>Department of Chemistry, Faculty of Sciences</w:t>
      </w:r>
      <w:r w:rsidRPr="007202C3">
        <w:rPr>
          <w:rFonts w:ascii="Times New Roman" w:hAnsi="Times New Roman" w:cs="Times New Roman"/>
          <w:i/>
          <w:iCs/>
          <w:sz w:val="20"/>
          <w:szCs w:val="20"/>
          <w:rtl/>
          <w:cs/>
        </w:rPr>
        <w:t xml:space="preserve">, </w:t>
      </w:r>
      <w:r w:rsidRPr="007202C3">
        <w:rPr>
          <w:rFonts w:ascii="Times New Roman" w:hAnsi="Times New Roman" w:cs="Times New Roman"/>
          <w:i/>
          <w:iCs/>
          <w:sz w:val="20"/>
          <w:szCs w:val="20"/>
        </w:rPr>
        <w:t xml:space="preserve">University of Karachi, 75270, Pakistan: </w:t>
      </w:r>
      <w:hyperlink r:id="rId5" w:history="1">
        <w:r w:rsidRPr="007202C3">
          <w:rPr>
            <w:rFonts w:ascii="Times New Roman" w:hAnsi="Times New Roman" w:cs="Times New Roman"/>
            <w:i/>
            <w:iCs/>
            <w:sz w:val="20"/>
            <w:szCs w:val="20"/>
            <w:u w:val="single"/>
          </w:rPr>
          <w:t>shaziaashfaq006928@gmail.com</w:t>
        </w:r>
      </w:hyperlink>
      <w:r w:rsidRPr="007202C3">
        <w:rPr>
          <w:rFonts w:ascii="Times New Roman" w:hAnsi="Times New Roman" w:cs="Times New Roman"/>
          <w:i/>
          <w:iCs/>
          <w:sz w:val="20"/>
          <w:szCs w:val="20"/>
        </w:rPr>
        <w:t xml:space="preserve">, </w:t>
      </w:r>
      <w:hyperlink r:id="rId6" w:history="1">
        <w:r w:rsidRPr="007202C3">
          <w:rPr>
            <w:rFonts w:ascii="Times New Roman" w:hAnsi="Times New Roman" w:cs="Times New Roman"/>
            <w:i/>
            <w:iCs/>
            <w:sz w:val="20"/>
            <w:szCs w:val="20"/>
            <w:u w:val="single"/>
          </w:rPr>
          <w:t>shazian@uok.edu.pk</w:t>
        </w:r>
      </w:hyperlink>
      <w:r w:rsidRPr="007202C3">
        <w:rPr>
          <w:rFonts w:ascii="Times New Roman" w:hAnsi="Times New Roman" w:cs="Times New Roman"/>
          <w:i/>
          <w:iCs/>
          <w:sz w:val="20"/>
          <w:szCs w:val="20"/>
        </w:rPr>
        <w:t xml:space="preserve"> , </w:t>
      </w:r>
      <w:hyperlink r:id="rId7" w:history="1">
        <w:r w:rsidRPr="007202C3">
          <w:rPr>
            <w:rFonts w:ascii="Times New Roman" w:hAnsi="Times New Roman" w:cs="Times New Roman"/>
            <w:i/>
            <w:iCs/>
            <w:sz w:val="20"/>
            <w:szCs w:val="20"/>
            <w:u w:val="single"/>
          </w:rPr>
          <w:t>sadaf_chem26@yahoo.com</w:t>
        </w:r>
      </w:hyperlink>
      <w:r w:rsidRPr="007202C3">
        <w:rPr>
          <w:rFonts w:ascii="Times New Roman" w:hAnsi="Times New Roman" w:cs="Times New Roman"/>
          <w:i/>
          <w:iCs/>
          <w:sz w:val="20"/>
          <w:szCs w:val="20"/>
        </w:rPr>
        <w:t xml:space="preserve"> , </w:t>
      </w:r>
      <w:hyperlink r:id="rId8" w:history="1">
        <w:r w:rsidRPr="007202C3">
          <w:rPr>
            <w:rFonts w:ascii="Times New Roman" w:hAnsi="Times New Roman" w:cs="Times New Roman"/>
            <w:i/>
            <w:iCs/>
            <w:sz w:val="20"/>
            <w:szCs w:val="20"/>
            <w:u w:val="single"/>
          </w:rPr>
          <w:t>skrj92@gmail.com</w:t>
        </w:r>
      </w:hyperlink>
      <w:r w:rsidRPr="007202C3">
        <w:rPr>
          <w:rFonts w:ascii="Times New Roman" w:hAnsi="Times New Roman" w:cs="Times New Roman"/>
          <w:i/>
          <w:iCs/>
          <w:sz w:val="20"/>
          <w:szCs w:val="20"/>
          <w:u w:val="single"/>
        </w:rPr>
        <w:t>, dr_nfatima1@yahoo.com</w:t>
      </w:r>
    </w:p>
    <w:p w:rsidR="003A6E3C" w:rsidRPr="007202C3" w:rsidRDefault="003A6E3C" w:rsidP="003A6E3C">
      <w:pPr>
        <w:widowControl w:val="0"/>
        <w:jc w:val="center"/>
        <w:rPr>
          <w:rFonts w:ascii="Times New Roman" w:hAnsi="Times New Roman" w:cs="Times New Roman"/>
          <w:i/>
          <w:iCs/>
          <w:sz w:val="20"/>
          <w:szCs w:val="20"/>
        </w:rPr>
      </w:pPr>
      <w:r w:rsidRPr="007202C3">
        <w:rPr>
          <w:rFonts w:ascii="Times New Roman" w:hAnsi="Times New Roman" w:cs="Times New Roman"/>
          <w:i/>
          <w:iCs/>
          <w:sz w:val="20"/>
          <w:szCs w:val="20"/>
          <w:vertAlign w:val="superscript"/>
        </w:rPr>
        <w:t>3</w:t>
      </w:r>
      <w:r w:rsidRPr="007202C3">
        <w:rPr>
          <w:rFonts w:ascii="Times New Roman" w:hAnsi="Times New Roman" w:cs="Times New Roman"/>
          <w:i/>
          <w:iCs/>
          <w:sz w:val="20"/>
          <w:szCs w:val="20"/>
        </w:rPr>
        <w:t>Department of Chemistry, Faculty of Sciences</w:t>
      </w:r>
      <w:r w:rsidRPr="007202C3">
        <w:rPr>
          <w:rFonts w:ascii="Times New Roman" w:hAnsi="Times New Roman" w:cs="Times New Roman"/>
          <w:i/>
          <w:iCs/>
          <w:sz w:val="20"/>
          <w:szCs w:val="20"/>
          <w:rtl/>
          <w:cs/>
        </w:rPr>
        <w:t xml:space="preserve">, </w:t>
      </w:r>
      <w:r w:rsidRPr="007202C3">
        <w:rPr>
          <w:rFonts w:ascii="Times New Roman" w:hAnsi="Times New Roman" w:cs="Times New Roman"/>
          <w:i/>
          <w:iCs/>
          <w:sz w:val="20"/>
          <w:szCs w:val="20"/>
        </w:rPr>
        <w:t xml:space="preserve">University of </w:t>
      </w:r>
      <w:proofErr w:type="spellStart"/>
      <w:r w:rsidRPr="007202C3">
        <w:rPr>
          <w:rFonts w:ascii="Times New Roman" w:hAnsi="Times New Roman" w:cs="Times New Roman"/>
          <w:i/>
          <w:iCs/>
          <w:sz w:val="20"/>
          <w:szCs w:val="20"/>
        </w:rPr>
        <w:t>Kotli</w:t>
      </w:r>
      <w:proofErr w:type="spellEnd"/>
      <w:r w:rsidRPr="007202C3">
        <w:rPr>
          <w:rFonts w:ascii="Times New Roman" w:hAnsi="Times New Roman" w:cs="Times New Roman"/>
          <w:i/>
          <w:iCs/>
          <w:sz w:val="20"/>
          <w:szCs w:val="20"/>
        </w:rPr>
        <w:t xml:space="preserve">, 11100, Pakistan: </w:t>
      </w:r>
      <w:hyperlink r:id="rId9" w:history="1">
        <w:r w:rsidRPr="007202C3">
          <w:rPr>
            <w:rFonts w:ascii="Times New Roman" w:hAnsi="Times New Roman" w:cs="Times New Roman"/>
            <w:i/>
            <w:iCs/>
            <w:sz w:val="20"/>
            <w:szCs w:val="20"/>
            <w:u w:val="single"/>
          </w:rPr>
          <w:t>saqibali.chem@gmail.com</w:t>
        </w:r>
      </w:hyperlink>
    </w:p>
    <w:p w:rsidR="003A6E3C" w:rsidRPr="007202C3" w:rsidRDefault="003A6E3C" w:rsidP="003A6E3C">
      <w:pPr>
        <w:widowControl w:val="0"/>
        <w:jc w:val="center"/>
        <w:rPr>
          <w:rFonts w:ascii="Times New Roman" w:hAnsi="Times New Roman" w:cs="Times New Roman"/>
          <w:i/>
          <w:sz w:val="20"/>
          <w:szCs w:val="20"/>
          <w:u w:val="single"/>
        </w:rPr>
      </w:pPr>
      <w:r w:rsidRPr="007202C3">
        <w:rPr>
          <w:rFonts w:ascii="Times New Roman" w:hAnsi="Times New Roman" w:cs="Times New Roman"/>
          <w:i/>
          <w:iCs/>
          <w:sz w:val="20"/>
          <w:szCs w:val="20"/>
          <w:vertAlign w:val="superscript"/>
        </w:rPr>
        <w:t>5</w:t>
      </w:r>
      <w:proofErr w:type="gramStart"/>
      <w:r w:rsidRPr="007202C3">
        <w:rPr>
          <w:rFonts w:ascii="Times New Roman" w:hAnsi="Times New Roman" w:cs="Times New Roman"/>
          <w:i/>
          <w:iCs/>
          <w:sz w:val="20"/>
          <w:szCs w:val="20"/>
          <w:vertAlign w:val="superscript"/>
        </w:rPr>
        <w:t>,6,7</w:t>
      </w:r>
      <w:r w:rsidRPr="007202C3">
        <w:rPr>
          <w:rFonts w:ascii="Times New Roman" w:hAnsi="Times New Roman" w:cs="Times New Roman"/>
          <w:i/>
          <w:iCs/>
          <w:sz w:val="20"/>
          <w:szCs w:val="20"/>
        </w:rPr>
        <w:t>PCSIR</w:t>
      </w:r>
      <w:proofErr w:type="gramEnd"/>
      <w:r w:rsidRPr="007202C3">
        <w:rPr>
          <w:rFonts w:ascii="Times New Roman" w:hAnsi="Times New Roman" w:cs="Times New Roman"/>
          <w:i/>
          <w:iCs/>
          <w:sz w:val="20"/>
          <w:szCs w:val="20"/>
        </w:rPr>
        <w:t xml:space="preserve"> Laboratories Complexes, Karachi, 75270, Pakistan: </w:t>
      </w:r>
      <w:hyperlink r:id="rId10" w:history="1">
        <w:r w:rsidRPr="007202C3">
          <w:rPr>
            <w:rFonts w:ascii="Times New Roman" w:hAnsi="Times New Roman" w:cs="Times New Roman"/>
            <w:i/>
            <w:iCs/>
            <w:sz w:val="20"/>
            <w:szCs w:val="20"/>
            <w:u w:val="single"/>
          </w:rPr>
          <w:t>saimaimad@gmail.com</w:t>
        </w:r>
      </w:hyperlink>
      <w:r w:rsidRPr="007202C3">
        <w:rPr>
          <w:rFonts w:ascii="Times New Roman" w:hAnsi="Times New Roman" w:cs="Times New Roman"/>
          <w:i/>
          <w:iCs/>
          <w:sz w:val="20"/>
          <w:szCs w:val="20"/>
        </w:rPr>
        <w:t xml:space="preserve"> , </w:t>
      </w:r>
      <w:hyperlink r:id="rId11" w:history="1">
        <w:r w:rsidRPr="007202C3">
          <w:rPr>
            <w:rFonts w:ascii="Times New Roman" w:hAnsi="Times New Roman" w:cs="Times New Roman"/>
            <w:i/>
            <w:iCs/>
            <w:sz w:val="20"/>
            <w:szCs w:val="20"/>
            <w:u w:val="single"/>
          </w:rPr>
          <w:t>iqbalsamina1@gmail.com</w:t>
        </w:r>
      </w:hyperlink>
      <w:r w:rsidRPr="007202C3">
        <w:rPr>
          <w:rFonts w:ascii="Times New Roman" w:hAnsi="Times New Roman" w:cs="Times New Roman"/>
          <w:i/>
          <w:iCs/>
          <w:sz w:val="20"/>
          <w:szCs w:val="20"/>
          <w:u w:val="single"/>
        </w:rPr>
        <w:t xml:space="preserve">,  </w:t>
      </w:r>
      <w:hyperlink r:id="rId12" w:tgtFrame="_blank" w:history="1">
        <w:r w:rsidRPr="007202C3">
          <w:rPr>
            <w:rFonts w:ascii="Times New Roman" w:hAnsi="Times New Roman" w:cs="Times New Roman"/>
            <w:i/>
            <w:sz w:val="20"/>
            <w:szCs w:val="20"/>
            <w:u w:val="single"/>
          </w:rPr>
          <w:t>saedabano@hotmail.com</w:t>
        </w:r>
      </w:hyperlink>
    </w:p>
    <w:p w:rsidR="003A6E3C" w:rsidRPr="007202C3" w:rsidRDefault="00751A47" w:rsidP="003A6E3C">
      <w:pPr>
        <w:jc w:val="center"/>
        <w:rPr>
          <w:rFonts w:ascii="Times New Roman" w:eastAsia="DengXian" w:hAnsi="Times New Roman" w:cs="Times New Roman"/>
          <w:i/>
          <w:noProof/>
          <w:sz w:val="20"/>
          <w:szCs w:val="20"/>
          <w:u w:val="single"/>
          <w:lang w:eastAsia="zh-CN"/>
        </w:rPr>
      </w:pPr>
      <w:bookmarkStart w:id="0" w:name="_Hlk36140147"/>
      <w:r w:rsidRPr="007202C3">
        <w:rPr>
          <w:rFonts w:ascii="Times New Roman" w:eastAsia="DengXian" w:hAnsi="Times New Roman" w:cs="Times New Roman"/>
          <w:i/>
          <w:noProof/>
          <w:sz w:val="20"/>
          <w:szCs w:val="20"/>
          <w:vertAlign w:val="superscript"/>
          <w:lang w:eastAsia="zh-CN"/>
        </w:rPr>
        <w:t>10</w:t>
      </w:r>
      <w:r w:rsidR="003A6E3C" w:rsidRPr="007202C3">
        <w:rPr>
          <w:rFonts w:ascii="Times New Roman" w:eastAsia="DengXian" w:hAnsi="Times New Roman" w:cs="Times New Roman"/>
          <w:i/>
          <w:noProof/>
          <w:sz w:val="20"/>
          <w:szCs w:val="20"/>
          <w:lang w:eastAsia="zh-CN"/>
        </w:rPr>
        <w:t>School of Atmospheric Sciences, Nanjing University of Information Science and Technology, Nanjing 210044,</w:t>
      </w:r>
      <w:bookmarkEnd w:id="0"/>
      <w:r w:rsidR="003A6E3C" w:rsidRPr="007202C3">
        <w:rPr>
          <w:rFonts w:ascii="Times New Roman" w:eastAsia="DengXian" w:hAnsi="Times New Roman" w:cs="Times New Roman"/>
          <w:i/>
          <w:sz w:val="20"/>
          <w:szCs w:val="20"/>
          <w:lang w:eastAsia="zh-CN"/>
        </w:rPr>
        <w:t xml:space="preserve"> </w:t>
      </w:r>
      <w:r w:rsidR="003A6E3C" w:rsidRPr="007202C3">
        <w:rPr>
          <w:rFonts w:ascii="Times New Roman" w:eastAsia="DengXian" w:hAnsi="Times New Roman" w:cs="Times New Roman"/>
          <w:i/>
          <w:noProof/>
          <w:sz w:val="20"/>
          <w:szCs w:val="20"/>
          <w:lang w:eastAsia="zh-CN"/>
        </w:rPr>
        <w:t xml:space="preserve">China: </w:t>
      </w:r>
      <w:hyperlink r:id="rId13" w:history="1">
        <w:r w:rsidR="003A6E3C" w:rsidRPr="007202C3">
          <w:rPr>
            <w:rStyle w:val="Hyperlink"/>
            <w:rFonts w:ascii="Times New Roman" w:eastAsia="DengXian" w:hAnsi="Times New Roman" w:cs="Times New Roman"/>
            <w:i/>
            <w:noProof/>
            <w:sz w:val="20"/>
            <w:szCs w:val="20"/>
            <w:lang w:eastAsia="zh-CN"/>
          </w:rPr>
          <w:t>mshahzaman786@nuist.edu.cn</w:t>
        </w:r>
      </w:hyperlink>
      <w:r w:rsidR="003A6E3C" w:rsidRPr="007202C3">
        <w:rPr>
          <w:rFonts w:ascii="Times New Roman" w:eastAsia="DengXian" w:hAnsi="Times New Roman" w:cs="Times New Roman"/>
          <w:i/>
          <w:noProof/>
          <w:sz w:val="20"/>
          <w:szCs w:val="20"/>
          <w:lang w:eastAsia="zh-CN"/>
        </w:rPr>
        <w:t xml:space="preserve"> </w:t>
      </w:r>
    </w:p>
    <w:p w:rsidR="003A6E3C" w:rsidRPr="00C95804" w:rsidRDefault="003A6E3C" w:rsidP="003A6E3C">
      <w:pPr>
        <w:shd w:val="clear" w:color="auto" w:fill="FFFFFF"/>
        <w:spacing w:after="0" w:line="480" w:lineRule="auto"/>
        <w:jc w:val="center"/>
        <w:rPr>
          <w:rFonts w:ascii="Times New Roman" w:hAnsi="Times New Roman" w:cs="Times New Roman"/>
          <w:iCs/>
          <w:sz w:val="24"/>
          <w:szCs w:val="24"/>
          <w:u w:val="single"/>
        </w:rPr>
      </w:pPr>
      <w:r w:rsidRPr="00C95804">
        <w:rPr>
          <w:rFonts w:ascii="Times New Roman" w:hAnsi="Times New Roman" w:cs="Times New Roman"/>
          <w:i/>
          <w:iCs/>
          <w:sz w:val="24"/>
          <w:szCs w:val="24"/>
        </w:rPr>
        <w:t xml:space="preserve">*E-mail: </w:t>
      </w:r>
      <w:hyperlink r:id="rId14" w:history="1">
        <w:r w:rsidRPr="00C95804">
          <w:rPr>
            <w:rFonts w:ascii="Times New Roman" w:hAnsi="Times New Roman" w:cs="Times New Roman"/>
            <w:i/>
            <w:iCs/>
            <w:sz w:val="24"/>
            <w:szCs w:val="24"/>
            <w:u w:val="single"/>
          </w:rPr>
          <w:t>shazian@uok.edu.pk</w:t>
        </w:r>
      </w:hyperlink>
      <w:r w:rsidRPr="00C95804">
        <w:rPr>
          <w:rFonts w:ascii="Times New Roman" w:hAnsi="Times New Roman" w:cs="Times New Roman"/>
          <w:i/>
          <w:iCs/>
          <w:sz w:val="24"/>
          <w:szCs w:val="24"/>
          <w:u w:val="single"/>
        </w:rPr>
        <w:t>, Phone No.</w:t>
      </w:r>
      <w:r w:rsidRPr="00C95804">
        <w:rPr>
          <w:rFonts w:ascii="Times New Roman" w:hAnsi="Times New Roman" w:cs="Times New Roman"/>
          <w:iCs/>
          <w:sz w:val="24"/>
          <w:szCs w:val="24"/>
          <w:u w:val="single"/>
        </w:rPr>
        <w:t>00923343519338</w:t>
      </w:r>
    </w:p>
    <w:p w:rsidR="003A6E3C" w:rsidRPr="009B5CC1" w:rsidRDefault="003A6E3C" w:rsidP="009B5CC1">
      <w:pPr>
        <w:shd w:val="clear" w:color="auto" w:fill="FFFFFF"/>
        <w:spacing w:after="0" w:line="360" w:lineRule="auto"/>
        <w:jc w:val="both"/>
        <w:rPr>
          <w:rFonts w:ascii="Times New Roman" w:eastAsia="Times New Roman" w:hAnsi="Times New Roman" w:cs="Times New Roman"/>
          <w:sz w:val="24"/>
          <w:szCs w:val="24"/>
        </w:rPr>
      </w:pPr>
      <w:r w:rsidRPr="009B5CC1">
        <w:rPr>
          <w:rFonts w:ascii="Times New Roman" w:eastAsia="Times New Roman" w:hAnsi="Times New Roman" w:cs="Times New Roman"/>
          <w:b/>
          <w:bCs/>
          <w:sz w:val="24"/>
          <w:szCs w:val="24"/>
        </w:rPr>
        <w:t>ABSTRACT</w:t>
      </w:r>
    </w:p>
    <w:p w:rsidR="003A6E3C" w:rsidRPr="009B5CC1" w:rsidRDefault="00D30A1A" w:rsidP="009B5CC1">
      <w:pPr>
        <w:shd w:val="clear" w:color="auto" w:fill="FFFFFF"/>
        <w:spacing w:before="40" w:after="0" w:line="360" w:lineRule="auto"/>
        <w:jc w:val="both"/>
        <w:rPr>
          <w:rFonts w:ascii="Times New Roman" w:eastAsia="Times New Roman" w:hAnsi="Times New Roman" w:cs="Times New Roman"/>
          <w:sz w:val="24"/>
          <w:szCs w:val="24"/>
        </w:rPr>
      </w:pPr>
      <w:r w:rsidRPr="00543A50">
        <w:rPr>
          <w:rFonts w:ascii="Times New Roman" w:eastAsia="Times New Roman" w:hAnsi="Times New Roman" w:cs="Times New Roman"/>
          <w:sz w:val="24"/>
          <w:szCs w:val="24"/>
        </w:rPr>
        <w:t>Keeping in view t</w:t>
      </w:r>
      <w:r w:rsidR="003A6E3C" w:rsidRPr="00543A50">
        <w:rPr>
          <w:rFonts w:ascii="Times New Roman" w:eastAsia="Times New Roman" w:hAnsi="Times New Roman" w:cs="Times New Roman"/>
          <w:sz w:val="24"/>
          <w:szCs w:val="24"/>
        </w:rPr>
        <w:t>he medicinal significance and diverse functions of synthetic Morita-</w:t>
      </w:r>
      <w:proofErr w:type="spellStart"/>
      <w:r w:rsidR="003A6E3C" w:rsidRPr="00543A50">
        <w:rPr>
          <w:rFonts w:ascii="Times New Roman" w:eastAsia="Times New Roman" w:hAnsi="Times New Roman" w:cs="Times New Roman"/>
          <w:sz w:val="24"/>
          <w:szCs w:val="24"/>
        </w:rPr>
        <w:t>Baylis</w:t>
      </w:r>
      <w:proofErr w:type="spellEnd"/>
      <w:r w:rsidR="003A6E3C" w:rsidRPr="00543A50">
        <w:rPr>
          <w:rFonts w:ascii="Times New Roman" w:eastAsia="Times New Roman" w:hAnsi="Times New Roman" w:cs="Times New Roman"/>
          <w:sz w:val="24"/>
          <w:szCs w:val="24"/>
        </w:rPr>
        <w:t>-Hillman adducts (MBHA),</w:t>
      </w:r>
      <w:r w:rsidR="002A3044" w:rsidRPr="00543A50">
        <w:rPr>
          <w:rFonts w:ascii="Times New Roman" w:eastAsia="Times New Roman" w:hAnsi="Times New Roman" w:cs="Times New Roman"/>
          <w:sz w:val="24"/>
          <w:szCs w:val="24"/>
        </w:rPr>
        <w:t xml:space="preserve"> the title</w:t>
      </w:r>
      <w:r w:rsidR="00E85E4E" w:rsidRPr="00543A50">
        <w:rPr>
          <w:rFonts w:ascii="Times New Roman" w:eastAsia="Times New Roman" w:hAnsi="Times New Roman" w:cs="Times New Roman"/>
          <w:sz w:val="24"/>
          <w:szCs w:val="24"/>
        </w:rPr>
        <w:t xml:space="preserve"> ligand </w:t>
      </w:r>
      <w:r w:rsidR="003A6E3C" w:rsidRPr="00543A50">
        <w:rPr>
          <w:rFonts w:ascii="Times New Roman" w:eastAsia="Times New Roman" w:hAnsi="Times New Roman" w:cs="Times New Roman"/>
          <w:sz w:val="24"/>
          <w:szCs w:val="24"/>
        </w:rPr>
        <w:t xml:space="preserve">was synthesized and purified through </w:t>
      </w:r>
      <w:r w:rsidR="002416F3" w:rsidRPr="00543A50">
        <w:rPr>
          <w:rFonts w:ascii="Times New Roman" w:eastAsia="Times New Roman" w:hAnsi="Times New Roman" w:cs="Times New Roman"/>
          <w:sz w:val="24"/>
          <w:szCs w:val="24"/>
        </w:rPr>
        <w:t xml:space="preserve">column </w:t>
      </w:r>
      <w:r w:rsidR="003A6E3C" w:rsidRPr="00543A50">
        <w:rPr>
          <w:rFonts w:ascii="Times New Roman" w:eastAsia="Times New Roman" w:hAnsi="Times New Roman" w:cs="Times New Roman"/>
          <w:sz w:val="24"/>
          <w:szCs w:val="24"/>
        </w:rPr>
        <w:t>chromatograph</w:t>
      </w:r>
      <w:r w:rsidR="002416F3" w:rsidRPr="00543A50">
        <w:rPr>
          <w:rFonts w:ascii="Times New Roman" w:eastAsia="Times New Roman" w:hAnsi="Times New Roman" w:cs="Times New Roman"/>
          <w:sz w:val="24"/>
          <w:szCs w:val="24"/>
        </w:rPr>
        <w:t>y</w:t>
      </w:r>
      <w:r w:rsidR="003A6E3C" w:rsidRPr="00543A50">
        <w:rPr>
          <w:rFonts w:ascii="Times New Roman" w:eastAsia="Times New Roman" w:hAnsi="Times New Roman" w:cs="Times New Roman"/>
          <w:sz w:val="24"/>
          <w:szCs w:val="24"/>
        </w:rPr>
        <w:t>. Cr</w:t>
      </w:r>
      <w:r w:rsidR="003A6E3C" w:rsidRPr="00543A50">
        <w:rPr>
          <w:rFonts w:ascii="Times New Roman" w:eastAsia="Times New Roman" w:hAnsi="Times New Roman" w:cs="Times New Roman"/>
          <w:sz w:val="24"/>
          <w:szCs w:val="24"/>
          <w:vertAlign w:val="superscript"/>
        </w:rPr>
        <w:t>+3</w:t>
      </w:r>
      <w:r w:rsidR="003A6E3C" w:rsidRPr="00543A50">
        <w:rPr>
          <w:rFonts w:ascii="Times New Roman" w:eastAsia="Times New Roman" w:hAnsi="Times New Roman" w:cs="Times New Roman"/>
          <w:sz w:val="24"/>
          <w:szCs w:val="24"/>
        </w:rPr>
        <w:t>, Mn</w:t>
      </w:r>
      <w:r w:rsidR="003A6E3C" w:rsidRPr="00543A50">
        <w:rPr>
          <w:rFonts w:ascii="Times New Roman" w:eastAsia="Times New Roman" w:hAnsi="Times New Roman" w:cs="Times New Roman"/>
          <w:sz w:val="24"/>
          <w:szCs w:val="24"/>
          <w:vertAlign w:val="superscript"/>
        </w:rPr>
        <w:t>+2</w:t>
      </w:r>
      <w:r w:rsidR="003A6E3C" w:rsidRPr="00543A50">
        <w:rPr>
          <w:rFonts w:ascii="Times New Roman" w:eastAsia="Times New Roman" w:hAnsi="Times New Roman" w:cs="Times New Roman"/>
          <w:sz w:val="24"/>
          <w:szCs w:val="24"/>
        </w:rPr>
        <w:t>, Co</w:t>
      </w:r>
      <w:r w:rsidR="003A6E3C" w:rsidRPr="00543A50">
        <w:rPr>
          <w:rFonts w:ascii="Times New Roman" w:eastAsia="Times New Roman" w:hAnsi="Times New Roman" w:cs="Times New Roman"/>
          <w:sz w:val="24"/>
          <w:szCs w:val="24"/>
          <w:vertAlign w:val="superscript"/>
        </w:rPr>
        <w:t>+3</w:t>
      </w:r>
      <w:r w:rsidR="003A6E3C" w:rsidRPr="00543A50">
        <w:rPr>
          <w:rFonts w:ascii="Times New Roman" w:eastAsia="Times New Roman" w:hAnsi="Times New Roman" w:cs="Times New Roman"/>
          <w:sz w:val="24"/>
          <w:szCs w:val="24"/>
        </w:rPr>
        <w:t>, Ni</w:t>
      </w:r>
      <w:r w:rsidR="003A6E3C" w:rsidRPr="00543A50">
        <w:rPr>
          <w:rFonts w:ascii="Times New Roman" w:eastAsia="Times New Roman" w:hAnsi="Times New Roman" w:cs="Times New Roman"/>
          <w:sz w:val="24"/>
          <w:szCs w:val="24"/>
          <w:vertAlign w:val="superscript"/>
        </w:rPr>
        <w:t>+2</w:t>
      </w:r>
      <w:r w:rsidR="003A6E3C" w:rsidRPr="00543A50">
        <w:rPr>
          <w:rFonts w:ascii="Times New Roman" w:eastAsia="Times New Roman" w:hAnsi="Times New Roman" w:cs="Times New Roman"/>
          <w:sz w:val="24"/>
          <w:szCs w:val="24"/>
        </w:rPr>
        <w:t>, Cu</w:t>
      </w:r>
      <w:r w:rsidR="003A6E3C" w:rsidRPr="00543A50">
        <w:rPr>
          <w:rFonts w:ascii="Times New Roman" w:eastAsia="Times New Roman" w:hAnsi="Times New Roman" w:cs="Times New Roman"/>
          <w:sz w:val="24"/>
          <w:szCs w:val="24"/>
          <w:vertAlign w:val="superscript"/>
        </w:rPr>
        <w:t>+2</w:t>
      </w:r>
      <w:r w:rsidR="003A6E3C" w:rsidRPr="00543A50">
        <w:rPr>
          <w:rFonts w:ascii="Times New Roman" w:eastAsia="Times New Roman" w:hAnsi="Times New Roman" w:cs="Times New Roman"/>
          <w:sz w:val="24"/>
          <w:szCs w:val="24"/>
        </w:rPr>
        <w:t xml:space="preserve"> complexes of the ligand were synthesized under basic cond</w:t>
      </w:r>
      <w:r w:rsidR="00020A8C" w:rsidRPr="00543A50">
        <w:rPr>
          <w:rFonts w:ascii="Times New Roman" w:eastAsia="Times New Roman" w:hAnsi="Times New Roman" w:cs="Times New Roman"/>
          <w:sz w:val="24"/>
          <w:szCs w:val="24"/>
        </w:rPr>
        <w:t>ition</w:t>
      </w:r>
      <w:r w:rsidR="003A6E3C" w:rsidRPr="00543A50">
        <w:rPr>
          <w:rFonts w:ascii="Times New Roman" w:eastAsia="Times New Roman" w:hAnsi="Times New Roman" w:cs="Times New Roman"/>
          <w:sz w:val="24"/>
          <w:szCs w:val="24"/>
        </w:rPr>
        <w:t xml:space="preserve">. The </w:t>
      </w:r>
      <w:r w:rsidR="005117C5" w:rsidRPr="00543A50">
        <w:rPr>
          <w:rFonts w:ascii="Times New Roman" w:eastAsia="Times New Roman" w:hAnsi="Times New Roman" w:cs="Times New Roman"/>
          <w:sz w:val="24"/>
          <w:szCs w:val="24"/>
        </w:rPr>
        <w:t xml:space="preserve">characterization </w:t>
      </w:r>
      <w:r w:rsidR="003A6E3C" w:rsidRPr="00543A50">
        <w:rPr>
          <w:rFonts w:ascii="Times New Roman" w:eastAsia="Times New Roman" w:hAnsi="Times New Roman" w:cs="Times New Roman"/>
          <w:sz w:val="24"/>
          <w:szCs w:val="24"/>
        </w:rPr>
        <w:t xml:space="preserve">of the complexes </w:t>
      </w:r>
      <w:r w:rsidR="002A3044" w:rsidRPr="00543A50">
        <w:rPr>
          <w:rFonts w:ascii="Times New Roman" w:eastAsia="Times New Roman" w:hAnsi="Times New Roman" w:cs="Times New Roman"/>
          <w:sz w:val="24"/>
          <w:szCs w:val="24"/>
        </w:rPr>
        <w:t>was done</w:t>
      </w:r>
      <w:r w:rsidR="00020A8C" w:rsidRPr="00543A50">
        <w:rPr>
          <w:rFonts w:ascii="Times New Roman" w:eastAsia="Times New Roman" w:hAnsi="Times New Roman" w:cs="Times New Roman"/>
          <w:sz w:val="24"/>
          <w:szCs w:val="24"/>
        </w:rPr>
        <w:t xml:space="preserve"> through spectral analyses and </w:t>
      </w:r>
      <w:r w:rsidR="003A6E3C" w:rsidRPr="00543A50">
        <w:rPr>
          <w:rFonts w:ascii="Times New Roman" w:eastAsia="Times New Roman" w:hAnsi="Times New Roman" w:cs="Times New Roman"/>
          <w:sz w:val="24"/>
          <w:szCs w:val="24"/>
        </w:rPr>
        <w:t xml:space="preserve">verified with the IR spectrum generated computationally by the </w:t>
      </w:r>
      <w:proofErr w:type="spellStart"/>
      <w:r w:rsidR="003A6E3C" w:rsidRPr="00543A50">
        <w:rPr>
          <w:rFonts w:ascii="Times New Roman" w:eastAsia="Times New Roman" w:hAnsi="Times New Roman" w:cs="Times New Roman"/>
          <w:sz w:val="24"/>
          <w:szCs w:val="24"/>
        </w:rPr>
        <w:t>Hartree</w:t>
      </w:r>
      <w:proofErr w:type="spellEnd"/>
      <w:r w:rsidR="003A6E3C" w:rsidRPr="00543A50">
        <w:rPr>
          <w:rFonts w:ascii="Times New Roman" w:eastAsia="Times New Roman" w:hAnsi="Times New Roman" w:cs="Times New Roman"/>
          <w:sz w:val="24"/>
          <w:szCs w:val="24"/>
        </w:rPr>
        <w:t xml:space="preserve"> </w:t>
      </w:r>
      <w:proofErr w:type="spellStart"/>
      <w:r w:rsidR="003A6E3C" w:rsidRPr="00543A50">
        <w:rPr>
          <w:rFonts w:ascii="Times New Roman" w:eastAsia="Times New Roman" w:hAnsi="Times New Roman" w:cs="Times New Roman"/>
          <w:sz w:val="24"/>
          <w:szCs w:val="24"/>
        </w:rPr>
        <w:t>Fock</w:t>
      </w:r>
      <w:proofErr w:type="spellEnd"/>
      <w:r w:rsidR="003A6E3C" w:rsidRPr="00543A50">
        <w:rPr>
          <w:rFonts w:ascii="Times New Roman" w:eastAsia="Times New Roman" w:hAnsi="Times New Roman" w:cs="Times New Roman"/>
          <w:sz w:val="24"/>
          <w:szCs w:val="24"/>
        </w:rPr>
        <w:t xml:space="preserve"> (HF) B3LYP method in conjunction with the 3-</w:t>
      </w:r>
      <w:proofErr w:type="gramStart"/>
      <w:r w:rsidR="003A6E3C" w:rsidRPr="00543A50">
        <w:rPr>
          <w:rFonts w:ascii="Times New Roman" w:eastAsia="Times New Roman" w:hAnsi="Times New Roman" w:cs="Times New Roman"/>
          <w:sz w:val="24"/>
          <w:szCs w:val="24"/>
        </w:rPr>
        <w:t>21G(</w:t>
      </w:r>
      <w:proofErr w:type="spellStart"/>
      <w:proofErr w:type="gramEnd"/>
      <w:r w:rsidR="003A6E3C" w:rsidRPr="00543A50">
        <w:rPr>
          <w:rFonts w:ascii="Times New Roman" w:eastAsia="Times New Roman" w:hAnsi="Times New Roman" w:cs="Times New Roman"/>
          <w:sz w:val="24"/>
          <w:szCs w:val="24"/>
        </w:rPr>
        <w:t>d,p</w:t>
      </w:r>
      <w:proofErr w:type="spellEnd"/>
      <w:r w:rsidR="003A6E3C" w:rsidRPr="00543A50">
        <w:rPr>
          <w:rFonts w:ascii="Times New Roman" w:eastAsia="Times New Roman" w:hAnsi="Times New Roman" w:cs="Times New Roman"/>
          <w:sz w:val="24"/>
          <w:szCs w:val="24"/>
        </w:rPr>
        <w:t>) basis set</w:t>
      </w:r>
      <w:r w:rsidR="00020A8C" w:rsidRPr="00543A50">
        <w:rPr>
          <w:rFonts w:ascii="Times New Roman" w:eastAsia="Times New Roman" w:hAnsi="Times New Roman" w:cs="Times New Roman"/>
          <w:sz w:val="24"/>
          <w:szCs w:val="24"/>
        </w:rPr>
        <w:t>. While</w:t>
      </w:r>
      <w:r w:rsidR="003A6E3C" w:rsidRPr="00543A50">
        <w:rPr>
          <w:rFonts w:ascii="Times New Roman" w:eastAsia="Times New Roman" w:hAnsi="Times New Roman" w:cs="Times New Roman"/>
          <w:sz w:val="24"/>
          <w:szCs w:val="24"/>
        </w:rPr>
        <w:t>, powder XRD</w:t>
      </w:r>
      <w:r w:rsidR="002416F3" w:rsidRPr="00543A50">
        <w:rPr>
          <w:rFonts w:ascii="Times New Roman" w:eastAsia="Times New Roman" w:hAnsi="Times New Roman" w:cs="Times New Roman"/>
          <w:sz w:val="24"/>
          <w:szCs w:val="24"/>
        </w:rPr>
        <w:t xml:space="preserve"> helped</w:t>
      </w:r>
      <w:r w:rsidR="003A6E3C" w:rsidRPr="00543A50">
        <w:rPr>
          <w:rFonts w:ascii="Times New Roman" w:eastAsia="Times New Roman" w:hAnsi="Times New Roman" w:cs="Times New Roman"/>
          <w:sz w:val="24"/>
          <w:szCs w:val="24"/>
        </w:rPr>
        <w:t xml:space="preserve"> to identify crystal class of the complexes. Moreover, the antibacterial,</w:t>
      </w:r>
      <w:r w:rsidR="00E85E4E" w:rsidRPr="00543A50">
        <w:rPr>
          <w:rFonts w:ascii="Times New Roman" w:eastAsia="Times New Roman" w:hAnsi="Times New Roman" w:cs="Times New Roman"/>
          <w:sz w:val="24"/>
          <w:szCs w:val="24"/>
        </w:rPr>
        <w:t xml:space="preserve"> </w:t>
      </w:r>
      <w:r w:rsidR="003A6E3C" w:rsidRPr="00543A50">
        <w:rPr>
          <w:rFonts w:ascii="Times New Roman" w:eastAsia="Times New Roman" w:hAnsi="Times New Roman" w:cs="Times New Roman"/>
          <w:sz w:val="24"/>
          <w:szCs w:val="24"/>
        </w:rPr>
        <w:t xml:space="preserve">and antioxidant potential of MBHA and complexes were determined. </w:t>
      </w:r>
      <w:r w:rsidR="002416F3" w:rsidRPr="00543A50">
        <w:rPr>
          <w:rFonts w:ascii="Times New Roman" w:eastAsia="Times New Roman" w:hAnsi="Times New Roman" w:cs="Times New Roman"/>
          <w:sz w:val="24"/>
          <w:szCs w:val="24"/>
        </w:rPr>
        <w:t>All were found to be</w:t>
      </w:r>
      <w:r w:rsidR="003A6E3C" w:rsidRPr="00543A50">
        <w:rPr>
          <w:rFonts w:ascii="Times New Roman" w:eastAsia="Times New Roman" w:hAnsi="Times New Roman" w:cs="Times New Roman"/>
          <w:sz w:val="24"/>
          <w:szCs w:val="24"/>
        </w:rPr>
        <w:t xml:space="preserve"> active antioxidants. The antibacterial </w:t>
      </w:r>
      <w:r w:rsidR="00E85E4E" w:rsidRPr="00543A50">
        <w:rPr>
          <w:rFonts w:ascii="Times New Roman" w:eastAsia="Times New Roman" w:hAnsi="Times New Roman" w:cs="Times New Roman"/>
          <w:sz w:val="24"/>
          <w:szCs w:val="24"/>
        </w:rPr>
        <w:t xml:space="preserve">activities, </w:t>
      </w:r>
      <w:r w:rsidR="003A6E3C" w:rsidRPr="00543A50">
        <w:rPr>
          <w:rFonts w:ascii="Times New Roman" w:eastAsia="Times New Roman" w:hAnsi="Times New Roman" w:cs="Times New Roman"/>
          <w:sz w:val="24"/>
          <w:szCs w:val="24"/>
        </w:rPr>
        <w:t>examined against four bacterial strains (</w:t>
      </w:r>
      <w:r w:rsidR="003A6E3C" w:rsidRPr="00543A50">
        <w:rPr>
          <w:rFonts w:ascii="Times New Roman" w:eastAsia="Times New Roman" w:hAnsi="Times New Roman" w:cs="Times New Roman"/>
          <w:i/>
          <w:sz w:val="24"/>
          <w:szCs w:val="24"/>
        </w:rPr>
        <w:t>S</w:t>
      </w:r>
      <w:r w:rsidR="002416F3" w:rsidRPr="00543A50">
        <w:rPr>
          <w:rFonts w:ascii="Times New Roman" w:eastAsia="Times New Roman" w:hAnsi="Times New Roman" w:cs="Times New Roman"/>
          <w:i/>
          <w:sz w:val="24"/>
          <w:szCs w:val="24"/>
        </w:rPr>
        <w:t>.</w:t>
      </w:r>
      <w:r w:rsidR="003A6E3C" w:rsidRPr="00543A50">
        <w:rPr>
          <w:rFonts w:ascii="Times New Roman" w:eastAsia="Times New Roman" w:hAnsi="Times New Roman" w:cs="Times New Roman"/>
          <w:i/>
          <w:sz w:val="24"/>
          <w:szCs w:val="24"/>
        </w:rPr>
        <w:t xml:space="preserve"> </w:t>
      </w:r>
      <w:proofErr w:type="spellStart"/>
      <w:r w:rsidR="003A6E3C" w:rsidRPr="00543A50">
        <w:rPr>
          <w:rFonts w:ascii="Times New Roman" w:eastAsia="Times New Roman" w:hAnsi="Times New Roman" w:cs="Times New Roman"/>
          <w:i/>
          <w:sz w:val="24"/>
          <w:szCs w:val="24"/>
        </w:rPr>
        <w:t>aureus</w:t>
      </w:r>
      <w:proofErr w:type="spellEnd"/>
      <w:r w:rsidR="003A6E3C" w:rsidRPr="00543A50">
        <w:rPr>
          <w:rFonts w:ascii="Times New Roman" w:eastAsia="Times New Roman" w:hAnsi="Times New Roman" w:cs="Times New Roman"/>
          <w:i/>
          <w:sz w:val="24"/>
          <w:szCs w:val="24"/>
        </w:rPr>
        <w:t>, E</w:t>
      </w:r>
      <w:r w:rsidR="002416F3" w:rsidRPr="00543A50">
        <w:rPr>
          <w:rFonts w:ascii="Times New Roman" w:eastAsia="Times New Roman" w:hAnsi="Times New Roman" w:cs="Times New Roman"/>
          <w:i/>
          <w:sz w:val="24"/>
          <w:szCs w:val="24"/>
        </w:rPr>
        <w:t>.</w:t>
      </w:r>
      <w:r w:rsidR="003A6E3C" w:rsidRPr="00543A50">
        <w:rPr>
          <w:rFonts w:ascii="Times New Roman" w:eastAsia="Times New Roman" w:hAnsi="Times New Roman" w:cs="Times New Roman"/>
          <w:i/>
          <w:sz w:val="24"/>
          <w:szCs w:val="24"/>
        </w:rPr>
        <w:t xml:space="preserve"> coli, B</w:t>
      </w:r>
      <w:r w:rsidR="002416F3" w:rsidRPr="00543A50">
        <w:rPr>
          <w:rFonts w:ascii="Times New Roman" w:eastAsia="Times New Roman" w:hAnsi="Times New Roman" w:cs="Times New Roman"/>
          <w:i/>
          <w:sz w:val="24"/>
          <w:szCs w:val="24"/>
        </w:rPr>
        <w:t>.</w:t>
      </w:r>
      <w:r w:rsidR="003A6E3C" w:rsidRPr="00543A50">
        <w:rPr>
          <w:rFonts w:ascii="Times New Roman" w:eastAsia="Times New Roman" w:hAnsi="Times New Roman" w:cs="Times New Roman"/>
          <w:i/>
          <w:sz w:val="24"/>
          <w:szCs w:val="24"/>
        </w:rPr>
        <w:t xml:space="preserve"> </w:t>
      </w:r>
      <w:proofErr w:type="spellStart"/>
      <w:r w:rsidR="003A6E3C" w:rsidRPr="00543A50">
        <w:rPr>
          <w:rFonts w:ascii="Times New Roman" w:eastAsia="Times New Roman" w:hAnsi="Times New Roman" w:cs="Times New Roman"/>
          <w:i/>
          <w:sz w:val="24"/>
          <w:szCs w:val="24"/>
        </w:rPr>
        <w:t>pumilis</w:t>
      </w:r>
      <w:proofErr w:type="spellEnd"/>
      <w:r w:rsidR="003A6E3C" w:rsidRPr="00543A50">
        <w:rPr>
          <w:rFonts w:ascii="Times New Roman" w:eastAsia="Times New Roman" w:hAnsi="Times New Roman" w:cs="Times New Roman"/>
          <w:i/>
          <w:sz w:val="24"/>
          <w:szCs w:val="24"/>
        </w:rPr>
        <w:t>, S</w:t>
      </w:r>
      <w:r w:rsidR="002416F3" w:rsidRPr="00543A50">
        <w:rPr>
          <w:rFonts w:ascii="Times New Roman" w:eastAsia="Times New Roman" w:hAnsi="Times New Roman" w:cs="Times New Roman"/>
          <w:i/>
          <w:sz w:val="24"/>
          <w:szCs w:val="24"/>
        </w:rPr>
        <w:t>.</w:t>
      </w:r>
      <w:r w:rsidR="003A6E3C" w:rsidRPr="00543A50">
        <w:rPr>
          <w:rFonts w:ascii="Times New Roman" w:eastAsia="Times New Roman" w:hAnsi="Times New Roman" w:cs="Times New Roman"/>
          <w:i/>
          <w:sz w:val="24"/>
          <w:szCs w:val="24"/>
        </w:rPr>
        <w:t xml:space="preserve"> </w:t>
      </w:r>
      <w:proofErr w:type="spellStart"/>
      <w:r w:rsidR="003A6E3C" w:rsidRPr="00543A50">
        <w:rPr>
          <w:rFonts w:ascii="Times New Roman" w:eastAsia="Times New Roman" w:hAnsi="Times New Roman" w:cs="Times New Roman"/>
          <w:i/>
          <w:sz w:val="24"/>
          <w:szCs w:val="24"/>
        </w:rPr>
        <w:t>typhi</w:t>
      </w:r>
      <w:proofErr w:type="spellEnd"/>
      <w:r w:rsidR="00E85E4E" w:rsidRPr="00543A50">
        <w:rPr>
          <w:rFonts w:ascii="Times New Roman" w:eastAsia="Times New Roman" w:hAnsi="Times New Roman" w:cs="Times New Roman"/>
          <w:sz w:val="24"/>
          <w:szCs w:val="24"/>
        </w:rPr>
        <w:t>), have revealed that</w:t>
      </w:r>
      <w:r w:rsidR="003A6E3C" w:rsidRPr="00543A50">
        <w:rPr>
          <w:rFonts w:ascii="Times New Roman" w:eastAsia="Times New Roman" w:hAnsi="Times New Roman" w:cs="Times New Roman"/>
          <w:sz w:val="24"/>
          <w:szCs w:val="24"/>
        </w:rPr>
        <w:t xml:space="preserve"> Cobalt complex </w:t>
      </w:r>
      <w:r w:rsidR="00E85E4E" w:rsidRPr="00543A50">
        <w:rPr>
          <w:rFonts w:ascii="Times New Roman" w:eastAsia="Times New Roman" w:hAnsi="Times New Roman" w:cs="Times New Roman"/>
          <w:sz w:val="24"/>
          <w:szCs w:val="24"/>
        </w:rPr>
        <w:t>has</w:t>
      </w:r>
      <w:r w:rsidR="003A6E3C" w:rsidRPr="00543A50">
        <w:rPr>
          <w:rFonts w:ascii="Times New Roman" w:eastAsia="Times New Roman" w:hAnsi="Times New Roman" w:cs="Times New Roman"/>
          <w:sz w:val="24"/>
          <w:szCs w:val="24"/>
        </w:rPr>
        <w:t xml:space="preserve"> an </w:t>
      </w:r>
      <w:r w:rsidR="00E85E4E" w:rsidRPr="00543A50">
        <w:rPr>
          <w:rFonts w:ascii="Times New Roman" w:eastAsia="Times New Roman" w:hAnsi="Times New Roman" w:cs="Times New Roman"/>
          <w:sz w:val="24"/>
          <w:szCs w:val="24"/>
        </w:rPr>
        <w:t>excellent</w:t>
      </w:r>
      <w:r w:rsidR="003A6E3C" w:rsidRPr="00543A50">
        <w:rPr>
          <w:rFonts w:ascii="Times New Roman" w:eastAsia="Times New Roman" w:hAnsi="Times New Roman" w:cs="Times New Roman"/>
          <w:sz w:val="24"/>
          <w:szCs w:val="24"/>
        </w:rPr>
        <w:t xml:space="preserve"> potential</w:t>
      </w:r>
      <w:r w:rsidR="00E85E4E" w:rsidRPr="00543A50">
        <w:rPr>
          <w:rFonts w:ascii="Times New Roman" w:eastAsia="Times New Roman" w:hAnsi="Times New Roman" w:cs="Times New Roman"/>
          <w:sz w:val="24"/>
          <w:szCs w:val="24"/>
        </w:rPr>
        <w:t xml:space="preserve"> against all of them</w:t>
      </w:r>
      <w:r w:rsidR="002416F3" w:rsidRPr="00543A50">
        <w:rPr>
          <w:rFonts w:ascii="Times New Roman" w:eastAsia="Times New Roman" w:hAnsi="Times New Roman" w:cs="Times New Roman"/>
          <w:sz w:val="24"/>
          <w:szCs w:val="24"/>
        </w:rPr>
        <w:t>.</w:t>
      </w:r>
      <w:r w:rsidR="00E85E4E" w:rsidRPr="00543A50">
        <w:rPr>
          <w:rFonts w:ascii="Times New Roman" w:eastAsia="Times New Roman" w:hAnsi="Times New Roman" w:cs="Times New Roman"/>
          <w:sz w:val="24"/>
          <w:szCs w:val="24"/>
        </w:rPr>
        <w:t xml:space="preserve"> Hence,</w:t>
      </w:r>
      <w:r w:rsidR="003A6E3C" w:rsidRPr="00543A50">
        <w:rPr>
          <w:rFonts w:ascii="Times New Roman" w:eastAsia="Times New Roman" w:hAnsi="Times New Roman" w:cs="Times New Roman"/>
          <w:sz w:val="24"/>
          <w:szCs w:val="24"/>
        </w:rPr>
        <w:t xml:space="preserve"> these compounds </w:t>
      </w:r>
      <w:r w:rsidR="00E85E4E" w:rsidRPr="00543A50">
        <w:rPr>
          <w:rFonts w:ascii="Times New Roman" w:eastAsia="Times New Roman" w:hAnsi="Times New Roman" w:cs="Times New Roman"/>
          <w:sz w:val="24"/>
          <w:szCs w:val="24"/>
        </w:rPr>
        <w:t>can have</w:t>
      </w:r>
      <w:r w:rsidR="003A6E3C" w:rsidRPr="00543A50">
        <w:rPr>
          <w:rFonts w:ascii="Times New Roman" w:eastAsia="Times New Roman" w:hAnsi="Times New Roman" w:cs="Times New Roman"/>
          <w:sz w:val="24"/>
          <w:szCs w:val="24"/>
        </w:rPr>
        <w:t xml:space="preserve"> potentialities for the discovery of new, cheaper and efficient drugs against various infectious diseases. </w:t>
      </w:r>
      <w:r w:rsidR="00E85E4E" w:rsidRPr="00543A50">
        <w:rPr>
          <w:rFonts w:ascii="Times New Roman" w:eastAsia="Times New Roman" w:hAnsi="Times New Roman" w:cs="Times New Roman"/>
          <w:sz w:val="24"/>
          <w:szCs w:val="24"/>
        </w:rPr>
        <w:t>A</w:t>
      </w:r>
      <w:r w:rsidR="003A6E3C" w:rsidRPr="00543A50">
        <w:rPr>
          <w:rFonts w:ascii="Times New Roman" w:eastAsia="Times New Roman" w:hAnsi="Times New Roman" w:cs="Times New Roman"/>
          <w:sz w:val="24"/>
          <w:szCs w:val="24"/>
        </w:rPr>
        <w:t>ddition</w:t>
      </w:r>
      <w:r w:rsidR="00E85E4E" w:rsidRPr="00543A50">
        <w:rPr>
          <w:rFonts w:ascii="Times New Roman" w:eastAsia="Times New Roman" w:hAnsi="Times New Roman" w:cs="Times New Roman"/>
          <w:sz w:val="24"/>
          <w:szCs w:val="24"/>
        </w:rPr>
        <w:t>ally</w:t>
      </w:r>
      <w:r w:rsidR="003A6E3C" w:rsidRPr="00543A50">
        <w:rPr>
          <w:rFonts w:ascii="Times New Roman" w:eastAsia="Times New Roman" w:hAnsi="Times New Roman" w:cs="Times New Roman"/>
          <w:sz w:val="24"/>
          <w:szCs w:val="24"/>
        </w:rPr>
        <w:t>, the study demonstrates as first example of utilization of MBHA in metal complex formation.</w:t>
      </w:r>
    </w:p>
    <w:p w:rsidR="00F7489E" w:rsidRDefault="003A6E3C" w:rsidP="00F7489E">
      <w:pPr>
        <w:shd w:val="clear" w:color="auto" w:fill="FFFFFF"/>
        <w:spacing w:before="40" w:after="0" w:line="360" w:lineRule="auto"/>
        <w:jc w:val="both"/>
        <w:rPr>
          <w:rFonts w:ascii="Times New Roman" w:eastAsia="Times New Roman" w:hAnsi="Times New Roman" w:cs="Times New Roman"/>
          <w:sz w:val="24"/>
          <w:szCs w:val="24"/>
        </w:rPr>
      </w:pPr>
      <w:r w:rsidRPr="009B5CC1">
        <w:rPr>
          <w:rFonts w:ascii="Times New Roman" w:eastAsia="Times New Roman" w:hAnsi="Times New Roman" w:cs="Times New Roman"/>
          <w:b/>
          <w:sz w:val="24"/>
          <w:szCs w:val="24"/>
        </w:rPr>
        <w:t xml:space="preserve">Key Words: </w:t>
      </w:r>
      <w:r w:rsidRPr="009B5CC1">
        <w:rPr>
          <w:rFonts w:ascii="Times New Roman" w:eastAsia="Times New Roman" w:hAnsi="Times New Roman" w:cs="Times New Roman"/>
          <w:sz w:val="24"/>
          <w:szCs w:val="24"/>
        </w:rPr>
        <w:t>MBH Adduct, Transition Metal Complexes, XRD, Antibacterial Activities, Antioxidant Activities</w:t>
      </w:r>
    </w:p>
    <w:p w:rsidR="00543A50" w:rsidRPr="009B5CC1" w:rsidRDefault="00F7489E" w:rsidP="00F7489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B4AB7" w:rsidRDefault="003A6E3C" w:rsidP="00CB4AB7">
      <w:pPr>
        <w:spacing w:line="360" w:lineRule="auto"/>
        <w:jc w:val="both"/>
        <w:rPr>
          <w:rFonts w:ascii="Times New Roman" w:hAnsi="Times New Roman" w:cs="Times New Roman"/>
          <w:b/>
          <w:sz w:val="24"/>
          <w:szCs w:val="24"/>
          <w:vertAlign w:val="superscript"/>
        </w:rPr>
      </w:pPr>
      <w:r w:rsidRPr="009B5CC1">
        <w:rPr>
          <w:rFonts w:ascii="Times New Roman" w:hAnsi="Times New Roman" w:cs="Times New Roman"/>
          <w:b/>
          <w:sz w:val="24"/>
          <w:szCs w:val="24"/>
        </w:rPr>
        <w:lastRenderedPageBreak/>
        <w:t>1</w:t>
      </w:r>
      <w:r w:rsidR="00AA2104">
        <w:rPr>
          <w:rFonts w:ascii="Times New Roman" w:hAnsi="Times New Roman" w:cs="Times New Roman"/>
          <w:b/>
          <w:sz w:val="24"/>
          <w:szCs w:val="24"/>
        </w:rPr>
        <w:t>.</w:t>
      </w:r>
      <w:r w:rsidRPr="009B5CC1">
        <w:rPr>
          <w:rFonts w:ascii="Times New Roman" w:hAnsi="Times New Roman" w:cs="Times New Roman"/>
          <w:b/>
          <w:sz w:val="24"/>
          <w:szCs w:val="24"/>
        </w:rPr>
        <w:tab/>
        <w:t>INTRODUCTION</w:t>
      </w:r>
    </w:p>
    <w:p w:rsidR="003A6E3C" w:rsidRPr="00CB4AB7" w:rsidRDefault="003A6E3C" w:rsidP="00CB4AB7">
      <w:pPr>
        <w:spacing w:line="360" w:lineRule="auto"/>
        <w:jc w:val="both"/>
        <w:rPr>
          <w:rFonts w:ascii="Times New Roman" w:hAnsi="Times New Roman" w:cs="Times New Roman"/>
          <w:b/>
          <w:sz w:val="24"/>
          <w:szCs w:val="24"/>
          <w:vertAlign w:val="superscript"/>
        </w:rPr>
      </w:pPr>
      <w:r w:rsidRPr="009B5CC1">
        <w:rPr>
          <w:rFonts w:ascii="Times New Roman" w:hAnsi="Times New Roman" w:cs="Times New Roman"/>
          <w:sz w:val="24"/>
          <w:szCs w:val="24"/>
        </w:rPr>
        <w:t>The significance of Carbon-Carbon bond forming reaction that involves the coupling of the α-position of activated alkenes with carbon electrophiles under the influence of a catalyst cannot be overlooked in atom economy.</w:t>
      </w:r>
      <w:r w:rsidR="00276B78">
        <w:rPr>
          <w:rFonts w:ascii="Times New Roman" w:hAnsi="Times New Roman" w:cs="Times New Roman"/>
          <w:sz w:val="24"/>
          <w:szCs w:val="24"/>
        </w:rPr>
        <w:fldChar w:fldCharType="begin" w:fldLock="1"/>
      </w:r>
      <w:r w:rsidR="00276B78">
        <w:rPr>
          <w:rFonts w:ascii="Times New Roman" w:hAnsi="Times New Roman" w:cs="Times New Roman"/>
          <w:sz w:val="24"/>
          <w:szCs w:val="24"/>
        </w:rPr>
        <w:instrText>ADDIN CSL_CITATION {"citationItems":[{"id":"ITEM-1","itemData":{"DOI":"10.1039/b905820f","ISSN":"13597345","PMID":"20448953","abstract":"Recent developments in catalytic C-H amination are discussed in this feature article. The careful design of reagents and catalysts now provides efficient conditions for exquisitely selective intramolecular as well as intermolecular nitrene C-H insertion. The parallel emergence of C-H activation/amination reactions opens new opportunities complementary to those offered by nitrenes. © The Royal Society of Chemistry 2009.","author":[{"dropping-particle":"","family":"Collet","given":"Florence","non-dropping-particle":"","parse-names":false,"suffix":""},{"dropping-particle":"","family":"Dodd","given":"Robert H.","non-dropping-particle":"","parse-names":false,"suffix":""},{"dropping-particle":"","family":"Dauban","given":"Philippe","non-dropping-particle":"","parse-names":false,"suffix":""}],"container-title":"Chemical Communications","id":"ITEM-1","issue":"34","issued":{"date-parts":[["2009"]]},"page":"5061-5074","title":"Catalytic C-H amination: Recent progress and future directions","type":"article-journal","volume":"20"},"uris":["http://www.mendeley.com/documents/?uuid=18b8b827-d331-40d2-abee-e5d99f8a3af0"]},{"id":"ITEM-2","itemData":{"DOI":"10.1016/j.molstruc.2015.10.097","ISSN":"00222860","abstract":"Botrytis blight is a very destructive disease caused by Botrytis spp., infecting flowers, trees, vegetables and fruits. Twelve new compounds were prepared by the reaction of potassium N-aryl-sulfonyldithiocarbimates with Morita-Baylis-Hillman derivatives bearing phenyl and furyl groups. These are the first examples of allyldithiocarbimate anions and were isolated as tetraphenylphosphonium salts. The new compounds were characterized by HRMS, NMR and Infrared spectroscopy. Further, the structures of three allyldithiocarbimates were determined by single crystal X-ray diffraction. The compounds are isostructural and crystallize in the space group P21/c of the monoclinic system, and the allyldithiocarbimate anions present Z configuration. All the compounds were active against Botrytis cinerea. The best results were achieved with the tetraphenylphosphonium (Z)-3-(furan-2-yl)-2-(methoxycarbonyl)allyl-(4-chlorophenylsulfonyl)dithiocarbimate (IC50 38 μM).","author":[{"dropping-particle":"","family":"Tavares","given":"Eder C.","non-dropping-particle":"","parse-names":false,"suffix":""},{"dropping-particle":"","family":"Rubinger","given":"Mayura M.M.","non-dropping-particle":"","parse-names":false,"suffix":""},{"dropping-particle":"V.","family":"Filho","given":"Eclair","non-dropping-particle":"","parse-names":false,"suffix":""},{"dropping-particle":"","family":"Oliveira","given":"Marcelo R.L.","non-dropping-particle":"","parse-names":false,"suffix":""},{"dropping-particle":"","family":"Piló-Veloso","given":"Dorila","non-dropping-particle":"","parse-names":false,"suffix":""},{"dropping-particle":"","family":"Ellena","given":"Javier","non-dropping-particle":"","parse-names":false,"suffix":""},{"dropping-particle":"","family":"Guilardi","given":"Silvana","non-dropping-particle":"","parse-names":false,"suffix":""},{"dropping-particle":"","family":"Souza","given":"Rafael A.C.","non-dropping-particle":"","parse-names":false,"suffix":""},{"dropping-particle":"","family":"Zambolim","given":"Laércio","non-dropping-particle":"","parse-names":false,"suffix":""}],"container-title":"Journal of Molecular Structure","id":"ITEM-2","issued":{"date-parts":[["2016"]]},"page":"130-140","title":"Tetraphenylphosphonium allyldithiocarbimates derived from Morita-Baylis-Hillman adducts: Synthesis, characterization, crystal structure and antifungal activity","type":"article-journal","volume":"1106"},"uris":["http://www.mendeley.com/documents/?uuid=f5ff2fdc-5987-4383-924a-b3a2e22fe67b"]}],"mendeley":{"formattedCitation":"&lt;sup&gt;1,2&lt;/sup&gt;","plainTextFormattedCitation":"1,2","previouslyFormattedCitation":"&lt;sup&gt;1,2&lt;/sup&gt;"},"properties":{"noteIndex":0},"schema":"https://github.com/citation-style-language/schema/raw/master/csl-citation.json"}</w:instrText>
      </w:r>
      <w:r w:rsidR="00276B78">
        <w:rPr>
          <w:rFonts w:ascii="Times New Roman" w:hAnsi="Times New Roman" w:cs="Times New Roman"/>
          <w:sz w:val="24"/>
          <w:szCs w:val="24"/>
        </w:rPr>
        <w:fldChar w:fldCharType="separate"/>
      </w:r>
      <w:r w:rsidR="00276B78" w:rsidRPr="00276B78">
        <w:rPr>
          <w:rFonts w:ascii="Times New Roman" w:hAnsi="Times New Roman" w:cs="Times New Roman"/>
          <w:noProof/>
          <w:sz w:val="24"/>
          <w:szCs w:val="24"/>
          <w:vertAlign w:val="superscript"/>
        </w:rPr>
        <w:t>1,2</w:t>
      </w:r>
      <w:r w:rsidR="00276B78">
        <w:rPr>
          <w:rFonts w:ascii="Times New Roman" w:hAnsi="Times New Roman" w:cs="Times New Roman"/>
          <w:sz w:val="24"/>
          <w:szCs w:val="24"/>
        </w:rPr>
        <w:fldChar w:fldCharType="end"/>
      </w:r>
      <w:r w:rsidRPr="009B5CC1">
        <w:rPr>
          <w:rFonts w:ascii="Times New Roman" w:hAnsi="Times New Roman" w:cs="Times New Roman"/>
          <w:sz w:val="24"/>
          <w:szCs w:val="24"/>
        </w:rPr>
        <w:t xml:space="preserve"> The reaction ends up in the formation of Michael type dimers. There are many synthetic routes by which effectual and perfect C‒C bond emerging reactions can takes place.</w:t>
      </w:r>
      <w:r w:rsidR="00A413C2">
        <w:rPr>
          <w:rFonts w:ascii="Times New Roman" w:hAnsi="Times New Roman" w:cs="Times New Roman"/>
          <w:sz w:val="24"/>
          <w:szCs w:val="24"/>
        </w:rPr>
        <w:fldChar w:fldCharType="begin" w:fldLock="1"/>
      </w:r>
      <w:r w:rsidR="00276B78">
        <w:rPr>
          <w:rFonts w:ascii="Times New Roman" w:hAnsi="Times New Roman" w:cs="Times New Roman"/>
          <w:sz w:val="24"/>
          <w:szCs w:val="24"/>
        </w:rPr>
        <w:instrText>ADDIN CSL_CITATION {"citationItems":[{"id":"ITEM-1","itemData":{"DOI":"10.1016/j.ejmech.2006.07.013","ISSN":"02235234","PMID":"17010481","abstract":"Sixteen not new aromatic compounds were prepared by one-pot reaction i.e. through Baylis-Hillman reaction and were the first time evaluated against promastigote Leishmania amazonensis and infected mammalian cells. Most of the compounds were selectively more active against amastigotes than the reference drug sodium stibogluconate (Pentostam, IC50 = 44.7 μM). We found that 3-hydroxy-2-methylene-3-(4-bromophenyl)propanenitrile (13) was the most active (IC50 = 12.5 μM) and safer compound (0.0 (0.9); % macrophage LDH release), being the lead compound. © 2006 Elsevier Masson SAS. All rights reserved.","author":[{"dropping-particle":"","family":"Souza","given":"R. O.M.A.","non-dropping-particle":"de","parse-names":false,"suffix":""},{"dropping-particle":"","family":"Pereira","given":"V. L.P.","non-dropping-particle":"","parse-names":false,"suffix":""},{"dropping-particle":"","family":"Muzitano","given":"M. F.","non-dropping-particle":"","parse-names":false,"suffix":""},{"dropping-particle":"","family":"Falcão","given":"C. A.B.","non-dropping-particle":"","parse-names":false,"suffix":""},{"dropping-particle":"","family":"Rossi-Bergmann","given":"B.","non-dropping-particle":"","parse-names":false,"suffix":""},{"dropping-particle":"","family":"Filho","given":"E. B.A.","non-dropping-particle":"","parse-names":false,"suffix":""},{"dropping-particle":"","family":"Vasconcellos","given":"M. L.A.A.","non-dropping-particle":"","parse-names":false,"suffix":""}],"container-title":"European Journal of Medicinal Chemistry","id":"ITEM-1","issue":"1","issued":{"date-parts":[["2007"]]},"page":"99-102","title":"High selective leishmanicidal activity of 3-hydroxy-2-methylene-3-(4-bromophenyl)propanenitrile and analogous compounds","type":"article-journal","volume":"42"},"uris":["http://www.mendeley.com/documents/?uuid=c485b03c-963e-46d5-9e17-0cd16d5d549e"]}],"mendeley":{"formattedCitation":"&lt;sup&gt;3&lt;/sup&gt;","plainTextFormattedCitation":"3","previouslyFormattedCitation":"&lt;sup&gt;3&lt;/sup&gt;"},"properties":{"noteIndex":0},"schema":"https://github.com/citation-style-language/schema/raw/master/csl-citation.json"}</w:instrText>
      </w:r>
      <w:r w:rsidR="00A413C2">
        <w:rPr>
          <w:rFonts w:ascii="Times New Roman" w:hAnsi="Times New Roman" w:cs="Times New Roman"/>
          <w:sz w:val="24"/>
          <w:szCs w:val="24"/>
        </w:rPr>
        <w:fldChar w:fldCharType="separate"/>
      </w:r>
      <w:r w:rsidR="00276B78" w:rsidRPr="00276B78">
        <w:rPr>
          <w:rFonts w:ascii="Times New Roman" w:hAnsi="Times New Roman" w:cs="Times New Roman"/>
          <w:noProof/>
          <w:sz w:val="24"/>
          <w:szCs w:val="24"/>
          <w:vertAlign w:val="superscript"/>
        </w:rPr>
        <w:t>3</w:t>
      </w:r>
      <w:r w:rsidR="00A413C2">
        <w:rPr>
          <w:rFonts w:ascii="Times New Roman" w:hAnsi="Times New Roman" w:cs="Times New Roman"/>
          <w:sz w:val="24"/>
          <w:szCs w:val="24"/>
        </w:rPr>
        <w:fldChar w:fldCharType="end"/>
      </w:r>
      <w:r w:rsidRPr="009B5CC1">
        <w:rPr>
          <w:rFonts w:ascii="Times New Roman" w:hAnsi="Times New Roman" w:cs="Times New Roman"/>
          <w:sz w:val="24"/>
          <w:szCs w:val="24"/>
        </w:rPr>
        <w:t xml:space="preserve"> Additionally, medicinally relevant pharmaceutical compounds and natural products are very useful multifunctional building blocks for C‒C bond formation which is a major constituent of the synthetic organic chemistry</w:t>
      </w:r>
      <w:r w:rsidR="00A413C2">
        <w:rPr>
          <w:rFonts w:ascii="Times New Roman" w:hAnsi="Times New Roman" w:cs="Times New Roman"/>
          <w:sz w:val="24"/>
          <w:szCs w:val="24"/>
        </w:rPr>
        <w:t>.</w:t>
      </w:r>
      <w:r w:rsidR="00A413C2">
        <w:rPr>
          <w:rFonts w:ascii="Times New Roman" w:hAnsi="Times New Roman" w:cs="Times New Roman"/>
          <w:sz w:val="24"/>
          <w:szCs w:val="24"/>
        </w:rPr>
        <w:fldChar w:fldCharType="begin" w:fldLock="1"/>
      </w:r>
      <w:r w:rsidR="00276B78">
        <w:rPr>
          <w:rFonts w:ascii="Times New Roman" w:hAnsi="Times New Roman" w:cs="Times New Roman"/>
          <w:sz w:val="24"/>
          <w:szCs w:val="24"/>
        </w:rPr>
        <w:instrText>ADDIN CSL_CITATION {"citationItems":[{"id":"ITEM-1","itemData":{"DOI":"10.1021/acs.orglett.8b03709","author":[{"dropping-particle":"","family":"Du","given":"Ji-yuan","non-dropping-particle":"","parse-names":false,"suffix":""},{"dropping-particle":"","family":"Ma","given":"Yan-hua","non-dropping-particle":"","parse-names":false,"suffix":""},{"dropping-particle":"","family":"Meng","given":"Fan-xiao","non-dropping-particle":"","parse-names":false,"suffix":""},{"dropping-particle":"","family":"Zhang","given":"Rui-rui","non-dropping-particle":"","parse-names":false,"suffix":""},{"dropping-particle":"","family":"Wang","given":"Ruo-nan","non-dropping-particle":"","parse-names":false,"suffix":""},{"dropping-particle":"","family":"Shi","given":"Hong-liang","non-dropping-particle":"","parse-names":false,"suffix":""},{"dropping-particle":"","family":"Wang","given":"Qi","non-dropping-particle":"","parse-names":false,"suffix":""},{"dropping-particle":"","family":"Fan","given":"Ya-xin","non-dropping-particle":"","parse-names":false,"suffix":""},{"dropping-particle":"","family":"Huang","given":"Hong-li","non-dropping-particle":"","parse-names":false,"suffix":""},{"dropping-particle":"","family":"Cui","given":"Ji-chun","non-dropping-particle":"","parse-names":false,"suffix":""},{"dropping-particle":"","family":"Ma","given":"Chun-lin","non-dropping-particle":"","parse-names":false,"suffix":""}],"id":"ITEM-1","issued":{"date-parts":[["2019"]]},"page":"9-12","title":"Lewis Base-Catalyzed [4 + 3] Annulation of ortho -Quinone Methides and MBH Carbonates: Synthesis of Functionalized Benzo[ b ]oxepines Bearing Oxindole Sca ff olds","type":"article-journal"},"uris":["http://www.mendeley.com/documents/?uuid=cbae3923-6e8d-45d2-9cbf-78acf9e3238c"]},{"id":"ITEM-2","itemData":{"DOI":"10.1016/j.tetlet.2018.06.023","ISSN":"18733581","abstract":"The Baylis-Hillman (BH) reaction plays a fascinating role in the field of synthetic and medicinal chemistry. BH adducts and their derivatives have been used as crucial synthons for the synthesis of various pharmaceutically useful natural products and compounds with carbocyclic or heterocyclic frameworks. This digest letter aims to discuss some key ideas for the synthesis of biologically active scaffolds using BH reaction and raise the awareness of this emerging research domain in modern drug discovery. In this review, we will present and discuss recent reports of various biologically active scaffolds derived from BH reaction, and their reported biological activities.","author":[{"dropping-particle":"","family":"Narendar Reddy","given":"Thatikonda","non-dropping-particle":"","parse-names":false,"suffix":""},{"dropping-particle":"","family":"Jayathirtha Rao","given":"Vaidya","non-dropping-particle":"","parse-names":false,"suffix":""}],"container-title":"Tetrahedron Letters","id":"ITEM-2","issue":"30","issued":{"date-parts":[["2018"]]},"page":"2859-2875","publisher":"Elsevier Ltd","title":"Importance of Baylis-Hillman adducts in modern drug discovery","type":"article-journal","volume":"59"},"uris":["http://www.mendeley.com/documents/?uuid=196c7f30-8ac3-4d98-9ef0-4a32595ae238"]}],"mendeley":{"formattedCitation":"&lt;sup&gt;4,5&lt;/sup&gt;","plainTextFormattedCitation":"4,5","previouslyFormattedCitation":"&lt;sup&gt;4,5&lt;/sup&gt;"},"properties":{"noteIndex":0},"schema":"https://github.com/citation-style-language/schema/raw/master/csl-citation.json"}</w:instrText>
      </w:r>
      <w:r w:rsidR="00A413C2">
        <w:rPr>
          <w:rFonts w:ascii="Times New Roman" w:hAnsi="Times New Roman" w:cs="Times New Roman"/>
          <w:sz w:val="24"/>
          <w:szCs w:val="24"/>
        </w:rPr>
        <w:fldChar w:fldCharType="separate"/>
      </w:r>
      <w:r w:rsidR="00276B78" w:rsidRPr="00276B78">
        <w:rPr>
          <w:rFonts w:ascii="Times New Roman" w:hAnsi="Times New Roman" w:cs="Times New Roman"/>
          <w:noProof/>
          <w:sz w:val="24"/>
          <w:szCs w:val="24"/>
          <w:vertAlign w:val="superscript"/>
        </w:rPr>
        <w:t>4,5</w:t>
      </w:r>
      <w:r w:rsidR="00A413C2">
        <w:rPr>
          <w:rFonts w:ascii="Times New Roman" w:hAnsi="Times New Roman" w:cs="Times New Roman"/>
          <w:sz w:val="24"/>
          <w:szCs w:val="24"/>
        </w:rPr>
        <w:fldChar w:fldCharType="end"/>
      </w:r>
      <w:r w:rsidRPr="009B5CC1">
        <w:rPr>
          <w:rFonts w:ascii="Times New Roman" w:hAnsi="Times New Roman" w:cs="Times New Roman"/>
          <w:sz w:val="24"/>
          <w:szCs w:val="24"/>
        </w:rPr>
        <w:t xml:space="preserve"> Besides this, Morita-</w:t>
      </w:r>
      <w:proofErr w:type="spellStart"/>
      <w:r w:rsidRPr="009B5CC1">
        <w:rPr>
          <w:rFonts w:ascii="Times New Roman" w:hAnsi="Times New Roman" w:cs="Times New Roman"/>
          <w:sz w:val="24"/>
          <w:szCs w:val="24"/>
        </w:rPr>
        <w:t>Baylis</w:t>
      </w:r>
      <w:proofErr w:type="spellEnd"/>
      <w:r w:rsidRPr="009B5CC1">
        <w:rPr>
          <w:rFonts w:ascii="Times New Roman" w:hAnsi="Times New Roman" w:cs="Times New Roman"/>
          <w:sz w:val="24"/>
          <w:szCs w:val="24"/>
        </w:rPr>
        <w:t>-Hillman (MBH) compounds, especially carbonates, aldehydes, esters and acetates based derivatives are important intermediates in the synthesis of different structures. These compounds have become important as MBH originators and represent a valuable class of substrates for synthetic purposes and derivatives, widely examined as intermediates in the preparation of significant classes of compounds as building blocks for natural products. Moreover, Michael/</w:t>
      </w:r>
      <w:proofErr w:type="spellStart"/>
      <w:r w:rsidRPr="009B5CC1">
        <w:rPr>
          <w:rFonts w:ascii="Times New Roman" w:hAnsi="Times New Roman" w:cs="Times New Roman"/>
          <w:sz w:val="24"/>
          <w:szCs w:val="24"/>
        </w:rPr>
        <w:t>aldol</w:t>
      </w:r>
      <w:proofErr w:type="spellEnd"/>
      <w:r w:rsidRPr="009B5CC1">
        <w:rPr>
          <w:rFonts w:ascii="Times New Roman" w:hAnsi="Times New Roman" w:cs="Times New Roman"/>
          <w:sz w:val="24"/>
          <w:szCs w:val="24"/>
        </w:rPr>
        <w:t xml:space="preserve"> cyclic reactions, indorsing multiple C–C bond formations, also lead to important carbon frames that can be intentionally employed in drug synthesis</w:t>
      </w:r>
      <w:r w:rsidR="00345681">
        <w:rPr>
          <w:rFonts w:ascii="Times New Roman" w:hAnsi="Times New Roman" w:cs="Times New Roman"/>
          <w:sz w:val="24"/>
          <w:szCs w:val="24"/>
        </w:rPr>
        <w:t>.</w:t>
      </w:r>
      <w:r w:rsidRPr="009B5CC1">
        <w:rPr>
          <w:rFonts w:ascii="Times New Roman" w:hAnsi="Times New Roman" w:cs="Times New Roman"/>
          <w:sz w:val="24"/>
          <w:szCs w:val="24"/>
        </w:rPr>
        <w:fldChar w:fldCharType="begin" w:fldLock="1"/>
      </w:r>
      <w:r w:rsidR="00276B78">
        <w:rPr>
          <w:rFonts w:ascii="Times New Roman" w:hAnsi="Times New Roman" w:cs="Times New Roman"/>
          <w:sz w:val="24"/>
          <w:szCs w:val="24"/>
        </w:rPr>
        <w:instrText>ADDIN CSL_CITATION {"citationItems":[{"id":"ITEM-1","itemData":{"DOI":"10.1038/srep26785","ISSN":"20452322","abstract":"Electrospray ionization-mass spectrometry (ESI-MS) is used to analyze metal species in a variety of samples. Here, we describe an application for identifying metal species by tandem mass spectrometry (ESI-MS/MS) with the release of free metals from the corresponding metal-ligand complexes. The MS/MS data were used to elucidate the possible fragmentation pathways of different metal-deoxymugineic acid (-DMA) and metal-nicotianamine (-NA) complexes and select the product ions with highest abundance that may be useful for quantitative multiple reaction monitoring. This method can be used for identifying different metal-ligand complexes, especially for metal species whose mass spectra peaks are clustered close together. Different metal-DMA/NA complexes were simultaneously identified under different physiological pH conditions with this method. We further demonstrated the application of the technique for different plant samples and with different MS instruments.","author":[{"dropping-particle":"","family":"Tsednee","given":"Munkhtsetseg","non-dropping-particle":"","parse-names":false,"suffix":""},{"dropping-particle":"","family":"Huang","given":"Yu Chen","non-dropping-particle":"","parse-names":false,"suffix":""},{"dropping-particle":"","family":"Chen","given":"Yet Ran","non-dropping-particle":"","parse-names":false,"suffix":""},{"dropping-particle":"","family":"Yeh","given":"Kuo Chen","non-dropping-particle":"","parse-names":false,"suffix":""}],"container-title":"Scientific Reports","id":"ITEM-1","issue":"May","issued":{"date-parts":[["2016"]]},"page":"1-13","publisher":"Nature Publishing Group","title":"Identification of metal species by ESI-MS/MS through release of free metals from the corresponding metal-ligand complexes","type":"article-journal","volume":"6"},"uris":["http://www.mendeley.com/documents/?uuid=6002eab8-543c-427e-b3b1-83e12b722de6"]}],"mendeley":{"formattedCitation":"&lt;sup&gt;6&lt;/sup&gt;","plainTextFormattedCitation":"6","previouslyFormattedCitation":"&lt;sup&gt;6&lt;/sup&gt;"},"properties":{"noteIndex":0},"schema":"https://github.com/citation-style-language/schema/raw/master/csl-citation.json"}</w:instrText>
      </w:r>
      <w:r w:rsidRPr="009B5CC1">
        <w:rPr>
          <w:rFonts w:ascii="Times New Roman" w:hAnsi="Times New Roman" w:cs="Times New Roman"/>
          <w:sz w:val="24"/>
          <w:szCs w:val="24"/>
        </w:rPr>
        <w:fldChar w:fldCharType="separate"/>
      </w:r>
      <w:r w:rsidR="00276B78" w:rsidRPr="00276B78">
        <w:rPr>
          <w:rFonts w:ascii="Times New Roman" w:hAnsi="Times New Roman" w:cs="Times New Roman"/>
          <w:noProof/>
          <w:sz w:val="24"/>
          <w:szCs w:val="24"/>
          <w:vertAlign w:val="superscript"/>
        </w:rPr>
        <w:t>6</w:t>
      </w:r>
      <w:r w:rsidRPr="009B5CC1">
        <w:rPr>
          <w:rFonts w:ascii="Times New Roman" w:hAnsi="Times New Roman" w:cs="Times New Roman"/>
          <w:sz w:val="24"/>
          <w:szCs w:val="24"/>
        </w:rPr>
        <w:fldChar w:fldCharType="end"/>
      </w:r>
      <w:r w:rsidRPr="009B5CC1">
        <w:rPr>
          <w:sz w:val="24"/>
          <w:szCs w:val="24"/>
        </w:rPr>
        <w:t xml:space="preserve"> </w:t>
      </w:r>
      <w:r w:rsidRPr="009B5CC1">
        <w:rPr>
          <w:rFonts w:ascii="Times New Roman" w:hAnsi="Times New Roman" w:cs="Times New Roman"/>
          <w:sz w:val="24"/>
          <w:szCs w:val="24"/>
        </w:rPr>
        <w:t xml:space="preserve">The MBH reaction is mainly a three-component reaction between the α-position of activated alkenes </w:t>
      </w:r>
      <w:proofErr w:type="spellStart"/>
      <w:r w:rsidRPr="009B5CC1">
        <w:rPr>
          <w:rFonts w:ascii="Times New Roman" w:hAnsi="Times New Roman" w:cs="Times New Roman"/>
          <w:sz w:val="24"/>
          <w:szCs w:val="24"/>
        </w:rPr>
        <w:t>e.g</w:t>
      </w:r>
      <w:proofErr w:type="spellEnd"/>
      <w:r w:rsidRPr="009B5CC1">
        <w:rPr>
          <w:rFonts w:ascii="Times New Roman" w:hAnsi="Times New Roman" w:cs="Times New Roman"/>
          <w:sz w:val="24"/>
          <w:szCs w:val="24"/>
        </w:rPr>
        <w:t xml:space="preserve"> ethyl or methyl acrylate, acrylonitrile and methyl vinyl ketones and electrophilic sp</w:t>
      </w:r>
      <w:r w:rsidRPr="009B5CC1">
        <w:rPr>
          <w:rFonts w:ascii="Times New Roman" w:hAnsi="Times New Roman" w:cs="Times New Roman"/>
          <w:sz w:val="24"/>
          <w:szCs w:val="24"/>
          <w:vertAlign w:val="superscript"/>
        </w:rPr>
        <w:t>2</w:t>
      </w:r>
      <w:r w:rsidRPr="009B5CC1">
        <w:rPr>
          <w:rFonts w:ascii="Times New Roman" w:hAnsi="Times New Roman" w:cs="Times New Roman"/>
          <w:sz w:val="24"/>
          <w:szCs w:val="24"/>
        </w:rPr>
        <w:t xml:space="preserve"> carbon of aldehyde or imines in the presence of an appropriate catalyst, usually a tertiary amine or phosphin</w:t>
      </w:r>
      <w:r w:rsidR="008B7DB0">
        <w:rPr>
          <w:rFonts w:ascii="Times New Roman" w:hAnsi="Times New Roman" w:cs="Times New Roman"/>
          <w:sz w:val="24"/>
          <w:szCs w:val="24"/>
        </w:rPr>
        <w:t>e</w:t>
      </w:r>
      <w:r w:rsidR="00345681">
        <w:rPr>
          <w:rFonts w:ascii="Times New Roman" w:hAnsi="Times New Roman" w:cs="Times New Roman"/>
          <w:sz w:val="24"/>
          <w:szCs w:val="24"/>
        </w:rPr>
        <w:t>.</w:t>
      </w:r>
      <w:r w:rsidRPr="009B5CC1">
        <w:rPr>
          <w:sz w:val="24"/>
          <w:szCs w:val="24"/>
        </w:rPr>
        <w:fldChar w:fldCharType="begin" w:fldLock="1"/>
      </w:r>
      <w:r w:rsidR="00276B78">
        <w:rPr>
          <w:sz w:val="24"/>
          <w:szCs w:val="24"/>
        </w:rPr>
        <w:instrText>ADDIN CSL_CITATION {"citationItems":[{"id":"ITEM-1","itemData":{"DOI":"10.1016/j.tetlet.2018.06.023","ISSN":"18733581","abstract":"The Baylis-Hillman (BH) reaction plays a fascinating role in the field of synthetic and medicinal chemistry. BH adducts and their derivatives have been used as crucial synthons for the synthesis of various pharmaceutically useful natural products and compounds with carbocyclic or heterocyclic frameworks. This digest letter aims to discuss some key ideas for the synthesis of biologically active scaffolds using BH reaction and raise the awareness of this emerging research domain in modern drug discovery. In this review, we will present and discuss recent reports of various biologically active scaffolds derived from BH reaction, and their reported biological activities.","author":[{"dropping-particle":"","family":"Narendar Reddy","given":"Thatikonda","non-dropping-particle":"","parse-names":false,"suffix":""},{"dropping-particle":"","family":"Jayathirtha Rao","given":"Vaidya","non-dropping-particle":"","parse-names":false,"suffix":""}],"container-title":"Tetrahedron Letters","id":"ITEM-1","issue":"30","issued":{"date-parts":[["2018"]]},"page":"2859-2875","publisher":"Elsevier Ltd","title":"Importance of Baylis-Hillman adducts in modern drug discovery","type":"article-journal","volume":"59"},"uris":["http://www.mendeley.com/documents/?uuid=196c7f30-8ac3-4d98-9ef0-4a32595ae238"]}],"mendeley":{"formattedCitation":"&lt;sup&gt;5&lt;/sup&gt;","plainTextFormattedCitation":"5","previouslyFormattedCitation":"&lt;sup&gt;5&lt;/sup&gt;"},"properties":{"noteIndex":0},"schema":"https://github.com/citation-style-language/schema/raw/master/csl-citation.json"}</w:instrText>
      </w:r>
      <w:r w:rsidRPr="009B5CC1">
        <w:rPr>
          <w:sz w:val="24"/>
          <w:szCs w:val="24"/>
        </w:rPr>
        <w:fldChar w:fldCharType="separate"/>
      </w:r>
      <w:r w:rsidR="00276B78" w:rsidRPr="00276B78">
        <w:rPr>
          <w:noProof/>
          <w:sz w:val="24"/>
          <w:szCs w:val="24"/>
          <w:vertAlign w:val="superscript"/>
        </w:rPr>
        <w:t>5</w:t>
      </w:r>
      <w:r w:rsidRPr="009B5CC1">
        <w:rPr>
          <w:sz w:val="24"/>
          <w:szCs w:val="24"/>
        </w:rPr>
        <w:fldChar w:fldCharType="end"/>
      </w:r>
      <w:r w:rsidRPr="009B5CC1">
        <w:rPr>
          <w:rFonts w:ascii="Times New Roman" w:hAnsi="Times New Roman" w:cs="Times New Roman"/>
          <w:sz w:val="24"/>
          <w:szCs w:val="24"/>
        </w:rPr>
        <w:t xml:space="preserve"> The resulting Morita-</w:t>
      </w:r>
      <w:proofErr w:type="spellStart"/>
      <w:r w:rsidRPr="009B5CC1">
        <w:rPr>
          <w:rFonts w:ascii="Times New Roman" w:hAnsi="Times New Roman" w:cs="Times New Roman"/>
          <w:sz w:val="24"/>
          <w:szCs w:val="24"/>
        </w:rPr>
        <w:t>Baylis</w:t>
      </w:r>
      <w:proofErr w:type="spellEnd"/>
      <w:r w:rsidRPr="009B5CC1">
        <w:rPr>
          <w:rFonts w:ascii="Times New Roman" w:hAnsi="Times New Roman" w:cs="Times New Roman"/>
          <w:sz w:val="24"/>
          <w:szCs w:val="24"/>
        </w:rPr>
        <w:t>-Hillman adducts (MBHA) have diverse functionalities and versatile reactivity. Consequently, they have been used widely as powerful precursors for the building of various carbocyclic, heterocyclic and biologically important compounds</w:t>
      </w:r>
      <w:r w:rsidR="00345681">
        <w:rPr>
          <w:rFonts w:ascii="Times New Roman" w:hAnsi="Times New Roman" w:cs="Times New Roman"/>
          <w:sz w:val="24"/>
          <w:szCs w:val="24"/>
        </w:rPr>
        <w:t>.</w:t>
      </w:r>
      <w:r w:rsidRPr="009B5CC1">
        <w:rPr>
          <w:rFonts w:ascii="Times New Roman" w:hAnsi="Times New Roman" w:cs="Times New Roman"/>
          <w:sz w:val="24"/>
          <w:szCs w:val="24"/>
        </w:rPr>
        <w:fldChar w:fldCharType="begin" w:fldLock="1"/>
      </w:r>
      <w:r w:rsidR="00276B78">
        <w:rPr>
          <w:rFonts w:ascii="Times New Roman" w:hAnsi="Times New Roman" w:cs="Times New Roman"/>
          <w:sz w:val="24"/>
          <w:szCs w:val="24"/>
        </w:rPr>
        <w:instrText>ADDIN CSL_CITATION {"citationItems":[{"id":"ITEM-1","itemData":{"DOI":"10.3390/molecules14103989","ISSN":"14203049","PMID":"19924044","abstract":"This short review presents new insights on the mechanism and online monitoring using electrospray ionization tandem mass spectrometry (ESI-MS/MS) of Morita-Baylis-Hillman (MBH) reactions. MBH reactions are versatile carbon-carbon organocatalyzed bond forming reactions, making them environmentally friendly due to general organocatalysts employed. The organocatalyst behavior, which controls the transition state and thus the enantioselectivities in the obtained products, is very important in the performance of asymmetric MBH transformations. Some recent techniques and advances in asymmetric transformations are reviwed, as well as online reaction monitoring and analysis of the reaction intermediates. The mechanism accepted nowadays is also review through the insights gained from the use of ESI-MS/MS techniques.","author":[{"dropping-particle":"","family":"Carrasco-Sanchez","given":"Verónica","non-dropping-particle":"","parse-names":false,"suffix":""},{"dropping-particle":"","family":"Simirgiotis","given":"Mario J.","non-dropping-particle":"","parse-names":false,"suffix":""},{"dropping-particle":"","family":"Santos","given":"Leonardo S.","non-dropping-particle":"","parse-names":false,"suffix":""}],"container-title":"Molecules","id":"ITEM-1","issue":"10","issued":{"date-parts":[["2009"]]},"page":"3989-4021","title":"The morita-baylis-hillman reaction: Insights into asymmetry and reaction mechanisms by electrospray ionization mass spectrometry","type":"article-journal","volume":"14"},"uris":["http://www.mendeley.com/documents/?uuid=2d6e2966-5137-4423-a1f7-d34a975df40e"]}],"mendeley":{"formattedCitation":"&lt;sup&gt;7&lt;/sup&gt;","plainTextFormattedCitation":"7","previouslyFormattedCitation":"&lt;sup&gt;7&lt;/sup&gt;"},"properties":{"noteIndex":0},"schema":"https://github.com/citation-style-language/schema/raw/master/csl-citation.json"}</w:instrText>
      </w:r>
      <w:r w:rsidRPr="009B5CC1">
        <w:rPr>
          <w:rFonts w:ascii="Times New Roman" w:hAnsi="Times New Roman" w:cs="Times New Roman"/>
          <w:sz w:val="24"/>
          <w:szCs w:val="24"/>
        </w:rPr>
        <w:fldChar w:fldCharType="separate"/>
      </w:r>
      <w:r w:rsidR="00276B78" w:rsidRPr="00276B78">
        <w:rPr>
          <w:rFonts w:ascii="Times New Roman" w:hAnsi="Times New Roman" w:cs="Times New Roman"/>
          <w:noProof/>
          <w:sz w:val="24"/>
          <w:szCs w:val="24"/>
          <w:vertAlign w:val="superscript"/>
        </w:rPr>
        <w:t>7</w:t>
      </w:r>
      <w:r w:rsidRPr="009B5CC1">
        <w:rPr>
          <w:rFonts w:ascii="Times New Roman" w:hAnsi="Times New Roman" w:cs="Times New Roman"/>
          <w:sz w:val="24"/>
          <w:szCs w:val="24"/>
        </w:rPr>
        <w:fldChar w:fldCharType="end"/>
      </w:r>
      <w:r w:rsidRPr="009B5CC1">
        <w:rPr>
          <w:sz w:val="24"/>
          <w:szCs w:val="24"/>
        </w:rPr>
        <w:t xml:space="preserve"> </w:t>
      </w:r>
      <w:r w:rsidRPr="009B5CC1">
        <w:rPr>
          <w:rFonts w:ascii="Times New Roman" w:hAnsi="Times New Roman" w:cs="Times New Roman"/>
          <w:sz w:val="24"/>
          <w:szCs w:val="24"/>
        </w:rPr>
        <w:t xml:space="preserve">These compounds are economical, biological friendly, perform number of functions and most importantly can be synthesized following green- one-step synthetic protocols. The antifungal, antimalarial, </w:t>
      </w:r>
      <w:proofErr w:type="spellStart"/>
      <w:r w:rsidRPr="009B5CC1">
        <w:rPr>
          <w:rFonts w:ascii="Times New Roman" w:hAnsi="Times New Roman" w:cs="Times New Roman"/>
          <w:sz w:val="24"/>
          <w:szCs w:val="24"/>
        </w:rPr>
        <w:t>antitubercular</w:t>
      </w:r>
      <w:proofErr w:type="spellEnd"/>
      <w:r w:rsidRPr="009B5CC1">
        <w:rPr>
          <w:rFonts w:ascii="Times New Roman" w:hAnsi="Times New Roman" w:cs="Times New Roman"/>
          <w:sz w:val="24"/>
          <w:szCs w:val="24"/>
        </w:rPr>
        <w:t xml:space="preserve"> activities of some MBHAs have been reported.</w:t>
      </w:r>
      <w:r w:rsidR="00B72588">
        <w:rPr>
          <w:rFonts w:ascii="Times New Roman" w:hAnsi="Times New Roman" w:cs="Times New Roman"/>
          <w:sz w:val="24"/>
          <w:szCs w:val="24"/>
        </w:rPr>
        <w:fldChar w:fldCharType="begin" w:fldLock="1"/>
      </w:r>
      <w:r w:rsidR="00276B78">
        <w:rPr>
          <w:rFonts w:ascii="Times New Roman" w:hAnsi="Times New Roman" w:cs="Times New Roman"/>
          <w:sz w:val="24"/>
          <w:szCs w:val="24"/>
        </w:rPr>
        <w:instrText>ADDIN CSL_CITATION {"citationItems":[{"id":"ITEM-1","itemData":{"DOI":"10.1016/j.tet.2010.04.018","ISSN":"00404020","abstract":"The synthesis of quinolones from Morita-Baylis-Hillman (MBH) adducts is reported. The quinolone skeleton is formed via a TFA-mediated cyclization of the MBH adduct, and a mechanism study using ESI(+)-MS(/MS) has indicated the role played by TFA in this key reaction step. The total syntheses of Norfloxacin and a benzyl quinolone carboxylic acid (BQCA) derivative are described. Norfloxacin is a fluoroquinolonic antibacterial drug whereas BQCA is M1 receptor positive allosteric modulator and seem to provide access to new potential drugs for Alzheimer disease, pain, and sleep disorders. The syntheses of these two important quinolones exemplify the versatility and potentiality of the approach. © 2010 Elsevier Ltd. All rights reserved.","author":[{"dropping-particle":"","family":"Amarante","given":"Giovanni W.","non-dropping-particle":"","parse-names":false,"suffix":""},{"dropping-particle":"","family":"Benassi","given":"Mario","non-dropping-particle":"","parse-names":false,"suffix":""},{"dropping-particle":"","family":"Pascoal","given":"Robert N.","non-dropping-particle":"","parse-names":false,"suffix":""},{"dropping-particle":"","family":"Eberlin","given":"Marcos N.","non-dropping-particle":"","parse-names":false,"suffix":""},{"dropping-particle":"","family":"Coelho","given":"Fernando","non-dropping-particle":"","parse-names":false,"suffix":""}],"container-title":"Tetrahedron","id":"ITEM-1","issue":"24","issued":{"date-parts":[["2010"]]},"page":"4370-4376","publisher":"Elsevier Ltd","title":"Mechanism and synthesis of pharmacologically active quinolones from Morita-Baylis-Hillman adducts","type":"article-journal","volume":"66"},"uris":["http://www.mendeley.com/documents/?uuid=cf3cddc3-5559-4085-8041-0b61f1cdc08a"]}],"mendeley":{"formattedCitation":"&lt;sup&gt;8&lt;/sup&gt;","plainTextFormattedCitation":"8","previouslyFormattedCitation":"&lt;sup&gt;8&lt;/sup&gt;"},"properties":{"noteIndex":0},"schema":"https://github.com/citation-style-language/schema/raw/master/csl-citation.json"}</w:instrText>
      </w:r>
      <w:r w:rsidR="00B72588">
        <w:rPr>
          <w:rFonts w:ascii="Times New Roman" w:hAnsi="Times New Roman" w:cs="Times New Roman"/>
          <w:sz w:val="24"/>
          <w:szCs w:val="24"/>
        </w:rPr>
        <w:fldChar w:fldCharType="separate"/>
      </w:r>
      <w:r w:rsidR="00276B78" w:rsidRPr="00276B78">
        <w:rPr>
          <w:rFonts w:ascii="Times New Roman" w:hAnsi="Times New Roman" w:cs="Times New Roman"/>
          <w:noProof/>
          <w:sz w:val="24"/>
          <w:szCs w:val="24"/>
          <w:vertAlign w:val="superscript"/>
        </w:rPr>
        <w:t>8</w:t>
      </w:r>
      <w:r w:rsidR="00B72588">
        <w:rPr>
          <w:rFonts w:ascii="Times New Roman" w:hAnsi="Times New Roman" w:cs="Times New Roman"/>
          <w:sz w:val="24"/>
          <w:szCs w:val="24"/>
        </w:rPr>
        <w:fldChar w:fldCharType="end"/>
      </w:r>
      <w:r w:rsidRPr="009B5CC1">
        <w:rPr>
          <w:rFonts w:ascii="Times New Roman" w:hAnsi="Times New Roman" w:cs="Times New Roman"/>
          <w:sz w:val="24"/>
          <w:szCs w:val="24"/>
        </w:rPr>
        <w:t xml:space="preserve"> The   </w:t>
      </w:r>
      <w:proofErr w:type="spellStart"/>
      <w:r w:rsidRPr="009B5CC1">
        <w:rPr>
          <w:rFonts w:ascii="Times New Roman" w:hAnsi="Times New Roman" w:cs="Times New Roman"/>
          <w:sz w:val="24"/>
          <w:szCs w:val="24"/>
        </w:rPr>
        <w:t>antileishmanial</w:t>
      </w:r>
      <w:proofErr w:type="spellEnd"/>
      <w:r w:rsidRPr="009B5CC1">
        <w:rPr>
          <w:rFonts w:ascii="Times New Roman" w:hAnsi="Times New Roman" w:cs="Times New Roman"/>
          <w:sz w:val="24"/>
          <w:szCs w:val="24"/>
        </w:rPr>
        <w:t>/antibacterial activities of some MBHA indicate that they can prove to be a novel and promising class of anti-parasitic compounds</w:t>
      </w:r>
      <w:r w:rsidR="00B57DF3">
        <w:rPr>
          <w:rFonts w:ascii="Times New Roman" w:hAnsi="Times New Roman" w:cs="Times New Roman"/>
          <w:sz w:val="24"/>
          <w:szCs w:val="24"/>
        </w:rPr>
        <w:t>.</w:t>
      </w:r>
      <w:r w:rsidR="00B57DF3">
        <w:rPr>
          <w:rFonts w:ascii="Times New Roman" w:hAnsi="Times New Roman" w:cs="Times New Roman"/>
          <w:sz w:val="24"/>
          <w:szCs w:val="24"/>
        </w:rPr>
        <w:fldChar w:fldCharType="begin" w:fldLock="1"/>
      </w:r>
      <w:r w:rsidR="00B57DF3">
        <w:rPr>
          <w:rFonts w:ascii="Times New Roman" w:hAnsi="Times New Roman" w:cs="Times New Roman"/>
          <w:sz w:val="24"/>
          <w:szCs w:val="24"/>
        </w:rPr>
        <w:instrText>ADDIN CSL_CITATION {"citationItems":[{"id":"ITEM-1","itemData":{"DOI":"10.1016/j.bioorg.2010.08.002","ISSN":"00452068","PMID":"20855101","abstract":"Sixteen aromatic Morita-Baylis-Hillman adducts (MBHA) 1-16 were efficiently synthesized in a one step Morita-Baylis-Hillman reaction (MBHR) involving commercial aldehydes with methyl acrylate or acrylonitrile (81-100% yields) without the formation of side products on DABCO catalysis and at low temperature (0 °C). The toxicities of these compounds were assessed against promastigote form of Leishmania amazonensis and Leishmania chagasi. The low synthetic cost of these MBHA, green synthetic protocols, easy one-step synthesis from commercially available and cheap reagents as well as the very good antileishmanial activity obtained for 14 and 16 (IC50 values of 6.88 μg mL-1 and 11.06 μg mL-1 respectively on L. amazonensis; 9.58 μg mL-1 and 14.34 μg mL-1 respectively on L. chagasi) indicates that these MBHA can be a novel and promising class of anti-parasitic compounds. © 2010 Elsevier Inc. All rights reserved.","author":[{"dropping-particle":"","family":"Junior","given":"Cláudio G.L.","non-dropping-particle":"","parse-names":false,"suffix":""},{"dropping-particle":"","family":"Assis","given":"Priscila A.C.","non-dropping-particle":"De","parse-names":false,"suffix":""},{"dropping-particle":"","family":"Silva","given":"Fábio P.L.","non-dropping-particle":"","parse-names":false,"suffix":""},{"dropping-particle":"","family":"Sousa","given":"Suervy C.O.","non-dropping-particle":"","parse-names":false,"suffix":""},{"dropping-particle":"","family":"Andrade","given":"Natália G.","non-dropping-particle":"De","parse-names":false,"suffix":""},{"dropping-particle":"","family":"Barbosa","given":"Ticiano P.","non-dropping-particle":"","parse-names":false,"suffix":""},{"dropping-particle":"","family":"Nerís","given":"Patrícia L.N.","non-dropping-particle":"","parse-names":false,"suffix":""},{"dropping-particle":"","family":"Segundo","given":"Luiz V.G.","non-dropping-particle":"","parse-names":false,"suffix":""},{"dropping-particle":"","family":"Anjos","given":"Ítalo C.","non-dropping-particle":"","parse-names":false,"suffix":""},{"dropping-particle":"","family":"Carvalho","given":"Gabriel A.U.","non-dropping-particle":"","parse-names":false,"suffix":""},{"dropping-particle":"","family":"Rocha","given":"Gerd B.","non-dropping-particle":"","parse-names":false,"suffix":""},{"dropping-particle":"","family":"Oliveira","given":"Márcia R.","non-dropping-particle":"","parse-names":false,"suffix":""},{"dropping-particle":"","family":"Vasconcellos","given":"Mário L.A.A.","non-dropping-particle":"","parse-names":false,"suffix":""}],"container-title":"Bioorganic Chemistry","id":"ITEM-1","issue":"6","issued":{"date-parts":[["2010"]]},"page":"279-284","title":"Efficient synthesis of 16 aromatic Morita-Baylis-Hillman adducts: Biological evaluation on Leishmania amazonensis and Leishmania chagasi","type":"article-journal","volume":"38"},"uris":["http://www.mendeley.com/documents/?uuid=d17b2359-7994-413b-ae8c-8a1b300c8d9b"]},{"id":"ITEM-2","itemData":{"DOI":"10.1055/s-0029-1217725","ISSN":"09365214","abstract":"Spirohexadienone is a structural moiety present in several biologically active natural products isolated both from terrestrial and marine natural sources. This structural moiety is commonly and strictly related to the biological properties exhibited by the natural products. We show herein that the combination of intermolecular Heck reactions with a phenolic oxidation induced by hypervalent iodine form these structural moieties from Morita-Baylis-Hillman adducts in moderate to good overall yields. © Georg Thieme Verlag Stuttgart.","author":[{"dropping-particle":"V.","family":"Pirovani","given":"Rodrigo","non-dropping-particle":"","parse-names":false,"suffix":""},{"dropping-particle":"","family":"Ferreira","given":"Bruno R.V.","non-dropping-particle":"","parse-names":false,"suffix":""},{"dropping-particle":"","family":"Coelho","given":"Fernando","non-dropping-particle":"","parse-names":false,"suffix":""}],"container-title":"Synlett","id":"ITEM-2","issue":"14","issued":{"date-parts":[["2009"]]},"page":"2333-2337","title":"Highly functionalized spirocyclohexadienones from Morita-Baylis-Hillman adducts","type":"article-journal"},"uris":["http://www.mendeley.com/documents/?uuid=5d4ed82e-1c92-4489-82f9-e4fed1e9b74b"]}],"mendeley":{"formattedCitation":"&lt;sup&gt;9,10&lt;/sup&gt;","plainTextFormattedCitation":"9,10","previouslyFormattedCitation":"&lt;sup&gt;9,10&lt;/sup&gt;"},"properties":{"noteIndex":0},"schema":"https://github.com/citation-style-language/schema/raw/master/csl-citation.json"}</w:instrText>
      </w:r>
      <w:r w:rsidR="00B57DF3">
        <w:rPr>
          <w:rFonts w:ascii="Times New Roman" w:hAnsi="Times New Roman" w:cs="Times New Roman"/>
          <w:sz w:val="24"/>
          <w:szCs w:val="24"/>
        </w:rPr>
        <w:fldChar w:fldCharType="separate"/>
      </w:r>
      <w:r w:rsidR="00B57DF3" w:rsidRPr="00B57DF3">
        <w:rPr>
          <w:rFonts w:ascii="Times New Roman" w:hAnsi="Times New Roman" w:cs="Times New Roman"/>
          <w:noProof/>
          <w:sz w:val="24"/>
          <w:szCs w:val="24"/>
          <w:vertAlign w:val="superscript"/>
        </w:rPr>
        <w:t>9,10</w:t>
      </w:r>
      <w:r w:rsidR="00B57DF3">
        <w:rPr>
          <w:rFonts w:ascii="Times New Roman" w:hAnsi="Times New Roman" w:cs="Times New Roman"/>
          <w:sz w:val="24"/>
          <w:szCs w:val="24"/>
        </w:rPr>
        <w:fldChar w:fldCharType="end"/>
      </w:r>
      <w:r w:rsidR="00345681">
        <w:rPr>
          <w:rFonts w:ascii="Times New Roman" w:hAnsi="Times New Roman" w:cs="Times New Roman"/>
          <w:sz w:val="24"/>
          <w:szCs w:val="24"/>
        </w:rPr>
        <w:t xml:space="preserve"> </w:t>
      </w:r>
    </w:p>
    <w:p w:rsidR="003A6E3C" w:rsidRDefault="003A6E3C" w:rsidP="009B5CC1">
      <w:pPr>
        <w:shd w:val="clear" w:color="auto" w:fill="FFFFFF"/>
        <w:spacing w:after="0" w:line="360" w:lineRule="auto"/>
        <w:jc w:val="both"/>
        <w:rPr>
          <w:rFonts w:ascii="Times New Roman" w:hAnsi="Times New Roman" w:cs="Times New Roman"/>
          <w:sz w:val="24"/>
          <w:szCs w:val="24"/>
          <w:shd w:val="clear" w:color="auto" w:fill="FFFFFF"/>
        </w:rPr>
      </w:pPr>
      <w:r w:rsidRPr="009B5CC1">
        <w:rPr>
          <w:rFonts w:ascii="Times New Roman" w:hAnsi="Times New Roman" w:cs="Times New Roman"/>
          <w:sz w:val="24"/>
          <w:szCs w:val="24"/>
          <w:shd w:val="clear" w:color="auto" w:fill="FFFFFF"/>
        </w:rPr>
        <w:t>A discovery unlocked the entrance of an uncharted world of metal-based chemotherapeutic agents which have dissimilar kinetics and mechanism of action from those of traditional organic medications. Curative potentialities of metal complexes in tumor/cancer therapy as well as other biological functions intricate a ration of attention typically because central metals exhibit some special features. These metal-based complexes have variable coordination modes, curing drug activity and excellency in reactivity in the dir</w:t>
      </w:r>
      <w:r w:rsidR="00E233F0">
        <w:rPr>
          <w:rFonts w:ascii="Times New Roman" w:hAnsi="Times New Roman" w:cs="Times New Roman"/>
          <w:sz w:val="24"/>
          <w:szCs w:val="24"/>
          <w:shd w:val="clear" w:color="auto" w:fill="FFFFFF"/>
        </w:rPr>
        <w:t>ection of the organic substrate</w:t>
      </w:r>
      <w:r w:rsidR="0066519F">
        <w:rPr>
          <w:rFonts w:ascii="Times New Roman" w:hAnsi="Times New Roman" w:cs="Times New Roman"/>
          <w:sz w:val="24"/>
          <w:szCs w:val="24"/>
          <w:shd w:val="clear" w:color="auto" w:fill="FFFFFF"/>
        </w:rPr>
        <w:t>.</w:t>
      </w:r>
      <w:r w:rsidRPr="009B5CC1">
        <w:rPr>
          <w:rFonts w:ascii="Times New Roman" w:hAnsi="Times New Roman" w:cs="Times New Roman"/>
          <w:sz w:val="24"/>
          <w:szCs w:val="24"/>
          <w:shd w:val="clear" w:color="auto" w:fill="FFFFFF"/>
        </w:rPr>
        <w:fldChar w:fldCharType="begin" w:fldLock="1"/>
      </w:r>
      <w:r w:rsidR="00276B78">
        <w:rPr>
          <w:rFonts w:ascii="Times New Roman" w:hAnsi="Times New Roman" w:cs="Times New Roman"/>
          <w:sz w:val="24"/>
          <w:szCs w:val="24"/>
          <w:shd w:val="clear" w:color="auto" w:fill="FFFFFF"/>
        </w:rPr>
        <w:instrText>ADDIN CSL_CITATION {"citationItems":[{"id":"ITEM-1","itemData":{"DOI":"10.1515/chem-2019-0108","ISSN":"23915420","abstract":"The titled compound 1,4-diazacycloheptane have vibrational freedom which allows it to coordinate to metal through 1st and 4th positions. Copper (II) and Nickel (II) complexes of DACH were prepared and characterized through UV-Visible, FT-IR, elemental analyses, conductance, and magnetic susceptibilities and compared to the results published in Inorg. Chem., 8(3), 528 (1969). The prepared complexes bearing different coordinating or non-coordinating anions were screened against four different pathogenic bacterial strains to study anionic effect on antibacterial activity. The MIC values of all the compounds suggest that [Cu(DACH)2Br2] is almost inactive against the tested microbes except Staph aureus. Rest of the metal complexes are active at their respective MIC values.","author":[{"dropping-particle":"","family":"Rehman","given":"Sadia","non-dropping-particle":"","parse-names":false,"suffix":""},{"dropping-particle":"","family":"Ikram","given":"Muhammad","non-dropping-particle":"","parse-names":false,"suffix":""},{"dropping-particle":"","family":"Subhan","given":"Fazle","non-dropping-particle":"","parse-names":false,"suffix":""},{"dropping-particle":"","family":"Sinnokrot","given":"Mutasem","non-dropping-particle":"","parse-names":false,"suffix":""},{"dropping-particle":"","family":"Khan","given":"Waliullah","non-dropping-particle":"","parse-names":false,"suffix":""}],"container-title":"Open Chemistry","id":"ITEM-1","issue":"1","issued":{"date-parts":[["2019"]]},"page":"936-942","title":"Antibacterial Activities of Transition Metal complexes of Mesocyclic Amidine 1,4-diazacycloheptane (DACH)","type":"article-journal","volume":"17"},"uris":["http://www.mendeley.com/documents/?uuid=df60a046-3e3c-472c-9882-df191b471e6a"]},{"id":"ITEM-2","itemData":{"DOI":"10.1021/cr020607t","ISSN":"00092665","PMID":"14871144","author":[{"dropping-particle":"","family":"Crans","given":"Debbie C.","non-dropping-particle":"","parse-names":false,"suffix":""},{"dropping-particle":"","family":"Smee","given":"Jason J.","non-dropping-particle":"","parse-names":false,"suffix":""},{"dropping-particle":"","family":"Gaidamauskas","given":"Ernestas","non-dropping-particle":"","parse-names":false,"suffix":""},{"dropping-particle":"","family":"Yang","given":"Luqin","non-dropping-particle":"","parse-names":false,"suffix":""}],"container-title":"Chemical Reviews","id":"ITEM-2","issue":"2","issued":{"date-parts":[["2004"]]},"page":"849-902","title":"The Chemistry and Biochemistry of Vanadium and the Biological Activities Exerted by Vanadium Compounds","type":"article-journal","volume":"104"},"uris":["http://www.mendeley.com/documents/?uuid=e129b3d0-e715-474d-980c-7413e40fe71c"]}],"mendeley":{"formattedCitation":"&lt;sup&gt;11,12&lt;/sup&gt;","plainTextFormattedCitation":"11,12","previouslyFormattedCitation":"&lt;sup&gt;11,12&lt;/sup&gt;"},"properties":{"noteIndex":0},"schema":"https://github.com/citation-style-language/schema/raw/master/csl-citation.json"}</w:instrText>
      </w:r>
      <w:r w:rsidRPr="009B5CC1">
        <w:rPr>
          <w:rFonts w:ascii="Times New Roman" w:hAnsi="Times New Roman" w:cs="Times New Roman"/>
          <w:sz w:val="24"/>
          <w:szCs w:val="24"/>
          <w:shd w:val="clear" w:color="auto" w:fill="FFFFFF"/>
        </w:rPr>
        <w:fldChar w:fldCharType="separate"/>
      </w:r>
      <w:r w:rsidR="00276B78" w:rsidRPr="00276B78">
        <w:rPr>
          <w:rFonts w:ascii="Times New Roman" w:hAnsi="Times New Roman" w:cs="Times New Roman"/>
          <w:noProof/>
          <w:sz w:val="24"/>
          <w:szCs w:val="24"/>
          <w:shd w:val="clear" w:color="auto" w:fill="FFFFFF"/>
          <w:vertAlign w:val="superscript"/>
        </w:rPr>
        <w:t>11,12</w:t>
      </w:r>
      <w:r w:rsidRPr="009B5CC1">
        <w:rPr>
          <w:rFonts w:ascii="Times New Roman" w:hAnsi="Times New Roman" w:cs="Times New Roman"/>
          <w:sz w:val="24"/>
          <w:szCs w:val="24"/>
          <w:shd w:val="clear" w:color="auto" w:fill="FFFFFF"/>
        </w:rPr>
        <w:fldChar w:fldCharType="end"/>
      </w:r>
      <w:r w:rsidRPr="009B5CC1">
        <w:rPr>
          <w:rFonts w:ascii="Times New Roman" w:hAnsi="Times New Roman" w:cs="Times New Roman"/>
          <w:sz w:val="24"/>
          <w:szCs w:val="24"/>
          <w:shd w:val="clear" w:color="auto" w:fill="FFFFFF"/>
        </w:rPr>
        <w:t xml:space="preserve"> The metal </w:t>
      </w:r>
      <w:proofErr w:type="spellStart"/>
      <w:r w:rsidRPr="009B5CC1">
        <w:rPr>
          <w:rFonts w:ascii="Times New Roman" w:hAnsi="Times New Roman" w:cs="Times New Roman"/>
          <w:sz w:val="24"/>
          <w:szCs w:val="24"/>
          <w:shd w:val="clear" w:color="auto" w:fill="FFFFFF"/>
        </w:rPr>
        <w:t>complexation</w:t>
      </w:r>
      <w:proofErr w:type="spellEnd"/>
      <w:r w:rsidRPr="009B5CC1">
        <w:rPr>
          <w:rFonts w:ascii="Times New Roman" w:hAnsi="Times New Roman" w:cs="Times New Roman"/>
          <w:sz w:val="24"/>
          <w:szCs w:val="24"/>
          <w:shd w:val="clear" w:color="auto" w:fill="FFFFFF"/>
        </w:rPr>
        <w:t xml:space="preserve"> of ligands containing oxygen, nitrogen, hydroxyl, or </w:t>
      </w:r>
      <w:r w:rsidRPr="009B5CC1">
        <w:rPr>
          <w:rFonts w:ascii="Times New Roman" w:hAnsi="Times New Roman" w:cs="Times New Roman"/>
          <w:sz w:val="24"/>
          <w:szCs w:val="24"/>
          <w:shd w:val="clear" w:color="auto" w:fill="FFFFFF"/>
        </w:rPr>
        <w:lastRenderedPageBreak/>
        <w:t>ester functional groups with metals like copper, zinc, cobalt, and iron represent numerous finely-tuned activities such as antihypertensive, antimalarial, and antimicrobial. In addition, transition metal ion complexes are known to have an efficient electron transfer role in many biological processes</w:t>
      </w:r>
      <w:r w:rsidR="0066519F">
        <w:rPr>
          <w:rFonts w:ascii="Times New Roman" w:hAnsi="Times New Roman" w:cs="Times New Roman"/>
          <w:sz w:val="24"/>
          <w:szCs w:val="24"/>
          <w:shd w:val="clear" w:color="auto" w:fill="FFFFFF"/>
        </w:rPr>
        <w:t>.</w:t>
      </w:r>
      <w:r w:rsidRPr="009B5CC1">
        <w:rPr>
          <w:rFonts w:ascii="Times New Roman" w:hAnsi="Times New Roman" w:cs="Times New Roman"/>
          <w:sz w:val="24"/>
          <w:szCs w:val="24"/>
          <w:shd w:val="clear" w:color="auto" w:fill="FFFFFF"/>
        </w:rPr>
        <w:fldChar w:fldCharType="begin" w:fldLock="1"/>
      </w:r>
      <w:r w:rsidR="00276B78">
        <w:rPr>
          <w:rFonts w:ascii="Times New Roman" w:hAnsi="Times New Roman" w:cs="Times New Roman"/>
          <w:sz w:val="24"/>
          <w:szCs w:val="24"/>
          <w:shd w:val="clear" w:color="auto" w:fill="FFFFFF"/>
        </w:rPr>
        <w:instrText>ADDIN CSL_CITATION {"citationItems":[{"id":"ITEM-1","itemData":{"DOI":"10.1016/j.cbpa.2007.11.013","ISSN":"13675931","PMID":"18155674","abstract":"Medicinal inorganic chemistry can exploit the unique properties of metal ions for the design of new drugs. This has, for instance, led to the clinical application of chemotherapeutic agents for cancer treatment, such as cisplatin. The use of cisplatin is, however, severely limited by its toxic side-effects. This has spurred chemists to employ different strategies in the development of new metal-based anticancer agents with different mechanisms of action. Recent trends in the field are discussed in this review. These include the more selective delivery and/or activation of cisplatin-related prodrugs and the discovery of new non-covalent interactions with the classical target, DNA. The use of the metal as scaffold rather than reactive centre and the departure from the cisplatin paradigm of activity towards a more targeted, cancer cell-specific approach, a major trend, are discussed as well. All this, together with the observation that some of the new drugs are organometallic complexes, illustrates that exciting times lie ahead for those interested in 'metals in medicine'. © 2007 Elsevier Ltd. All rights reserved.","author":[{"dropping-particle":"","family":"Bruijnincx","given":"Pieter CA","non-dropping-particle":"","parse-names":false,"suffix":""},{"dropping-particle":"","family":"Sadler","given":"Peter J.","non-dropping-particle":"","parse-names":false,"suffix":""}],"container-title":"Current Opinion in Chemical Biology","id":"ITEM-1","issue":"2","issued":{"date-parts":[["2008"]]},"page":"197-206","title":"New trends for metal complexes with anticancer activity","type":"article-journal","volume":"12"},"uris":["http://www.mendeley.com/documents/?uuid=cd30ddff-0170-4e60-993b-1e104bfbe27c"]}],"mendeley":{"formattedCitation":"&lt;sup&gt;13&lt;/sup&gt;","plainTextFormattedCitation":"13","previouslyFormattedCitation":"&lt;sup&gt;13&lt;/sup&gt;"},"properties":{"noteIndex":0},"schema":"https://github.com/citation-style-language/schema/raw/master/csl-citation.json"}</w:instrText>
      </w:r>
      <w:r w:rsidRPr="009B5CC1">
        <w:rPr>
          <w:rFonts w:ascii="Times New Roman" w:hAnsi="Times New Roman" w:cs="Times New Roman"/>
          <w:sz w:val="24"/>
          <w:szCs w:val="24"/>
          <w:shd w:val="clear" w:color="auto" w:fill="FFFFFF"/>
        </w:rPr>
        <w:fldChar w:fldCharType="separate"/>
      </w:r>
      <w:r w:rsidR="00276B78" w:rsidRPr="00276B78">
        <w:rPr>
          <w:rFonts w:ascii="Times New Roman" w:hAnsi="Times New Roman" w:cs="Times New Roman"/>
          <w:noProof/>
          <w:sz w:val="24"/>
          <w:szCs w:val="24"/>
          <w:shd w:val="clear" w:color="auto" w:fill="FFFFFF"/>
          <w:vertAlign w:val="superscript"/>
        </w:rPr>
        <w:t>13</w:t>
      </w:r>
      <w:r w:rsidRPr="009B5CC1">
        <w:rPr>
          <w:rFonts w:ascii="Times New Roman" w:hAnsi="Times New Roman" w:cs="Times New Roman"/>
          <w:sz w:val="24"/>
          <w:szCs w:val="24"/>
          <w:shd w:val="clear" w:color="auto" w:fill="FFFFFF"/>
        </w:rPr>
        <w:fldChar w:fldCharType="end"/>
      </w:r>
      <w:r w:rsidRPr="009B5CC1">
        <w:rPr>
          <w:rFonts w:ascii="Times New Roman" w:hAnsi="Times New Roman" w:cs="Times New Roman"/>
          <w:sz w:val="24"/>
          <w:szCs w:val="24"/>
          <w:shd w:val="clear" w:color="auto" w:fill="FFFFFF"/>
        </w:rPr>
        <w:t xml:space="preserve"> Though metals have long been used for medicinal purposes in a more or less empirical fashion, a wide variety of chelating number and geometrical forms, redox states, thermodynamic and kinetic properties of the metal </w:t>
      </w:r>
      <w:proofErr w:type="spellStart"/>
      <w:r w:rsidRPr="009B5CC1">
        <w:rPr>
          <w:rFonts w:ascii="Times New Roman" w:hAnsi="Times New Roman" w:cs="Times New Roman"/>
          <w:sz w:val="24"/>
          <w:szCs w:val="24"/>
          <w:shd w:val="clear" w:color="auto" w:fill="FFFFFF"/>
        </w:rPr>
        <w:t>cation</w:t>
      </w:r>
      <w:proofErr w:type="spellEnd"/>
      <w:r w:rsidRPr="009B5CC1">
        <w:rPr>
          <w:rFonts w:ascii="Times New Roman" w:hAnsi="Times New Roman" w:cs="Times New Roman"/>
          <w:sz w:val="24"/>
          <w:szCs w:val="24"/>
          <w:shd w:val="clear" w:color="auto" w:fill="FFFFFF"/>
        </w:rPr>
        <w:t xml:space="preserve"> and ligand itself suggest the medicinal chemist a wide spectrum of reactive sites that can be highly moralized</w:t>
      </w:r>
      <w:r w:rsidR="0066519F">
        <w:rPr>
          <w:rFonts w:ascii="Times New Roman" w:hAnsi="Times New Roman" w:cs="Times New Roman"/>
          <w:sz w:val="24"/>
          <w:szCs w:val="24"/>
          <w:shd w:val="clear" w:color="auto" w:fill="FFFFFF"/>
        </w:rPr>
        <w:t>.</w:t>
      </w:r>
      <w:r w:rsidRPr="009B5CC1">
        <w:rPr>
          <w:rFonts w:ascii="Times New Roman" w:hAnsi="Times New Roman" w:cs="Times New Roman"/>
          <w:sz w:val="24"/>
          <w:szCs w:val="24"/>
          <w:shd w:val="clear" w:color="auto" w:fill="FFFFFF"/>
        </w:rPr>
        <w:fldChar w:fldCharType="begin" w:fldLock="1"/>
      </w:r>
      <w:r w:rsidR="00276B78">
        <w:rPr>
          <w:rFonts w:ascii="Times New Roman" w:hAnsi="Times New Roman" w:cs="Times New Roman"/>
          <w:sz w:val="24"/>
          <w:szCs w:val="24"/>
          <w:shd w:val="clear" w:color="auto" w:fill="FFFFFF"/>
        </w:rPr>
        <w:instrText>ADDIN CSL_CITATION {"citationItems":[{"id":"ITEM-1","itemData":{"DOI":"10.1039/d0dt02802a","ISSN":"14779234","PMID":"33047745","abstract":"Metal organic frameworks (MOFs), also known as coordination polymers/networks, have experienced a rapid upsurge in the last 20 years in part due to the precise visualization of their atomic arrangement in the solid state. Structure-function relationship properties in MOFs is a key step to understand the potential of a material for its applications in advanced technologies, which can be only understood if full structure determination is carried out. Single crystal X-ray diffraction is the most reliable technique for the 3D description of the atomic arrangement of a crystalline material, but it needs a suitable single crystal both in size and in quality. Sadly, it often occurs that it is not possible to grow crystals of enough quality for single crystal XRD analysis. In MOF synthesis, rather often the products of certain synthetic approaches such as fast crystallization or mechanochemical reactions are obtained as powders. Also, gas, temperature, and solvent induced reactions render single crystals unsuitable for single crystal XRD. In such cases, structure elucidation of MOFs must be carried out using ab initio powder XRD analysis. Unfortunately, structure solution from powder XRD data is more complicated than that from single crystal XRD data. In this article, ashort overview of crystal structure solution from powder XRD and how this technique has been applied in the structure solution of MOFs using direct-space strategy is given. Examples of microcrystalline MOFs obtained by solvothermal methods, synthesized by instant synthesis and mechanochemical methods and products obtained after solid-state reactivity are highlighted. The reported cases are challenging structure solution examples carried out by direct-space strategy using powder XRD data, and show that ab initio powder XRD structure solution is a powerful technique that allows many chemical reactions whose products cannot be carried out by single crystal X-ray analysis to be understood. Hopefully, the strength of ab initio powder XRD structure elucidation with the few cases shown inthis Perspective will encourage members of this field of research to exploit this technique to makefurther progress in MOF chemistry.","author":[{"dropping-particle":"","family":"Martí-Rujas","given":"Javier","non-dropping-particle":"","parse-names":false,"suffix":""}],"container-title":"Dalton Transactions","id":"ITEM-1","issue":"40","issued":{"date-parts":[["2020"]]},"page":"13897-13916","title":"Structural elucidation of microcrystalline MOFs from powder X-ray diffraction","type":"article-journal","volume":"49"},"uris":["http://www.mendeley.com/documents/?uuid=8c9abac7-197f-418f-b3eb-7aeb98b33ab2"]}],"mendeley":{"formattedCitation":"&lt;sup&gt;14&lt;/sup&gt;","plainTextFormattedCitation":"14","previouslyFormattedCitation":"&lt;sup&gt;14&lt;/sup&gt;"},"properties":{"noteIndex":0},"schema":"https://github.com/citation-style-language/schema/raw/master/csl-citation.json"}</w:instrText>
      </w:r>
      <w:r w:rsidRPr="009B5CC1">
        <w:rPr>
          <w:rFonts w:ascii="Times New Roman" w:hAnsi="Times New Roman" w:cs="Times New Roman"/>
          <w:sz w:val="24"/>
          <w:szCs w:val="24"/>
          <w:shd w:val="clear" w:color="auto" w:fill="FFFFFF"/>
        </w:rPr>
        <w:fldChar w:fldCharType="separate"/>
      </w:r>
      <w:r w:rsidR="00276B78" w:rsidRPr="00276B78">
        <w:rPr>
          <w:rFonts w:ascii="Times New Roman" w:hAnsi="Times New Roman" w:cs="Times New Roman"/>
          <w:noProof/>
          <w:sz w:val="24"/>
          <w:szCs w:val="24"/>
          <w:shd w:val="clear" w:color="auto" w:fill="FFFFFF"/>
          <w:vertAlign w:val="superscript"/>
        </w:rPr>
        <w:t>14</w:t>
      </w:r>
      <w:r w:rsidRPr="009B5CC1">
        <w:rPr>
          <w:rFonts w:ascii="Times New Roman" w:hAnsi="Times New Roman" w:cs="Times New Roman"/>
          <w:sz w:val="24"/>
          <w:szCs w:val="24"/>
          <w:shd w:val="clear" w:color="auto" w:fill="FFFFFF"/>
        </w:rPr>
        <w:fldChar w:fldCharType="end"/>
      </w:r>
      <w:r w:rsidRPr="009B5CC1">
        <w:rPr>
          <w:sz w:val="24"/>
          <w:szCs w:val="24"/>
        </w:rPr>
        <w:t xml:space="preserve"> </w:t>
      </w:r>
      <w:r w:rsidRPr="009B5CC1">
        <w:rPr>
          <w:rFonts w:ascii="Times New Roman" w:hAnsi="Times New Roman" w:cs="Times New Roman"/>
          <w:sz w:val="24"/>
          <w:szCs w:val="24"/>
          <w:shd w:val="clear" w:color="auto" w:fill="FFFFFF"/>
        </w:rPr>
        <w:t>Thus, the biological diversity of the transition metal complex along with its pharmacological specificity is to be measured. Promising physiological responses of the applicant drugs need to be demonstrated by in vitro study with targeted biomolecules and tissues as well as in-vivo. Therefore, studies pertaining to ligands with multiple, medicinally dynamic binding sites may serve as models for biochemical processes</w:t>
      </w:r>
      <w:r w:rsidR="0066519F">
        <w:rPr>
          <w:rFonts w:ascii="Times New Roman" w:hAnsi="Times New Roman" w:cs="Times New Roman"/>
          <w:sz w:val="24"/>
          <w:szCs w:val="24"/>
          <w:shd w:val="clear" w:color="auto" w:fill="FFFFFF"/>
        </w:rPr>
        <w:t>.</w:t>
      </w:r>
      <w:r w:rsidRPr="009B5CC1">
        <w:rPr>
          <w:rFonts w:ascii="Times New Roman" w:hAnsi="Times New Roman" w:cs="Times New Roman"/>
          <w:sz w:val="24"/>
          <w:szCs w:val="24"/>
          <w:shd w:val="clear" w:color="auto" w:fill="FFFFFF"/>
        </w:rPr>
        <w:fldChar w:fldCharType="begin" w:fldLock="1"/>
      </w:r>
      <w:r w:rsidR="00276B78">
        <w:rPr>
          <w:rFonts w:ascii="Times New Roman" w:hAnsi="Times New Roman" w:cs="Times New Roman"/>
          <w:sz w:val="24"/>
          <w:szCs w:val="24"/>
          <w:shd w:val="clear" w:color="auto" w:fill="FFFFFF"/>
        </w:rPr>
        <w:instrText>ADDIN CSL_CITATION {"citationItems":[{"id":"ITEM-1","itemData":{"DOI":"10.1515/chem-2019-0108","ISSN":"23915420","abstract":"The titled compound 1,4-diazacycloheptane have vibrational freedom which allows it to coordinate to metal through 1st and 4th positions. Copper (II) and Nickel (II) complexes of DACH were prepared and characterized through UV-Visible, FT-IR, elemental analyses, conductance, and magnetic susceptibilities and compared to the results published in Inorg. Chem., 8(3), 528 (1969). The prepared complexes bearing different coordinating or non-coordinating anions were screened against four different pathogenic bacterial strains to study anionic effect on antibacterial activity. The MIC values of all the compounds suggest that [Cu(DACH)2Br2] is almost inactive against the tested microbes except Staph aureus. Rest of the metal complexes are active at their respective MIC values.","author":[{"dropping-particle":"","family":"Rehman","given":"Sadia","non-dropping-particle":"","parse-names":false,"suffix":""},{"dropping-particle":"","family":"Ikram","given":"Muhammad","non-dropping-particle":"","parse-names":false,"suffix":""},{"dropping-particle":"","family":"Subhan","given":"Fazle","non-dropping-particle":"","parse-names":false,"suffix":""},{"dropping-particle":"","family":"Sinnokrot","given":"Mutasem","non-dropping-particle":"","parse-names":false,"suffix":""},{"dropping-particle":"","family":"Khan","given":"Waliullah","non-dropping-particle":"","parse-names":false,"suffix":""}],"container-title":"Open Chemistry","id":"ITEM-1","issue":"1","issued":{"date-parts":[["2019"]]},"page":"936-942","title":"Antibacterial Activities of Transition Metal complexes of Mesocyclic Amidine 1,4-diazacycloheptane (DACH)","type":"article-journal","volume":"17"},"uris":["http://www.mendeley.com/documents/?uuid=e8e31301-b04e-4b63-8bf5-1732080ad73c"]},{"id":"ITEM-2","itemData":{"DOI":"10.1021/om020533b","ISSN":"02767333","author":[{"dropping-particle":"","family":"Liu","given":"Shih Yuan","non-dropping-particle":"","parse-names":false,"suffix":""},{"dropping-particle":"","family":"Hills","given":"Ivory D.","non-dropping-particle":"","parse-names":false,"suffix":""},{"dropping-particle":"","family":"Fu","given":"Gregory C.","non-dropping-particle":"","parse-names":false,"suffix":""}],"container-title":"Organometallics","id":"ITEM-2","issue":"21","issued":{"date-parts":[["2002"]]},"page":"4323-4325","title":"The first general method for the synthesis of transition-metal π complexes of an electronically diverse family of 1,2-azaborolyls","type":"article-journal","volume":"21"},"uris":["http://www.mendeley.com/documents/?uuid=cd2d06d7-2b13-40d9-85ca-56ca10436fd1"]},{"id":"ITEM-3","itemData":{"DOI":"10.1007/s11030-019-09950-7","ISBN":"0123456789","ISSN":"1573501X","PMID":"30955150","abstract":"Abstract: Quaternary or spirocyclic 3-substituted-3-hydroxy-2-oxindole is considered a privileged scaffold. In other words, it is a molecular core present on several compounds with a wide spectrum of biological activities. Among its precursors, activated ketones (isatin nucleus) can be used as interesting starting points to Morita–Baylis–Hillman adducts derivatives, a class of compounds with good cytotoxic potential. In this paper, we present the synthesis, anti-proliferative activity against lung cancer cell line and a theoretical conformational study of 21 of Morita–Baylis–Hillman adducts from isatin derivatives, by DFT quantum chemical calculations, followed by a SAR and QSAR analysis. Besides, an efficient synthetic protocol and good biological activity profile were highlighted interesting observations about 1H NMR experimental spectra, molecular modeling results and crystallographic data available. Graphical abstract: [Figure not available: see fulltext.]","author":[{"dropping-particle":"","family":"Brito","given":"Vinicius B.M.","non-dropping-particle":"","parse-names":false,"suffix":""},{"dropping-particle":"","family":"Santos","given":"Gilmar F.","non-dropping-particle":"","parse-names":false,"suffix":""},{"dropping-particle":"","family":"Silva","given":"Thiago D.S.","non-dropping-particle":"","parse-names":false,"suffix":""},{"dropping-particle":"","family":"Souza","given":"Júlia L.C.","non-dropping-particle":"","parse-names":false,"suffix":""},{"dropping-particle":"","family":"Militão","given":"Gardenia C.G.","non-dropping-particle":"","parse-names":false,"suffix":""},{"dropping-particle":"","family":"Martins","given":"Felipe T.","non-dropping-particle":"","parse-names":false,"suffix":""},{"dropping-particle":"","family":"Silva","given":"Fábio P.L.","non-dropping-particle":"","parse-names":false,"suffix":""},{"dropping-particle":"","family":"Oliveira","given":"Boaz G.","non-dropping-particle":"","parse-names":false,"suffix":""},{"dropping-particle":"","family":"Araújo","given":"Edigenia C.C.","non-dropping-particle":"","parse-names":false,"suffix":""},{"dropping-particle":"","family":"Vasconcellos","given":"Mário L.A.A.","non-dropping-particle":"","parse-names":false,"suffix":""},{"dropping-particle":"","family":"Lima-Júnior","given":"Claudio G.","non-dropping-particle":"","parse-names":false,"suffix":""},{"dropping-particle":"","family":"Alencar-Filho","given":"Edilson B.","non-dropping-particle":"","parse-names":false,"suffix":""}],"container-title":"Molecular Diversity","id":"ITEM-3","issue":"1","issued":{"date-parts":[["2020"]]},"page":"265-281","publisher":"Springer International Publishing","title":"Synthesis, anti-proliferative activity, theoretical and 1H NMR experimental studies of Morita–Baylis–Hillman adducts from isatin derivatives","type":"article-journal","volume":"24"},"uris":["http://www.mendeley.com/documents/?uuid=1bd7385c-5227-40f7-994c-c2fe9884aca5"]}],"mendeley":{"formattedCitation":"&lt;sup&gt;11,15,16&lt;/sup&gt;","plainTextFormattedCitation":"11,15,16","previouslyFormattedCitation":"&lt;sup&gt;11,15,16&lt;/sup&gt;"},"properties":{"noteIndex":0},"schema":"https://github.com/citation-style-language/schema/raw/master/csl-citation.json"}</w:instrText>
      </w:r>
      <w:r w:rsidRPr="009B5CC1">
        <w:rPr>
          <w:rFonts w:ascii="Times New Roman" w:hAnsi="Times New Roman" w:cs="Times New Roman"/>
          <w:sz w:val="24"/>
          <w:szCs w:val="24"/>
          <w:shd w:val="clear" w:color="auto" w:fill="FFFFFF"/>
        </w:rPr>
        <w:fldChar w:fldCharType="separate"/>
      </w:r>
      <w:r w:rsidR="00276B78" w:rsidRPr="00276B78">
        <w:rPr>
          <w:rFonts w:ascii="Times New Roman" w:hAnsi="Times New Roman" w:cs="Times New Roman"/>
          <w:noProof/>
          <w:sz w:val="24"/>
          <w:szCs w:val="24"/>
          <w:shd w:val="clear" w:color="auto" w:fill="FFFFFF"/>
          <w:vertAlign w:val="superscript"/>
        </w:rPr>
        <w:t>11,15,16</w:t>
      </w:r>
      <w:r w:rsidRPr="009B5CC1">
        <w:rPr>
          <w:rFonts w:ascii="Times New Roman" w:hAnsi="Times New Roman" w:cs="Times New Roman"/>
          <w:sz w:val="24"/>
          <w:szCs w:val="24"/>
          <w:shd w:val="clear" w:color="auto" w:fill="FFFFFF"/>
        </w:rPr>
        <w:fldChar w:fldCharType="end"/>
      </w:r>
      <w:r w:rsidRPr="009B5CC1">
        <w:rPr>
          <w:rFonts w:ascii="Times New Roman" w:hAnsi="Times New Roman" w:cs="Times New Roman"/>
          <w:sz w:val="24"/>
          <w:szCs w:val="24"/>
          <w:shd w:val="clear" w:color="auto" w:fill="FFFFFF"/>
        </w:rPr>
        <w:t xml:space="preserve"> In this context, the wide variety of potent biotic activities of MBHA encouraged us to synthesize new series of products belonging to this class of compounds, possessing different functionalities and exhibiting potential antioxidant activity. Keeping in view the significance of reported research on synthetic MBH adducts as medicinally important candidates and having the diversity of functions, we conferred them as ligands for the novel drugs synthesis based upon their transition metal complexes. The present study designates synthesis, characterization, and computational studies of halo/</w:t>
      </w:r>
      <w:proofErr w:type="spellStart"/>
      <w:r w:rsidRPr="009B5CC1">
        <w:rPr>
          <w:rFonts w:ascii="Times New Roman" w:hAnsi="Times New Roman" w:cs="Times New Roman"/>
          <w:sz w:val="24"/>
          <w:szCs w:val="24"/>
          <w:shd w:val="clear" w:color="auto" w:fill="FFFFFF"/>
        </w:rPr>
        <w:t>chloro-benzaldehyde</w:t>
      </w:r>
      <w:proofErr w:type="spellEnd"/>
      <w:r w:rsidRPr="009B5CC1">
        <w:rPr>
          <w:rFonts w:ascii="Times New Roman" w:hAnsi="Times New Roman" w:cs="Times New Roman"/>
          <w:sz w:val="24"/>
          <w:szCs w:val="24"/>
          <w:shd w:val="clear" w:color="auto" w:fill="FFFFFF"/>
        </w:rPr>
        <w:t xml:space="preserve"> based MBH adducts and some of their novel metal complexes.</w:t>
      </w:r>
    </w:p>
    <w:p w:rsidR="00F1417B" w:rsidRPr="009B5CC1" w:rsidRDefault="00F1417B" w:rsidP="00F1417B">
      <w:pPr>
        <w:tabs>
          <w:tab w:val="left" w:pos="425"/>
        </w:tabs>
        <w:spacing w:before="40" w:after="0" w:line="360" w:lineRule="auto"/>
        <w:rPr>
          <w:rFonts w:ascii="Times New Roman" w:eastAsia="Calibri" w:hAnsi="Times New Roman" w:cs="Times New Roman"/>
          <w:b/>
          <w:bCs/>
          <w:sz w:val="24"/>
          <w:szCs w:val="24"/>
          <w:lang w:bidi="th-TH"/>
        </w:rPr>
      </w:pPr>
      <w:r>
        <w:rPr>
          <w:rFonts w:ascii="Times New Roman" w:eastAsia="Calibri" w:hAnsi="Times New Roman" w:cs="Times New Roman"/>
          <w:b/>
          <w:bCs/>
          <w:sz w:val="24"/>
          <w:szCs w:val="24"/>
          <w:lang w:bidi="th-TH"/>
        </w:rPr>
        <w:t>2</w:t>
      </w:r>
      <w:r w:rsidR="00AA2104">
        <w:rPr>
          <w:rFonts w:ascii="Times New Roman" w:eastAsia="Calibri" w:hAnsi="Times New Roman" w:cs="Times New Roman"/>
          <w:b/>
          <w:bCs/>
          <w:sz w:val="24"/>
          <w:szCs w:val="24"/>
          <w:lang w:bidi="th-TH"/>
        </w:rPr>
        <w:t>.</w:t>
      </w:r>
      <w:r w:rsidRPr="009B5CC1">
        <w:rPr>
          <w:rFonts w:ascii="Times New Roman" w:eastAsia="Calibri" w:hAnsi="Times New Roman" w:cs="Times New Roman"/>
          <w:b/>
          <w:bCs/>
          <w:sz w:val="24"/>
          <w:szCs w:val="24"/>
          <w:lang w:bidi="th-TH"/>
        </w:rPr>
        <w:tab/>
        <w:t xml:space="preserve">MATERIALS AND METHODS </w:t>
      </w:r>
    </w:p>
    <w:p w:rsidR="00F1417B" w:rsidRPr="009B5CC1" w:rsidRDefault="00F1417B" w:rsidP="00F1417B">
      <w:pPr>
        <w:tabs>
          <w:tab w:val="left" w:pos="425"/>
        </w:tabs>
        <w:spacing w:before="40" w:after="0" w:line="360" w:lineRule="auto"/>
        <w:rPr>
          <w:rFonts w:ascii="Times New Roman" w:eastAsia="Calibri" w:hAnsi="Times New Roman" w:cs="Times New Roman"/>
          <w:b/>
          <w:bCs/>
          <w:sz w:val="24"/>
          <w:szCs w:val="24"/>
          <w:lang w:bidi="th-TH"/>
        </w:rPr>
      </w:pPr>
      <w:r>
        <w:rPr>
          <w:rFonts w:ascii="Times New Roman" w:hAnsi="Times New Roman" w:cs="Times New Roman"/>
          <w:b/>
          <w:bCs/>
          <w:sz w:val="24"/>
          <w:szCs w:val="24"/>
        </w:rPr>
        <w:t>2</w:t>
      </w:r>
      <w:r w:rsidRPr="009B5CC1">
        <w:rPr>
          <w:rFonts w:ascii="Times New Roman" w:hAnsi="Times New Roman" w:cs="Times New Roman"/>
          <w:b/>
          <w:bCs/>
          <w:sz w:val="24"/>
          <w:szCs w:val="24"/>
        </w:rPr>
        <w:t>.1.</w:t>
      </w:r>
      <w:r w:rsidRPr="009B5CC1">
        <w:rPr>
          <w:rFonts w:ascii="Times New Roman" w:hAnsi="Times New Roman" w:cs="Times New Roman"/>
          <w:b/>
          <w:bCs/>
          <w:sz w:val="24"/>
          <w:szCs w:val="24"/>
        </w:rPr>
        <w:tab/>
        <w:t>General</w:t>
      </w:r>
    </w:p>
    <w:p w:rsidR="00F1417B" w:rsidRPr="00EA5283" w:rsidRDefault="00F1417B" w:rsidP="00EA5283">
      <w:pPr>
        <w:tabs>
          <w:tab w:val="left" w:pos="425"/>
        </w:tabs>
        <w:autoSpaceDE w:val="0"/>
        <w:autoSpaceDN w:val="0"/>
        <w:adjustRightInd w:val="0"/>
        <w:spacing w:after="100" w:afterAutospacing="1" w:line="360" w:lineRule="auto"/>
        <w:jc w:val="both"/>
        <w:rPr>
          <w:rFonts w:ascii="Times New Roman" w:eastAsia="Calibri" w:hAnsi="Times New Roman" w:cs="Times New Roman"/>
          <w:sz w:val="24"/>
          <w:szCs w:val="24"/>
          <w:lang w:bidi="th-TH"/>
        </w:rPr>
      </w:pPr>
      <w:r w:rsidRPr="009B5CC1">
        <w:rPr>
          <w:sz w:val="24"/>
          <w:szCs w:val="24"/>
        </w:rPr>
        <w:t xml:space="preserve"> </w:t>
      </w:r>
      <w:r w:rsidRPr="009B5CC1">
        <w:rPr>
          <w:rFonts w:ascii="Times New Roman" w:hAnsi="Times New Roman" w:cs="Times New Roman"/>
          <w:sz w:val="24"/>
          <w:szCs w:val="24"/>
        </w:rPr>
        <w:t xml:space="preserve">In the present study various solvents such as n-hexane, methanol and ethyl acetate of synthetic grade were used. In addition, 4-Chlorobenzaldehyde (Sigma Aldrich), DABCO (Sigma Aldrich), Methyl Acrylate (Dae-Jung </w:t>
      </w:r>
      <w:proofErr w:type="spellStart"/>
      <w:r w:rsidRPr="009B5CC1">
        <w:rPr>
          <w:rFonts w:ascii="Times New Roman" w:hAnsi="Times New Roman" w:cs="Times New Roman"/>
          <w:sz w:val="24"/>
          <w:szCs w:val="24"/>
        </w:rPr>
        <w:t>Kosdaq</w:t>
      </w:r>
      <w:proofErr w:type="spellEnd"/>
      <w:r w:rsidRPr="009B5CC1">
        <w:rPr>
          <w:rFonts w:ascii="Times New Roman" w:hAnsi="Times New Roman" w:cs="Times New Roman"/>
          <w:sz w:val="24"/>
          <w:szCs w:val="24"/>
        </w:rPr>
        <w:t xml:space="preserve"> Reagents and Chemicals), </w:t>
      </w:r>
      <w:proofErr w:type="spellStart"/>
      <w:r w:rsidRPr="009B5CC1">
        <w:rPr>
          <w:rFonts w:ascii="Times New Roman" w:hAnsi="Times New Roman" w:cs="Times New Roman"/>
          <w:sz w:val="24"/>
          <w:szCs w:val="24"/>
        </w:rPr>
        <w:t>NaCl</w:t>
      </w:r>
      <w:proofErr w:type="spellEnd"/>
      <w:r w:rsidRPr="009B5CC1">
        <w:rPr>
          <w:rFonts w:ascii="Times New Roman" w:hAnsi="Times New Roman" w:cs="Times New Roman"/>
          <w:sz w:val="24"/>
          <w:szCs w:val="24"/>
        </w:rPr>
        <w:t xml:space="preserve"> (Sigma Aldrich), MgSO</w:t>
      </w:r>
      <w:r w:rsidRPr="009B5CC1">
        <w:rPr>
          <w:rFonts w:ascii="Times New Roman" w:hAnsi="Times New Roman" w:cs="Times New Roman"/>
          <w:sz w:val="24"/>
          <w:szCs w:val="24"/>
          <w:vertAlign w:val="subscript"/>
        </w:rPr>
        <w:t>4</w:t>
      </w:r>
      <w:r w:rsidRPr="009B5CC1">
        <w:rPr>
          <w:rFonts w:ascii="Times New Roman" w:hAnsi="Times New Roman" w:cs="Times New Roman"/>
          <w:sz w:val="24"/>
          <w:szCs w:val="24"/>
        </w:rPr>
        <w:t xml:space="preserve"> anhydrous (Sigma Aldrich), </w:t>
      </w:r>
      <w:proofErr w:type="spellStart"/>
      <w:r w:rsidRPr="009B5CC1">
        <w:rPr>
          <w:rFonts w:ascii="Times New Roman" w:hAnsi="Times New Roman" w:cs="Times New Roman"/>
          <w:sz w:val="24"/>
          <w:szCs w:val="24"/>
        </w:rPr>
        <w:t>NaOMe</w:t>
      </w:r>
      <w:proofErr w:type="spellEnd"/>
      <w:r w:rsidRPr="009B5CC1">
        <w:rPr>
          <w:rFonts w:ascii="Times New Roman" w:hAnsi="Times New Roman" w:cs="Times New Roman"/>
          <w:sz w:val="24"/>
          <w:szCs w:val="24"/>
        </w:rPr>
        <w:t xml:space="preserve"> (Dae-Jung </w:t>
      </w:r>
      <w:proofErr w:type="spellStart"/>
      <w:r w:rsidRPr="009B5CC1">
        <w:rPr>
          <w:rFonts w:ascii="Times New Roman" w:hAnsi="Times New Roman" w:cs="Times New Roman"/>
          <w:sz w:val="24"/>
          <w:szCs w:val="24"/>
        </w:rPr>
        <w:t>Kosdaq</w:t>
      </w:r>
      <w:proofErr w:type="spellEnd"/>
      <w:r w:rsidRPr="009B5CC1">
        <w:rPr>
          <w:rFonts w:ascii="Times New Roman" w:hAnsi="Times New Roman" w:cs="Times New Roman"/>
          <w:sz w:val="24"/>
          <w:szCs w:val="24"/>
        </w:rPr>
        <w:t xml:space="preserve"> Reagents and Chemicals), CuCl</w:t>
      </w:r>
      <w:r w:rsidRPr="009B5CC1">
        <w:rPr>
          <w:rFonts w:ascii="Times New Roman" w:hAnsi="Times New Roman" w:cs="Times New Roman"/>
          <w:sz w:val="24"/>
          <w:szCs w:val="24"/>
          <w:vertAlign w:val="subscript"/>
        </w:rPr>
        <w:t>2</w:t>
      </w:r>
      <w:r w:rsidRPr="009B5CC1">
        <w:rPr>
          <w:rFonts w:ascii="Times New Roman" w:hAnsi="Times New Roman" w:cs="Times New Roman"/>
          <w:sz w:val="24"/>
          <w:szCs w:val="24"/>
        </w:rPr>
        <w:t>.2H</w:t>
      </w:r>
      <w:r w:rsidRPr="009B5CC1">
        <w:rPr>
          <w:rFonts w:ascii="Times New Roman" w:hAnsi="Times New Roman" w:cs="Times New Roman"/>
          <w:sz w:val="24"/>
          <w:szCs w:val="24"/>
          <w:vertAlign w:val="subscript"/>
        </w:rPr>
        <w:t>2</w:t>
      </w:r>
      <w:r w:rsidRPr="009B5CC1">
        <w:rPr>
          <w:rFonts w:ascii="Times New Roman" w:hAnsi="Times New Roman" w:cs="Times New Roman"/>
          <w:sz w:val="24"/>
          <w:szCs w:val="24"/>
        </w:rPr>
        <w:t>O (Sigma Aldrich), MnCl</w:t>
      </w:r>
      <w:r w:rsidRPr="009B5CC1">
        <w:rPr>
          <w:rFonts w:ascii="Times New Roman" w:hAnsi="Times New Roman" w:cs="Times New Roman"/>
          <w:sz w:val="24"/>
          <w:szCs w:val="24"/>
          <w:vertAlign w:val="subscript"/>
        </w:rPr>
        <w:t>2</w:t>
      </w:r>
      <w:r w:rsidRPr="009B5CC1">
        <w:rPr>
          <w:rFonts w:ascii="Times New Roman" w:hAnsi="Times New Roman" w:cs="Times New Roman"/>
          <w:sz w:val="24"/>
          <w:szCs w:val="24"/>
        </w:rPr>
        <w:t>.2H</w:t>
      </w:r>
      <w:r w:rsidRPr="009B5CC1">
        <w:rPr>
          <w:rFonts w:ascii="Times New Roman" w:hAnsi="Times New Roman" w:cs="Times New Roman"/>
          <w:sz w:val="24"/>
          <w:szCs w:val="24"/>
          <w:vertAlign w:val="subscript"/>
        </w:rPr>
        <w:t>2</w:t>
      </w:r>
      <w:r w:rsidRPr="009B5CC1">
        <w:rPr>
          <w:rFonts w:ascii="Times New Roman" w:hAnsi="Times New Roman" w:cs="Times New Roman"/>
          <w:sz w:val="24"/>
          <w:szCs w:val="24"/>
        </w:rPr>
        <w:t>O (Sigma Aldrich), NiCl</w:t>
      </w:r>
      <w:r w:rsidRPr="009B5CC1">
        <w:rPr>
          <w:rFonts w:ascii="Times New Roman" w:hAnsi="Times New Roman" w:cs="Times New Roman"/>
          <w:sz w:val="24"/>
          <w:szCs w:val="24"/>
          <w:vertAlign w:val="subscript"/>
        </w:rPr>
        <w:t>2</w:t>
      </w:r>
      <w:r w:rsidRPr="009B5CC1">
        <w:rPr>
          <w:rFonts w:ascii="Times New Roman" w:hAnsi="Times New Roman" w:cs="Times New Roman"/>
          <w:sz w:val="24"/>
          <w:szCs w:val="24"/>
        </w:rPr>
        <w:t>.6H</w:t>
      </w:r>
      <w:r w:rsidRPr="009B5CC1">
        <w:rPr>
          <w:rFonts w:ascii="Times New Roman" w:hAnsi="Times New Roman" w:cs="Times New Roman"/>
          <w:sz w:val="24"/>
          <w:szCs w:val="24"/>
          <w:vertAlign w:val="subscript"/>
        </w:rPr>
        <w:t>2</w:t>
      </w:r>
      <w:r w:rsidRPr="009B5CC1">
        <w:rPr>
          <w:rFonts w:ascii="Times New Roman" w:hAnsi="Times New Roman" w:cs="Times New Roman"/>
          <w:sz w:val="24"/>
          <w:szCs w:val="24"/>
        </w:rPr>
        <w:t>O (Sigma Aldrich), CoCl</w:t>
      </w:r>
      <w:r w:rsidRPr="009B5CC1">
        <w:rPr>
          <w:rFonts w:ascii="Times New Roman" w:hAnsi="Times New Roman" w:cs="Times New Roman"/>
          <w:sz w:val="24"/>
          <w:szCs w:val="24"/>
          <w:vertAlign w:val="subscript"/>
        </w:rPr>
        <w:t>3</w:t>
      </w:r>
      <w:r w:rsidRPr="009B5CC1">
        <w:rPr>
          <w:rFonts w:ascii="Times New Roman" w:hAnsi="Times New Roman" w:cs="Times New Roman"/>
          <w:sz w:val="24"/>
          <w:szCs w:val="24"/>
        </w:rPr>
        <w:t>.6H</w:t>
      </w:r>
      <w:r w:rsidRPr="009B5CC1">
        <w:rPr>
          <w:rFonts w:ascii="Times New Roman" w:hAnsi="Times New Roman" w:cs="Times New Roman"/>
          <w:sz w:val="24"/>
          <w:szCs w:val="24"/>
          <w:vertAlign w:val="subscript"/>
        </w:rPr>
        <w:t>2</w:t>
      </w:r>
      <w:r w:rsidRPr="009B5CC1">
        <w:rPr>
          <w:rFonts w:ascii="Times New Roman" w:hAnsi="Times New Roman" w:cs="Times New Roman"/>
          <w:sz w:val="24"/>
          <w:szCs w:val="24"/>
        </w:rPr>
        <w:t>O (Sigma Aldrich) and CrCl</w:t>
      </w:r>
      <w:r w:rsidRPr="009B5CC1">
        <w:rPr>
          <w:rFonts w:ascii="Times New Roman" w:hAnsi="Times New Roman" w:cs="Times New Roman"/>
          <w:sz w:val="24"/>
          <w:szCs w:val="24"/>
          <w:vertAlign w:val="subscript"/>
        </w:rPr>
        <w:t>3</w:t>
      </w:r>
      <w:r w:rsidRPr="009B5CC1">
        <w:rPr>
          <w:rFonts w:ascii="Times New Roman" w:hAnsi="Times New Roman" w:cs="Times New Roman"/>
          <w:sz w:val="24"/>
          <w:szCs w:val="24"/>
        </w:rPr>
        <w:t>.6H</w:t>
      </w:r>
      <w:r w:rsidRPr="009B5CC1">
        <w:rPr>
          <w:rFonts w:ascii="Times New Roman" w:hAnsi="Times New Roman" w:cs="Times New Roman"/>
          <w:sz w:val="24"/>
          <w:szCs w:val="24"/>
          <w:vertAlign w:val="subscript"/>
        </w:rPr>
        <w:t>2</w:t>
      </w:r>
      <w:r w:rsidRPr="009B5CC1">
        <w:rPr>
          <w:rFonts w:ascii="Times New Roman" w:hAnsi="Times New Roman" w:cs="Times New Roman"/>
          <w:sz w:val="24"/>
          <w:szCs w:val="24"/>
        </w:rPr>
        <w:t xml:space="preserve">O (Sigma Aldrich) were applied. UV lamp (monitoring TLC card), Digital hot plate with constant temperature and stirring system, </w:t>
      </w:r>
      <w:proofErr w:type="spellStart"/>
      <w:r w:rsidRPr="009B5CC1">
        <w:rPr>
          <w:rFonts w:ascii="Times New Roman" w:hAnsi="Times New Roman" w:cs="Times New Roman"/>
          <w:sz w:val="24"/>
          <w:szCs w:val="24"/>
        </w:rPr>
        <w:t>Gallen</w:t>
      </w:r>
      <w:proofErr w:type="spellEnd"/>
      <w:r w:rsidRPr="009B5CC1">
        <w:rPr>
          <w:rFonts w:ascii="Times New Roman" w:hAnsi="Times New Roman" w:cs="Times New Roman"/>
          <w:sz w:val="24"/>
          <w:szCs w:val="24"/>
        </w:rPr>
        <w:t xml:space="preserve"> Kamp melting point instrument, LAMBDA 1050+ UV/Vis/NIR spectrophotometer, FTIR Spectrophotometer</w:t>
      </w:r>
      <w:r w:rsidR="00E65057">
        <w:rPr>
          <w:rFonts w:ascii="Times New Roman" w:hAnsi="Times New Roman" w:cs="Times New Roman"/>
          <w:sz w:val="24"/>
          <w:szCs w:val="24"/>
        </w:rPr>
        <w:t xml:space="preserve"> of </w:t>
      </w:r>
      <w:r w:rsidR="00E65057" w:rsidRPr="009B5CC1">
        <w:rPr>
          <w:rFonts w:ascii="Times New Roman" w:eastAsia="Calibri" w:hAnsi="Times New Roman" w:cs="Times New Roman"/>
          <w:sz w:val="24"/>
          <w:szCs w:val="24"/>
          <w:lang w:bidi="th-TH"/>
        </w:rPr>
        <w:t>Shimadzu Company prestige-21</w:t>
      </w:r>
      <w:r w:rsidRPr="009B5CC1">
        <w:rPr>
          <w:rFonts w:ascii="Times New Roman" w:hAnsi="Times New Roman" w:cs="Times New Roman"/>
          <w:sz w:val="24"/>
          <w:szCs w:val="24"/>
        </w:rPr>
        <w:t xml:space="preserve">, Mass spectrophotometer </w:t>
      </w:r>
      <w:r w:rsidRPr="009B5CC1">
        <w:rPr>
          <w:rFonts w:ascii="Times New Roman" w:eastAsia="Calibri" w:hAnsi="Times New Roman" w:cs="Times New Roman"/>
          <w:sz w:val="24"/>
          <w:szCs w:val="24"/>
          <w:lang w:bidi="th-TH"/>
        </w:rPr>
        <w:t>instrument of   JEOL 600H1</w:t>
      </w:r>
      <w:r w:rsidR="00690B2A">
        <w:rPr>
          <w:rFonts w:ascii="Times New Roman" w:eastAsia="Calibri" w:hAnsi="Times New Roman" w:cs="Times New Roman"/>
          <w:sz w:val="24"/>
          <w:szCs w:val="24"/>
          <w:lang w:bidi="th-TH"/>
        </w:rPr>
        <w:t>,</w:t>
      </w:r>
      <w:r w:rsidR="00EA5283">
        <w:rPr>
          <w:rFonts w:ascii="Times New Roman" w:eastAsia="Calibri" w:hAnsi="Times New Roman" w:cs="Times New Roman"/>
          <w:sz w:val="24"/>
          <w:szCs w:val="24"/>
          <w:lang w:bidi="th-TH"/>
        </w:rPr>
        <w:t xml:space="preserve"> for transition metal complexes used</w:t>
      </w:r>
      <w:r w:rsidR="00690B2A" w:rsidRPr="00690B2A">
        <w:rPr>
          <w:rFonts w:ascii="Arial" w:hAnsi="Arial" w:cs="Arial"/>
          <w:color w:val="202124"/>
          <w:shd w:val="clear" w:color="auto" w:fill="FFFFFF"/>
        </w:rPr>
        <w:t xml:space="preserve"> </w:t>
      </w:r>
      <w:r w:rsidR="00690B2A" w:rsidRPr="00690B2A">
        <w:rPr>
          <w:rFonts w:ascii="Times New Roman" w:eastAsia="Calibri" w:hAnsi="Times New Roman" w:cs="Times New Roman"/>
          <w:sz w:val="24"/>
          <w:szCs w:val="24"/>
          <w:lang w:bidi="th-TH"/>
        </w:rPr>
        <w:t>Electrospray ionization mass spectrometry (ESI MS)</w:t>
      </w:r>
      <w:r w:rsidR="00690B2A">
        <w:rPr>
          <w:rFonts w:ascii="Times New Roman" w:eastAsia="Calibri" w:hAnsi="Times New Roman" w:cs="Times New Roman"/>
          <w:sz w:val="24"/>
          <w:szCs w:val="24"/>
          <w:lang w:bidi="th-TH"/>
        </w:rPr>
        <w:t xml:space="preserve"> at</w:t>
      </w:r>
      <w:r w:rsidR="00EA5283" w:rsidRPr="00EA5283">
        <w:rPr>
          <w:rFonts w:ascii="Times New Roman" w:eastAsia="Calibri" w:hAnsi="Times New Roman" w:cs="Times New Roman"/>
          <w:sz w:val="24"/>
          <w:szCs w:val="24"/>
          <w:lang w:bidi="th-TH"/>
        </w:rPr>
        <w:t xml:space="preserve"> </w:t>
      </w:r>
      <w:proofErr w:type="spellStart"/>
      <w:r w:rsidR="00EA5283">
        <w:rPr>
          <w:rFonts w:ascii="Times New Roman" w:eastAsia="Calibri" w:hAnsi="Times New Roman" w:cs="Times New Roman"/>
          <w:sz w:val="24"/>
          <w:szCs w:val="24"/>
          <w:lang w:bidi="th-TH"/>
        </w:rPr>
        <w:t>QTrap</w:t>
      </w:r>
      <w:proofErr w:type="spellEnd"/>
      <w:r w:rsidR="00EA5283">
        <w:rPr>
          <w:rFonts w:ascii="Times New Roman" w:eastAsia="Calibri" w:hAnsi="Times New Roman" w:cs="Times New Roman"/>
          <w:sz w:val="24"/>
          <w:szCs w:val="24"/>
          <w:lang w:bidi="th-TH"/>
        </w:rPr>
        <w:t xml:space="preserve"> hybrid triple-</w:t>
      </w:r>
      <w:proofErr w:type="spellStart"/>
      <w:r w:rsidR="00EA5283">
        <w:rPr>
          <w:rFonts w:ascii="Times New Roman" w:eastAsia="Calibri" w:hAnsi="Times New Roman" w:cs="Times New Roman"/>
          <w:sz w:val="24"/>
          <w:szCs w:val="24"/>
          <w:lang w:bidi="th-TH"/>
        </w:rPr>
        <w:t>quadrupole</w:t>
      </w:r>
      <w:proofErr w:type="spellEnd"/>
      <w:r w:rsidR="00EA5283">
        <w:rPr>
          <w:rFonts w:ascii="Times New Roman" w:eastAsia="Calibri" w:hAnsi="Times New Roman" w:cs="Times New Roman"/>
          <w:sz w:val="24"/>
          <w:szCs w:val="24"/>
          <w:lang w:bidi="th-TH"/>
        </w:rPr>
        <w:t xml:space="preserve"> (</w:t>
      </w:r>
      <w:proofErr w:type="spellStart"/>
      <w:r w:rsidR="00EA5283">
        <w:rPr>
          <w:rFonts w:ascii="Times New Roman" w:eastAsia="Calibri" w:hAnsi="Times New Roman" w:cs="Times New Roman"/>
          <w:sz w:val="24"/>
          <w:szCs w:val="24"/>
          <w:lang w:bidi="th-TH"/>
        </w:rPr>
        <w:t>QTrap</w:t>
      </w:r>
      <w:proofErr w:type="spellEnd"/>
      <w:r w:rsidR="00EA5283">
        <w:rPr>
          <w:rFonts w:ascii="Times New Roman" w:eastAsia="Calibri" w:hAnsi="Times New Roman" w:cs="Times New Roman"/>
          <w:sz w:val="24"/>
          <w:szCs w:val="24"/>
          <w:lang w:bidi="th-TH"/>
        </w:rPr>
        <w:t xml:space="preserve"> 2000, Applied </w:t>
      </w:r>
      <w:proofErr w:type="spellStart"/>
      <w:r w:rsidR="00EA5283">
        <w:rPr>
          <w:rFonts w:ascii="Times New Roman" w:eastAsia="Calibri" w:hAnsi="Times New Roman" w:cs="Times New Roman"/>
          <w:sz w:val="24"/>
          <w:szCs w:val="24"/>
          <w:lang w:bidi="th-TH"/>
        </w:rPr>
        <w:lastRenderedPageBreak/>
        <w:t>Biosystems</w:t>
      </w:r>
      <w:proofErr w:type="spellEnd"/>
      <w:r w:rsidR="00EA5283">
        <w:rPr>
          <w:rFonts w:ascii="Times New Roman" w:eastAsia="Calibri" w:hAnsi="Times New Roman" w:cs="Times New Roman"/>
          <w:sz w:val="24"/>
          <w:szCs w:val="24"/>
          <w:lang w:bidi="th-TH"/>
        </w:rPr>
        <w:t xml:space="preserve">/MDS </w:t>
      </w:r>
      <w:proofErr w:type="spellStart"/>
      <w:r w:rsidR="00EA5283">
        <w:rPr>
          <w:rFonts w:ascii="Times New Roman" w:eastAsia="Calibri" w:hAnsi="Times New Roman" w:cs="Times New Roman"/>
          <w:sz w:val="24"/>
          <w:szCs w:val="24"/>
          <w:lang w:bidi="th-TH"/>
        </w:rPr>
        <w:t>Sciex</w:t>
      </w:r>
      <w:proofErr w:type="spellEnd"/>
      <w:r w:rsidR="00EA5283">
        <w:rPr>
          <w:rFonts w:ascii="Times New Roman" w:eastAsia="Calibri" w:hAnsi="Times New Roman" w:cs="Times New Roman"/>
          <w:sz w:val="24"/>
          <w:szCs w:val="24"/>
          <w:lang w:bidi="th-TH"/>
        </w:rPr>
        <w:t xml:space="preserve">) </w:t>
      </w:r>
      <w:r w:rsidRPr="009B5CC1">
        <w:rPr>
          <w:rFonts w:ascii="Times New Roman" w:hAnsi="Times New Roman" w:cs="Times New Roman"/>
          <w:sz w:val="24"/>
          <w:szCs w:val="24"/>
        </w:rPr>
        <w:t xml:space="preserve">and XRD </w:t>
      </w:r>
      <w:proofErr w:type="spellStart"/>
      <w:r w:rsidRPr="009B5CC1">
        <w:rPr>
          <w:rFonts w:ascii="Times New Roman" w:hAnsi="Times New Roman" w:cs="Times New Roman"/>
          <w:sz w:val="24"/>
          <w:szCs w:val="24"/>
        </w:rPr>
        <w:t>Pananalytical</w:t>
      </w:r>
      <w:proofErr w:type="spellEnd"/>
      <w:r w:rsidRPr="009B5CC1">
        <w:rPr>
          <w:rFonts w:ascii="Times New Roman" w:hAnsi="Times New Roman" w:cs="Times New Roman"/>
          <w:sz w:val="24"/>
          <w:szCs w:val="24"/>
        </w:rPr>
        <w:t xml:space="preserve"> company X-pro serial No. DYH313 for powder diffraction were the major instruments used for data analysis.</w:t>
      </w:r>
    </w:p>
    <w:p w:rsidR="00F1417B" w:rsidRPr="009B5CC1" w:rsidRDefault="00F1417B" w:rsidP="00F1417B">
      <w:pPr>
        <w:tabs>
          <w:tab w:val="left" w:pos="425"/>
        </w:tabs>
        <w:autoSpaceDE w:val="0"/>
        <w:autoSpaceDN w:val="0"/>
        <w:adjustRightInd w:val="0"/>
        <w:spacing w:before="40" w:after="0" w:line="360" w:lineRule="auto"/>
        <w:jc w:val="both"/>
        <w:rPr>
          <w:rFonts w:ascii="Times New Roman" w:eastAsia="Calibri" w:hAnsi="Times New Roman" w:cs="Times New Roman"/>
          <w:b/>
          <w:bCs/>
          <w:sz w:val="24"/>
          <w:szCs w:val="24"/>
          <w:lang w:bidi="th-TH"/>
        </w:rPr>
      </w:pPr>
      <w:r>
        <w:rPr>
          <w:rFonts w:ascii="Times New Roman" w:eastAsia="Calibri" w:hAnsi="Times New Roman" w:cs="Times New Roman"/>
          <w:b/>
          <w:bCs/>
          <w:sz w:val="24"/>
          <w:szCs w:val="24"/>
          <w:lang w:bidi="th-TH"/>
        </w:rPr>
        <w:t>2</w:t>
      </w:r>
      <w:r w:rsidRPr="009B5CC1">
        <w:rPr>
          <w:rFonts w:ascii="Times New Roman" w:eastAsia="Calibri" w:hAnsi="Times New Roman" w:cs="Times New Roman"/>
          <w:b/>
          <w:bCs/>
          <w:sz w:val="24"/>
          <w:szCs w:val="24"/>
          <w:lang w:bidi="th-TH"/>
        </w:rPr>
        <w:t xml:space="preserve">.2. Synthesis of MBHA </w:t>
      </w:r>
      <w:r w:rsidRPr="009B5CC1">
        <w:rPr>
          <w:rFonts w:ascii="Times New Roman" w:eastAsia="Calibri" w:hAnsi="Times New Roman" w:cs="Times New Roman"/>
          <w:b/>
          <w:bCs/>
          <w:i/>
          <w:sz w:val="24"/>
          <w:szCs w:val="24"/>
          <w:lang w:bidi="th-TH"/>
        </w:rPr>
        <w:t>(Methyl 2-((4-chlorophenyl</w:t>
      </w:r>
      <w:proofErr w:type="gramStart"/>
      <w:r w:rsidRPr="009B5CC1">
        <w:rPr>
          <w:rFonts w:ascii="Times New Roman" w:eastAsia="Calibri" w:hAnsi="Times New Roman" w:cs="Times New Roman"/>
          <w:b/>
          <w:bCs/>
          <w:i/>
          <w:sz w:val="24"/>
          <w:szCs w:val="24"/>
          <w:lang w:bidi="th-TH"/>
        </w:rPr>
        <w:t>)(</w:t>
      </w:r>
      <w:proofErr w:type="spellStart"/>
      <w:proofErr w:type="gramEnd"/>
      <w:r w:rsidRPr="009B5CC1">
        <w:rPr>
          <w:rFonts w:ascii="Times New Roman" w:eastAsia="Calibri" w:hAnsi="Times New Roman" w:cs="Times New Roman"/>
          <w:b/>
          <w:bCs/>
          <w:i/>
          <w:sz w:val="24"/>
          <w:szCs w:val="24"/>
          <w:lang w:bidi="th-TH"/>
        </w:rPr>
        <w:t>hydroxy</w:t>
      </w:r>
      <w:proofErr w:type="spellEnd"/>
      <w:r w:rsidRPr="009B5CC1">
        <w:rPr>
          <w:rFonts w:ascii="Times New Roman" w:eastAsia="Calibri" w:hAnsi="Times New Roman" w:cs="Times New Roman"/>
          <w:b/>
          <w:bCs/>
          <w:i/>
          <w:sz w:val="24"/>
          <w:szCs w:val="24"/>
          <w:lang w:bidi="th-TH"/>
        </w:rPr>
        <w:t>)</w:t>
      </w:r>
      <w:proofErr w:type="spellStart"/>
      <w:r w:rsidRPr="009B5CC1">
        <w:rPr>
          <w:rFonts w:ascii="Times New Roman" w:eastAsia="Calibri" w:hAnsi="Times New Roman" w:cs="Times New Roman"/>
          <w:b/>
          <w:bCs/>
          <w:i/>
          <w:sz w:val="24"/>
          <w:szCs w:val="24"/>
          <w:lang w:bidi="th-TH"/>
        </w:rPr>
        <w:t>methyle</w:t>
      </w:r>
      <w:proofErr w:type="spellEnd"/>
      <w:r w:rsidRPr="009B5CC1">
        <w:rPr>
          <w:rFonts w:ascii="Times New Roman" w:eastAsia="Calibri" w:hAnsi="Times New Roman" w:cs="Times New Roman"/>
          <w:b/>
          <w:bCs/>
          <w:i/>
          <w:sz w:val="24"/>
          <w:szCs w:val="24"/>
          <w:lang w:bidi="th-TH"/>
        </w:rPr>
        <w:t>) acrylate)</w:t>
      </w:r>
      <w:r w:rsidRPr="009B5CC1">
        <w:rPr>
          <w:rFonts w:ascii="Times New Roman" w:eastAsia="Calibri" w:hAnsi="Times New Roman" w:cs="Times New Roman"/>
          <w:b/>
          <w:bCs/>
          <w:sz w:val="24"/>
          <w:szCs w:val="24"/>
          <w:lang w:bidi="th-TH"/>
        </w:rPr>
        <w:t xml:space="preserve">  L1</w:t>
      </w:r>
    </w:p>
    <w:p w:rsidR="00F1417B" w:rsidRDefault="00F1417B" w:rsidP="00F1417B">
      <w:pPr>
        <w:tabs>
          <w:tab w:val="left" w:pos="5340"/>
        </w:tabs>
        <w:spacing w:line="360" w:lineRule="auto"/>
        <w:jc w:val="both"/>
        <w:rPr>
          <w:rFonts w:ascii="Times New Roman" w:hAnsi="Times New Roman" w:cs="Times New Roman"/>
          <w:sz w:val="24"/>
          <w:szCs w:val="24"/>
        </w:rPr>
      </w:pPr>
      <w:r w:rsidRPr="009B5CC1">
        <w:rPr>
          <w:rFonts w:ascii="Times New Roman" w:hAnsi="Times New Roman" w:cs="Times New Roman"/>
          <w:sz w:val="24"/>
          <w:szCs w:val="24"/>
        </w:rPr>
        <w:t xml:space="preserve">MBHA was prepared by addition of 5 equivalents of methyl acrylate to 4-chloro </w:t>
      </w:r>
      <w:proofErr w:type="spellStart"/>
      <w:r w:rsidRPr="009B5CC1">
        <w:rPr>
          <w:rFonts w:ascii="Times New Roman" w:hAnsi="Times New Roman" w:cs="Times New Roman"/>
          <w:sz w:val="24"/>
          <w:szCs w:val="24"/>
        </w:rPr>
        <w:t>benzaldehyde</w:t>
      </w:r>
      <w:proofErr w:type="spellEnd"/>
      <w:r w:rsidRPr="009B5CC1">
        <w:rPr>
          <w:rFonts w:ascii="Times New Roman" w:hAnsi="Times New Roman" w:cs="Times New Roman"/>
          <w:sz w:val="24"/>
          <w:szCs w:val="24"/>
        </w:rPr>
        <w:t xml:space="preserve"> (1 equivalent).  The reaction mixture was further treated with 0.65 equivalents of Lewis base DABCO in round bottomed flask with constant stirring at room temperature.  The progress of the reaction was monitored at regular intervals of one hour through TLC under UV lamp and the completion time was recorded 24 hours. The excess of methyl acrylate was evaporated which furnished gummy crude material upon complete evaporation. This was diluted further with 15 mL of each, ethyl acetate and brine solution. The organic layer developed in this mixture was separated through separating funnel, collected and process repeated thrice. Furthermore, the organic phase was concentrated by removing </w:t>
      </w:r>
      <w:proofErr w:type="spellStart"/>
      <w:r w:rsidRPr="009B5CC1">
        <w:rPr>
          <w:rFonts w:ascii="Times New Roman" w:hAnsi="Times New Roman" w:cs="Times New Roman"/>
          <w:sz w:val="24"/>
          <w:szCs w:val="24"/>
        </w:rPr>
        <w:t>EtOAc</w:t>
      </w:r>
      <w:proofErr w:type="spellEnd"/>
      <w:r w:rsidRPr="009B5CC1">
        <w:rPr>
          <w:rFonts w:ascii="Times New Roman" w:hAnsi="Times New Roman" w:cs="Times New Roman"/>
          <w:sz w:val="24"/>
          <w:szCs w:val="24"/>
        </w:rPr>
        <w:t xml:space="preserve"> through evaporation and concentrated crude was subjected to column chromatographic purification. Mobile phase system of ethyl acetate and n-hexane in ratio of 5:95 to 35:65 (v/v) was used. The main spot colle</w:t>
      </w:r>
      <w:r w:rsidR="00F82C16">
        <w:rPr>
          <w:rFonts w:ascii="Times New Roman" w:hAnsi="Times New Roman" w:cs="Times New Roman"/>
          <w:sz w:val="24"/>
          <w:szCs w:val="24"/>
        </w:rPr>
        <w:t>cted as product in pure form</w:t>
      </w:r>
      <w:r w:rsidRPr="009B5CC1">
        <w:rPr>
          <w:rFonts w:ascii="Times New Roman" w:hAnsi="Times New Roman" w:cs="Times New Roman"/>
          <w:sz w:val="24"/>
          <w:szCs w:val="24"/>
        </w:rPr>
        <w:t xml:space="preserve"> and was confirme</w:t>
      </w:r>
      <w:r w:rsidR="0066519F">
        <w:rPr>
          <w:rFonts w:ascii="Times New Roman" w:hAnsi="Times New Roman" w:cs="Times New Roman"/>
          <w:sz w:val="24"/>
          <w:szCs w:val="24"/>
        </w:rPr>
        <w:t>d through its spectral analysis.</w:t>
      </w:r>
      <w:r w:rsidRPr="009B5CC1">
        <w:rPr>
          <w:rFonts w:ascii="Times New Roman" w:hAnsi="Times New Roman" w:cs="Times New Roman"/>
          <w:sz w:val="24"/>
          <w:szCs w:val="24"/>
        </w:rPr>
        <w:fldChar w:fldCharType="begin" w:fldLock="1"/>
      </w:r>
      <w:r w:rsidR="00276B78">
        <w:rPr>
          <w:rFonts w:ascii="Times New Roman" w:hAnsi="Times New Roman" w:cs="Times New Roman"/>
          <w:sz w:val="24"/>
          <w:szCs w:val="24"/>
        </w:rPr>
        <w:instrText>ADDIN CSL_CITATION {"citationItems":[{"id":"ITEM-1","itemData":{"DOI":"10.3390/molecules14103989","ISSN":"14203049","PMID":"19924044","abstract":"This short review presents new insights on the mechanism and online monitoring using electrospray ionization tandem mass spectrometry (ESI-MS/MS) of Morita-Baylis-Hillman (MBH) reactions. MBH reactions are versatile carbon-carbon organocatalyzed bond forming reactions, making them environmentally friendly due to general organocatalysts employed. The organocatalyst behavior, which controls the transition state and thus the enantioselectivities in the obtained products, is very important in the performance of asymmetric MBH transformations. Some recent techniques and advances in asymmetric transformations are reviwed, as well as online reaction monitoring and analysis of the reaction intermediates. The mechanism accepted nowadays is also review through the insights gained from the use of ESI-MS/MS techniques.","author":[{"dropping-particle":"","family":"Carrasco-Sanchez","given":"Verónica","non-dropping-particle":"","parse-names":false,"suffix":""},{"dropping-particle":"","family":"Simirgiotis","given":"Mario J.","non-dropping-particle":"","parse-names":false,"suffix":""},{"dropping-particle":"","family":"Santos","given":"Leonardo S.","non-dropping-particle":"","parse-names":false,"suffix":""}],"container-title":"Molecules","id":"ITEM-1","issue":"10","issued":{"date-parts":[["2009"]]},"page":"3989-4021","title":"The morita-baylis-hillman reaction: Insights into asymmetry and reaction mechanisms by electrospray ionization mass spectrometry","type":"article-journal","volume":"14"},"uris":["http://www.mendeley.com/documents/?uuid=2d6e2966-5137-4423-a1f7-d34a975df40e"]},{"id":"ITEM-2","itemData":{"DOI":"10.1016/j.bioorg.2010.08.002","ISSN":"00452068","PMID":"20855101","abstract":"Sixteen aromatic Morita-Baylis-Hillman adducts (MBHA) 1-16 were efficiently synthesized in a one step Morita-Baylis-Hillman reaction (MBHR) involving commercial aldehydes with methyl acrylate or acrylonitrile (81-100% yields) without the formation of side products on DABCO catalysis and at low temperature (0 °C). The toxicities of these compounds were assessed against promastigote form of Leishmania amazonensis and Leishmania chagasi. The low synthetic cost of these MBHA, green synthetic protocols, easy one-step synthesis from commercially available and cheap reagents as well as the very good antileishmanial activity obtained for 14 and 16 (IC50 values of 6.88 μg mL-1 and 11.06 μg mL-1 respectively on L. amazonensis; 9.58 μg mL-1 and 14.34 μg mL-1 respectively on L. chagasi) indicates that these MBHA can be a novel and promising class of anti-parasitic compounds. © 2010 Elsevier Inc. All rights reserved.","author":[{"dropping-particle":"","family":"Junior","given":"Cláudio G.L.","non-dropping-particle":"","parse-names":false,"suffix":""},{"dropping-particle":"","family":"Assis","given":"Priscila A.C.","non-dropping-particle":"De","parse-names":false,"suffix":""},{"dropping-particle":"","family":"Silva","given":"Fábio P.L.","non-dropping-particle":"","parse-names":false,"suffix":""},{"dropping-particle":"","family":"Sousa","given":"Suervy C.O.","non-dropping-particle":"","parse-names":false,"suffix":""},{"dropping-particle":"","family":"Andrade","given":"Natália G.","non-dropping-particle":"De","parse-names":false,"suffix":""},{"dropping-particle":"","family":"Barbosa","given":"Ticiano P.","non-dropping-particle":"","parse-names":false,"suffix":""},{"dropping-particle":"","family":"Nerís","given":"Patrícia L.N.","non-dropping-particle":"","parse-names":false,"suffix":""},{"dropping-particle":"","family":"Segundo","given":"Luiz V.G.","non-dropping-particle":"","parse-names":false,"suffix":""},{"dropping-particle":"","family":"Anjos","given":"Ítalo C.","non-dropping-particle":"","parse-names":false,"suffix":""},{"dropping-particle":"","family":"Carvalho","given":"Gabriel A.U.","non-dropping-particle":"","parse-names":false,"suffix":""},{"dropping-particle":"","family":"Rocha","given":"Gerd B.","non-dropping-particle":"","parse-names":false,"suffix":""},{"dropping-particle":"","family":"Oliveira","given":"Márcia R.","non-dropping-particle":"","parse-names":false,"suffix":""},{"dropping-particle":"","family":"Vasconcellos","given":"Mário L.A.A.","non-dropping-particle":"","parse-names":false,"suffix":""}],"container-title":"Bioorganic Chemistry","id":"ITEM-2","issue":"6","issued":{"date-parts":[["2010"]]},"page":"279-284","title":"Efficient synthesis of 16 aromatic Morita-Baylis-Hillman adducts: Biological evaluation on Leishmania amazonensis and Leishmania chagasi","type":"article-journal","volume":"38"},"uris":["http://www.mendeley.com/documents/?uuid=d23513ca-3e6d-4c67-a1dc-20aa2ec3618d"]},{"id":"ITEM-3","itemData":{"DOI":"10.1007/s00436-019-06403-w","ISSN":"14321955","PMID":"31392413","abstract":"This study is a report on the anti-Leishmania activity of Morita-Baylis-Hillman (MBH) homodimers adducts against the promastigote and axenic amastigote forms of Leishmania (Leishmania) infantum and Leishmania (Leishmania) amazonensis and on the cytotoxicity of these adducts to human blood cells. Both studied homodimers, MBH 1 and MBH 2, showed activity against the promastigote forms of L. infantum and L. amazonensis, which are responsible for visceral and cutaneous leishmaniasis, respectively. Additionally, the homodimers presented biological activity against the axenic amastigote forms of these two Leishmania species. The adducts exhibited no hemolytic activity to human peripheral blood mononuclear cells or erythrocytes at the tested concentrations and achieved higher selectivity indices than amphotericin B. Evaluation of cell death by apoptosis revealed that the homodimers had better apoptosis/necrosis profiles than amphotericin B in the promastigote forms of both L. infantum and L. amazonensis. In conclusion, these Morita-Baylis-Hillman adducts had anti-Leishmania activity in an in vitro model and may thus be promising molecules in the search for new drugs to treat leishmaniasis.","author":[{"dropping-particle":"","family":"Câmara Rocha","given":"Juliana","non-dropping-particle":"da","parse-names":false,"suffix":""},{"dropping-particle":"","family":"Franca Rodrigues","given":"Klinger Antonio","non-dropping-particle":"da","parse-names":false,"suffix":""},{"dropping-particle":"","family":"Nascimento Néris","given":"Patrícia Lima","non-dropping-particle":"do","parse-names":false,"suffix":""},{"dropping-particle":"","family":"Silva","given":"Larisse Virgolino","non-dropping-particle":"da","parse-names":false,"suffix":""},{"dropping-particle":"","family":"Almeida","given":"Fernanda Silva","non-dropping-particle":"","parse-names":false,"suffix":""},{"dropping-particle":"","family":"Lima","given":"Viviane Silva","non-dropping-particle":"","parse-names":false,"suffix":""},{"dropping-particle":"","family":"Peixoto","given":"Rephany Fonseca","non-dropping-particle":"","parse-names":false,"suffix":""},{"dropping-particle":"","family":"Câmara Rocha","given":"Juliene","non-dropping-particle":"da","parse-names":false,"suffix":""},{"dropping-particle":"","family":"Azevedo","given":"Fátima de Lourdes Assunção Araújo","non-dropping-particle":"de","parse-names":false,"suffix":""},{"dropping-particle":"","family":"Veras","given":"Robson Cavalcanti","non-dropping-particle":"","parse-names":false,"suffix":""},{"dropping-particle":"","family":"Medeiros","given":"Isac Almeida","non-dropping-particle":"de","parse-names":false,"suffix":""},{"dropping-particle":"","family":"Silva","given":"Wagner André Vieira","non-dropping-particle":"da","parse-names":false,"suffix":""},{"dropping-particle":"","family":"Lima-Junior","given":"Claudio G.","non-dropping-particle":"","parse-names":false,"suffix":""},{"dropping-particle":"","family":"Almeida Vasconcellos","given":"Mário Luiz Araújo","non-dropping-particle":"de","parse-names":false,"suffix":""},{"dropping-particle":"","family":"Amaral","given":"Ian Porto Gurgel","non-dropping-particle":"do","parse-names":false,"suffix":""},{"dropping-particle":"","family":"Oliveira","given":"Márcia Rosa","non-dropping-particle":"de","parse-names":false,"suffix":""},{"dropping-particle":"","family":"Souza Lima Keesen","given":"Tatjana","non-dropping-particle":"de","parse-names":false,"suffix":""}],"container-title":"Parasitology Research","id":"ITEM-3","issue":"10","issued":{"date-parts":[["2019"]]},"page":"3067-3076","publisher":"Parasitology Research","title":"Biological activity of Morita-Baylis-Hillman adduct homodimers in L. infantum and L. amazonensis: anti-Leishmania activity and cytotoxicity","type":"article-journal","volume":"118"},"uris":["http://www.mendeley.com/documents/?uuid=d1802d31-3c0b-499b-b973-714dba4e7bfd"]}],"mendeley":{"formattedCitation":"&lt;sup&gt;7,9,17&lt;/sup&gt;","plainTextFormattedCitation":"7,9,17","previouslyFormattedCitation":"&lt;sup&gt;7,9,17&lt;/sup&gt;"},"properties":{"noteIndex":0},"schema":"https://github.com/citation-style-language/schema/raw/master/csl-citation.json"}</w:instrText>
      </w:r>
      <w:r w:rsidRPr="009B5CC1">
        <w:rPr>
          <w:rFonts w:ascii="Times New Roman" w:hAnsi="Times New Roman" w:cs="Times New Roman"/>
          <w:sz w:val="24"/>
          <w:szCs w:val="24"/>
        </w:rPr>
        <w:fldChar w:fldCharType="separate"/>
      </w:r>
      <w:r w:rsidR="00276B78" w:rsidRPr="00276B78">
        <w:rPr>
          <w:rFonts w:ascii="Times New Roman" w:hAnsi="Times New Roman" w:cs="Times New Roman"/>
          <w:noProof/>
          <w:sz w:val="24"/>
          <w:szCs w:val="24"/>
          <w:vertAlign w:val="superscript"/>
        </w:rPr>
        <w:t>7,9,17</w:t>
      </w:r>
      <w:r w:rsidRPr="009B5CC1">
        <w:rPr>
          <w:rFonts w:ascii="Times New Roman" w:hAnsi="Times New Roman" w:cs="Times New Roman"/>
          <w:sz w:val="24"/>
          <w:szCs w:val="24"/>
        </w:rPr>
        <w:fldChar w:fldCharType="end"/>
      </w:r>
      <w:r w:rsidRPr="009B5CC1">
        <w:rPr>
          <w:sz w:val="24"/>
          <w:szCs w:val="24"/>
        </w:rPr>
        <w:t xml:space="preserve"> </w:t>
      </w:r>
      <w:r w:rsidRPr="009B5CC1">
        <w:rPr>
          <w:rFonts w:ascii="Times New Roman" w:hAnsi="Times New Roman" w:cs="Times New Roman"/>
          <w:sz w:val="24"/>
          <w:szCs w:val="24"/>
        </w:rPr>
        <w:t xml:space="preserve">Preparation of the MBHA is shown in scheme 1. </w:t>
      </w:r>
    </w:p>
    <w:p w:rsidR="001B1892" w:rsidRPr="009B5CC1" w:rsidRDefault="00434D0E" w:rsidP="001B1892">
      <w:pPr>
        <w:widowControl w:val="0"/>
        <w:autoSpaceDE w:val="0"/>
        <w:autoSpaceDN w:val="0"/>
        <w:adjustRightInd w:val="0"/>
        <w:spacing w:line="240" w:lineRule="auto"/>
        <w:rPr>
          <w:rFonts w:ascii="Times New Roman" w:hAnsi="Times New Roman" w:cs="Times New Roman"/>
          <w:sz w:val="24"/>
          <w:szCs w:val="24"/>
        </w:rPr>
      </w:pPr>
      <w:r w:rsidRPr="00434D0E">
        <w:rPr>
          <w:rFonts w:ascii="Times New Roman" w:hAnsi="Times New Roman" w:cs="Times New Roman"/>
          <w:noProof/>
          <w:sz w:val="24"/>
          <w:szCs w:val="24"/>
        </w:rPr>
        <w:drawing>
          <wp:inline distT="0" distB="0" distL="0" distR="0">
            <wp:extent cx="5732145" cy="1231124"/>
            <wp:effectExtent l="0" t="0" r="1905" b="7620"/>
            <wp:docPr id="14" name="Picture 14" descr="C:\Users\USER\Downloads\9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9 (1).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2145" cy="1231124"/>
                    </a:xfrm>
                    <a:prstGeom prst="rect">
                      <a:avLst/>
                    </a:prstGeom>
                    <a:noFill/>
                    <a:ln>
                      <a:noFill/>
                    </a:ln>
                  </pic:spPr>
                </pic:pic>
              </a:graphicData>
            </a:graphic>
          </wp:inline>
        </w:drawing>
      </w:r>
    </w:p>
    <w:p w:rsidR="001B1892" w:rsidRPr="00B83246" w:rsidRDefault="001B1892" w:rsidP="001B1892">
      <w:pPr>
        <w:widowControl w:val="0"/>
        <w:autoSpaceDE w:val="0"/>
        <w:autoSpaceDN w:val="0"/>
        <w:adjustRightInd w:val="0"/>
        <w:spacing w:line="240" w:lineRule="auto"/>
        <w:rPr>
          <w:rFonts w:ascii="Arial" w:hAnsi="Arial" w:cs="Arial"/>
          <w:sz w:val="16"/>
          <w:szCs w:val="16"/>
        </w:rPr>
      </w:pPr>
      <w:r w:rsidRPr="00B83246">
        <w:rPr>
          <w:rFonts w:ascii="Arial" w:hAnsi="Arial" w:cs="Arial"/>
          <w:b/>
          <w:sz w:val="16"/>
          <w:szCs w:val="16"/>
        </w:rPr>
        <w:t>Scheme 1.</w:t>
      </w:r>
      <w:r w:rsidRPr="00B83246">
        <w:rPr>
          <w:rFonts w:ascii="Arial" w:hAnsi="Arial" w:cs="Arial"/>
          <w:sz w:val="16"/>
          <w:szCs w:val="16"/>
        </w:rPr>
        <w:t xml:space="preserve"> Morita-</w:t>
      </w:r>
      <w:proofErr w:type="spellStart"/>
      <w:r w:rsidRPr="00B83246">
        <w:rPr>
          <w:rFonts w:ascii="Arial" w:hAnsi="Arial" w:cs="Arial"/>
          <w:sz w:val="16"/>
          <w:szCs w:val="16"/>
        </w:rPr>
        <w:t>Baylise</w:t>
      </w:r>
      <w:proofErr w:type="spellEnd"/>
      <w:r w:rsidRPr="00B83246">
        <w:rPr>
          <w:rFonts w:ascii="Arial" w:hAnsi="Arial" w:cs="Arial"/>
          <w:sz w:val="16"/>
          <w:szCs w:val="16"/>
        </w:rPr>
        <w:t xml:space="preserve"> Hillman reaction with e.g. aldehydes by using tertiary amine (DABCO) as catalyst at room temperature and other standard reaction conditions</w:t>
      </w:r>
    </w:p>
    <w:p w:rsidR="006813A4" w:rsidRPr="00DD6EDC" w:rsidRDefault="00EA5283" w:rsidP="00DE1147">
      <w:pPr>
        <w:widowControl w:val="0"/>
        <w:autoSpaceDE w:val="0"/>
        <w:autoSpaceDN w:val="0"/>
        <w:adjustRightInd w:val="0"/>
        <w:spacing w:line="360" w:lineRule="auto"/>
        <w:jc w:val="both"/>
        <w:rPr>
          <w:rFonts w:ascii="Times New Roman" w:eastAsia="Calibri" w:hAnsi="Times New Roman" w:cs="Times New Roman"/>
          <w:sz w:val="24"/>
          <w:szCs w:val="24"/>
          <w:lang w:bidi="th-TH"/>
        </w:rPr>
      </w:pPr>
      <w:r>
        <w:rPr>
          <w:rFonts w:ascii="Times New Roman" w:hAnsi="Times New Roman" w:cs="Times New Roman"/>
          <w:sz w:val="24"/>
          <w:szCs w:val="24"/>
        </w:rPr>
        <w:t>A pear</w:t>
      </w:r>
      <w:r w:rsidR="00020241">
        <w:rPr>
          <w:rFonts w:ascii="Times New Roman" w:hAnsi="Times New Roman" w:cs="Times New Roman"/>
          <w:sz w:val="24"/>
          <w:szCs w:val="24"/>
        </w:rPr>
        <w:t>l</w:t>
      </w:r>
      <w:r>
        <w:rPr>
          <w:rFonts w:ascii="Times New Roman" w:hAnsi="Times New Roman" w:cs="Times New Roman"/>
          <w:sz w:val="24"/>
          <w:szCs w:val="24"/>
        </w:rPr>
        <w:t xml:space="preserve"> white color gummy mass </w:t>
      </w:r>
      <w:r w:rsidR="00DD6EDC">
        <w:rPr>
          <w:rFonts w:ascii="Times New Roman" w:hAnsi="Times New Roman" w:cs="Times New Roman"/>
          <w:sz w:val="24"/>
          <w:szCs w:val="24"/>
        </w:rPr>
        <w:t xml:space="preserve">was </w:t>
      </w:r>
      <w:r>
        <w:rPr>
          <w:rFonts w:ascii="Times New Roman" w:hAnsi="Times New Roman" w:cs="Times New Roman"/>
          <w:sz w:val="24"/>
          <w:szCs w:val="24"/>
        </w:rPr>
        <w:t>found in the form of pure product</w:t>
      </w:r>
      <w:r w:rsidR="009740A9">
        <w:rPr>
          <w:rFonts w:ascii="Times New Roman" w:hAnsi="Times New Roman" w:cs="Times New Roman"/>
          <w:sz w:val="24"/>
          <w:szCs w:val="24"/>
        </w:rPr>
        <w:t xml:space="preserve"> of </w:t>
      </w:r>
      <w:r w:rsidR="009740A9" w:rsidRPr="009740A9">
        <w:rPr>
          <w:rFonts w:ascii="Times New Roman" w:hAnsi="Times New Roman" w:cs="Times New Roman"/>
          <w:sz w:val="24"/>
          <w:szCs w:val="24"/>
        </w:rPr>
        <w:t>C</w:t>
      </w:r>
      <w:r w:rsidR="009740A9" w:rsidRPr="009740A9">
        <w:rPr>
          <w:rFonts w:ascii="Times New Roman" w:hAnsi="Times New Roman" w:cs="Times New Roman"/>
          <w:sz w:val="24"/>
          <w:szCs w:val="24"/>
          <w:vertAlign w:val="subscript"/>
        </w:rPr>
        <w:t>11</w:t>
      </w:r>
      <w:r w:rsidR="009740A9" w:rsidRPr="009740A9">
        <w:rPr>
          <w:rFonts w:ascii="Times New Roman" w:hAnsi="Times New Roman" w:cs="Times New Roman"/>
          <w:sz w:val="24"/>
          <w:szCs w:val="24"/>
        </w:rPr>
        <w:t>H</w:t>
      </w:r>
      <w:r w:rsidR="009740A9" w:rsidRPr="009740A9">
        <w:rPr>
          <w:rFonts w:ascii="Times New Roman" w:hAnsi="Times New Roman" w:cs="Times New Roman"/>
          <w:sz w:val="24"/>
          <w:szCs w:val="24"/>
          <w:vertAlign w:val="subscript"/>
        </w:rPr>
        <w:t>11</w:t>
      </w:r>
      <w:r w:rsidR="009740A9" w:rsidRPr="009740A9">
        <w:rPr>
          <w:rFonts w:ascii="Times New Roman" w:hAnsi="Times New Roman" w:cs="Times New Roman"/>
          <w:sz w:val="24"/>
          <w:szCs w:val="24"/>
        </w:rPr>
        <w:t>ClO</w:t>
      </w:r>
      <w:r w:rsidR="009740A9" w:rsidRPr="009740A9">
        <w:rPr>
          <w:rFonts w:ascii="Times New Roman" w:hAnsi="Times New Roman" w:cs="Times New Roman"/>
          <w:sz w:val="24"/>
          <w:szCs w:val="24"/>
          <w:vertAlign w:val="subscript"/>
        </w:rPr>
        <w:t>3</w:t>
      </w:r>
      <w:r w:rsidR="009740A9">
        <w:rPr>
          <w:rFonts w:ascii="Times New Roman" w:hAnsi="Times New Roman" w:cs="Times New Roman"/>
          <w:sz w:val="24"/>
          <w:szCs w:val="24"/>
          <w:vertAlign w:val="subscript"/>
        </w:rPr>
        <w:t xml:space="preserve"> </w:t>
      </w:r>
      <w:r w:rsidR="009740A9">
        <w:rPr>
          <w:rFonts w:ascii="Times New Roman" w:hAnsi="Times New Roman" w:cs="Times New Roman"/>
          <w:sz w:val="24"/>
          <w:szCs w:val="24"/>
        </w:rPr>
        <w:t xml:space="preserve">(compound </w:t>
      </w:r>
      <w:r w:rsidR="009740A9" w:rsidRPr="009740A9">
        <w:rPr>
          <w:rFonts w:ascii="Times New Roman" w:hAnsi="Times New Roman" w:cs="Times New Roman"/>
          <w:b/>
          <w:sz w:val="24"/>
          <w:szCs w:val="24"/>
        </w:rPr>
        <w:t>3</w:t>
      </w:r>
      <w:r w:rsidR="009740A9">
        <w:rPr>
          <w:rFonts w:ascii="Times New Roman" w:hAnsi="Times New Roman" w:cs="Times New Roman"/>
          <w:sz w:val="24"/>
          <w:szCs w:val="24"/>
        </w:rPr>
        <w:t>)</w:t>
      </w:r>
      <w:r w:rsidR="009740A9">
        <w:rPr>
          <w:rFonts w:ascii="Times New Roman" w:hAnsi="Times New Roman" w:cs="Times New Roman"/>
          <w:sz w:val="20"/>
          <w:szCs w:val="20"/>
          <w:vertAlign w:val="subscript"/>
        </w:rPr>
        <w:t xml:space="preserve"> </w:t>
      </w:r>
      <w:r w:rsidR="009740A9">
        <w:rPr>
          <w:rFonts w:ascii="Times New Roman" w:hAnsi="Times New Roman" w:cs="Times New Roman"/>
          <w:sz w:val="24"/>
          <w:szCs w:val="24"/>
        </w:rPr>
        <w:t>yield</w:t>
      </w:r>
      <w:r w:rsidR="00F82C16">
        <w:rPr>
          <w:rFonts w:ascii="Times New Roman" w:hAnsi="Times New Roman" w:cs="Times New Roman"/>
          <w:sz w:val="24"/>
          <w:szCs w:val="24"/>
        </w:rPr>
        <w:t xml:space="preserve"> </w:t>
      </w:r>
      <w:r w:rsidR="00F82C16" w:rsidRPr="009B5CC1">
        <w:rPr>
          <w:rFonts w:ascii="Times New Roman" w:hAnsi="Times New Roman" w:cs="Times New Roman"/>
          <w:sz w:val="24"/>
          <w:szCs w:val="24"/>
        </w:rPr>
        <w:t>80%</w:t>
      </w:r>
      <w:r w:rsidR="00020241">
        <w:rPr>
          <w:rFonts w:ascii="Times New Roman" w:hAnsi="Times New Roman" w:cs="Times New Roman"/>
          <w:sz w:val="24"/>
          <w:szCs w:val="24"/>
        </w:rPr>
        <w:t xml:space="preserve"> (</w:t>
      </w:r>
      <w:r w:rsidR="00020241" w:rsidRPr="00020241">
        <w:rPr>
          <w:rFonts w:ascii="Times New Roman" w:hAnsi="Times New Roman" w:cs="Times New Roman"/>
          <w:sz w:val="24"/>
          <w:szCs w:val="24"/>
        </w:rPr>
        <w:t>226.66</w:t>
      </w:r>
      <w:r w:rsidR="008055A6">
        <w:rPr>
          <w:rFonts w:ascii="Times New Roman" w:hAnsi="Times New Roman" w:cs="Times New Roman"/>
          <w:sz w:val="24"/>
          <w:szCs w:val="24"/>
        </w:rPr>
        <w:t xml:space="preserve"> g/</w:t>
      </w:r>
      <w:proofErr w:type="spellStart"/>
      <w:r w:rsidR="008055A6">
        <w:rPr>
          <w:rFonts w:ascii="Times New Roman" w:hAnsi="Times New Roman" w:cs="Times New Roman"/>
          <w:sz w:val="24"/>
          <w:szCs w:val="24"/>
        </w:rPr>
        <w:t>mol</w:t>
      </w:r>
      <w:proofErr w:type="spellEnd"/>
      <w:r w:rsidR="00020241" w:rsidRPr="00020241">
        <w:rPr>
          <w:rFonts w:ascii="Times New Roman" w:hAnsi="Times New Roman" w:cs="Times New Roman"/>
          <w:sz w:val="24"/>
          <w:szCs w:val="24"/>
        </w:rPr>
        <w:t>)</w:t>
      </w:r>
      <w:r w:rsidR="00F82C16">
        <w:rPr>
          <w:rFonts w:ascii="Times New Roman" w:hAnsi="Times New Roman" w:cs="Times New Roman"/>
          <w:sz w:val="24"/>
          <w:szCs w:val="24"/>
        </w:rPr>
        <w:t>.</w:t>
      </w:r>
      <w:r w:rsidR="00DD6EDC">
        <w:rPr>
          <w:rFonts w:ascii="Times New Roman" w:hAnsi="Times New Roman" w:cs="Times New Roman"/>
          <w:sz w:val="24"/>
          <w:szCs w:val="24"/>
        </w:rPr>
        <w:t xml:space="preserve"> B.P: </w:t>
      </w:r>
      <w:r w:rsidR="00DD6EDC" w:rsidRPr="00DD6EDC">
        <w:rPr>
          <w:rFonts w:ascii="Times New Roman" w:hAnsi="Times New Roman" w:cs="Times New Roman"/>
          <w:sz w:val="24"/>
          <w:szCs w:val="24"/>
        </w:rPr>
        <w:t>125.3-12</w:t>
      </w:r>
      <w:r w:rsidR="008055A6">
        <w:rPr>
          <w:rFonts w:ascii="Times New Roman" w:hAnsi="Times New Roman" w:cs="Times New Roman"/>
          <w:sz w:val="24"/>
          <w:szCs w:val="24"/>
        </w:rPr>
        <w:t>5</w:t>
      </w:r>
      <w:r w:rsidR="00DD6EDC" w:rsidRPr="00DD6EDC">
        <w:rPr>
          <w:rFonts w:ascii="Times New Roman" w:hAnsi="Times New Roman" w:cs="Times New Roman"/>
          <w:sz w:val="24"/>
          <w:szCs w:val="24"/>
        </w:rPr>
        <w:t>.5</w:t>
      </w:r>
      <w:r w:rsidR="00DD6EDC" w:rsidRPr="00DD6EDC">
        <w:rPr>
          <w:rFonts w:ascii="Times New Roman" w:hAnsi="Times New Roman" w:cs="Times New Roman"/>
          <w:sz w:val="20"/>
          <w:szCs w:val="20"/>
        </w:rPr>
        <w:t>℃</w:t>
      </w:r>
      <w:r w:rsidR="00DD6EDC" w:rsidRPr="00DD6EDC">
        <w:rPr>
          <w:rFonts w:ascii="Times New Roman" w:hAnsi="Times New Roman" w:cs="Times New Roman"/>
          <w:sz w:val="24"/>
          <w:szCs w:val="24"/>
        </w:rPr>
        <w:t>.</w:t>
      </w:r>
      <w:r w:rsidR="00020241" w:rsidRPr="00020241">
        <w:rPr>
          <w:rFonts w:ascii="Times New Roman" w:eastAsia="Calibri" w:hAnsi="Times New Roman" w:cs="Times New Roman"/>
          <w:sz w:val="24"/>
          <w:szCs w:val="24"/>
          <w:lang w:bidi="th-TH"/>
        </w:rPr>
        <w:t xml:space="preserve"> </w:t>
      </w:r>
      <w:r w:rsidR="00020241">
        <w:rPr>
          <w:rFonts w:ascii="Times New Roman" w:eastAsia="Calibri" w:hAnsi="Times New Roman" w:cs="Times New Roman"/>
          <w:sz w:val="24"/>
          <w:szCs w:val="24"/>
          <w:lang w:bidi="th-TH"/>
        </w:rPr>
        <w:t>IR data (</w:t>
      </w:r>
      <w:proofErr w:type="spellStart"/>
      <w:r w:rsidR="00020241">
        <w:rPr>
          <w:rFonts w:ascii="Times New Roman" w:eastAsia="Calibri" w:hAnsi="Times New Roman" w:cs="Times New Roman"/>
          <w:sz w:val="24"/>
          <w:szCs w:val="24"/>
          <w:lang w:bidi="th-TH"/>
        </w:rPr>
        <w:t>KBr</w:t>
      </w:r>
      <w:proofErr w:type="spellEnd"/>
      <w:r w:rsidR="00020241">
        <w:rPr>
          <w:rFonts w:ascii="Times New Roman" w:eastAsia="Calibri" w:hAnsi="Times New Roman" w:cs="Times New Roman"/>
          <w:sz w:val="24"/>
          <w:szCs w:val="24"/>
          <w:lang w:bidi="th-TH"/>
        </w:rPr>
        <w:t xml:space="preserve">: </w:t>
      </w:r>
      <w:proofErr w:type="spellStart"/>
      <w:r w:rsidR="00020241" w:rsidRPr="00020241">
        <w:rPr>
          <w:rFonts w:ascii="Times New Roman" w:eastAsia="Calibri" w:hAnsi="Times New Roman" w:cs="Times New Roman"/>
          <w:sz w:val="24"/>
          <w:szCs w:val="24"/>
          <w:lang w:bidi="th-TH"/>
        </w:rPr>
        <w:t>νmax</w:t>
      </w:r>
      <w:proofErr w:type="spellEnd"/>
      <w:r w:rsidR="00020241" w:rsidRPr="00020241">
        <w:rPr>
          <w:rFonts w:ascii="Times New Roman" w:eastAsia="Calibri" w:hAnsi="Times New Roman" w:cs="Times New Roman"/>
          <w:sz w:val="24"/>
          <w:szCs w:val="24"/>
          <w:lang w:bidi="th-TH"/>
        </w:rPr>
        <w:t>, cm</w:t>
      </w:r>
      <w:r w:rsidR="00020241" w:rsidRPr="00020241">
        <w:rPr>
          <w:rFonts w:ascii="Times New Roman" w:eastAsia="Calibri" w:hAnsi="Times New Roman" w:cs="Times New Roman"/>
          <w:sz w:val="24"/>
          <w:szCs w:val="24"/>
          <w:vertAlign w:val="superscript"/>
          <w:lang w:bidi="th-TH"/>
        </w:rPr>
        <w:t>–1</w:t>
      </w:r>
      <w:r w:rsidR="00020241">
        <w:rPr>
          <w:rFonts w:ascii="Times New Roman" w:eastAsia="Calibri" w:hAnsi="Times New Roman" w:cs="Times New Roman"/>
          <w:sz w:val="24"/>
          <w:szCs w:val="24"/>
          <w:lang w:bidi="th-TH"/>
        </w:rPr>
        <w:t xml:space="preserve">): </w:t>
      </w:r>
      <w:r w:rsidR="00020241" w:rsidRPr="009B5CC1">
        <w:rPr>
          <w:rFonts w:ascii="Times New Roman" w:eastAsia="Calibri" w:hAnsi="Times New Roman" w:cs="Times New Roman"/>
          <w:sz w:val="24"/>
          <w:szCs w:val="24"/>
          <w:lang w:bidi="th-TH"/>
        </w:rPr>
        <w:t>3446, 2953, 2897, 1714, 1631, 1487, 1440, 1278, 1151, 1045,827 and 540.</w:t>
      </w:r>
      <w:r w:rsidR="00020241" w:rsidRPr="00020241">
        <w:t xml:space="preserve"> </w:t>
      </w:r>
      <w:r w:rsidR="00020241">
        <w:rPr>
          <w:rFonts w:ascii="Times New Roman" w:eastAsia="Calibri" w:hAnsi="Times New Roman" w:cs="Times New Roman"/>
          <w:sz w:val="24"/>
          <w:szCs w:val="24"/>
          <w:lang w:bidi="th-TH"/>
        </w:rPr>
        <w:t>UV-visible data in DMSO [</w:t>
      </w:r>
      <w:r w:rsidR="00020241" w:rsidRPr="00020241">
        <w:rPr>
          <w:rFonts w:ascii="Times New Roman" w:eastAsia="Calibri" w:hAnsi="Times New Roman" w:cs="Times New Roman"/>
          <w:sz w:val="24"/>
          <w:szCs w:val="24"/>
          <w:lang w:bidi="th-TH"/>
        </w:rPr>
        <w:t>λ, nm (ε, M</w:t>
      </w:r>
      <w:r w:rsidR="00020241" w:rsidRPr="00020241">
        <w:rPr>
          <w:rFonts w:ascii="Times New Roman" w:eastAsia="Calibri" w:hAnsi="Times New Roman" w:cs="Times New Roman" w:hint="eastAsia"/>
          <w:sz w:val="24"/>
          <w:szCs w:val="24"/>
          <w:lang w:bidi="th-TH"/>
        </w:rPr>
        <w:t>–</w:t>
      </w:r>
      <w:r w:rsidR="00020241" w:rsidRPr="00020241">
        <w:rPr>
          <w:rFonts w:ascii="Times New Roman" w:eastAsia="Calibri" w:hAnsi="Times New Roman" w:cs="Times New Roman"/>
          <w:sz w:val="24"/>
          <w:szCs w:val="24"/>
          <w:lang w:bidi="th-TH"/>
        </w:rPr>
        <w:t>1 cm</w:t>
      </w:r>
      <w:r w:rsidR="00020241" w:rsidRPr="00020241">
        <w:rPr>
          <w:rFonts w:ascii="Times New Roman" w:eastAsia="Calibri" w:hAnsi="Times New Roman" w:cs="Times New Roman" w:hint="eastAsia"/>
          <w:sz w:val="24"/>
          <w:szCs w:val="24"/>
          <w:lang w:bidi="th-TH"/>
        </w:rPr>
        <w:t>–</w:t>
      </w:r>
      <w:r w:rsidR="00020241" w:rsidRPr="00020241">
        <w:rPr>
          <w:rFonts w:ascii="Times New Roman" w:eastAsia="Calibri" w:hAnsi="Times New Roman" w:cs="Times New Roman"/>
          <w:sz w:val="24"/>
          <w:szCs w:val="24"/>
          <w:lang w:bidi="th-TH"/>
        </w:rPr>
        <w:t>1)]:</w:t>
      </w:r>
      <w:r w:rsidR="00020241" w:rsidRPr="00020241">
        <w:rPr>
          <w:rFonts w:ascii="Times New Roman" w:hAnsi="Times New Roman" w:cs="Times New Roman"/>
          <w:sz w:val="20"/>
          <w:szCs w:val="20"/>
        </w:rPr>
        <w:t xml:space="preserve"> </w:t>
      </w:r>
      <w:r w:rsidR="00020241" w:rsidRPr="00020241">
        <w:rPr>
          <w:rFonts w:ascii="Times New Roman" w:eastAsia="Calibri" w:hAnsi="Times New Roman" w:cs="Times New Roman"/>
          <w:sz w:val="24"/>
          <w:szCs w:val="24"/>
          <w:lang w:bidi="th-TH"/>
        </w:rPr>
        <w:t>267(124.23)</w:t>
      </w:r>
      <w:r w:rsidR="00DD6EDC">
        <w:rPr>
          <w:rFonts w:ascii="Times New Roman" w:eastAsia="Calibri" w:hAnsi="Times New Roman" w:cs="Times New Roman"/>
          <w:sz w:val="24"/>
          <w:szCs w:val="24"/>
          <w:lang w:bidi="th-TH"/>
        </w:rPr>
        <w:t>. [(m/z) M</w:t>
      </w:r>
      <w:r w:rsidR="00DD6EDC" w:rsidRPr="00DD6EDC">
        <w:rPr>
          <w:rFonts w:ascii="Times New Roman" w:eastAsia="Calibri" w:hAnsi="Times New Roman" w:cs="Times New Roman"/>
          <w:sz w:val="24"/>
          <w:szCs w:val="24"/>
          <w:vertAlign w:val="superscript"/>
          <w:lang w:bidi="th-TH"/>
        </w:rPr>
        <w:t>+</w:t>
      </w:r>
      <w:r w:rsidR="00DD6EDC">
        <w:rPr>
          <w:rFonts w:ascii="Times New Roman" w:eastAsia="Calibri" w:hAnsi="Times New Roman" w:cs="Times New Roman"/>
          <w:sz w:val="24"/>
          <w:szCs w:val="24"/>
          <w:lang w:bidi="th-TH"/>
        </w:rPr>
        <w:t xml:space="preserve">, </w:t>
      </w:r>
      <w:r w:rsidR="00DD6EDC" w:rsidRPr="00DD6EDC">
        <w:rPr>
          <w:rFonts w:ascii="Times New Roman" w:eastAsia="Calibri" w:hAnsi="Times New Roman" w:cs="Times New Roman"/>
          <w:sz w:val="24"/>
          <w:szCs w:val="24"/>
          <w:lang w:bidi="th-TH"/>
        </w:rPr>
        <w:t>Cal</w:t>
      </w:r>
      <w:proofErr w:type="gramStart"/>
      <w:r w:rsidR="00DD6EDC" w:rsidRPr="00DD6EDC">
        <w:rPr>
          <w:rFonts w:ascii="Times New Roman" w:eastAsia="Calibri" w:hAnsi="Times New Roman" w:cs="Times New Roman"/>
          <w:sz w:val="24"/>
          <w:szCs w:val="24"/>
          <w:lang w:bidi="th-TH"/>
        </w:rPr>
        <w:t>./</w:t>
      </w:r>
      <w:proofErr w:type="gramEnd"/>
      <w:r w:rsidR="00DD6EDC" w:rsidRPr="00DD6EDC">
        <w:rPr>
          <w:rFonts w:ascii="Times New Roman" w:eastAsia="Calibri" w:hAnsi="Times New Roman" w:cs="Times New Roman"/>
          <w:sz w:val="24"/>
          <w:szCs w:val="24"/>
          <w:lang w:bidi="th-TH"/>
        </w:rPr>
        <w:t>Obs.</w:t>
      </w:r>
      <w:r w:rsidR="00DD6EDC">
        <w:rPr>
          <w:rFonts w:ascii="Times New Roman" w:eastAsia="Calibri" w:hAnsi="Times New Roman" w:cs="Times New Roman"/>
          <w:sz w:val="24"/>
          <w:szCs w:val="24"/>
          <w:lang w:bidi="th-TH"/>
        </w:rPr>
        <w:t xml:space="preserve">(%)] for </w:t>
      </w:r>
      <w:r w:rsidR="00DD6EDC" w:rsidRPr="00DD6EDC">
        <w:rPr>
          <w:rFonts w:ascii="Times New Roman" w:eastAsia="Calibri" w:hAnsi="Times New Roman" w:cs="Times New Roman"/>
          <w:sz w:val="24"/>
          <w:szCs w:val="24"/>
          <w:lang w:bidi="th-TH"/>
        </w:rPr>
        <w:t>C</w:t>
      </w:r>
      <w:r w:rsidR="00DD6EDC" w:rsidRPr="00DD6EDC">
        <w:rPr>
          <w:rFonts w:ascii="Times New Roman" w:eastAsia="Calibri" w:hAnsi="Times New Roman" w:cs="Times New Roman"/>
          <w:sz w:val="24"/>
          <w:szCs w:val="24"/>
          <w:vertAlign w:val="subscript"/>
          <w:lang w:bidi="th-TH"/>
        </w:rPr>
        <w:t>11</w:t>
      </w:r>
      <w:r w:rsidR="00DD6EDC" w:rsidRPr="00DD6EDC">
        <w:rPr>
          <w:rFonts w:ascii="Times New Roman" w:eastAsia="Calibri" w:hAnsi="Times New Roman" w:cs="Times New Roman"/>
          <w:sz w:val="24"/>
          <w:szCs w:val="24"/>
          <w:lang w:bidi="th-TH"/>
        </w:rPr>
        <w:t>H</w:t>
      </w:r>
      <w:r w:rsidR="00DD6EDC" w:rsidRPr="00DD6EDC">
        <w:rPr>
          <w:rFonts w:ascii="Times New Roman" w:eastAsia="Calibri" w:hAnsi="Times New Roman" w:cs="Times New Roman"/>
          <w:sz w:val="24"/>
          <w:szCs w:val="24"/>
          <w:vertAlign w:val="subscript"/>
          <w:lang w:bidi="th-TH"/>
        </w:rPr>
        <w:t>11</w:t>
      </w:r>
      <w:r w:rsidR="00DD6EDC" w:rsidRPr="00DD6EDC">
        <w:rPr>
          <w:rFonts w:ascii="Times New Roman" w:eastAsia="Calibri" w:hAnsi="Times New Roman" w:cs="Times New Roman"/>
          <w:sz w:val="24"/>
          <w:szCs w:val="24"/>
          <w:lang w:bidi="th-TH"/>
        </w:rPr>
        <w:t>ClO</w:t>
      </w:r>
      <w:r w:rsidR="00DD6EDC" w:rsidRPr="00DD6EDC">
        <w:rPr>
          <w:rFonts w:ascii="Times New Roman" w:eastAsia="Calibri" w:hAnsi="Times New Roman" w:cs="Times New Roman"/>
          <w:sz w:val="24"/>
          <w:szCs w:val="24"/>
          <w:vertAlign w:val="subscript"/>
          <w:lang w:bidi="th-TH"/>
        </w:rPr>
        <w:t>3</w:t>
      </w:r>
      <w:r w:rsidR="00DD6EDC">
        <w:rPr>
          <w:rFonts w:ascii="Times New Roman" w:eastAsia="Calibri" w:hAnsi="Times New Roman" w:cs="Times New Roman"/>
          <w:sz w:val="24"/>
          <w:szCs w:val="24"/>
          <w:lang w:bidi="th-TH"/>
        </w:rPr>
        <w:t>:</w:t>
      </w:r>
      <w:r w:rsidR="00DD6EDC" w:rsidRPr="00DD6EDC">
        <w:rPr>
          <w:rFonts w:ascii="Times New Roman" w:eastAsia="Calibri" w:hAnsi="Times New Roman" w:cs="Times New Roman"/>
          <w:sz w:val="24"/>
          <w:szCs w:val="24"/>
          <w:lang w:bidi="th-TH"/>
        </w:rPr>
        <w:t xml:space="preserve"> </w:t>
      </w:r>
      <w:r w:rsidR="00DD6EDC" w:rsidRPr="009B5CC1">
        <w:rPr>
          <w:rFonts w:ascii="Times New Roman" w:eastAsia="Calibri" w:hAnsi="Times New Roman" w:cs="Times New Roman"/>
          <w:sz w:val="24"/>
          <w:szCs w:val="24"/>
          <w:lang w:bidi="th-TH"/>
        </w:rPr>
        <w:t>227 (56) M</w:t>
      </w:r>
      <w:r w:rsidR="00DD6EDC" w:rsidRPr="009B5CC1">
        <w:rPr>
          <w:rFonts w:ascii="Times New Roman" w:eastAsia="Calibri" w:hAnsi="Times New Roman" w:cs="Times New Roman"/>
          <w:sz w:val="24"/>
          <w:szCs w:val="24"/>
          <w:vertAlign w:val="superscript"/>
          <w:lang w:bidi="th-TH"/>
        </w:rPr>
        <w:t>+</w:t>
      </w:r>
      <w:r w:rsidR="00DD6EDC" w:rsidRPr="009B5CC1">
        <w:rPr>
          <w:rFonts w:ascii="Times New Roman" w:eastAsia="Calibri" w:hAnsi="Times New Roman" w:cs="Times New Roman"/>
          <w:sz w:val="24"/>
          <w:szCs w:val="24"/>
          <w:lang w:bidi="th-TH"/>
        </w:rPr>
        <w:t>, 207 (25), 191 (100), 160 (90), 132 (66), 104 (70), 77 (64)</w:t>
      </w:r>
    </w:p>
    <w:p w:rsidR="00F1417B" w:rsidRPr="009B5CC1" w:rsidRDefault="00F1417B" w:rsidP="00F1417B">
      <w:pPr>
        <w:tabs>
          <w:tab w:val="left" w:pos="425"/>
        </w:tabs>
        <w:autoSpaceDE w:val="0"/>
        <w:autoSpaceDN w:val="0"/>
        <w:adjustRightInd w:val="0"/>
        <w:spacing w:before="40" w:after="0" w:line="360" w:lineRule="auto"/>
        <w:jc w:val="both"/>
        <w:rPr>
          <w:rFonts w:ascii="Times New Roman" w:eastAsia="Calibri" w:hAnsi="Times New Roman" w:cs="Times New Roman"/>
          <w:sz w:val="24"/>
          <w:szCs w:val="24"/>
          <w:lang w:bidi="th-TH"/>
        </w:rPr>
      </w:pPr>
      <w:r>
        <w:rPr>
          <w:rFonts w:ascii="Times New Roman" w:eastAsia="Calibri" w:hAnsi="Times New Roman" w:cs="Times New Roman"/>
          <w:b/>
          <w:bCs/>
          <w:sz w:val="24"/>
          <w:szCs w:val="24"/>
          <w:lang w:bidi="th-TH"/>
        </w:rPr>
        <w:t>2</w:t>
      </w:r>
      <w:r w:rsidRPr="009B5CC1">
        <w:rPr>
          <w:rFonts w:ascii="Times New Roman" w:eastAsia="Calibri" w:hAnsi="Times New Roman" w:cs="Times New Roman"/>
          <w:b/>
          <w:bCs/>
          <w:sz w:val="24"/>
          <w:szCs w:val="24"/>
          <w:lang w:bidi="th-TH"/>
        </w:rPr>
        <w:t>.3. Synthesis of metal complexes with ligand MBHA (L1)</w:t>
      </w:r>
    </w:p>
    <w:p w:rsidR="00F1417B" w:rsidRDefault="00F1417B" w:rsidP="001B1892">
      <w:pPr>
        <w:tabs>
          <w:tab w:val="left" w:pos="5340"/>
        </w:tabs>
        <w:spacing w:line="360" w:lineRule="auto"/>
        <w:jc w:val="both"/>
        <w:rPr>
          <w:rFonts w:ascii="Times New Roman" w:hAnsi="Times New Roman" w:cs="Times New Roman"/>
          <w:sz w:val="24"/>
          <w:szCs w:val="24"/>
        </w:rPr>
      </w:pPr>
      <w:r w:rsidRPr="009B5CC1">
        <w:rPr>
          <w:rFonts w:ascii="Times New Roman" w:hAnsi="Times New Roman" w:cs="Times New Roman"/>
          <w:sz w:val="24"/>
          <w:szCs w:val="24"/>
        </w:rPr>
        <w:t xml:space="preserve">About 20 mL of 0.02M each metal salt solutions in distilled water and 0.04M solution of L1 in hot ethanol were prepared separately (1:2). The metal salt solution was added in adduct solution drop wise, few drops of </w:t>
      </w:r>
      <w:proofErr w:type="spellStart"/>
      <w:r w:rsidRPr="009B5CC1">
        <w:rPr>
          <w:rFonts w:ascii="Times New Roman" w:hAnsi="Times New Roman" w:cs="Times New Roman"/>
          <w:sz w:val="24"/>
          <w:szCs w:val="24"/>
        </w:rPr>
        <w:t>NaOH</w:t>
      </w:r>
      <w:proofErr w:type="spellEnd"/>
      <w:r w:rsidRPr="009B5CC1">
        <w:rPr>
          <w:rFonts w:ascii="Times New Roman" w:hAnsi="Times New Roman" w:cs="Times New Roman"/>
          <w:sz w:val="24"/>
          <w:szCs w:val="24"/>
        </w:rPr>
        <w:t xml:space="preserve"> were added to maintain the pH 11 at continued stirring. The reaction mixture was refluxed at 60-70 °C with constant stirring for 3-5 hours until solid mass </w:t>
      </w:r>
      <w:r w:rsidRPr="009B5CC1">
        <w:rPr>
          <w:rFonts w:ascii="Times New Roman" w:hAnsi="Times New Roman" w:cs="Times New Roman"/>
          <w:sz w:val="24"/>
          <w:szCs w:val="24"/>
        </w:rPr>
        <w:lastRenderedPageBreak/>
        <w:t>formed in the mixture</w:t>
      </w:r>
      <w:r w:rsidR="0066519F">
        <w:rPr>
          <w:rFonts w:ascii="Times New Roman" w:hAnsi="Times New Roman" w:cs="Times New Roman"/>
          <w:sz w:val="24"/>
          <w:szCs w:val="24"/>
        </w:rPr>
        <w:t>.</w:t>
      </w:r>
      <w:r w:rsidR="00A5474F">
        <w:rPr>
          <w:rFonts w:ascii="Times New Roman" w:hAnsi="Times New Roman" w:cs="Times New Roman"/>
          <w:sz w:val="24"/>
          <w:szCs w:val="24"/>
        </w:rPr>
        <w:fldChar w:fldCharType="begin" w:fldLock="1"/>
      </w:r>
      <w:r w:rsidR="00276B78">
        <w:rPr>
          <w:rFonts w:ascii="Times New Roman" w:hAnsi="Times New Roman" w:cs="Times New Roman"/>
          <w:sz w:val="24"/>
          <w:szCs w:val="24"/>
        </w:rPr>
        <w:instrText>ADDIN CSL_CITATION {"citationItems":[{"id":"ITEM-1","itemData":{"DOI":"10.1021/om020533b","ISSN":"02767333","author":[{"dropping-particle":"","family":"Liu","given":"Shih Yuan","non-dropping-particle":"","parse-names":false,"suffix":""},{"dropping-particle":"","family":"Hills","given":"Ivory D.","non-dropping-particle":"","parse-names":false,"suffix":""},{"dropping-particle":"","family":"Fu","given":"Gregory C.","non-dropping-particle":"","parse-names":false,"suffix":""}],"container-title":"Organometallics","id":"ITEM-1","issue":"21","issued":{"date-parts":[["2002"]]},"page":"4323-4325","title":"The first general method for the synthesis of transition-metal π complexes of an electronically diverse family of 1,2-azaborolyls","type":"article-journal","volume":"21"},"uris":["http://www.mendeley.com/documents/?uuid=cd2d06d7-2b13-40d9-85ca-56ca10436fd1"]},{"id":"ITEM-2","itemData":{"DOI":"10.17344/acsi.2019.5247","ISSN":"15803155","PMID":"34057499","abstract":"Two new oxidovanadium(V) complexes, [VOL1L] (1) and [VOL2L]·CH3OH (2·CH3OH), where L1 and L2 are the dianionic form of N’-(3-bromo-2-hydroxybenzylidene)picolinohydrazide (H2L1) and 2-chloro-N’-(2-hydroxy-3-methoxy-benzylidene)benzohydrazide (H2L2), respectively, and L is the monoanionic form of 2-hydroxybenzohydroxamic acid (HL), were prepared and characterized by elemental analysis, infrared and electronic spectroscopy. Structures of the complexes were further confirmed by single crystal X-ray determination. The V atoms in the complexes are in octahedral coordination. The hydrazone ligands coordinate to the V atoms through the phenolate O, imino N, and enolate O atoms. The hydroxamate ligand coordinates to the V atom through the carbonyl and hydroxy O atoms. The complexes show effective antibacterial activity against B. subtilis, S. aureus and E. coli. The presence of Cl substitute group in the complex may enhance the antibacterial activity.","author":[{"dropping-particle":"","family":"Qian","given":"Heng Yu","non-dropping-particle":"","parse-names":false,"suffix":""}],"container-title":"Acta Chimica Slovenica","id":"ITEM-2","issue":"4","issued":{"date-parts":[["2019"]]},"page":"995-1001","title":"Synthesis, characterization, X-ray crystal structures and antibacterial activities of oxidovanadium(V) complexes with hydrazone and hydroxamate ligands","type":"article-journal","volume":"66"},"uris":["http://www.mendeley.com/documents/?uuid=e14138df-4162-4ebe-b61b-9e590d1ff501"]}],"mendeley":{"formattedCitation":"&lt;sup&gt;15,18&lt;/sup&gt;","plainTextFormattedCitation":"15,18","previouslyFormattedCitation":"&lt;sup&gt;15,18&lt;/sup&gt;"},"properties":{"noteIndex":0},"schema":"https://github.com/citation-style-language/schema/raw/master/csl-citation.json"}</w:instrText>
      </w:r>
      <w:r w:rsidR="00A5474F">
        <w:rPr>
          <w:rFonts w:ascii="Times New Roman" w:hAnsi="Times New Roman" w:cs="Times New Roman"/>
          <w:sz w:val="24"/>
          <w:szCs w:val="24"/>
        </w:rPr>
        <w:fldChar w:fldCharType="separate"/>
      </w:r>
      <w:r w:rsidR="00276B78" w:rsidRPr="00276B78">
        <w:rPr>
          <w:rFonts w:ascii="Times New Roman" w:hAnsi="Times New Roman" w:cs="Times New Roman"/>
          <w:noProof/>
          <w:sz w:val="24"/>
          <w:szCs w:val="24"/>
          <w:vertAlign w:val="superscript"/>
        </w:rPr>
        <w:t>15,18</w:t>
      </w:r>
      <w:r w:rsidR="00A5474F">
        <w:rPr>
          <w:rFonts w:ascii="Times New Roman" w:hAnsi="Times New Roman" w:cs="Times New Roman"/>
          <w:sz w:val="24"/>
          <w:szCs w:val="24"/>
        </w:rPr>
        <w:fldChar w:fldCharType="end"/>
      </w:r>
      <w:r w:rsidRPr="009B5CC1">
        <w:rPr>
          <w:rFonts w:ascii="Times New Roman" w:hAnsi="Times New Roman" w:cs="Times New Roman"/>
          <w:sz w:val="24"/>
          <w:szCs w:val="24"/>
        </w:rPr>
        <w:t xml:space="preserve"> </w:t>
      </w:r>
      <w:proofErr w:type="gramStart"/>
      <w:r w:rsidRPr="009B5CC1">
        <w:rPr>
          <w:rFonts w:ascii="Times New Roman" w:hAnsi="Times New Roman" w:cs="Times New Roman"/>
          <w:sz w:val="24"/>
          <w:szCs w:val="24"/>
        </w:rPr>
        <w:t>Only</w:t>
      </w:r>
      <w:proofErr w:type="gramEnd"/>
      <w:r w:rsidRPr="009B5CC1">
        <w:rPr>
          <w:rFonts w:ascii="Times New Roman" w:hAnsi="Times New Roman" w:cs="Times New Roman"/>
          <w:sz w:val="24"/>
          <w:szCs w:val="24"/>
        </w:rPr>
        <w:t xml:space="preserve"> one spot appeared for the desired molecule on TLC strip suggesting its purity. After completion of the reaction (complete solid mass formation), the reaction mixture flask was cooled slowly at room temperature and precipitates were collected using vacuum filtration. The precipitates were washed thrice with ethanol and distilled water, the obtained product was dried in desiccator. The </w:t>
      </w:r>
      <w:r w:rsidR="00F82C16" w:rsidRPr="009B5CC1">
        <w:rPr>
          <w:rFonts w:ascii="Times New Roman" w:hAnsi="Times New Roman" w:cs="Times New Roman"/>
          <w:sz w:val="24"/>
          <w:szCs w:val="24"/>
        </w:rPr>
        <w:t xml:space="preserve">deduced </w:t>
      </w:r>
      <w:r w:rsidRPr="009B5CC1">
        <w:rPr>
          <w:rFonts w:ascii="Times New Roman" w:hAnsi="Times New Roman" w:cs="Times New Roman"/>
          <w:sz w:val="24"/>
          <w:szCs w:val="24"/>
        </w:rPr>
        <w:t xml:space="preserve">structural formula of the </w:t>
      </w:r>
      <w:r w:rsidR="00F82C16">
        <w:rPr>
          <w:rFonts w:ascii="Times New Roman" w:hAnsi="Times New Roman" w:cs="Times New Roman"/>
          <w:sz w:val="24"/>
          <w:szCs w:val="24"/>
        </w:rPr>
        <w:t>each transition metal complex was</w:t>
      </w:r>
      <w:r w:rsidR="00F82C16" w:rsidRPr="00F82C16">
        <w:rPr>
          <w:rFonts w:ascii="Times New Roman" w:hAnsi="Times New Roman" w:cs="Times New Roman"/>
          <w:sz w:val="24"/>
          <w:szCs w:val="24"/>
        </w:rPr>
        <w:t xml:space="preserve"> </w:t>
      </w:r>
      <w:r w:rsidR="00F82C16">
        <w:rPr>
          <w:rFonts w:ascii="Times New Roman" w:hAnsi="Times New Roman" w:cs="Times New Roman"/>
          <w:sz w:val="24"/>
          <w:szCs w:val="24"/>
        </w:rPr>
        <w:t>shown in scheme 2.</w:t>
      </w:r>
      <w:r w:rsidRPr="009B5CC1">
        <w:rPr>
          <w:rFonts w:ascii="Times New Roman" w:hAnsi="Times New Roman" w:cs="Times New Roman"/>
          <w:sz w:val="24"/>
          <w:szCs w:val="24"/>
        </w:rPr>
        <w:t xml:space="preserve"> </w:t>
      </w:r>
    </w:p>
    <w:p w:rsidR="001B1892" w:rsidRPr="009B5CC1" w:rsidRDefault="00434D0E" w:rsidP="001B1892">
      <w:pPr>
        <w:widowControl w:val="0"/>
        <w:autoSpaceDE w:val="0"/>
        <w:autoSpaceDN w:val="0"/>
        <w:adjustRightInd w:val="0"/>
        <w:spacing w:line="240" w:lineRule="auto"/>
        <w:rPr>
          <w:rFonts w:ascii="Times New Roman" w:hAnsi="Times New Roman" w:cs="Times New Roman"/>
          <w:sz w:val="24"/>
          <w:szCs w:val="24"/>
        </w:rPr>
      </w:pPr>
      <w:r w:rsidRPr="00434D0E">
        <w:rPr>
          <w:rFonts w:ascii="Times New Roman" w:hAnsi="Times New Roman" w:cs="Times New Roman"/>
          <w:noProof/>
          <w:sz w:val="24"/>
          <w:szCs w:val="24"/>
        </w:rPr>
        <w:drawing>
          <wp:inline distT="0" distB="0" distL="0" distR="0">
            <wp:extent cx="5732145" cy="5765728"/>
            <wp:effectExtent l="0" t="0" r="1905" b="6985"/>
            <wp:docPr id="23" name="Picture 23" descr="C:\Users\USER\Downloads\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10.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2145" cy="5765728"/>
                    </a:xfrm>
                    <a:prstGeom prst="rect">
                      <a:avLst/>
                    </a:prstGeom>
                    <a:noFill/>
                    <a:ln>
                      <a:noFill/>
                    </a:ln>
                  </pic:spPr>
                </pic:pic>
              </a:graphicData>
            </a:graphic>
          </wp:inline>
        </w:drawing>
      </w:r>
    </w:p>
    <w:p w:rsidR="006813A4" w:rsidRPr="00B83246" w:rsidRDefault="001B1892" w:rsidP="00DD6EDC">
      <w:pPr>
        <w:widowControl w:val="0"/>
        <w:autoSpaceDE w:val="0"/>
        <w:autoSpaceDN w:val="0"/>
        <w:adjustRightInd w:val="0"/>
        <w:spacing w:line="240" w:lineRule="auto"/>
        <w:rPr>
          <w:rFonts w:ascii="Arial" w:hAnsi="Arial" w:cs="Arial"/>
          <w:sz w:val="16"/>
          <w:szCs w:val="16"/>
        </w:rPr>
      </w:pPr>
      <w:r w:rsidRPr="00B83246">
        <w:rPr>
          <w:rFonts w:ascii="Arial" w:hAnsi="Arial" w:cs="Arial"/>
          <w:b/>
          <w:sz w:val="16"/>
          <w:szCs w:val="16"/>
        </w:rPr>
        <w:t>Scheme 2</w:t>
      </w:r>
      <w:r w:rsidRPr="00B83246">
        <w:rPr>
          <w:rFonts w:ascii="Arial" w:hAnsi="Arial" w:cs="Arial"/>
          <w:sz w:val="16"/>
          <w:szCs w:val="16"/>
        </w:rPr>
        <w:t>. Molecular modifications by reacting the MBHA as Ligand with transition metal salts to synthesize corresponding metal complexes</w:t>
      </w:r>
    </w:p>
    <w:p w:rsidR="00F1417B" w:rsidRPr="009B5CC1" w:rsidRDefault="00F1417B" w:rsidP="00F1417B">
      <w:pPr>
        <w:tabs>
          <w:tab w:val="left" w:pos="425"/>
        </w:tabs>
        <w:autoSpaceDE w:val="0"/>
        <w:autoSpaceDN w:val="0"/>
        <w:adjustRightInd w:val="0"/>
        <w:spacing w:before="40" w:after="0" w:line="360" w:lineRule="auto"/>
        <w:contextualSpacing/>
        <w:jc w:val="both"/>
        <w:rPr>
          <w:rFonts w:ascii="Times New Roman" w:eastAsia="Calibri" w:hAnsi="Times New Roman" w:cs="Times New Roman"/>
          <w:b/>
          <w:bCs/>
          <w:sz w:val="24"/>
          <w:szCs w:val="24"/>
          <w:lang w:bidi="th-TH"/>
        </w:rPr>
      </w:pPr>
      <w:r>
        <w:rPr>
          <w:rFonts w:ascii="Times New Roman" w:eastAsia="Calibri" w:hAnsi="Times New Roman" w:cs="Times New Roman"/>
          <w:b/>
          <w:bCs/>
          <w:sz w:val="24"/>
          <w:szCs w:val="24"/>
          <w:lang w:bidi="th-TH"/>
        </w:rPr>
        <w:t>2</w:t>
      </w:r>
      <w:r w:rsidRPr="009B5CC1">
        <w:rPr>
          <w:rFonts w:ascii="Times New Roman" w:eastAsia="Calibri" w:hAnsi="Times New Roman" w:cs="Times New Roman"/>
          <w:b/>
          <w:bCs/>
          <w:sz w:val="24"/>
          <w:szCs w:val="24"/>
          <w:lang w:bidi="th-TH"/>
        </w:rPr>
        <w:t>.4.</w:t>
      </w:r>
      <w:r w:rsidRPr="009B5CC1">
        <w:rPr>
          <w:rFonts w:ascii="Times New Roman" w:eastAsia="Calibri" w:hAnsi="Times New Roman" w:cs="Times New Roman"/>
          <w:b/>
          <w:bCs/>
          <w:sz w:val="24"/>
          <w:szCs w:val="24"/>
          <w:lang w:bidi="th-TH"/>
        </w:rPr>
        <w:tab/>
      </w:r>
      <w:r w:rsidR="00F82C16">
        <w:rPr>
          <w:rFonts w:ascii="Times New Roman" w:eastAsia="Calibri" w:hAnsi="Times New Roman" w:cs="Times New Roman"/>
          <w:b/>
          <w:bCs/>
          <w:sz w:val="24"/>
          <w:szCs w:val="24"/>
          <w:lang w:bidi="th-TH"/>
        </w:rPr>
        <w:t>Analytical data of transition metal complexes</w:t>
      </w:r>
    </w:p>
    <w:p w:rsidR="008055A6" w:rsidRPr="00701895" w:rsidRDefault="00F1417B" w:rsidP="00DE1147">
      <w:pPr>
        <w:widowControl w:val="0"/>
        <w:autoSpaceDE w:val="0"/>
        <w:autoSpaceDN w:val="0"/>
        <w:adjustRightInd w:val="0"/>
        <w:spacing w:line="360" w:lineRule="auto"/>
        <w:jc w:val="both"/>
        <w:rPr>
          <w:rFonts w:ascii="Times New Roman" w:eastAsia="Calibri" w:hAnsi="Times New Roman" w:cs="Times New Roman"/>
          <w:sz w:val="24"/>
          <w:szCs w:val="24"/>
          <w:lang w:bidi="th-TH"/>
        </w:rPr>
      </w:pPr>
      <w:r w:rsidRPr="00701895">
        <w:rPr>
          <w:rFonts w:ascii="Times New Roman" w:eastAsia="Calibri" w:hAnsi="Times New Roman" w:cs="Times New Roman"/>
          <w:sz w:val="24"/>
          <w:szCs w:val="24"/>
          <w:lang w:bidi="th-TH"/>
        </w:rPr>
        <w:t>CrL1 complex</w:t>
      </w:r>
      <w:r w:rsidR="00F82C16" w:rsidRPr="00701895">
        <w:rPr>
          <w:rFonts w:ascii="Times New Roman" w:eastAsia="Calibri" w:hAnsi="Times New Roman" w:cs="Times New Roman"/>
          <w:sz w:val="24"/>
          <w:szCs w:val="24"/>
          <w:lang w:bidi="th-TH"/>
        </w:rPr>
        <w:t xml:space="preserve"> (compound </w:t>
      </w:r>
      <w:r w:rsidR="008055A6" w:rsidRPr="00701895">
        <w:rPr>
          <w:rFonts w:ascii="Times New Roman" w:eastAsia="Calibri" w:hAnsi="Times New Roman" w:cs="Times New Roman"/>
          <w:b/>
          <w:sz w:val="24"/>
          <w:szCs w:val="24"/>
          <w:lang w:bidi="th-TH"/>
        </w:rPr>
        <w:t>4</w:t>
      </w:r>
      <w:r w:rsidR="008055A6" w:rsidRPr="00701895">
        <w:rPr>
          <w:rFonts w:ascii="Times New Roman" w:eastAsia="Calibri" w:hAnsi="Times New Roman" w:cs="Times New Roman"/>
          <w:sz w:val="24"/>
          <w:szCs w:val="24"/>
          <w:lang w:bidi="th-TH"/>
        </w:rPr>
        <w:t>)</w:t>
      </w:r>
      <w:r w:rsidR="008055A6" w:rsidRPr="00701895">
        <w:rPr>
          <w:rFonts w:ascii="Times New Roman" w:hAnsi="Times New Roman" w:cs="Times New Roman"/>
          <w:sz w:val="24"/>
          <w:szCs w:val="24"/>
        </w:rPr>
        <w:t xml:space="preserve"> 577.37(g/</w:t>
      </w:r>
      <w:proofErr w:type="spellStart"/>
      <w:r w:rsidR="008055A6" w:rsidRPr="00701895">
        <w:rPr>
          <w:rFonts w:ascii="Times New Roman" w:hAnsi="Times New Roman" w:cs="Times New Roman"/>
          <w:sz w:val="24"/>
          <w:szCs w:val="24"/>
        </w:rPr>
        <w:t>mol</w:t>
      </w:r>
      <w:proofErr w:type="spellEnd"/>
      <w:r w:rsidR="008055A6" w:rsidRPr="00701895">
        <w:rPr>
          <w:rFonts w:ascii="Times New Roman" w:hAnsi="Times New Roman" w:cs="Times New Roman"/>
          <w:sz w:val="24"/>
          <w:szCs w:val="24"/>
        </w:rPr>
        <w:t>)</w:t>
      </w:r>
      <w:r w:rsidR="00FC3434">
        <w:rPr>
          <w:rFonts w:ascii="Times New Roman" w:hAnsi="Times New Roman" w:cs="Times New Roman"/>
          <w:sz w:val="24"/>
          <w:szCs w:val="24"/>
        </w:rPr>
        <w:t>,</w:t>
      </w:r>
      <w:r w:rsidR="00FC3434" w:rsidRPr="00FC3434">
        <w:rPr>
          <w:rFonts w:ascii="Times New Roman" w:hAnsi="Times New Roman" w:cs="Times New Roman"/>
          <w:sz w:val="24"/>
          <w:szCs w:val="24"/>
        </w:rPr>
        <w:t xml:space="preserve"> Light blue</w:t>
      </w:r>
      <w:r w:rsidR="008055A6" w:rsidRPr="00701895">
        <w:rPr>
          <w:rFonts w:ascii="Times New Roman" w:eastAsia="Calibri" w:hAnsi="Times New Roman" w:cs="Times New Roman"/>
          <w:sz w:val="24"/>
          <w:szCs w:val="24"/>
          <w:lang w:bidi="th-TH"/>
        </w:rPr>
        <w:t>:</w:t>
      </w:r>
      <w:r w:rsidR="008055A6" w:rsidRPr="00701895">
        <w:rPr>
          <w:rFonts w:ascii="Times New Roman" w:hAnsi="Times New Roman" w:cs="Times New Roman"/>
          <w:sz w:val="24"/>
          <w:szCs w:val="24"/>
        </w:rPr>
        <w:t xml:space="preserve"> </w:t>
      </w:r>
      <w:proofErr w:type="spellStart"/>
      <w:r w:rsidR="008055A6" w:rsidRPr="00701895">
        <w:rPr>
          <w:rFonts w:ascii="Times New Roman" w:hAnsi="Times New Roman" w:cs="Times New Roman"/>
          <w:sz w:val="24"/>
          <w:szCs w:val="24"/>
        </w:rPr>
        <w:t>m.p</w:t>
      </w:r>
      <w:proofErr w:type="spellEnd"/>
      <w:r w:rsidR="008055A6" w:rsidRPr="00701895">
        <w:rPr>
          <w:rFonts w:ascii="Times New Roman" w:hAnsi="Times New Roman" w:cs="Times New Roman"/>
          <w:sz w:val="24"/>
          <w:szCs w:val="24"/>
        </w:rPr>
        <w:t>: &gt;300℃.</w:t>
      </w:r>
      <w:r w:rsidR="008055A6" w:rsidRPr="00701895">
        <w:rPr>
          <w:rFonts w:ascii="Times New Roman" w:eastAsia="Calibri" w:hAnsi="Times New Roman" w:cs="Times New Roman"/>
          <w:sz w:val="24"/>
          <w:szCs w:val="24"/>
          <w:lang w:bidi="th-TH"/>
        </w:rPr>
        <w:t xml:space="preserve"> IR data (</w:t>
      </w:r>
      <w:proofErr w:type="spellStart"/>
      <w:r w:rsidR="008055A6" w:rsidRPr="00701895">
        <w:rPr>
          <w:rFonts w:ascii="Times New Roman" w:eastAsia="Calibri" w:hAnsi="Times New Roman" w:cs="Times New Roman"/>
          <w:sz w:val="24"/>
          <w:szCs w:val="24"/>
          <w:lang w:bidi="th-TH"/>
        </w:rPr>
        <w:t>KBr</w:t>
      </w:r>
      <w:proofErr w:type="spellEnd"/>
      <w:r w:rsidR="008055A6" w:rsidRPr="00701895">
        <w:rPr>
          <w:rFonts w:ascii="Times New Roman" w:eastAsia="Calibri" w:hAnsi="Times New Roman" w:cs="Times New Roman"/>
          <w:sz w:val="24"/>
          <w:szCs w:val="24"/>
          <w:lang w:bidi="th-TH"/>
        </w:rPr>
        <w:t xml:space="preserve">: </w:t>
      </w:r>
      <w:proofErr w:type="spellStart"/>
      <w:r w:rsidR="008055A6" w:rsidRPr="00701895">
        <w:rPr>
          <w:rFonts w:ascii="Times New Roman" w:eastAsia="Calibri" w:hAnsi="Times New Roman" w:cs="Times New Roman"/>
          <w:sz w:val="24"/>
          <w:szCs w:val="24"/>
          <w:lang w:bidi="th-TH"/>
        </w:rPr>
        <w:t>νmax</w:t>
      </w:r>
      <w:proofErr w:type="spellEnd"/>
      <w:r w:rsidR="008055A6" w:rsidRPr="00701895">
        <w:rPr>
          <w:rFonts w:ascii="Times New Roman" w:eastAsia="Calibri" w:hAnsi="Times New Roman" w:cs="Times New Roman"/>
          <w:sz w:val="24"/>
          <w:szCs w:val="24"/>
          <w:lang w:bidi="th-TH"/>
        </w:rPr>
        <w:t>, cm</w:t>
      </w:r>
      <w:r w:rsidR="008055A6" w:rsidRPr="00701895">
        <w:rPr>
          <w:rFonts w:ascii="Times New Roman" w:eastAsia="Calibri" w:hAnsi="Times New Roman" w:cs="Times New Roman"/>
          <w:sz w:val="24"/>
          <w:szCs w:val="24"/>
          <w:vertAlign w:val="superscript"/>
          <w:lang w:bidi="th-TH"/>
        </w:rPr>
        <w:t>–1</w:t>
      </w:r>
      <w:r w:rsidR="008055A6" w:rsidRPr="00701895">
        <w:rPr>
          <w:rFonts w:ascii="Times New Roman" w:eastAsia="Calibri" w:hAnsi="Times New Roman" w:cs="Times New Roman"/>
          <w:sz w:val="24"/>
          <w:szCs w:val="24"/>
          <w:lang w:bidi="th-TH"/>
        </w:rPr>
        <w:t>): 3500-3380, 2915, 2980, 1708, 1625, 1550, 1438, 1382, 1105, 835, 603 and 520.</w:t>
      </w:r>
      <w:r w:rsidR="008055A6" w:rsidRPr="00701895">
        <w:rPr>
          <w:rFonts w:ascii="Times New Roman" w:hAnsi="Times New Roman" w:cs="Times New Roman"/>
          <w:sz w:val="24"/>
          <w:szCs w:val="24"/>
        </w:rPr>
        <w:t xml:space="preserve"> </w:t>
      </w:r>
      <w:r w:rsidR="008055A6" w:rsidRPr="00701895">
        <w:rPr>
          <w:rFonts w:ascii="Times New Roman" w:eastAsia="Calibri" w:hAnsi="Times New Roman" w:cs="Times New Roman"/>
          <w:sz w:val="24"/>
          <w:szCs w:val="24"/>
          <w:lang w:bidi="th-TH"/>
        </w:rPr>
        <w:t>UV-visible data in DMSO [λ, nm (ε, M</w:t>
      </w:r>
      <w:r w:rsidR="008055A6" w:rsidRPr="00701895">
        <w:rPr>
          <w:rFonts w:ascii="Times New Roman" w:eastAsia="Calibri" w:hAnsi="Times New Roman" w:cs="Times New Roman"/>
          <w:sz w:val="24"/>
          <w:szCs w:val="24"/>
          <w:vertAlign w:val="superscript"/>
          <w:lang w:bidi="th-TH"/>
        </w:rPr>
        <w:t>–1</w:t>
      </w:r>
      <w:r w:rsidR="008055A6" w:rsidRPr="00701895">
        <w:rPr>
          <w:rFonts w:ascii="Times New Roman" w:eastAsia="Calibri" w:hAnsi="Times New Roman" w:cs="Times New Roman"/>
          <w:sz w:val="24"/>
          <w:szCs w:val="24"/>
          <w:lang w:bidi="th-TH"/>
        </w:rPr>
        <w:t xml:space="preserve"> cm</w:t>
      </w:r>
      <w:r w:rsidR="008055A6" w:rsidRPr="00701895">
        <w:rPr>
          <w:rFonts w:ascii="Times New Roman" w:eastAsia="Calibri" w:hAnsi="Times New Roman" w:cs="Times New Roman"/>
          <w:sz w:val="24"/>
          <w:szCs w:val="24"/>
          <w:vertAlign w:val="superscript"/>
          <w:lang w:bidi="th-TH"/>
        </w:rPr>
        <w:t>–1</w:t>
      </w:r>
      <w:r w:rsidR="008055A6" w:rsidRPr="00701895">
        <w:rPr>
          <w:rFonts w:ascii="Times New Roman" w:eastAsia="Calibri" w:hAnsi="Times New Roman" w:cs="Times New Roman"/>
          <w:sz w:val="24"/>
          <w:szCs w:val="24"/>
          <w:lang w:bidi="th-TH"/>
        </w:rPr>
        <w:t>)]:</w:t>
      </w:r>
      <w:r w:rsidR="008055A6" w:rsidRPr="00701895">
        <w:rPr>
          <w:rFonts w:ascii="Times New Roman" w:hAnsi="Times New Roman" w:cs="Times New Roman"/>
          <w:sz w:val="24"/>
          <w:szCs w:val="24"/>
        </w:rPr>
        <w:t xml:space="preserve"> </w:t>
      </w:r>
      <w:r w:rsidR="008055A6" w:rsidRPr="00701895">
        <w:rPr>
          <w:rFonts w:ascii="Times New Roman" w:eastAsia="Calibri" w:hAnsi="Times New Roman" w:cs="Times New Roman"/>
          <w:sz w:val="24"/>
          <w:szCs w:val="24"/>
          <w:lang w:bidi="th-TH"/>
        </w:rPr>
        <w:t>262(145.9). [(m/z) M</w:t>
      </w:r>
      <w:r w:rsidR="008055A6" w:rsidRPr="00701895">
        <w:rPr>
          <w:rFonts w:ascii="Times New Roman" w:eastAsia="Calibri" w:hAnsi="Times New Roman" w:cs="Times New Roman"/>
          <w:sz w:val="24"/>
          <w:szCs w:val="24"/>
          <w:vertAlign w:val="superscript"/>
          <w:lang w:bidi="th-TH"/>
        </w:rPr>
        <w:t>+</w:t>
      </w:r>
      <w:r w:rsidR="008055A6" w:rsidRPr="00701895">
        <w:rPr>
          <w:rFonts w:ascii="Times New Roman" w:eastAsia="Calibri" w:hAnsi="Times New Roman" w:cs="Times New Roman"/>
          <w:sz w:val="24"/>
          <w:szCs w:val="24"/>
          <w:lang w:bidi="th-TH"/>
        </w:rPr>
        <w:t>, Cal</w:t>
      </w:r>
      <w:proofErr w:type="gramStart"/>
      <w:r w:rsidR="008055A6" w:rsidRPr="00701895">
        <w:rPr>
          <w:rFonts w:ascii="Times New Roman" w:eastAsia="Calibri" w:hAnsi="Times New Roman" w:cs="Times New Roman"/>
          <w:sz w:val="24"/>
          <w:szCs w:val="24"/>
          <w:lang w:bidi="th-TH"/>
        </w:rPr>
        <w:t>./</w:t>
      </w:r>
      <w:proofErr w:type="gramEnd"/>
      <w:r w:rsidR="008055A6" w:rsidRPr="00701895">
        <w:rPr>
          <w:rFonts w:ascii="Times New Roman" w:eastAsia="Calibri" w:hAnsi="Times New Roman" w:cs="Times New Roman"/>
          <w:sz w:val="24"/>
          <w:szCs w:val="24"/>
          <w:lang w:bidi="th-TH"/>
        </w:rPr>
        <w:t>Obs.(%)] for</w:t>
      </w:r>
      <w:r w:rsidR="008055A6" w:rsidRPr="00701895">
        <w:rPr>
          <w:rFonts w:ascii="Times New Roman" w:hAnsi="Times New Roman" w:cs="Times New Roman"/>
          <w:sz w:val="24"/>
          <w:szCs w:val="24"/>
        </w:rPr>
        <w:t xml:space="preserve"> </w:t>
      </w:r>
      <w:r w:rsidR="008055A6" w:rsidRPr="00701895">
        <w:rPr>
          <w:rFonts w:ascii="Times New Roman" w:eastAsia="Calibri" w:hAnsi="Times New Roman" w:cs="Times New Roman"/>
          <w:sz w:val="24"/>
          <w:szCs w:val="24"/>
          <w:lang w:bidi="th-TH"/>
        </w:rPr>
        <w:lastRenderedPageBreak/>
        <w:t>C</w:t>
      </w:r>
      <w:r w:rsidR="008055A6" w:rsidRPr="00701895">
        <w:rPr>
          <w:rFonts w:ascii="Times New Roman" w:eastAsia="Calibri" w:hAnsi="Times New Roman" w:cs="Times New Roman"/>
          <w:sz w:val="24"/>
          <w:szCs w:val="24"/>
          <w:vertAlign w:val="subscript"/>
          <w:lang w:bidi="th-TH"/>
        </w:rPr>
        <w:t>22</w:t>
      </w:r>
      <w:r w:rsidR="008055A6" w:rsidRPr="00701895">
        <w:rPr>
          <w:rFonts w:ascii="Times New Roman" w:eastAsia="Calibri" w:hAnsi="Times New Roman" w:cs="Times New Roman"/>
          <w:sz w:val="24"/>
          <w:szCs w:val="24"/>
          <w:lang w:bidi="th-TH"/>
        </w:rPr>
        <w:t>H</w:t>
      </w:r>
      <w:r w:rsidR="008055A6" w:rsidRPr="00701895">
        <w:rPr>
          <w:rFonts w:ascii="Times New Roman" w:eastAsia="Calibri" w:hAnsi="Times New Roman" w:cs="Times New Roman"/>
          <w:sz w:val="24"/>
          <w:szCs w:val="24"/>
          <w:vertAlign w:val="subscript"/>
          <w:lang w:bidi="th-TH"/>
        </w:rPr>
        <w:t>30</w:t>
      </w:r>
      <w:r w:rsidR="008055A6" w:rsidRPr="00701895">
        <w:rPr>
          <w:rFonts w:ascii="Times New Roman" w:eastAsia="Calibri" w:hAnsi="Times New Roman" w:cs="Times New Roman"/>
          <w:sz w:val="24"/>
          <w:szCs w:val="24"/>
          <w:lang w:bidi="th-TH"/>
        </w:rPr>
        <w:t>C</w:t>
      </w:r>
      <w:r w:rsidR="00B63804" w:rsidRPr="00701895">
        <w:rPr>
          <w:rFonts w:ascii="Times New Roman" w:eastAsia="Calibri" w:hAnsi="Times New Roman" w:cs="Times New Roman"/>
          <w:sz w:val="24"/>
          <w:szCs w:val="24"/>
          <w:lang w:bidi="th-TH"/>
        </w:rPr>
        <w:t>l</w:t>
      </w:r>
      <w:r w:rsidR="008055A6" w:rsidRPr="00701895">
        <w:rPr>
          <w:rFonts w:ascii="Times New Roman" w:eastAsia="Calibri" w:hAnsi="Times New Roman" w:cs="Times New Roman"/>
          <w:sz w:val="24"/>
          <w:szCs w:val="24"/>
          <w:vertAlign w:val="subscript"/>
          <w:lang w:bidi="th-TH"/>
        </w:rPr>
        <w:t>2</w:t>
      </w:r>
      <w:r w:rsidR="008055A6" w:rsidRPr="00701895">
        <w:rPr>
          <w:rFonts w:ascii="Times New Roman" w:eastAsia="Calibri" w:hAnsi="Times New Roman" w:cs="Times New Roman"/>
          <w:sz w:val="24"/>
          <w:szCs w:val="24"/>
          <w:lang w:bidi="th-TH"/>
        </w:rPr>
        <w:t>O</w:t>
      </w:r>
      <w:r w:rsidR="008055A6" w:rsidRPr="00701895">
        <w:rPr>
          <w:rFonts w:ascii="Times New Roman" w:eastAsia="Calibri" w:hAnsi="Times New Roman" w:cs="Times New Roman"/>
          <w:sz w:val="24"/>
          <w:szCs w:val="24"/>
          <w:vertAlign w:val="subscript"/>
          <w:lang w:bidi="th-TH"/>
        </w:rPr>
        <w:t>10</w:t>
      </w:r>
      <w:r w:rsidR="008055A6" w:rsidRPr="00701895">
        <w:rPr>
          <w:rFonts w:ascii="Times New Roman" w:eastAsia="Calibri" w:hAnsi="Times New Roman" w:cs="Times New Roman"/>
          <w:sz w:val="24"/>
          <w:szCs w:val="24"/>
          <w:lang w:bidi="th-TH"/>
        </w:rPr>
        <w:t>Cr</w:t>
      </w:r>
      <w:r w:rsidR="008055A6" w:rsidRPr="00701895">
        <w:rPr>
          <w:rFonts w:ascii="Times New Roman" w:eastAsia="Calibri" w:hAnsi="Times New Roman" w:cs="Times New Roman"/>
          <w:sz w:val="24"/>
          <w:szCs w:val="24"/>
          <w:vertAlign w:val="superscript"/>
          <w:lang w:bidi="th-TH"/>
        </w:rPr>
        <w:t>3+</w:t>
      </w:r>
      <w:r w:rsidR="008055A6" w:rsidRPr="00701895">
        <w:rPr>
          <w:rFonts w:ascii="Times New Roman" w:eastAsia="Calibri" w:hAnsi="Times New Roman" w:cs="Times New Roman"/>
          <w:sz w:val="24"/>
          <w:szCs w:val="24"/>
          <w:lang w:bidi="th-TH"/>
        </w:rPr>
        <w:t>: 192.02(100)/192.69(65.1)M</w:t>
      </w:r>
      <w:r w:rsidR="008055A6" w:rsidRPr="00701895">
        <w:rPr>
          <w:rFonts w:ascii="Times New Roman" w:eastAsia="Calibri" w:hAnsi="Times New Roman" w:cs="Times New Roman"/>
          <w:sz w:val="24"/>
          <w:szCs w:val="24"/>
          <w:vertAlign w:val="superscript"/>
          <w:lang w:bidi="th-TH"/>
        </w:rPr>
        <w:t>+</w:t>
      </w:r>
      <w:r w:rsidR="008055A6" w:rsidRPr="00701895">
        <w:rPr>
          <w:rFonts w:ascii="Times New Roman" w:eastAsia="Calibri" w:hAnsi="Times New Roman" w:cs="Times New Roman"/>
          <w:sz w:val="24"/>
          <w:szCs w:val="24"/>
          <w:lang w:bidi="th-TH"/>
        </w:rPr>
        <w:t>.</w:t>
      </w:r>
    </w:p>
    <w:p w:rsidR="008055A6" w:rsidRPr="00701895" w:rsidRDefault="00F1417B" w:rsidP="00DE1147">
      <w:pPr>
        <w:spacing w:line="360" w:lineRule="auto"/>
        <w:jc w:val="both"/>
        <w:rPr>
          <w:rFonts w:ascii="Times New Roman" w:hAnsi="Times New Roman" w:cs="Times New Roman"/>
          <w:sz w:val="24"/>
          <w:szCs w:val="24"/>
          <w:lang w:bidi="th-TH"/>
        </w:rPr>
      </w:pPr>
      <w:r w:rsidRPr="00701895">
        <w:rPr>
          <w:rFonts w:ascii="Times New Roman" w:hAnsi="Times New Roman" w:cs="Times New Roman"/>
          <w:sz w:val="24"/>
          <w:szCs w:val="24"/>
          <w:lang w:bidi="th-TH"/>
        </w:rPr>
        <w:t xml:space="preserve"> CoL1 complex</w:t>
      </w:r>
      <w:r w:rsidR="008055A6" w:rsidRPr="00701895">
        <w:rPr>
          <w:rFonts w:ascii="Times New Roman" w:hAnsi="Times New Roman" w:cs="Times New Roman"/>
          <w:sz w:val="24"/>
          <w:szCs w:val="24"/>
          <w:lang w:bidi="th-TH"/>
        </w:rPr>
        <w:t xml:space="preserve"> (compound </w:t>
      </w:r>
      <w:r w:rsidR="008055A6" w:rsidRPr="00701895">
        <w:rPr>
          <w:rFonts w:ascii="Times New Roman" w:hAnsi="Times New Roman" w:cs="Times New Roman"/>
          <w:b/>
          <w:sz w:val="24"/>
          <w:szCs w:val="24"/>
          <w:lang w:bidi="th-TH"/>
        </w:rPr>
        <w:t>5</w:t>
      </w:r>
      <w:r w:rsidR="008055A6" w:rsidRPr="00701895">
        <w:rPr>
          <w:rFonts w:ascii="Times New Roman" w:hAnsi="Times New Roman" w:cs="Times New Roman"/>
          <w:sz w:val="24"/>
          <w:szCs w:val="24"/>
          <w:lang w:bidi="th-TH"/>
        </w:rPr>
        <w:t>)</w:t>
      </w:r>
      <w:r w:rsidR="008055A6" w:rsidRPr="00701895">
        <w:rPr>
          <w:rFonts w:ascii="Times New Roman" w:hAnsi="Times New Roman" w:cs="Times New Roman"/>
          <w:sz w:val="24"/>
          <w:szCs w:val="24"/>
        </w:rPr>
        <w:t xml:space="preserve"> </w:t>
      </w:r>
      <w:r w:rsidR="008055A6" w:rsidRPr="00701895">
        <w:rPr>
          <w:rFonts w:ascii="Times New Roman" w:hAnsi="Times New Roman" w:cs="Times New Roman"/>
          <w:sz w:val="24"/>
          <w:szCs w:val="24"/>
          <w:lang w:bidi="th-TH"/>
        </w:rPr>
        <w:t>584.31</w:t>
      </w:r>
      <w:r w:rsidR="008055A6" w:rsidRPr="00701895">
        <w:rPr>
          <w:rFonts w:ascii="Times New Roman" w:hAnsi="Times New Roman" w:cs="Times New Roman"/>
          <w:sz w:val="24"/>
          <w:szCs w:val="24"/>
        </w:rPr>
        <w:t>(g/</w:t>
      </w:r>
      <w:proofErr w:type="spellStart"/>
      <w:r w:rsidR="008055A6" w:rsidRPr="00701895">
        <w:rPr>
          <w:rFonts w:ascii="Times New Roman" w:hAnsi="Times New Roman" w:cs="Times New Roman"/>
          <w:sz w:val="24"/>
          <w:szCs w:val="24"/>
        </w:rPr>
        <w:t>mol</w:t>
      </w:r>
      <w:proofErr w:type="spellEnd"/>
      <w:r w:rsidR="008055A6" w:rsidRPr="00701895">
        <w:rPr>
          <w:rFonts w:ascii="Times New Roman" w:hAnsi="Times New Roman" w:cs="Times New Roman"/>
          <w:sz w:val="24"/>
          <w:szCs w:val="24"/>
        </w:rPr>
        <w:t>)</w:t>
      </w:r>
      <w:r w:rsidR="00FC3434">
        <w:rPr>
          <w:rFonts w:ascii="Times New Roman" w:hAnsi="Times New Roman" w:cs="Times New Roman"/>
          <w:sz w:val="24"/>
          <w:szCs w:val="24"/>
        </w:rPr>
        <w:t>,</w:t>
      </w:r>
      <w:r w:rsidR="00FC3434" w:rsidRPr="00FC3434">
        <w:rPr>
          <w:rFonts w:ascii="Times New Roman" w:hAnsi="Times New Roman" w:cs="Times New Roman"/>
          <w:sz w:val="24"/>
          <w:szCs w:val="24"/>
        </w:rPr>
        <w:t xml:space="preserve"> Dark brown</w:t>
      </w:r>
      <w:r w:rsidR="008055A6" w:rsidRPr="00701895">
        <w:rPr>
          <w:rFonts w:ascii="Times New Roman" w:hAnsi="Times New Roman" w:cs="Times New Roman"/>
          <w:sz w:val="24"/>
          <w:szCs w:val="24"/>
          <w:lang w:bidi="th-TH"/>
        </w:rPr>
        <w:t>:</w:t>
      </w:r>
      <w:r w:rsidR="008055A6" w:rsidRPr="00701895">
        <w:rPr>
          <w:rFonts w:ascii="Times New Roman" w:hAnsi="Times New Roman" w:cs="Times New Roman"/>
          <w:sz w:val="24"/>
          <w:szCs w:val="24"/>
        </w:rPr>
        <w:t xml:space="preserve"> </w:t>
      </w:r>
      <w:proofErr w:type="spellStart"/>
      <w:r w:rsidR="008055A6" w:rsidRPr="00701895">
        <w:rPr>
          <w:rFonts w:ascii="Times New Roman" w:hAnsi="Times New Roman" w:cs="Times New Roman"/>
          <w:sz w:val="24"/>
          <w:szCs w:val="24"/>
        </w:rPr>
        <w:t>m.p</w:t>
      </w:r>
      <w:proofErr w:type="spellEnd"/>
      <w:r w:rsidR="008055A6" w:rsidRPr="00701895">
        <w:rPr>
          <w:rFonts w:ascii="Times New Roman" w:hAnsi="Times New Roman" w:cs="Times New Roman"/>
          <w:sz w:val="24"/>
          <w:szCs w:val="24"/>
        </w:rPr>
        <w:t>: &gt;300℃.</w:t>
      </w:r>
      <w:r w:rsidR="008055A6" w:rsidRPr="00701895">
        <w:rPr>
          <w:rFonts w:ascii="Times New Roman" w:hAnsi="Times New Roman" w:cs="Times New Roman"/>
          <w:sz w:val="24"/>
          <w:szCs w:val="24"/>
          <w:lang w:bidi="th-TH"/>
        </w:rPr>
        <w:t xml:space="preserve"> IR data (</w:t>
      </w:r>
      <w:proofErr w:type="spellStart"/>
      <w:r w:rsidR="008055A6" w:rsidRPr="00701895">
        <w:rPr>
          <w:rFonts w:ascii="Times New Roman" w:hAnsi="Times New Roman" w:cs="Times New Roman"/>
          <w:sz w:val="24"/>
          <w:szCs w:val="24"/>
          <w:lang w:bidi="th-TH"/>
        </w:rPr>
        <w:t>KBr</w:t>
      </w:r>
      <w:proofErr w:type="spellEnd"/>
      <w:r w:rsidR="008055A6" w:rsidRPr="00701895">
        <w:rPr>
          <w:rFonts w:ascii="Times New Roman" w:hAnsi="Times New Roman" w:cs="Times New Roman"/>
          <w:sz w:val="24"/>
          <w:szCs w:val="24"/>
          <w:lang w:bidi="th-TH"/>
        </w:rPr>
        <w:t xml:space="preserve">: </w:t>
      </w:r>
      <w:proofErr w:type="spellStart"/>
      <w:r w:rsidR="008055A6" w:rsidRPr="00701895">
        <w:rPr>
          <w:rFonts w:ascii="Times New Roman" w:hAnsi="Times New Roman" w:cs="Times New Roman"/>
          <w:sz w:val="24"/>
          <w:szCs w:val="24"/>
          <w:lang w:bidi="th-TH"/>
        </w:rPr>
        <w:t>νmax</w:t>
      </w:r>
      <w:proofErr w:type="spellEnd"/>
      <w:r w:rsidR="008055A6" w:rsidRPr="00701895">
        <w:rPr>
          <w:rFonts w:ascii="Times New Roman" w:hAnsi="Times New Roman" w:cs="Times New Roman"/>
          <w:sz w:val="24"/>
          <w:szCs w:val="24"/>
          <w:lang w:bidi="th-TH"/>
        </w:rPr>
        <w:t>, cm</w:t>
      </w:r>
      <w:r w:rsidR="008055A6" w:rsidRPr="00701895">
        <w:rPr>
          <w:rFonts w:ascii="Times New Roman" w:hAnsi="Times New Roman" w:cs="Times New Roman"/>
          <w:sz w:val="24"/>
          <w:szCs w:val="24"/>
          <w:vertAlign w:val="superscript"/>
          <w:lang w:bidi="th-TH"/>
        </w:rPr>
        <w:t>–1</w:t>
      </w:r>
      <w:r w:rsidR="008055A6" w:rsidRPr="00701895">
        <w:rPr>
          <w:rFonts w:ascii="Times New Roman" w:hAnsi="Times New Roman" w:cs="Times New Roman"/>
          <w:sz w:val="24"/>
          <w:szCs w:val="24"/>
          <w:lang w:bidi="th-TH"/>
        </w:rPr>
        <w:t>):</w:t>
      </w:r>
      <w:r w:rsidR="008055A6" w:rsidRPr="00701895">
        <w:rPr>
          <w:rFonts w:ascii="Times New Roman" w:hAnsi="Times New Roman" w:cs="Times New Roman"/>
          <w:sz w:val="24"/>
          <w:szCs w:val="24"/>
        </w:rPr>
        <w:t xml:space="preserve"> </w:t>
      </w:r>
      <w:r w:rsidR="008055A6" w:rsidRPr="00701895">
        <w:rPr>
          <w:rFonts w:ascii="Times New Roman" w:hAnsi="Times New Roman" w:cs="Times New Roman"/>
          <w:sz w:val="24"/>
          <w:szCs w:val="24"/>
          <w:lang w:bidi="th-TH"/>
        </w:rPr>
        <w:t>3500-3400, 2935, 1651, 1620, 1483, 1386, 1109, 837, 653, 607 and 518. UV-visible data in DMSO [λ</w:t>
      </w:r>
      <w:r w:rsidR="00A24358" w:rsidRPr="00701895">
        <w:rPr>
          <w:rFonts w:ascii="Times New Roman" w:hAnsi="Times New Roman" w:cs="Times New Roman"/>
          <w:sz w:val="24"/>
          <w:szCs w:val="24"/>
          <w:lang w:bidi="th-TH"/>
        </w:rPr>
        <w:t xml:space="preserve">, </w:t>
      </w:r>
      <w:r w:rsidR="008055A6" w:rsidRPr="00701895">
        <w:rPr>
          <w:rFonts w:ascii="Times New Roman" w:hAnsi="Times New Roman" w:cs="Times New Roman"/>
          <w:sz w:val="24"/>
          <w:szCs w:val="24"/>
          <w:lang w:bidi="th-TH"/>
        </w:rPr>
        <w:t>nm (ε, M</w:t>
      </w:r>
      <w:r w:rsidR="008055A6" w:rsidRPr="00701895">
        <w:rPr>
          <w:rFonts w:ascii="Times New Roman" w:hAnsi="Times New Roman" w:cs="Times New Roman"/>
          <w:sz w:val="24"/>
          <w:szCs w:val="24"/>
          <w:vertAlign w:val="superscript"/>
          <w:lang w:bidi="th-TH"/>
        </w:rPr>
        <w:t>–1</w:t>
      </w:r>
      <w:r w:rsidR="008055A6" w:rsidRPr="00701895">
        <w:rPr>
          <w:rFonts w:ascii="Times New Roman" w:hAnsi="Times New Roman" w:cs="Times New Roman"/>
          <w:sz w:val="24"/>
          <w:szCs w:val="24"/>
          <w:lang w:bidi="th-TH"/>
        </w:rPr>
        <w:t xml:space="preserve"> cm</w:t>
      </w:r>
      <w:r w:rsidR="008055A6" w:rsidRPr="00701895">
        <w:rPr>
          <w:rFonts w:ascii="Times New Roman" w:hAnsi="Times New Roman" w:cs="Times New Roman"/>
          <w:sz w:val="24"/>
          <w:szCs w:val="24"/>
          <w:vertAlign w:val="superscript"/>
          <w:lang w:bidi="th-TH"/>
        </w:rPr>
        <w:t>–1</w:t>
      </w:r>
      <w:r w:rsidR="008055A6" w:rsidRPr="00701895">
        <w:rPr>
          <w:rFonts w:ascii="Times New Roman" w:hAnsi="Times New Roman" w:cs="Times New Roman"/>
          <w:sz w:val="24"/>
          <w:szCs w:val="24"/>
          <w:lang w:bidi="th-TH"/>
        </w:rPr>
        <w:t>)]:</w:t>
      </w:r>
      <w:r w:rsidR="008055A6" w:rsidRPr="00701895">
        <w:rPr>
          <w:rFonts w:ascii="Times New Roman" w:hAnsi="Times New Roman" w:cs="Times New Roman"/>
          <w:sz w:val="24"/>
          <w:szCs w:val="24"/>
        </w:rPr>
        <w:t xml:space="preserve"> </w:t>
      </w:r>
      <w:r w:rsidR="008055A6" w:rsidRPr="00701895">
        <w:rPr>
          <w:rFonts w:ascii="Times New Roman" w:hAnsi="Times New Roman" w:cs="Times New Roman"/>
          <w:sz w:val="24"/>
          <w:szCs w:val="24"/>
          <w:lang w:bidi="th-TH"/>
        </w:rPr>
        <w:t>260(136.58). [(m/z) M</w:t>
      </w:r>
      <w:r w:rsidR="008055A6" w:rsidRPr="00701895">
        <w:rPr>
          <w:rFonts w:ascii="Times New Roman" w:hAnsi="Times New Roman" w:cs="Times New Roman"/>
          <w:sz w:val="24"/>
          <w:szCs w:val="24"/>
          <w:vertAlign w:val="superscript"/>
          <w:lang w:bidi="th-TH"/>
        </w:rPr>
        <w:t>+</w:t>
      </w:r>
      <w:r w:rsidR="008055A6" w:rsidRPr="00701895">
        <w:rPr>
          <w:rFonts w:ascii="Times New Roman" w:hAnsi="Times New Roman" w:cs="Times New Roman"/>
          <w:sz w:val="24"/>
          <w:szCs w:val="24"/>
          <w:lang w:bidi="th-TH"/>
        </w:rPr>
        <w:t>, Cal</w:t>
      </w:r>
      <w:proofErr w:type="gramStart"/>
      <w:r w:rsidR="008055A6" w:rsidRPr="00701895">
        <w:rPr>
          <w:rFonts w:ascii="Times New Roman" w:hAnsi="Times New Roman" w:cs="Times New Roman"/>
          <w:sz w:val="24"/>
          <w:szCs w:val="24"/>
          <w:lang w:bidi="th-TH"/>
        </w:rPr>
        <w:t>./</w:t>
      </w:r>
      <w:proofErr w:type="gramEnd"/>
      <w:r w:rsidR="008055A6" w:rsidRPr="00701895">
        <w:rPr>
          <w:rFonts w:ascii="Times New Roman" w:hAnsi="Times New Roman" w:cs="Times New Roman"/>
          <w:sz w:val="24"/>
          <w:szCs w:val="24"/>
          <w:lang w:bidi="th-TH"/>
        </w:rPr>
        <w:t>Obs.(%)] for</w:t>
      </w:r>
      <w:r w:rsidR="00701895" w:rsidRPr="00701895">
        <w:rPr>
          <w:rFonts w:ascii="Times New Roman" w:hAnsi="Times New Roman" w:cs="Times New Roman"/>
          <w:sz w:val="24"/>
          <w:szCs w:val="24"/>
        </w:rPr>
        <w:t xml:space="preserve"> </w:t>
      </w:r>
      <w:r w:rsidR="008055A6" w:rsidRPr="00701895">
        <w:rPr>
          <w:rFonts w:ascii="Times New Roman" w:hAnsi="Times New Roman" w:cs="Times New Roman"/>
          <w:sz w:val="24"/>
          <w:szCs w:val="24"/>
          <w:lang w:bidi="th-TH"/>
        </w:rPr>
        <w:t>C</w:t>
      </w:r>
      <w:r w:rsidR="008055A6" w:rsidRPr="00701895">
        <w:rPr>
          <w:rFonts w:ascii="Times New Roman" w:hAnsi="Times New Roman" w:cs="Times New Roman"/>
          <w:sz w:val="24"/>
          <w:szCs w:val="24"/>
          <w:vertAlign w:val="subscript"/>
          <w:lang w:bidi="th-TH"/>
        </w:rPr>
        <w:t>22</w:t>
      </w:r>
      <w:r w:rsidR="008055A6" w:rsidRPr="00701895">
        <w:rPr>
          <w:rFonts w:ascii="Times New Roman" w:hAnsi="Times New Roman" w:cs="Times New Roman"/>
          <w:sz w:val="24"/>
          <w:szCs w:val="24"/>
          <w:lang w:bidi="th-TH"/>
        </w:rPr>
        <w:t>H</w:t>
      </w:r>
      <w:r w:rsidR="008055A6" w:rsidRPr="00701895">
        <w:rPr>
          <w:rFonts w:ascii="Times New Roman" w:hAnsi="Times New Roman" w:cs="Times New Roman"/>
          <w:sz w:val="24"/>
          <w:szCs w:val="24"/>
          <w:vertAlign w:val="subscript"/>
          <w:lang w:bidi="th-TH"/>
        </w:rPr>
        <w:t>30</w:t>
      </w:r>
      <w:r w:rsidR="008055A6" w:rsidRPr="00701895">
        <w:rPr>
          <w:rFonts w:ascii="Times New Roman" w:hAnsi="Times New Roman" w:cs="Times New Roman"/>
          <w:sz w:val="24"/>
          <w:szCs w:val="24"/>
          <w:lang w:bidi="th-TH"/>
        </w:rPr>
        <w:t>Cl</w:t>
      </w:r>
      <w:r w:rsidR="008055A6" w:rsidRPr="00701895">
        <w:rPr>
          <w:rFonts w:ascii="Times New Roman" w:hAnsi="Times New Roman" w:cs="Times New Roman"/>
          <w:sz w:val="24"/>
          <w:szCs w:val="24"/>
          <w:vertAlign w:val="subscript"/>
          <w:lang w:bidi="th-TH"/>
        </w:rPr>
        <w:t>2</w:t>
      </w:r>
      <w:r w:rsidR="008055A6" w:rsidRPr="00701895">
        <w:rPr>
          <w:rFonts w:ascii="Times New Roman" w:hAnsi="Times New Roman" w:cs="Times New Roman"/>
          <w:sz w:val="24"/>
          <w:szCs w:val="24"/>
          <w:lang w:bidi="th-TH"/>
        </w:rPr>
        <w:t>O</w:t>
      </w:r>
      <w:r w:rsidR="008055A6" w:rsidRPr="00701895">
        <w:rPr>
          <w:rFonts w:ascii="Times New Roman" w:hAnsi="Times New Roman" w:cs="Times New Roman"/>
          <w:sz w:val="24"/>
          <w:szCs w:val="24"/>
          <w:vertAlign w:val="subscript"/>
          <w:lang w:bidi="th-TH"/>
        </w:rPr>
        <w:t>10</w:t>
      </w:r>
      <w:r w:rsidR="008055A6" w:rsidRPr="00701895">
        <w:rPr>
          <w:rFonts w:ascii="Times New Roman" w:hAnsi="Times New Roman" w:cs="Times New Roman"/>
          <w:sz w:val="24"/>
          <w:szCs w:val="24"/>
          <w:lang w:bidi="th-TH"/>
        </w:rPr>
        <w:t>Co</w:t>
      </w:r>
      <w:r w:rsidR="008055A6" w:rsidRPr="00701895">
        <w:rPr>
          <w:rFonts w:ascii="Times New Roman" w:hAnsi="Times New Roman" w:cs="Times New Roman"/>
          <w:sz w:val="24"/>
          <w:szCs w:val="24"/>
          <w:vertAlign w:val="superscript"/>
          <w:lang w:bidi="th-TH"/>
        </w:rPr>
        <w:t>3+</w:t>
      </w:r>
      <w:r w:rsidR="008055A6" w:rsidRPr="00701895">
        <w:rPr>
          <w:rFonts w:ascii="Times New Roman" w:hAnsi="Times New Roman" w:cs="Times New Roman"/>
          <w:sz w:val="24"/>
          <w:szCs w:val="24"/>
          <w:lang w:bidi="th-TH"/>
        </w:rPr>
        <w:t>:194.35(100)/195.02(63.9) M</w:t>
      </w:r>
      <w:r w:rsidR="008055A6" w:rsidRPr="00701895">
        <w:rPr>
          <w:rFonts w:ascii="Times New Roman" w:hAnsi="Times New Roman" w:cs="Times New Roman"/>
          <w:sz w:val="24"/>
          <w:szCs w:val="24"/>
          <w:vertAlign w:val="superscript"/>
          <w:lang w:bidi="th-TH"/>
        </w:rPr>
        <w:t>+</w:t>
      </w:r>
      <w:r w:rsidR="008055A6" w:rsidRPr="00701895">
        <w:rPr>
          <w:rFonts w:ascii="Times New Roman" w:hAnsi="Times New Roman" w:cs="Times New Roman"/>
          <w:sz w:val="24"/>
          <w:szCs w:val="24"/>
          <w:lang w:bidi="th-TH"/>
        </w:rPr>
        <w:t>.</w:t>
      </w:r>
      <w:r w:rsidRPr="00701895">
        <w:rPr>
          <w:rFonts w:ascii="Times New Roman" w:hAnsi="Times New Roman" w:cs="Times New Roman"/>
          <w:sz w:val="24"/>
          <w:szCs w:val="24"/>
          <w:lang w:bidi="th-TH"/>
        </w:rPr>
        <w:t xml:space="preserve"> </w:t>
      </w:r>
    </w:p>
    <w:p w:rsidR="00F1417B" w:rsidRPr="00701895" w:rsidRDefault="00F1417B" w:rsidP="00F1417B">
      <w:pPr>
        <w:tabs>
          <w:tab w:val="left" w:pos="425"/>
        </w:tabs>
        <w:autoSpaceDE w:val="0"/>
        <w:autoSpaceDN w:val="0"/>
        <w:adjustRightInd w:val="0"/>
        <w:spacing w:before="40" w:after="0" w:line="360" w:lineRule="auto"/>
        <w:contextualSpacing/>
        <w:jc w:val="both"/>
        <w:rPr>
          <w:rFonts w:ascii="Times New Roman" w:eastAsia="Calibri" w:hAnsi="Times New Roman" w:cs="Times New Roman"/>
          <w:sz w:val="24"/>
          <w:szCs w:val="24"/>
          <w:lang w:bidi="th-TH"/>
        </w:rPr>
      </w:pPr>
      <w:r w:rsidRPr="00701895">
        <w:rPr>
          <w:rFonts w:ascii="Times New Roman" w:eastAsia="Calibri" w:hAnsi="Times New Roman" w:cs="Times New Roman"/>
          <w:sz w:val="24"/>
          <w:szCs w:val="24"/>
          <w:lang w:bidi="th-TH"/>
        </w:rPr>
        <w:t>NiL1 complex</w:t>
      </w:r>
      <w:r w:rsidR="008055A6" w:rsidRPr="00701895">
        <w:rPr>
          <w:rFonts w:ascii="Times New Roman" w:eastAsia="Calibri" w:hAnsi="Times New Roman" w:cs="Times New Roman"/>
          <w:sz w:val="24"/>
          <w:szCs w:val="24"/>
          <w:lang w:bidi="th-TH"/>
        </w:rPr>
        <w:t xml:space="preserve"> (compound </w:t>
      </w:r>
      <w:r w:rsidR="008055A6" w:rsidRPr="00701895">
        <w:rPr>
          <w:rFonts w:ascii="Times New Roman" w:eastAsia="Calibri" w:hAnsi="Times New Roman" w:cs="Times New Roman"/>
          <w:b/>
          <w:sz w:val="24"/>
          <w:szCs w:val="24"/>
          <w:lang w:bidi="th-TH"/>
        </w:rPr>
        <w:t>6</w:t>
      </w:r>
      <w:r w:rsidR="008055A6" w:rsidRPr="00701895">
        <w:rPr>
          <w:rFonts w:ascii="Times New Roman" w:eastAsia="Calibri" w:hAnsi="Times New Roman" w:cs="Times New Roman"/>
          <w:sz w:val="24"/>
          <w:szCs w:val="24"/>
          <w:lang w:bidi="th-TH"/>
        </w:rPr>
        <w:t>)</w:t>
      </w:r>
      <w:r w:rsidR="008055A6" w:rsidRPr="00701895">
        <w:rPr>
          <w:rFonts w:ascii="Times New Roman" w:hAnsi="Times New Roman" w:cs="Times New Roman"/>
          <w:sz w:val="24"/>
          <w:szCs w:val="24"/>
        </w:rPr>
        <w:t xml:space="preserve"> </w:t>
      </w:r>
      <w:r w:rsidR="008055A6" w:rsidRPr="00701895">
        <w:rPr>
          <w:rFonts w:ascii="Times New Roman" w:eastAsia="Calibri" w:hAnsi="Times New Roman" w:cs="Times New Roman"/>
          <w:sz w:val="24"/>
          <w:szCs w:val="24"/>
          <w:lang w:bidi="th-TH"/>
        </w:rPr>
        <w:t>548.04</w:t>
      </w:r>
      <w:r w:rsidR="008055A6" w:rsidRPr="00701895">
        <w:rPr>
          <w:rFonts w:ascii="Times New Roman" w:hAnsi="Times New Roman" w:cs="Times New Roman"/>
          <w:sz w:val="24"/>
          <w:szCs w:val="24"/>
        </w:rPr>
        <w:t xml:space="preserve"> (g/</w:t>
      </w:r>
      <w:proofErr w:type="spellStart"/>
      <w:r w:rsidR="008055A6" w:rsidRPr="00701895">
        <w:rPr>
          <w:rFonts w:ascii="Times New Roman" w:hAnsi="Times New Roman" w:cs="Times New Roman"/>
          <w:sz w:val="24"/>
          <w:szCs w:val="24"/>
        </w:rPr>
        <w:t>mol</w:t>
      </w:r>
      <w:proofErr w:type="spellEnd"/>
      <w:r w:rsidR="008055A6" w:rsidRPr="00701895">
        <w:rPr>
          <w:rFonts w:ascii="Times New Roman" w:hAnsi="Times New Roman" w:cs="Times New Roman"/>
          <w:sz w:val="24"/>
          <w:szCs w:val="24"/>
        </w:rPr>
        <w:t>)</w:t>
      </w:r>
      <w:r w:rsidR="00FC3434">
        <w:rPr>
          <w:rFonts w:ascii="Times New Roman" w:hAnsi="Times New Roman" w:cs="Times New Roman"/>
          <w:sz w:val="24"/>
          <w:szCs w:val="24"/>
        </w:rPr>
        <w:t>,</w:t>
      </w:r>
      <w:r w:rsidR="00FC3434" w:rsidRPr="00FC3434">
        <w:t xml:space="preserve"> </w:t>
      </w:r>
      <w:r w:rsidR="00FC3434" w:rsidRPr="00FC3434">
        <w:rPr>
          <w:rFonts w:ascii="Times New Roman" w:hAnsi="Times New Roman" w:cs="Times New Roman"/>
          <w:sz w:val="24"/>
          <w:szCs w:val="24"/>
        </w:rPr>
        <w:t>Parrot green</w:t>
      </w:r>
      <w:r w:rsidR="008055A6" w:rsidRPr="00701895">
        <w:rPr>
          <w:rFonts w:ascii="Times New Roman" w:eastAsia="Calibri" w:hAnsi="Times New Roman" w:cs="Times New Roman"/>
          <w:sz w:val="24"/>
          <w:szCs w:val="24"/>
          <w:lang w:bidi="th-TH"/>
        </w:rPr>
        <w:t>:</w:t>
      </w:r>
      <w:r w:rsidR="008055A6" w:rsidRPr="00701895">
        <w:rPr>
          <w:rFonts w:ascii="Times New Roman" w:hAnsi="Times New Roman" w:cs="Times New Roman"/>
          <w:sz w:val="24"/>
          <w:szCs w:val="24"/>
        </w:rPr>
        <w:t xml:space="preserve"> </w:t>
      </w:r>
      <w:proofErr w:type="spellStart"/>
      <w:r w:rsidR="008055A6" w:rsidRPr="00701895">
        <w:rPr>
          <w:rFonts w:ascii="Times New Roman" w:hAnsi="Times New Roman" w:cs="Times New Roman"/>
          <w:sz w:val="24"/>
          <w:szCs w:val="24"/>
        </w:rPr>
        <w:t>m.p</w:t>
      </w:r>
      <w:proofErr w:type="spellEnd"/>
      <w:r w:rsidR="008055A6" w:rsidRPr="00701895">
        <w:rPr>
          <w:rFonts w:ascii="Times New Roman" w:hAnsi="Times New Roman" w:cs="Times New Roman"/>
          <w:sz w:val="24"/>
          <w:szCs w:val="24"/>
        </w:rPr>
        <w:t>: &gt;300℃.</w:t>
      </w:r>
      <w:r w:rsidR="008055A6" w:rsidRPr="00701895">
        <w:rPr>
          <w:rFonts w:ascii="Times New Roman" w:eastAsia="Calibri" w:hAnsi="Times New Roman" w:cs="Times New Roman"/>
          <w:sz w:val="24"/>
          <w:szCs w:val="24"/>
          <w:lang w:bidi="th-TH"/>
        </w:rPr>
        <w:t xml:space="preserve"> IR data (</w:t>
      </w:r>
      <w:proofErr w:type="spellStart"/>
      <w:r w:rsidR="008055A6" w:rsidRPr="00701895">
        <w:rPr>
          <w:rFonts w:ascii="Times New Roman" w:eastAsia="Calibri" w:hAnsi="Times New Roman" w:cs="Times New Roman"/>
          <w:sz w:val="24"/>
          <w:szCs w:val="24"/>
          <w:lang w:bidi="th-TH"/>
        </w:rPr>
        <w:t>KBr</w:t>
      </w:r>
      <w:proofErr w:type="spellEnd"/>
      <w:r w:rsidR="008055A6" w:rsidRPr="00701895">
        <w:rPr>
          <w:rFonts w:ascii="Times New Roman" w:eastAsia="Calibri" w:hAnsi="Times New Roman" w:cs="Times New Roman"/>
          <w:sz w:val="24"/>
          <w:szCs w:val="24"/>
          <w:lang w:bidi="th-TH"/>
        </w:rPr>
        <w:t xml:space="preserve">: </w:t>
      </w:r>
      <w:proofErr w:type="spellStart"/>
      <w:r w:rsidR="008055A6" w:rsidRPr="00701895">
        <w:rPr>
          <w:rFonts w:ascii="Times New Roman" w:eastAsia="Calibri" w:hAnsi="Times New Roman" w:cs="Times New Roman"/>
          <w:sz w:val="24"/>
          <w:szCs w:val="24"/>
          <w:lang w:bidi="th-TH"/>
        </w:rPr>
        <w:t>νmax</w:t>
      </w:r>
      <w:proofErr w:type="spellEnd"/>
      <w:r w:rsidR="008055A6" w:rsidRPr="00701895">
        <w:rPr>
          <w:rFonts w:ascii="Times New Roman" w:eastAsia="Calibri" w:hAnsi="Times New Roman" w:cs="Times New Roman"/>
          <w:sz w:val="24"/>
          <w:szCs w:val="24"/>
          <w:lang w:bidi="th-TH"/>
        </w:rPr>
        <w:t>, cm</w:t>
      </w:r>
      <w:r w:rsidR="008055A6" w:rsidRPr="00701895">
        <w:rPr>
          <w:rFonts w:ascii="Times New Roman" w:eastAsia="Calibri" w:hAnsi="Times New Roman" w:cs="Times New Roman"/>
          <w:sz w:val="24"/>
          <w:szCs w:val="24"/>
          <w:vertAlign w:val="superscript"/>
          <w:lang w:bidi="th-TH"/>
        </w:rPr>
        <w:t>–1</w:t>
      </w:r>
      <w:r w:rsidR="008055A6" w:rsidRPr="00701895">
        <w:rPr>
          <w:rFonts w:ascii="Times New Roman" w:eastAsia="Calibri" w:hAnsi="Times New Roman" w:cs="Times New Roman"/>
          <w:sz w:val="24"/>
          <w:szCs w:val="24"/>
          <w:lang w:bidi="th-TH"/>
        </w:rPr>
        <w:t>):</w:t>
      </w:r>
      <w:r w:rsidR="008055A6" w:rsidRPr="00701895">
        <w:rPr>
          <w:rFonts w:ascii="Times New Roman" w:hAnsi="Times New Roman" w:cs="Times New Roman"/>
          <w:sz w:val="24"/>
          <w:szCs w:val="24"/>
        </w:rPr>
        <w:t xml:space="preserve"> </w:t>
      </w:r>
      <w:r w:rsidR="008055A6" w:rsidRPr="00701895">
        <w:rPr>
          <w:rFonts w:ascii="Times New Roman" w:eastAsia="Calibri" w:hAnsi="Times New Roman" w:cs="Times New Roman"/>
          <w:sz w:val="24"/>
          <w:szCs w:val="24"/>
          <w:lang w:bidi="th-TH"/>
        </w:rPr>
        <w:t>3450-3350, 3005, 2850, 1640-1566, 1643, 1566, 1463, 1388, 1109, 609 and 455. UV-visible data in DMSO [λ, nm (ε, M</w:t>
      </w:r>
      <w:r w:rsidR="008055A6" w:rsidRPr="00701895">
        <w:rPr>
          <w:rFonts w:ascii="Times New Roman" w:eastAsia="Calibri" w:hAnsi="Times New Roman" w:cs="Times New Roman"/>
          <w:sz w:val="24"/>
          <w:szCs w:val="24"/>
          <w:vertAlign w:val="superscript"/>
          <w:lang w:bidi="th-TH"/>
        </w:rPr>
        <w:t>–1</w:t>
      </w:r>
      <w:r w:rsidR="008055A6" w:rsidRPr="00701895">
        <w:rPr>
          <w:rFonts w:ascii="Times New Roman" w:eastAsia="Calibri" w:hAnsi="Times New Roman" w:cs="Times New Roman"/>
          <w:sz w:val="24"/>
          <w:szCs w:val="24"/>
          <w:lang w:bidi="th-TH"/>
        </w:rPr>
        <w:t xml:space="preserve"> cm</w:t>
      </w:r>
      <w:r w:rsidR="008055A6" w:rsidRPr="00701895">
        <w:rPr>
          <w:rFonts w:ascii="Times New Roman" w:eastAsia="Calibri" w:hAnsi="Times New Roman" w:cs="Times New Roman"/>
          <w:sz w:val="24"/>
          <w:szCs w:val="24"/>
          <w:vertAlign w:val="superscript"/>
          <w:lang w:bidi="th-TH"/>
        </w:rPr>
        <w:t>–1</w:t>
      </w:r>
      <w:r w:rsidR="008055A6" w:rsidRPr="00701895">
        <w:rPr>
          <w:rFonts w:ascii="Times New Roman" w:eastAsia="Calibri" w:hAnsi="Times New Roman" w:cs="Times New Roman"/>
          <w:sz w:val="24"/>
          <w:szCs w:val="24"/>
          <w:lang w:bidi="th-TH"/>
        </w:rPr>
        <w:t>)]:</w:t>
      </w:r>
      <w:r w:rsidR="008055A6" w:rsidRPr="00701895">
        <w:rPr>
          <w:rFonts w:ascii="Times New Roman" w:hAnsi="Times New Roman" w:cs="Times New Roman"/>
          <w:sz w:val="24"/>
          <w:szCs w:val="24"/>
        </w:rPr>
        <w:t xml:space="preserve"> </w:t>
      </w:r>
      <w:r w:rsidR="00D26E2C" w:rsidRPr="00701895">
        <w:rPr>
          <w:rFonts w:ascii="Times New Roman" w:eastAsia="Calibri" w:hAnsi="Times New Roman" w:cs="Times New Roman"/>
          <w:sz w:val="24"/>
          <w:szCs w:val="24"/>
          <w:lang w:bidi="th-TH"/>
        </w:rPr>
        <w:t>255</w:t>
      </w:r>
      <w:r w:rsidR="008055A6" w:rsidRPr="00701895">
        <w:rPr>
          <w:rFonts w:ascii="Times New Roman" w:eastAsia="Calibri" w:hAnsi="Times New Roman" w:cs="Times New Roman"/>
          <w:sz w:val="24"/>
          <w:szCs w:val="24"/>
          <w:lang w:bidi="th-TH"/>
        </w:rPr>
        <w:t>(</w:t>
      </w:r>
      <w:r w:rsidR="00D26E2C" w:rsidRPr="00701895">
        <w:rPr>
          <w:rFonts w:ascii="Times New Roman" w:eastAsia="Calibri" w:hAnsi="Times New Roman" w:cs="Times New Roman"/>
          <w:sz w:val="24"/>
          <w:szCs w:val="24"/>
          <w:lang w:bidi="th-TH"/>
        </w:rPr>
        <w:t>139.54</w:t>
      </w:r>
      <w:r w:rsidR="008055A6" w:rsidRPr="00701895">
        <w:rPr>
          <w:rFonts w:ascii="Times New Roman" w:eastAsia="Calibri" w:hAnsi="Times New Roman" w:cs="Times New Roman"/>
          <w:sz w:val="24"/>
          <w:szCs w:val="24"/>
          <w:lang w:bidi="th-TH"/>
        </w:rPr>
        <w:t>). [(m/z) M</w:t>
      </w:r>
      <w:r w:rsidR="008055A6" w:rsidRPr="00701895">
        <w:rPr>
          <w:rFonts w:ascii="Times New Roman" w:eastAsia="Calibri" w:hAnsi="Times New Roman" w:cs="Times New Roman"/>
          <w:sz w:val="24"/>
          <w:szCs w:val="24"/>
          <w:vertAlign w:val="superscript"/>
          <w:lang w:bidi="th-TH"/>
        </w:rPr>
        <w:t>+</w:t>
      </w:r>
      <w:r w:rsidR="008055A6" w:rsidRPr="00701895">
        <w:rPr>
          <w:rFonts w:ascii="Times New Roman" w:eastAsia="Calibri" w:hAnsi="Times New Roman" w:cs="Times New Roman"/>
          <w:sz w:val="24"/>
          <w:szCs w:val="24"/>
          <w:lang w:bidi="th-TH"/>
        </w:rPr>
        <w:t>, Cal</w:t>
      </w:r>
      <w:proofErr w:type="gramStart"/>
      <w:r w:rsidR="008055A6" w:rsidRPr="00701895">
        <w:rPr>
          <w:rFonts w:ascii="Times New Roman" w:eastAsia="Calibri" w:hAnsi="Times New Roman" w:cs="Times New Roman"/>
          <w:sz w:val="24"/>
          <w:szCs w:val="24"/>
          <w:lang w:bidi="th-TH"/>
        </w:rPr>
        <w:t>./</w:t>
      </w:r>
      <w:proofErr w:type="gramEnd"/>
      <w:r w:rsidR="008055A6" w:rsidRPr="00701895">
        <w:rPr>
          <w:rFonts w:ascii="Times New Roman" w:eastAsia="Calibri" w:hAnsi="Times New Roman" w:cs="Times New Roman"/>
          <w:sz w:val="24"/>
          <w:szCs w:val="24"/>
          <w:lang w:bidi="th-TH"/>
        </w:rPr>
        <w:t>Obs.(%)] for</w:t>
      </w:r>
      <w:r w:rsidR="008055A6" w:rsidRPr="00701895">
        <w:rPr>
          <w:rFonts w:ascii="Times New Roman" w:hAnsi="Times New Roman" w:cs="Times New Roman"/>
          <w:sz w:val="24"/>
          <w:szCs w:val="24"/>
        </w:rPr>
        <w:t xml:space="preserve"> </w:t>
      </w:r>
      <w:r w:rsidR="00D26E2C" w:rsidRPr="00701895">
        <w:rPr>
          <w:rFonts w:ascii="Times New Roman" w:hAnsi="Times New Roman" w:cs="Times New Roman"/>
          <w:sz w:val="24"/>
          <w:szCs w:val="24"/>
        </w:rPr>
        <w:t>C</w:t>
      </w:r>
      <w:r w:rsidR="00D26E2C" w:rsidRPr="00701895">
        <w:rPr>
          <w:rFonts w:ascii="Times New Roman" w:hAnsi="Times New Roman" w:cs="Times New Roman"/>
          <w:sz w:val="24"/>
          <w:szCs w:val="24"/>
          <w:vertAlign w:val="subscript"/>
        </w:rPr>
        <w:t>22</w:t>
      </w:r>
      <w:r w:rsidR="00D26E2C" w:rsidRPr="00701895">
        <w:rPr>
          <w:rFonts w:ascii="Times New Roman" w:hAnsi="Times New Roman" w:cs="Times New Roman"/>
          <w:sz w:val="24"/>
          <w:szCs w:val="24"/>
        </w:rPr>
        <w:t>H</w:t>
      </w:r>
      <w:r w:rsidR="00D26E2C" w:rsidRPr="00701895">
        <w:rPr>
          <w:rFonts w:ascii="Times New Roman" w:hAnsi="Times New Roman" w:cs="Times New Roman"/>
          <w:sz w:val="24"/>
          <w:szCs w:val="24"/>
          <w:vertAlign w:val="subscript"/>
        </w:rPr>
        <w:t>26</w:t>
      </w:r>
      <w:r w:rsidR="00D26E2C" w:rsidRPr="00701895">
        <w:rPr>
          <w:rFonts w:ascii="Times New Roman" w:hAnsi="Times New Roman" w:cs="Times New Roman"/>
          <w:sz w:val="24"/>
          <w:szCs w:val="24"/>
        </w:rPr>
        <w:t>Cl</w:t>
      </w:r>
      <w:r w:rsidR="00D26E2C" w:rsidRPr="00701895">
        <w:rPr>
          <w:rFonts w:ascii="Times New Roman" w:hAnsi="Times New Roman" w:cs="Times New Roman"/>
          <w:sz w:val="24"/>
          <w:szCs w:val="24"/>
          <w:vertAlign w:val="subscript"/>
        </w:rPr>
        <w:t>2</w:t>
      </w:r>
      <w:r w:rsidR="00D26E2C" w:rsidRPr="00701895">
        <w:rPr>
          <w:rFonts w:ascii="Times New Roman" w:hAnsi="Times New Roman" w:cs="Times New Roman"/>
          <w:sz w:val="24"/>
          <w:szCs w:val="24"/>
        </w:rPr>
        <w:t>O</w:t>
      </w:r>
      <w:r w:rsidR="00D26E2C" w:rsidRPr="00701895">
        <w:rPr>
          <w:rFonts w:ascii="Times New Roman" w:hAnsi="Times New Roman" w:cs="Times New Roman"/>
          <w:sz w:val="24"/>
          <w:szCs w:val="24"/>
          <w:vertAlign w:val="subscript"/>
        </w:rPr>
        <w:t>8</w:t>
      </w:r>
      <w:r w:rsidR="00D26E2C" w:rsidRPr="00701895">
        <w:rPr>
          <w:rFonts w:ascii="Times New Roman" w:hAnsi="Times New Roman" w:cs="Times New Roman"/>
          <w:sz w:val="24"/>
          <w:szCs w:val="24"/>
        </w:rPr>
        <w:t>Ni</w:t>
      </w:r>
      <w:r w:rsidR="00D26E2C" w:rsidRPr="00701895">
        <w:rPr>
          <w:rFonts w:ascii="Times New Roman" w:hAnsi="Times New Roman" w:cs="Times New Roman"/>
          <w:sz w:val="24"/>
          <w:szCs w:val="24"/>
          <w:vertAlign w:val="superscript"/>
        </w:rPr>
        <w:t>2+</w:t>
      </w:r>
      <w:r w:rsidR="008055A6" w:rsidRPr="00701895">
        <w:rPr>
          <w:rFonts w:ascii="Times New Roman" w:eastAsia="Calibri" w:hAnsi="Times New Roman" w:cs="Times New Roman"/>
          <w:sz w:val="24"/>
          <w:szCs w:val="24"/>
          <w:lang w:bidi="th-TH"/>
        </w:rPr>
        <w:t>:</w:t>
      </w:r>
      <w:r w:rsidR="00D26E2C" w:rsidRPr="00701895">
        <w:rPr>
          <w:rFonts w:ascii="Times New Roman" w:eastAsia="Calibri" w:hAnsi="Times New Roman" w:cs="Times New Roman"/>
          <w:sz w:val="24"/>
          <w:szCs w:val="24"/>
          <w:lang w:bidi="th-TH"/>
        </w:rPr>
        <w:t xml:space="preserve"> 274.01(100)/273.02(97.6)</w:t>
      </w:r>
      <w:r w:rsidR="008055A6" w:rsidRPr="00701895">
        <w:rPr>
          <w:rFonts w:ascii="Times New Roman" w:eastAsia="Calibri" w:hAnsi="Times New Roman" w:cs="Times New Roman"/>
          <w:sz w:val="24"/>
          <w:szCs w:val="24"/>
          <w:lang w:bidi="th-TH"/>
        </w:rPr>
        <w:t>M</w:t>
      </w:r>
      <w:r w:rsidR="008055A6" w:rsidRPr="00701895">
        <w:rPr>
          <w:rFonts w:ascii="Times New Roman" w:eastAsia="Calibri" w:hAnsi="Times New Roman" w:cs="Times New Roman"/>
          <w:sz w:val="24"/>
          <w:szCs w:val="24"/>
          <w:vertAlign w:val="superscript"/>
          <w:lang w:bidi="th-TH"/>
        </w:rPr>
        <w:t>+</w:t>
      </w:r>
      <w:r w:rsidR="008055A6" w:rsidRPr="00701895">
        <w:rPr>
          <w:rFonts w:ascii="Times New Roman" w:eastAsia="Calibri" w:hAnsi="Times New Roman" w:cs="Times New Roman"/>
          <w:sz w:val="24"/>
          <w:szCs w:val="24"/>
          <w:lang w:bidi="th-TH"/>
        </w:rPr>
        <w:t>.</w:t>
      </w:r>
      <w:r w:rsidRPr="00701895">
        <w:rPr>
          <w:rFonts w:ascii="Times New Roman" w:eastAsia="Calibri" w:hAnsi="Times New Roman" w:cs="Times New Roman"/>
          <w:sz w:val="24"/>
          <w:szCs w:val="24"/>
          <w:lang w:bidi="th-TH"/>
        </w:rPr>
        <w:t xml:space="preserve"> </w:t>
      </w:r>
    </w:p>
    <w:p w:rsidR="00D26E2C" w:rsidRPr="00701895" w:rsidRDefault="00F1417B" w:rsidP="00F1417B">
      <w:pPr>
        <w:tabs>
          <w:tab w:val="left" w:pos="425"/>
        </w:tabs>
        <w:autoSpaceDE w:val="0"/>
        <w:autoSpaceDN w:val="0"/>
        <w:adjustRightInd w:val="0"/>
        <w:spacing w:before="40" w:after="0" w:line="360" w:lineRule="auto"/>
        <w:contextualSpacing/>
        <w:jc w:val="both"/>
        <w:rPr>
          <w:rFonts w:ascii="Times New Roman" w:eastAsia="Calibri" w:hAnsi="Times New Roman" w:cs="Times New Roman"/>
          <w:sz w:val="24"/>
          <w:szCs w:val="24"/>
          <w:lang w:bidi="th-TH"/>
        </w:rPr>
      </w:pPr>
      <w:r w:rsidRPr="00701895">
        <w:rPr>
          <w:rFonts w:ascii="Times New Roman" w:eastAsia="Calibri" w:hAnsi="Times New Roman" w:cs="Times New Roman"/>
          <w:sz w:val="24"/>
          <w:szCs w:val="24"/>
          <w:lang w:bidi="th-TH"/>
        </w:rPr>
        <w:t>MnL1 complex</w:t>
      </w:r>
      <w:r w:rsidR="00D26E2C" w:rsidRPr="00701895">
        <w:rPr>
          <w:rFonts w:ascii="Times New Roman" w:eastAsia="Calibri" w:hAnsi="Times New Roman" w:cs="Times New Roman"/>
          <w:sz w:val="24"/>
          <w:szCs w:val="24"/>
          <w:lang w:bidi="th-TH"/>
        </w:rPr>
        <w:t xml:space="preserve"> (compound </w:t>
      </w:r>
      <w:r w:rsidR="00D26E2C" w:rsidRPr="00701895">
        <w:rPr>
          <w:rFonts w:ascii="Times New Roman" w:eastAsia="Calibri" w:hAnsi="Times New Roman" w:cs="Times New Roman"/>
          <w:b/>
          <w:sz w:val="24"/>
          <w:szCs w:val="24"/>
          <w:lang w:bidi="th-TH"/>
        </w:rPr>
        <w:t>7</w:t>
      </w:r>
      <w:r w:rsidR="00D26E2C" w:rsidRPr="00701895">
        <w:rPr>
          <w:rFonts w:ascii="Times New Roman" w:eastAsia="Calibri" w:hAnsi="Times New Roman" w:cs="Times New Roman"/>
          <w:sz w:val="24"/>
          <w:szCs w:val="24"/>
          <w:lang w:bidi="th-TH"/>
        </w:rPr>
        <w:t>)</w:t>
      </w:r>
      <w:r w:rsidR="00D26E2C" w:rsidRPr="00701895">
        <w:rPr>
          <w:rFonts w:ascii="Times New Roman" w:hAnsi="Times New Roman" w:cs="Times New Roman"/>
          <w:sz w:val="24"/>
          <w:szCs w:val="24"/>
        </w:rPr>
        <w:t xml:space="preserve"> 544.28(g/</w:t>
      </w:r>
      <w:proofErr w:type="spellStart"/>
      <w:r w:rsidR="00D26E2C" w:rsidRPr="00701895">
        <w:rPr>
          <w:rFonts w:ascii="Times New Roman" w:hAnsi="Times New Roman" w:cs="Times New Roman"/>
          <w:sz w:val="24"/>
          <w:szCs w:val="24"/>
        </w:rPr>
        <w:t>mol</w:t>
      </w:r>
      <w:proofErr w:type="spellEnd"/>
      <w:r w:rsidR="00D26E2C" w:rsidRPr="00701895">
        <w:rPr>
          <w:rFonts w:ascii="Times New Roman" w:hAnsi="Times New Roman" w:cs="Times New Roman"/>
          <w:sz w:val="24"/>
          <w:szCs w:val="24"/>
        </w:rPr>
        <w:t>)</w:t>
      </w:r>
      <w:r w:rsidR="00FC3434">
        <w:rPr>
          <w:rFonts w:ascii="Times New Roman" w:hAnsi="Times New Roman" w:cs="Times New Roman"/>
          <w:sz w:val="24"/>
          <w:szCs w:val="24"/>
        </w:rPr>
        <w:t>,</w:t>
      </w:r>
      <w:r w:rsidR="00FC3434" w:rsidRPr="00FC3434">
        <w:t xml:space="preserve"> </w:t>
      </w:r>
      <w:r w:rsidR="00FC3434" w:rsidRPr="00FC3434">
        <w:rPr>
          <w:rFonts w:ascii="Times New Roman" w:hAnsi="Times New Roman" w:cs="Times New Roman"/>
          <w:sz w:val="24"/>
          <w:szCs w:val="24"/>
        </w:rPr>
        <w:t>Blackish brown</w:t>
      </w:r>
      <w:r w:rsidR="00D26E2C" w:rsidRPr="00701895">
        <w:rPr>
          <w:rFonts w:ascii="Times New Roman" w:eastAsia="Calibri" w:hAnsi="Times New Roman" w:cs="Times New Roman"/>
          <w:sz w:val="24"/>
          <w:szCs w:val="24"/>
          <w:lang w:bidi="th-TH"/>
        </w:rPr>
        <w:t>:</w:t>
      </w:r>
      <w:r w:rsidR="00D26E2C" w:rsidRPr="00701895">
        <w:rPr>
          <w:rFonts w:ascii="Times New Roman" w:hAnsi="Times New Roman" w:cs="Times New Roman"/>
          <w:sz w:val="24"/>
          <w:szCs w:val="24"/>
        </w:rPr>
        <w:t xml:space="preserve"> </w:t>
      </w:r>
      <w:proofErr w:type="spellStart"/>
      <w:r w:rsidR="00D26E2C" w:rsidRPr="00701895">
        <w:rPr>
          <w:rFonts w:ascii="Times New Roman" w:hAnsi="Times New Roman" w:cs="Times New Roman"/>
          <w:sz w:val="24"/>
          <w:szCs w:val="24"/>
        </w:rPr>
        <w:t>m.p</w:t>
      </w:r>
      <w:proofErr w:type="spellEnd"/>
      <w:r w:rsidR="00D26E2C" w:rsidRPr="00701895">
        <w:rPr>
          <w:rFonts w:ascii="Times New Roman" w:hAnsi="Times New Roman" w:cs="Times New Roman"/>
          <w:sz w:val="24"/>
          <w:szCs w:val="24"/>
        </w:rPr>
        <w:t>: &gt;300℃.</w:t>
      </w:r>
      <w:r w:rsidR="00D26E2C" w:rsidRPr="00701895">
        <w:rPr>
          <w:rFonts w:ascii="Times New Roman" w:eastAsia="Calibri" w:hAnsi="Times New Roman" w:cs="Times New Roman"/>
          <w:sz w:val="24"/>
          <w:szCs w:val="24"/>
          <w:lang w:bidi="th-TH"/>
        </w:rPr>
        <w:t xml:space="preserve"> IR data (</w:t>
      </w:r>
      <w:proofErr w:type="spellStart"/>
      <w:r w:rsidR="00D26E2C" w:rsidRPr="00701895">
        <w:rPr>
          <w:rFonts w:ascii="Times New Roman" w:eastAsia="Calibri" w:hAnsi="Times New Roman" w:cs="Times New Roman"/>
          <w:sz w:val="24"/>
          <w:szCs w:val="24"/>
          <w:lang w:bidi="th-TH"/>
        </w:rPr>
        <w:t>KBr</w:t>
      </w:r>
      <w:proofErr w:type="spellEnd"/>
      <w:r w:rsidR="00D26E2C" w:rsidRPr="00701895">
        <w:rPr>
          <w:rFonts w:ascii="Times New Roman" w:eastAsia="Calibri" w:hAnsi="Times New Roman" w:cs="Times New Roman"/>
          <w:sz w:val="24"/>
          <w:szCs w:val="24"/>
          <w:lang w:bidi="th-TH"/>
        </w:rPr>
        <w:t xml:space="preserve">: </w:t>
      </w:r>
      <w:proofErr w:type="spellStart"/>
      <w:r w:rsidR="00D26E2C" w:rsidRPr="00701895">
        <w:rPr>
          <w:rFonts w:ascii="Times New Roman" w:eastAsia="Calibri" w:hAnsi="Times New Roman" w:cs="Times New Roman"/>
          <w:sz w:val="24"/>
          <w:szCs w:val="24"/>
          <w:lang w:bidi="th-TH"/>
        </w:rPr>
        <w:t>νmax</w:t>
      </w:r>
      <w:proofErr w:type="spellEnd"/>
      <w:r w:rsidR="00D26E2C" w:rsidRPr="00701895">
        <w:rPr>
          <w:rFonts w:ascii="Times New Roman" w:eastAsia="Calibri" w:hAnsi="Times New Roman" w:cs="Times New Roman"/>
          <w:sz w:val="24"/>
          <w:szCs w:val="24"/>
          <w:lang w:bidi="th-TH"/>
        </w:rPr>
        <w:t>, cm</w:t>
      </w:r>
      <w:r w:rsidR="00D26E2C" w:rsidRPr="00701895">
        <w:rPr>
          <w:rFonts w:ascii="Times New Roman" w:eastAsia="Calibri" w:hAnsi="Times New Roman" w:cs="Times New Roman"/>
          <w:sz w:val="24"/>
          <w:szCs w:val="24"/>
          <w:vertAlign w:val="superscript"/>
          <w:lang w:bidi="th-TH"/>
        </w:rPr>
        <w:t>–1</w:t>
      </w:r>
      <w:r w:rsidR="00D26E2C" w:rsidRPr="00701895">
        <w:rPr>
          <w:rFonts w:ascii="Times New Roman" w:eastAsia="Calibri" w:hAnsi="Times New Roman" w:cs="Times New Roman"/>
          <w:sz w:val="24"/>
          <w:szCs w:val="24"/>
          <w:lang w:bidi="th-TH"/>
        </w:rPr>
        <w:t>): 3505-3310, 3005, 2980, 1629, 1500, 1566, 1386, 1111, 748, 603 and 523. UV-visible data in DMSO [λ, nm (ε, M</w:t>
      </w:r>
      <w:r w:rsidR="00D26E2C" w:rsidRPr="00701895">
        <w:rPr>
          <w:rFonts w:ascii="Times New Roman" w:eastAsia="Calibri" w:hAnsi="Times New Roman" w:cs="Times New Roman"/>
          <w:sz w:val="24"/>
          <w:szCs w:val="24"/>
          <w:vertAlign w:val="superscript"/>
          <w:lang w:bidi="th-TH"/>
        </w:rPr>
        <w:t>–1</w:t>
      </w:r>
      <w:r w:rsidR="00D26E2C" w:rsidRPr="00701895">
        <w:rPr>
          <w:rFonts w:ascii="Times New Roman" w:eastAsia="Calibri" w:hAnsi="Times New Roman" w:cs="Times New Roman"/>
          <w:sz w:val="24"/>
          <w:szCs w:val="24"/>
          <w:lang w:bidi="th-TH"/>
        </w:rPr>
        <w:t xml:space="preserve"> cm</w:t>
      </w:r>
      <w:r w:rsidR="00D26E2C" w:rsidRPr="00701895">
        <w:rPr>
          <w:rFonts w:ascii="Times New Roman" w:eastAsia="Calibri" w:hAnsi="Times New Roman" w:cs="Times New Roman"/>
          <w:sz w:val="24"/>
          <w:szCs w:val="24"/>
          <w:vertAlign w:val="superscript"/>
          <w:lang w:bidi="th-TH"/>
        </w:rPr>
        <w:t>–1</w:t>
      </w:r>
      <w:r w:rsidR="00D26E2C" w:rsidRPr="00701895">
        <w:rPr>
          <w:rFonts w:ascii="Times New Roman" w:eastAsia="Calibri" w:hAnsi="Times New Roman" w:cs="Times New Roman"/>
          <w:sz w:val="24"/>
          <w:szCs w:val="24"/>
          <w:lang w:bidi="th-TH"/>
        </w:rPr>
        <w:t>)]:</w:t>
      </w:r>
      <w:r w:rsidR="00D26E2C" w:rsidRPr="00701895">
        <w:rPr>
          <w:rFonts w:ascii="Times New Roman" w:hAnsi="Times New Roman" w:cs="Times New Roman"/>
          <w:sz w:val="24"/>
          <w:szCs w:val="24"/>
        </w:rPr>
        <w:t xml:space="preserve"> 253</w:t>
      </w:r>
      <w:r w:rsidR="00D26E2C" w:rsidRPr="00701895">
        <w:rPr>
          <w:rFonts w:ascii="Times New Roman" w:eastAsia="Calibri" w:hAnsi="Times New Roman" w:cs="Times New Roman"/>
          <w:sz w:val="24"/>
          <w:szCs w:val="24"/>
          <w:lang w:bidi="th-TH"/>
        </w:rPr>
        <w:t>(128.10). [(m/z) M</w:t>
      </w:r>
      <w:r w:rsidR="00D26E2C" w:rsidRPr="00701895">
        <w:rPr>
          <w:rFonts w:ascii="Times New Roman" w:eastAsia="Calibri" w:hAnsi="Times New Roman" w:cs="Times New Roman"/>
          <w:sz w:val="24"/>
          <w:szCs w:val="24"/>
          <w:vertAlign w:val="superscript"/>
          <w:lang w:bidi="th-TH"/>
        </w:rPr>
        <w:t>+</w:t>
      </w:r>
      <w:r w:rsidR="00D26E2C" w:rsidRPr="00701895">
        <w:rPr>
          <w:rFonts w:ascii="Times New Roman" w:eastAsia="Calibri" w:hAnsi="Times New Roman" w:cs="Times New Roman"/>
          <w:sz w:val="24"/>
          <w:szCs w:val="24"/>
          <w:lang w:bidi="th-TH"/>
        </w:rPr>
        <w:t>, Cal</w:t>
      </w:r>
      <w:proofErr w:type="gramStart"/>
      <w:r w:rsidR="00D26E2C" w:rsidRPr="00701895">
        <w:rPr>
          <w:rFonts w:ascii="Times New Roman" w:eastAsia="Calibri" w:hAnsi="Times New Roman" w:cs="Times New Roman"/>
          <w:sz w:val="24"/>
          <w:szCs w:val="24"/>
          <w:lang w:bidi="th-TH"/>
        </w:rPr>
        <w:t>./</w:t>
      </w:r>
      <w:proofErr w:type="gramEnd"/>
      <w:r w:rsidR="00D26E2C" w:rsidRPr="00701895">
        <w:rPr>
          <w:rFonts w:ascii="Times New Roman" w:eastAsia="Calibri" w:hAnsi="Times New Roman" w:cs="Times New Roman"/>
          <w:sz w:val="24"/>
          <w:szCs w:val="24"/>
          <w:lang w:bidi="th-TH"/>
        </w:rPr>
        <w:t>Obs.(%)] for</w:t>
      </w:r>
      <w:r w:rsidR="00D26E2C" w:rsidRPr="00701895">
        <w:rPr>
          <w:rFonts w:ascii="Times New Roman" w:hAnsi="Times New Roman" w:cs="Times New Roman"/>
          <w:sz w:val="24"/>
          <w:szCs w:val="24"/>
        </w:rPr>
        <w:t xml:space="preserve"> C</w:t>
      </w:r>
      <w:r w:rsidR="00D26E2C" w:rsidRPr="00701895">
        <w:rPr>
          <w:rFonts w:ascii="Times New Roman" w:hAnsi="Times New Roman" w:cs="Times New Roman"/>
          <w:sz w:val="24"/>
          <w:szCs w:val="24"/>
          <w:vertAlign w:val="subscript"/>
        </w:rPr>
        <w:t>22</w:t>
      </w:r>
      <w:r w:rsidR="00D26E2C" w:rsidRPr="00701895">
        <w:rPr>
          <w:rFonts w:ascii="Times New Roman" w:hAnsi="Times New Roman" w:cs="Times New Roman"/>
          <w:sz w:val="24"/>
          <w:szCs w:val="24"/>
        </w:rPr>
        <w:t>H</w:t>
      </w:r>
      <w:r w:rsidR="00D26E2C" w:rsidRPr="00701895">
        <w:rPr>
          <w:rFonts w:ascii="Times New Roman" w:hAnsi="Times New Roman" w:cs="Times New Roman"/>
          <w:sz w:val="24"/>
          <w:szCs w:val="24"/>
          <w:vertAlign w:val="subscript"/>
        </w:rPr>
        <w:t>26</w:t>
      </w:r>
      <w:r w:rsidR="00D26E2C" w:rsidRPr="00701895">
        <w:rPr>
          <w:rFonts w:ascii="Times New Roman" w:hAnsi="Times New Roman" w:cs="Times New Roman"/>
          <w:sz w:val="24"/>
          <w:szCs w:val="24"/>
        </w:rPr>
        <w:t>Cl</w:t>
      </w:r>
      <w:r w:rsidR="00D26E2C" w:rsidRPr="00701895">
        <w:rPr>
          <w:rFonts w:ascii="Times New Roman" w:hAnsi="Times New Roman" w:cs="Times New Roman"/>
          <w:sz w:val="24"/>
          <w:szCs w:val="24"/>
          <w:vertAlign w:val="subscript"/>
        </w:rPr>
        <w:t>2</w:t>
      </w:r>
      <w:r w:rsidR="00D26E2C" w:rsidRPr="00701895">
        <w:rPr>
          <w:rFonts w:ascii="Times New Roman" w:hAnsi="Times New Roman" w:cs="Times New Roman"/>
          <w:sz w:val="24"/>
          <w:szCs w:val="24"/>
        </w:rPr>
        <w:t>O</w:t>
      </w:r>
      <w:r w:rsidR="00D26E2C" w:rsidRPr="00701895">
        <w:rPr>
          <w:rFonts w:ascii="Times New Roman" w:hAnsi="Times New Roman" w:cs="Times New Roman"/>
          <w:sz w:val="24"/>
          <w:szCs w:val="24"/>
          <w:vertAlign w:val="subscript"/>
        </w:rPr>
        <w:t>8</w:t>
      </w:r>
      <w:r w:rsidR="00D26E2C" w:rsidRPr="00701895">
        <w:rPr>
          <w:rFonts w:ascii="Times New Roman" w:hAnsi="Times New Roman" w:cs="Times New Roman"/>
          <w:sz w:val="24"/>
          <w:szCs w:val="24"/>
        </w:rPr>
        <w:t>Mn</w:t>
      </w:r>
      <w:r w:rsidR="00D26E2C" w:rsidRPr="00701895">
        <w:rPr>
          <w:rFonts w:ascii="Times New Roman" w:hAnsi="Times New Roman" w:cs="Times New Roman"/>
          <w:sz w:val="24"/>
          <w:szCs w:val="24"/>
          <w:vertAlign w:val="superscript"/>
        </w:rPr>
        <w:t>2+</w:t>
      </w:r>
      <w:r w:rsidR="00D26E2C" w:rsidRPr="00701895">
        <w:rPr>
          <w:rFonts w:ascii="Times New Roman" w:eastAsia="Calibri" w:hAnsi="Times New Roman" w:cs="Times New Roman"/>
          <w:sz w:val="24"/>
          <w:szCs w:val="24"/>
          <w:lang w:bidi="th-TH"/>
        </w:rPr>
        <w:t>: 271.52(100)/272.52(65.6)M</w:t>
      </w:r>
      <w:r w:rsidR="00D26E2C" w:rsidRPr="00701895">
        <w:rPr>
          <w:rFonts w:ascii="Times New Roman" w:eastAsia="Calibri" w:hAnsi="Times New Roman" w:cs="Times New Roman"/>
          <w:sz w:val="24"/>
          <w:szCs w:val="24"/>
          <w:vertAlign w:val="superscript"/>
          <w:lang w:bidi="th-TH"/>
        </w:rPr>
        <w:t>+</w:t>
      </w:r>
      <w:r w:rsidR="00D26E2C" w:rsidRPr="00701895">
        <w:rPr>
          <w:rFonts w:ascii="Times New Roman" w:eastAsia="Calibri" w:hAnsi="Times New Roman" w:cs="Times New Roman"/>
          <w:sz w:val="24"/>
          <w:szCs w:val="24"/>
          <w:lang w:bidi="th-TH"/>
        </w:rPr>
        <w:t>.</w:t>
      </w:r>
      <w:r w:rsidRPr="00701895">
        <w:rPr>
          <w:rFonts w:ascii="Times New Roman" w:eastAsia="Calibri" w:hAnsi="Times New Roman" w:cs="Times New Roman"/>
          <w:sz w:val="24"/>
          <w:szCs w:val="24"/>
          <w:lang w:bidi="th-TH"/>
        </w:rPr>
        <w:t xml:space="preserve"> </w:t>
      </w:r>
    </w:p>
    <w:p w:rsidR="00F1417B" w:rsidRPr="00701895" w:rsidRDefault="00F1417B" w:rsidP="00F1417B">
      <w:pPr>
        <w:tabs>
          <w:tab w:val="left" w:pos="425"/>
        </w:tabs>
        <w:autoSpaceDE w:val="0"/>
        <w:autoSpaceDN w:val="0"/>
        <w:adjustRightInd w:val="0"/>
        <w:spacing w:before="40" w:after="0" w:line="360" w:lineRule="auto"/>
        <w:contextualSpacing/>
        <w:jc w:val="both"/>
        <w:rPr>
          <w:rFonts w:ascii="Times New Roman" w:eastAsia="Calibri" w:hAnsi="Times New Roman" w:cs="Times New Roman"/>
          <w:sz w:val="24"/>
          <w:szCs w:val="24"/>
          <w:lang w:bidi="th-TH"/>
        </w:rPr>
      </w:pPr>
      <w:r w:rsidRPr="00701895">
        <w:rPr>
          <w:rFonts w:ascii="Times New Roman" w:eastAsia="Calibri" w:hAnsi="Times New Roman" w:cs="Times New Roman"/>
          <w:sz w:val="24"/>
          <w:szCs w:val="24"/>
          <w:lang w:bidi="th-TH"/>
        </w:rPr>
        <w:t>CuL1 complex</w:t>
      </w:r>
      <w:r w:rsidR="00D26E2C" w:rsidRPr="00701895">
        <w:rPr>
          <w:rFonts w:ascii="Times New Roman" w:eastAsia="Calibri" w:hAnsi="Times New Roman" w:cs="Times New Roman"/>
          <w:sz w:val="24"/>
          <w:szCs w:val="24"/>
          <w:lang w:bidi="th-TH"/>
        </w:rPr>
        <w:t xml:space="preserve"> (compound </w:t>
      </w:r>
      <w:r w:rsidR="00A24358" w:rsidRPr="00701895">
        <w:rPr>
          <w:rFonts w:ascii="Times New Roman" w:eastAsia="Calibri" w:hAnsi="Times New Roman" w:cs="Times New Roman"/>
          <w:b/>
          <w:sz w:val="24"/>
          <w:szCs w:val="24"/>
          <w:lang w:bidi="th-TH"/>
        </w:rPr>
        <w:t>8</w:t>
      </w:r>
      <w:r w:rsidR="00D26E2C" w:rsidRPr="00701895">
        <w:rPr>
          <w:rFonts w:ascii="Times New Roman" w:eastAsia="Calibri" w:hAnsi="Times New Roman" w:cs="Times New Roman"/>
          <w:sz w:val="24"/>
          <w:szCs w:val="24"/>
          <w:lang w:bidi="th-TH"/>
        </w:rPr>
        <w:t>)</w:t>
      </w:r>
      <w:r w:rsidR="00D26E2C" w:rsidRPr="00701895">
        <w:rPr>
          <w:rFonts w:ascii="Times New Roman" w:hAnsi="Times New Roman" w:cs="Times New Roman"/>
          <w:sz w:val="24"/>
          <w:szCs w:val="24"/>
        </w:rPr>
        <w:t xml:space="preserve"> </w:t>
      </w:r>
      <w:r w:rsidR="00D26E2C" w:rsidRPr="00701895">
        <w:rPr>
          <w:rFonts w:ascii="Times New Roman" w:eastAsia="Calibri" w:hAnsi="Times New Roman" w:cs="Times New Roman"/>
          <w:sz w:val="24"/>
          <w:szCs w:val="24"/>
          <w:lang w:bidi="th-TH"/>
        </w:rPr>
        <w:t>552.89</w:t>
      </w:r>
      <w:r w:rsidR="00D26E2C" w:rsidRPr="00701895">
        <w:rPr>
          <w:rFonts w:ascii="Times New Roman" w:hAnsi="Times New Roman" w:cs="Times New Roman"/>
          <w:sz w:val="24"/>
          <w:szCs w:val="24"/>
        </w:rPr>
        <w:t xml:space="preserve"> (g/</w:t>
      </w:r>
      <w:proofErr w:type="spellStart"/>
      <w:r w:rsidR="00D26E2C" w:rsidRPr="00701895">
        <w:rPr>
          <w:rFonts w:ascii="Times New Roman" w:hAnsi="Times New Roman" w:cs="Times New Roman"/>
          <w:sz w:val="24"/>
          <w:szCs w:val="24"/>
        </w:rPr>
        <w:t>mol</w:t>
      </w:r>
      <w:proofErr w:type="spellEnd"/>
      <w:r w:rsidR="00D26E2C" w:rsidRPr="00701895">
        <w:rPr>
          <w:rFonts w:ascii="Times New Roman" w:hAnsi="Times New Roman" w:cs="Times New Roman"/>
          <w:sz w:val="24"/>
          <w:szCs w:val="24"/>
        </w:rPr>
        <w:t>)</w:t>
      </w:r>
      <w:r w:rsidR="00FC3434">
        <w:rPr>
          <w:rFonts w:ascii="Times New Roman" w:hAnsi="Times New Roman" w:cs="Times New Roman"/>
          <w:sz w:val="24"/>
          <w:szCs w:val="24"/>
        </w:rPr>
        <w:t>,</w:t>
      </w:r>
      <w:r w:rsidR="00FC3434" w:rsidRPr="00FC3434">
        <w:t xml:space="preserve"> </w:t>
      </w:r>
      <w:r w:rsidR="00FC3434" w:rsidRPr="00FC3434">
        <w:rPr>
          <w:rFonts w:ascii="Times New Roman" w:hAnsi="Times New Roman" w:cs="Times New Roman"/>
          <w:sz w:val="24"/>
          <w:szCs w:val="24"/>
        </w:rPr>
        <w:t>Paris green</w:t>
      </w:r>
      <w:r w:rsidR="00D26E2C" w:rsidRPr="00701895">
        <w:rPr>
          <w:rFonts w:ascii="Times New Roman" w:eastAsia="Calibri" w:hAnsi="Times New Roman" w:cs="Times New Roman"/>
          <w:sz w:val="24"/>
          <w:szCs w:val="24"/>
          <w:lang w:bidi="th-TH"/>
        </w:rPr>
        <w:t>:</w:t>
      </w:r>
      <w:r w:rsidR="00D26E2C" w:rsidRPr="00701895">
        <w:rPr>
          <w:rFonts w:ascii="Times New Roman" w:hAnsi="Times New Roman" w:cs="Times New Roman"/>
          <w:sz w:val="24"/>
          <w:szCs w:val="24"/>
        </w:rPr>
        <w:t xml:space="preserve"> </w:t>
      </w:r>
      <w:proofErr w:type="spellStart"/>
      <w:r w:rsidR="00D26E2C" w:rsidRPr="00701895">
        <w:rPr>
          <w:rFonts w:ascii="Times New Roman" w:hAnsi="Times New Roman" w:cs="Times New Roman"/>
          <w:sz w:val="24"/>
          <w:szCs w:val="24"/>
        </w:rPr>
        <w:t>m.p</w:t>
      </w:r>
      <w:proofErr w:type="spellEnd"/>
      <w:r w:rsidR="00D26E2C" w:rsidRPr="00701895">
        <w:rPr>
          <w:rFonts w:ascii="Times New Roman" w:hAnsi="Times New Roman" w:cs="Times New Roman"/>
          <w:sz w:val="24"/>
          <w:szCs w:val="24"/>
        </w:rPr>
        <w:t>: &gt;300℃.</w:t>
      </w:r>
      <w:r w:rsidR="00D26E2C" w:rsidRPr="00701895">
        <w:rPr>
          <w:rFonts w:ascii="Times New Roman" w:eastAsia="Calibri" w:hAnsi="Times New Roman" w:cs="Times New Roman"/>
          <w:sz w:val="24"/>
          <w:szCs w:val="24"/>
          <w:lang w:bidi="th-TH"/>
        </w:rPr>
        <w:t xml:space="preserve"> IR data (</w:t>
      </w:r>
      <w:proofErr w:type="spellStart"/>
      <w:r w:rsidR="00D26E2C" w:rsidRPr="00701895">
        <w:rPr>
          <w:rFonts w:ascii="Times New Roman" w:eastAsia="Calibri" w:hAnsi="Times New Roman" w:cs="Times New Roman"/>
          <w:sz w:val="24"/>
          <w:szCs w:val="24"/>
          <w:lang w:bidi="th-TH"/>
        </w:rPr>
        <w:t>KBr</w:t>
      </w:r>
      <w:proofErr w:type="spellEnd"/>
      <w:r w:rsidR="00D26E2C" w:rsidRPr="00701895">
        <w:rPr>
          <w:rFonts w:ascii="Times New Roman" w:eastAsia="Calibri" w:hAnsi="Times New Roman" w:cs="Times New Roman"/>
          <w:sz w:val="24"/>
          <w:szCs w:val="24"/>
          <w:lang w:bidi="th-TH"/>
        </w:rPr>
        <w:t xml:space="preserve">: </w:t>
      </w:r>
      <w:proofErr w:type="spellStart"/>
      <w:r w:rsidR="00D26E2C" w:rsidRPr="00701895">
        <w:rPr>
          <w:rFonts w:ascii="Times New Roman" w:eastAsia="Calibri" w:hAnsi="Times New Roman" w:cs="Times New Roman"/>
          <w:sz w:val="24"/>
          <w:szCs w:val="24"/>
          <w:lang w:bidi="th-TH"/>
        </w:rPr>
        <w:t>νmax</w:t>
      </w:r>
      <w:proofErr w:type="spellEnd"/>
      <w:r w:rsidR="00D26E2C" w:rsidRPr="00701895">
        <w:rPr>
          <w:rFonts w:ascii="Times New Roman" w:eastAsia="Calibri" w:hAnsi="Times New Roman" w:cs="Times New Roman"/>
          <w:sz w:val="24"/>
          <w:szCs w:val="24"/>
          <w:lang w:bidi="th-TH"/>
        </w:rPr>
        <w:t>, cm</w:t>
      </w:r>
      <w:r w:rsidR="00D26E2C" w:rsidRPr="00701895">
        <w:rPr>
          <w:rFonts w:ascii="Times New Roman" w:eastAsia="Calibri" w:hAnsi="Times New Roman" w:cs="Times New Roman"/>
          <w:sz w:val="24"/>
          <w:szCs w:val="24"/>
          <w:vertAlign w:val="superscript"/>
          <w:lang w:bidi="th-TH"/>
        </w:rPr>
        <w:t>–1</w:t>
      </w:r>
      <w:r w:rsidR="00D26E2C" w:rsidRPr="00701895">
        <w:rPr>
          <w:rFonts w:ascii="Times New Roman" w:eastAsia="Calibri" w:hAnsi="Times New Roman" w:cs="Times New Roman"/>
          <w:sz w:val="24"/>
          <w:szCs w:val="24"/>
          <w:lang w:bidi="th-TH"/>
        </w:rPr>
        <w:t>):</w:t>
      </w:r>
      <w:r w:rsidR="00B63804" w:rsidRPr="00701895">
        <w:rPr>
          <w:rFonts w:ascii="Times New Roman" w:eastAsia="Calibri" w:hAnsi="Times New Roman" w:cs="Times New Roman"/>
          <w:sz w:val="24"/>
          <w:szCs w:val="24"/>
          <w:lang w:bidi="th-TH"/>
        </w:rPr>
        <w:t xml:space="preserve"> 3480-3350, 3115, 2980, 1673, 1604, 1521, 1388, 1112, 746, 605 and 486</w:t>
      </w:r>
      <w:r w:rsidR="00D26E2C" w:rsidRPr="00701895">
        <w:rPr>
          <w:rFonts w:ascii="Times New Roman" w:eastAsia="Calibri" w:hAnsi="Times New Roman" w:cs="Times New Roman"/>
          <w:sz w:val="24"/>
          <w:szCs w:val="24"/>
          <w:lang w:bidi="th-TH"/>
        </w:rPr>
        <w:t>. UV-visible data in DMSO [λ, nm (ε, M</w:t>
      </w:r>
      <w:r w:rsidR="00D26E2C" w:rsidRPr="00701895">
        <w:rPr>
          <w:rFonts w:ascii="Times New Roman" w:eastAsia="Calibri" w:hAnsi="Times New Roman" w:cs="Times New Roman"/>
          <w:sz w:val="24"/>
          <w:szCs w:val="24"/>
          <w:vertAlign w:val="superscript"/>
          <w:lang w:bidi="th-TH"/>
        </w:rPr>
        <w:t>–1</w:t>
      </w:r>
      <w:r w:rsidR="00D26E2C" w:rsidRPr="00701895">
        <w:rPr>
          <w:rFonts w:ascii="Times New Roman" w:eastAsia="Calibri" w:hAnsi="Times New Roman" w:cs="Times New Roman"/>
          <w:sz w:val="24"/>
          <w:szCs w:val="24"/>
          <w:lang w:bidi="th-TH"/>
        </w:rPr>
        <w:t xml:space="preserve"> cm</w:t>
      </w:r>
      <w:r w:rsidR="00D26E2C" w:rsidRPr="00701895">
        <w:rPr>
          <w:rFonts w:ascii="Times New Roman" w:eastAsia="Calibri" w:hAnsi="Times New Roman" w:cs="Times New Roman"/>
          <w:sz w:val="24"/>
          <w:szCs w:val="24"/>
          <w:vertAlign w:val="superscript"/>
          <w:lang w:bidi="th-TH"/>
        </w:rPr>
        <w:t>–1</w:t>
      </w:r>
      <w:r w:rsidR="00D26E2C" w:rsidRPr="00701895">
        <w:rPr>
          <w:rFonts w:ascii="Times New Roman" w:eastAsia="Calibri" w:hAnsi="Times New Roman" w:cs="Times New Roman"/>
          <w:sz w:val="24"/>
          <w:szCs w:val="24"/>
          <w:lang w:bidi="th-TH"/>
        </w:rPr>
        <w:t>)]:</w:t>
      </w:r>
      <w:r w:rsidR="00D26E2C" w:rsidRPr="00701895">
        <w:rPr>
          <w:rFonts w:ascii="Times New Roman" w:hAnsi="Times New Roman" w:cs="Times New Roman"/>
          <w:sz w:val="24"/>
          <w:szCs w:val="24"/>
        </w:rPr>
        <w:t xml:space="preserve"> </w:t>
      </w:r>
      <w:r w:rsidR="00B63804" w:rsidRPr="00701895">
        <w:rPr>
          <w:rFonts w:ascii="Times New Roman" w:hAnsi="Times New Roman" w:cs="Times New Roman"/>
          <w:sz w:val="24"/>
          <w:szCs w:val="24"/>
        </w:rPr>
        <w:t>250</w:t>
      </w:r>
      <w:r w:rsidR="00D26E2C" w:rsidRPr="00701895">
        <w:rPr>
          <w:rFonts w:ascii="Times New Roman" w:eastAsia="Calibri" w:hAnsi="Times New Roman" w:cs="Times New Roman"/>
          <w:sz w:val="24"/>
          <w:szCs w:val="24"/>
          <w:lang w:bidi="th-TH"/>
        </w:rPr>
        <w:t>(</w:t>
      </w:r>
      <w:r w:rsidR="00B63804" w:rsidRPr="00701895">
        <w:rPr>
          <w:rFonts w:ascii="Times New Roman" w:eastAsia="Calibri" w:hAnsi="Times New Roman" w:cs="Times New Roman"/>
          <w:sz w:val="24"/>
          <w:szCs w:val="24"/>
          <w:lang w:bidi="th-TH"/>
        </w:rPr>
        <w:t>161.10</w:t>
      </w:r>
      <w:r w:rsidR="00D26E2C" w:rsidRPr="00701895">
        <w:rPr>
          <w:rFonts w:ascii="Times New Roman" w:eastAsia="Calibri" w:hAnsi="Times New Roman" w:cs="Times New Roman"/>
          <w:sz w:val="24"/>
          <w:szCs w:val="24"/>
          <w:lang w:bidi="th-TH"/>
        </w:rPr>
        <w:t>). [(m/z) M</w:t>
      </w:r>
      <w:r w:rsidR="00D26E2C" w:rsidRPr="00701895">
        <w:rPr>
          <w:rFonts w:ascii="Times New Roman" w:eastAsia="Calibri" w:hAnsi="Times New Roman" w:cs="Times New Roman"/>
          <w:sz w:val="24"/>
          <w:szCs w:val="24"/>
          <w:vertAlign w:val="superscript"/>
          <w:lang w:bidi="th-TH"/>
        </w:rPr>
        <w:t>+</w:t>
      </w:r>
      <w:r w:rsidR="00D26E2C" w:rsidRPr="00701895">
        <w:rPr>
          <w:rFonts w:ascii="Times New Roman" w:eastAsia="Calibri" w:hAnsi="Times New Roman" w:cs="Times New Roman"/>
          <w:sz w:val="24"/>
          <w:szCs w:val="24"/>
          <w:lang w:bidi="th-TH"/>
        </w:rPr>
        <w:t>, Cal</w:t>
      </w:r>
      <w:proofErr w:type="gramStart"/>
      <w:r w:rsidR="00D26E2C" w:rsidRPr="00701895">
        <w:rPr>
          <w:rFonts w:ascii="Times New Roman" w:eastAsia="Calibri" w:hAnsi="Times New Roman" w:cs="Times New Roman"/>
          <w:sz w:val="24"/>
          <w:szCs w:val="24"/>
          <w:lang w:bidi="th-TH"/>
        </w:rPr>
        <w:t>./</w:t>
      </w:r>
      <w:proofErr w:type="gramEnd"/>
      <w:r w:rsidR="00D26E2C" w:rsidRPr="00701895">
        <w:rPr>
          <w:rFonts w:ascii="Times New Roman" w:eastAsia="Calibri" w:hAnsi="Times New Roman" w:cs="Times New Roman"/>
          <w:sz w:val="24"/>
          <w:szCs w:val="24"/>
          <w:lang w:bidi="th-TH"/>
        </w:rPr>
        <w:t>Obs.(%)] for</w:t>
      </w:r>
      <w:r w:rsidR="00D26E2C" w:rsidRPr="00701895">
        <w:rPr>
          <w:rFonts w:ascii="Times New Roman" w:hAnsi="Times New Roman" w:cs="Times New Roman"/>
          <w:sz w:val="24"/>
          <w:szCs w:val="24"/>
        </w:rPr>
        <w:t xml:space="preserve"> C</w:t>
      </w:r>
      <w:r w:rsidR="00D26E2C" w:rsidRPr="00701895">
        <w:rPr>
          <w:rFonts w:ascii="Times New Roman" w:hAnsi="Times New Roman" w:cs="Times New Roman"/>
          <w:sz w:val="24"/>
          <w:szCs w:val="24"/>
          <w:vertAlign w:val="subscript"/>
        </w:rPr>
        <w:t>22</w:t>
      </w:r>
      <w:r w:rsidR="00D26E2C" w:rsidRPr="00701895">
        <w:rPr>
          <w:rFonts w:ascii="Times New Roman" w:hAnsi="Times New Roman" w:cs="Times New Roman"/>
          <w:sz w:val="24"/>
          <w:szCs w:val="24"/>
        </w:rPr>
        <w:t>H</w:t>
      </w:r>
      <w:r w:rsidR="00D26E2C" w:rsidRPr="00701895">
        <w:rPr>
          <w:rFonts w:ascii="Times New Roman" w:hAnsi="Times New Roman" w:cs="Times New Roman"/>
          <w:sz w:val="24"/>
          <w:szCs w:val="24"/>
          <w:vertAlign w:val="subscript"/>
        </w:rPr>
        <w:t>26</w:t>
      </w:r>
      <w:r w:rsidR="00D26E2C" w:rsidRPr="00701895">
        <w:rPr>
          <w:rFonts w:ascii="Times New Roman" w:hAnsi="Times New Roman" w:cs="Times New Roman"/>
          <w:sz w:val="24"/>
          <w:szCs w:val="24"/>
        </w:rPr>
        <w:t>Cl</w:t>
      </w:r>
      <w:r w:rsidR="00D26E2C" w:rsidRPr="00701895">
        <w:rPr>
          <w:rFonts w:ascii="Times New Roman" w:hAnsi="Times New Roman" w:cs="Times New Roman"/>
          <w:sz w:val="24"/>
          <w:szCs w:val="24"/>
          <w:vertAlign w:val="subscript"/>
        </w:rPr>
        <w:t>2</w:t>
      </w:r>
      <w:r w:rsidR="00D26E2C" w:rsidRPr="00701895">
        <w:rPr>
          <w:rFonts w:ascii="Times New Roman" w:hAnsi="Times New Roman" w:cs="Times New Roman"/>
          <w:sz w:val="24"/>
          <w:szCs w:val="24"/>
        </w:rPr>
        <w:t>O</w:t>
      </w:r>
      <w:r w:rsidR="00D26E2C" w:rsidRPr="00701895">
        <w:rPr>
          <w:rFonts w:ascii="Times New Roman" w:hAnsi="Times New Roman" w:cs="Times New Roman"/>
          <w:sz w:val="24"/>
          <w:szCs w:val="24"/>
          <w:vertAlign w:val="subscript"/>
        </w:rPr>
        <w:t>8</w:t>
      </w:r>
      <w:r w:rsidR="00B63804" w:rsidRPr="00701895">
        <w:rPr>
          <w:rFonts w:ascii="Times New Roman" w:hAnsi="Times New Roman" w:cs="Times New Roman"/>
          <w:sz w:val="24"/>
          <w:szCs w:val="24"/>
        </w:rPr>
        <w:t>Cu</w:t>
      </w:r>
      <w:r w:rsidR="00D26E2C" w:rsidRPr="00701895">
        <w:rPr>
          <w:rFonts w:ascii="Times New Roman" w:hAnsi="Times New Roman" w:cs="Times New Roman"/>
          <w:sz w:val="24"/>
          <w:szCs w:val="24"/>
          <w:vertAlign w:val="superscript"/>
        </w:rPr>
        <w:t>2+</w:t>
      </w:r>
      <w:r w:rsidR="00D26E2C" w:rsidRPr="00701895">
        <w:rPr>
          <w:rFonts w:ascii="Times New Roman" w:eastAsia="Calibri" w:hAnsi="Times New Roman" w:cs="Times New Roman"/>
          <w:sz w:val="24"/>
          <w:szCs w:val="24"/>
          <w:lang w:bidi="th-TH"/>
        </w:rPr>
        <w:t xml:space="preserve">: </w:t>
      </w:r>
      <w:r w:rsidR="00B63804" w:rsidRPr="00701895">
        <w:rPr>
          <w:rFonts w:ascii="Times New Roman" w:eastAsia="Calibri" w:hAnsi="Times New Roman" w:cs="Times New Roman"/>
          <w:sz w:val="24"/>
          <w:szCs w:val="24"/>
          <w:lang w:bidi="th-TH"/>
        </w:rPr>
        <w:t>276.51(100)/275.51 (89.5)</w:t>
      </w:r>
      <w:r w:rsidR="00D26E2C" w:rsidRPr="00701895">
        <w:rPr>
          <w:rFonts w:ascii="Times New Roman" w:eastAsia="Calibri" w:hAnsi="Times New Roman" w:cs="Times New Roman"/>
          <w:sz w:val="24"/>
          <w:szCs w:val="24"/>
          <w:lang w:bidi="th-TH"/>
        </w:rPr>
        <w:t>M</w:t>
      </w:r>
      <w:r w:rsidR="00D26E2C" w:rsidRPr="00701895">
        <w:rPr>
          <w:rFonts w:ascii="Times New Roman" w:eastAsia="Calibri" w:hAnsi="Times New Roman" w:cs="Times New Roman"/>
          <w:sz w:val="24"/>
          <w:szCs w:val="24"/>
          <w:vertAlign w:val="superscript"/>
          <w:lang w:bidi="th-TH"/>
        </w:rPr>
        <w:t>+</w:t>
      </w:r>
      <w:r w:rsidR="00D26E2C" w:rsidRPr="00701895">
        <w:rPr>
          <w:rFonts w:ascii="Times New Roman" w:eastAsia="Calibri" w:hAnsi="Times New Roman" w:cs="Times New Roman"/>
          <w:sz w:val="24"/>
          <w:szCs w:val="24"/>
          <w:lang w:bidi="th-TH"/>
        </w:rPr>
        <w:t>.</w:t>
      </w:r>
      <w:r w:rsidRPr="00701895">
        <w:rPr>
          <w:rFonts w:ascii="Times New Roman" w:eastAsia="Calibri" w:hAnsi="Times New Roman" w:cs="Times New Roman"/>
          <w:sz w:val="24"/>
          <w:szCs w:val="24"/>
          <w:lang w:bidi="th-TH"/>
        </w:rPr>
        <w:t xml:space="preserve"> </w:t>
      </w:r>
    </w:p>
    <w:p w:rsidR="00F1417B" w:rsidRPr="009B5CC1" w:rsidRDefault="00F1417B" w:rsidP="00F1417B">
      <w:pPr>
        <w:tabs>
          <w:tab w:val="left" w:pos="425"/>
        </w:tabs>
        <w:autoSpaceDE w:val="0"/>
        <w:autoSpaceDN w:val="0"/>
        <w:adjustRightInd w:val="0"/>
        <w:spacing w:before="40" w:after="0" w:line="360" w:lineRule="auto"/>
        <w:contextualSpacing/>
        <w:jc w:val="both"/>
        <w:rPr>
          <w:rFonts w:ascii="Times New Roman" w:eastAsia="Calibri" w:hAnsi="Times New Roman" w:cs="Times New Roman"/>
          <w:b/>
          <w:sz w:val="24"/>
          <w:szCs w:val="24"/>
          <w:lang w:bidi="th-TH"/>
        </w:rPr>
      </w:pPr>
      <w:r>
        <w:rPr>
          <w:rFonts w:ascii="Times New Roman" w:eastAsia="Calibri" w:hAnsi="Times New Roman" w:cs="Times New Roman"/>
          <w:b/>
          <w:sz w:val="24"/>
          <w:szCs w:val="24"/>
          <w:lang w:bidi="th-TH"/>
        </w:rPr>
        <w:t>2</w:t>
      </w:r>
      <w:r w:rsidRPr="009B5CC1">
        <w:rPr>
          <w:rFonts w:ascii="Times New Roman" w:eastAsia="Calibri" w:hAnsi="Times New Roman" w:cs="Times New Roman"/>
          <w:b/>
          <w:sz w:val="24"/>
          <w:szCs w:val="24"/>
          <w:lang w:bidi="th-TH"/>
        </w:rPr>
        <w:t>.5.</w:t>
      </w:r>
      <w:r w:rsidRPr="009B5CC1">
        <w:rPr>
          <w:rFonts w:ascii="Times New Roman" w:eastAsia="Calibri" w:hAnsi="Times New Roman" w:cs="Times New Roman"/>
          <w:b/>
          <w:sz w:val="24"/>
          <w:szCs w:val="24"/>
          <w:lang w:bidi="th-TH"/>
        </w:rPr>
        <w:tab/>
        <w:t>Computational Studies</w:t>
      </w:r>
    </w:p>
    <w:p w:rsidR="00F1417B" w:rsidRPr="009B5CC1" w:rsidRDefault="00F1417B" w:rsidP="00F1417B">
      <w:pPr>
        <w:spacing w:line="360" w:lineRule="auto"/>
        <w:jc w:val="both"/>
        <w:rPr>
          <w:rFonts w:ascii="Times New Roman" w:eastAsia="Calibri" w:hAnsi="Times New Roman" w:cs="Times New Roman"/>
          <w:sz w:val="24"/>
          <w:szCs w:val="24"/>
          <w:lang w:bidi="th-TH"/>
        </w:rPr>
      </w:pPr>
      <w:r w:rsidRPr="009B5CC1">
        <w:rPr>
          <w:rFonts w:ascii="Times New Roman" w:eastAsia="Calibri" w:hAnsi="Times New Roman" w:cs="Times New Roman"/>
          <w:sz w:val="24"/>
          <w:szCs w:val="24"/>
          <w:lang w:bidi="th-TH"/>
        </w:rPr>
        <w:t>All the calculations were performed with the Gaussian 16W program package on a ACPI x64 Core i7 laptop with 3.0 GHz processor and 16 GB Ram.</w:t>
      </w:r>
      <w:r w:rsidR="0066519F">
        <w:rPr>
          <w:rFonts w:ascii="Times New Roman" w:eastAsia="Calibri" w:hAnsi="Times New Roman" w:cs="Times New Roman"/>
          <w:sz w:val="24"/>
          <w:szCs w:val="24"/>
          <w:lang w:bidi="th-TH"/>
        </w:rPr>
        <w:fldChar w:fldCharType="begin" w:fldLock="1"/>
      </w:r>
      <w:r w:rsidR="00276B78">
        <w:rPr>
          <w:rFonts w:ascii="Times New Roman" w:eastAsia="Calibri" w:hAnsi="Times New Roman" w:cs="Times New Roman"/>
          <w:sz w:val="24"/>
          <w:szCs w:val="24"/>
          <w:lang w:bidi="th-TH"/>
        </w:rPr>
        <w:instrText>ADDIN CSL_CITATION {"citationItems":[{"id":"ITEM-1","itemData":{"DOI":"10.21608/EJCHEM.2019.6241.1522","ISSN":"23570245","abstract":"THE structural, electronic and D.C electrical properties of (PVA-MgO-SiC) nanocomposites for antibacterial application have been investigated. The prepared nanocomposites have low cost, flexible and high antibacterial activity. The (PVA-MgO-SiC) nanocomposites were prepared with different weight percentages of Silicon Carbide (SiC) nanoparticles. Electrical properties of (PVA-MgO-SiC) nanocomposites were studied with different temperature. The experimental results showed that the conductivity of (PVA-MgO-SiC) nanocomposites is increased with increase the concentration of Silicon Carbide (SiC) nanoparticles. The activation energy of (PVA-MgO-SiC) nanocomposites decreases with increase the weight percentages of Silicon Carbide nanoparticles. The total energies of the (PVA–MgO-SiC) nanocomposites were studied by using Gaussian 09 (G09) program and density functional theory (DFT) with B3LYP/6-31G) basis set. The total energies decreases with the increase the number of atoms forming the nanocomposites .","author":[{"dropping-particle":"","family":"Ahmed","given":"Hind","non-dropping-particle":"","parse-names":false,"suffix":""},{"dropping-particle":"","family":"Hashim","given":"Ahmed","non-dropping-particle":"","parse-names":false,"suffix":""},{"dropping-particle":"","family":"Abduljalil","given":"Hayder M.","non-dropping-particle":"","parse-names":false,"suffix":""}],"container-title":"Egyptian Journal of Chemistry","id":"ITEM-1","issue":"4","issued":{"date-parts":[["2019"]]},"page":"1167-1176","title":"Analysis of structural, electrical and electronic properties of (polymer nanocomposites/ silicon carbide) for antibacterial application","type":"article-journal","volume":"62"},"uris":["http://www.mendeley.com/documents/?uuid=ec1b9e83-0132-4eba-b6cb-c7c10f47fc49"]}],"mendeley":{"formattedCitation":"&lt;sup&gt;19&lt;/sup&gt;","plainTextFormattedCitation":"19","previouslyFormattedCitation":"&lt;sup&gt;19&lt;/sup&gt;"},"properties":{"noteIndex":0},"schema":"https://github.com/citation-style-language/schema/raw/master/csl-citation.json"}</w:instrText>
      </w:r>
      <w:r w:rsidR="0066519F">
        <w:rPr>
          <w:rFonts w:ascii="Times New Roman" w:eastAsia="Calibri" w:hAnsi="Times New Roman" w:cs="Times New Roman"/>
          <w:sz w:val="24"/>
          <w:szCs w:val="24"/>
          <w:lang w:bidi="th-TH"/>
        </w:rPr>
        <w:fldChar w:fldCharType="separate"/>
      </w:r>
      <w:r w:rsidR="00276B78" w:rsidRPr="00276B78">
        <w:rPr>
          <w:rFonts w:ascii="Times New Roman" w:eastAsia="Calibri" w:hAnsi="Times New Roman" w:cs="Times New Roman"/>
          <w:noProof/>
          <w:sz w:val="24"/>
          <w:szCs w:val="24"/>
          <w:vertAlign w:val="superscript"/>
          <w:lang w:bidi="th-TH"/>
        </w:rPr>
        <w:t>19</w:t>
      </w:r>
      <w:r w:rsidR="0066519F">
        <w:rPr>
          <w:rFonts w:ascii="Times New Roman" w:eastAsia="Calibri" w:hAnsi="Times New Roman" w:cs="Times New Roman"/>
          <w:sz w:val="24"/>
          <w:szCs w:val="24"/>
          <w:lang w:bidi="th-TH"/>
        </w:rPr>
        <w:fldChar w:fldCharType="end"/>
      </w:r>
      <w:r w:rsidRPr="009B5CC1">
        <w:rPr>
          <w:rFonts w:ascii="Times New Roman" w:eastAsia="Calibri" w:hAnsi="Times New Roman" w:cs="Times New Roman"/>
          <w:sz w:val="24"/>
          <w:szCs w:val="24"/>
          <w:lang w:bidi="th-TH"/>
        </w:rPr>
        <w:t xml:space="preserve"> The molecular structures of ligand and metal complexes, in the ground state are optimized by using the </w:t>
      </w:r>
      <w:proofErr w:type="spellStart"/>
      <w:r w:rsidRPr="009B5CC1">
        <w:rPr>
          <w:rFonts w:ascii="Times New Roman" w:eastAsia="Calibri" w:hAnsi="Times New Roman" w:cs="Times New Roman"/>
          <w:sz w:val="24"/>
          <w:szCs w:val="24"/>
          <w:lang w:bidi="th-TH"/>
        </w:rPr>
        <w:t>Hartree-Fock</w:t>
      </w:r>
      <w:proofErr w:type="spellEnd"/>
      <w:r w:rsidRPr="009B5CC1">
        <w:rPr>
          <w:rFonts w:ascii="Times New Roman" w:eastAsia="Calibri" w:hAnsi="Times New Roman" w:cs="Times New Roman"/>
          <w:sz w:val="24"/>
          <w:szCs w:val="24"/>
          <w:lang w:bidi="th-TH"/>
        </w:rPr>
        <w:t xml:space="preserve"> (HF)</w:t>
      </w:r>
      <w:r w:rsidR="0066519F">
        <w:rPr>
          <w:rFonts w:ascii="Times New Roman" w:eastAsia="Calibri" w:hAnsi="Times New Roman" w:cs="Times New Roman"/>
          <w:sz w:val="24"/>
          <w:szCs w:val="24"/>
          <w:lang w:bidi="th-TH"/>
        </w:rPr>
        <w:t>,</w:t>
      </w:r>
      <w:r w:rsidRPr="009B5CC1">
        <w:rPr>
          <w:rFonts w:ascii="Times New Roman" w:eastAsia="Calibri" w:hAnsi="Times New Roman" w:cs="Times New Roman"/>
          <w:sz w:val="24"/>
          <w:szCs w:val="24"/>
          <w:lang w:bidi="th-TH"/>
        </w:rPr>
        <w:fldChar w:fldCharType="begin" w:fldLock="1"/>
      </w:r>
      <w:r w:rsidR="00276B78">
        <w:rPr>
          <w:rFonts w:ascii="Times New Roman" w:eastAsia="Calibri" w:hAnsi="Times New Roman" w:cs="Times New Roman"/>
          <w:sz w:val="24"/>
          <w:szCs w:val="24"/>
          <w:lang w:bidi="th-TH"/>
        </w:rPr>
        <w:instrText>ADDIN CSL_CITATION {"citationItems":[{"id":"ITEM-1","itemData":{"ISSN":"1873734X","abstract":"OBJECTIVES: Surgical strategies to treat drug refractory left ventricular outflow tract obstruction (LVOTO) in hypertrophic cardiomyopathy include septal myectomy (SM) and, less frequently, mitral valve (MV) repair or replacement. The primary aim of this study was to report the surgical technique and management outcomes in a consecutive group of patients with variable phenotypes of hypertrophic cardiomyopathy in a broad national specialist practice. METHODS: A total of 203 consecutive patients, 132 men (mean age 48.6 ± 14.6 years) underwent surgery for the management of LVOTO. Surgical approaches included SM (n = 159), SM with MV repair (n = 25), SM with MV replacement (n = 9) and MV replacement alone (n = 10). Specific surgical approaches were performed based on the underlying mechanism of obstruction. Eleven (5.4%) patients had previous alcohol septal ablation for the management of LVOTO. Concomitant non-mitral cardiac procedures were carried out in 22 (10.8%) patients. RESULTS: Operative survival rate was 99.0% with 2 deaths within 30 days. The mean bypass time was 92.9 ± 47.8min, with a mean length of hospital stay of 10.5 ± 7.8 days. Surgical complications included 3 ventricular septal defects requiring repair (1.5%), 1 Gerbode defect surgically repaired, 2 aortic valve repairs (1.0%), 2 transient ischaemic attacks (1.0%) and 4 strokes (2.0%). Thirty-nine (19.2%) patients had perioperative new-onset atrial fibrillation and 8 (3.9%) patients had unexpected atrioventricular block requiring a permanent pacemaker. Mean resting left ventricular outflow tract gradient improved from 70.6 ± 40.3mmHg preoperatively to 11.0 ± 10.5mmHg at 1 year postoperatively (P &lt; 0.001). Mean New York Heart Association class improved from 2.6 ± 0.5 preoperatively to 1.6 ± 0.6 at 1 year after the procedure. CONCLUSIONS: In variable phenotypes of LVOTO in hypertrophic cardiomyopathy, an individualized surgical approach provided effective reductions in left ventricular outflow tract gradients and good symptomatic relief with acceptable mortality and morbidity.","author":[{"dropping-particle":"","family":"Møller","given":"Plesset","non-dropping-particle":"","parse-names":false,"suffix":""}],"container-title":"European Journal of Cardio-thoracic Surgery","id":"ITEM-1","issue":"6","issued":{"date-parts":[["1934"]]},"page":"1237-1243","title":"MP2 notes","type":"article-journal","volume":"53"},"uris":["http://www.mendeley.com/documents/?uuid=bb4a775e-fd9c-47a7-8c7b-cb020157443e"]}],"mendeley":{"formattedCitation":"&lt;sup&gt;20&lt;/sup&gt;","plainTextFormattedCitation":"20","previouslyFormattedCitation":"&lt;sup&gt;20&lt;/sup&gt;"},"properties":{"noteIndex":0},"schema":"https://github.com/citation-style-language/schema/raw/master/csl-citation.json"}</w:instrText>
      </w:r>
      <w:r w:rsidRPr="009B5CC1">
        <w:rPr>
          <w:rFonts w:ascii="Times New Roman" w:eastAsia="Calibri" w:hAnsi="Times New Roman" w:cs="Times New Roman"/>
          <w:sz w:val="24"/>
          <w:szCs w:val="24"/>
          <w:lang w:bidi="th-TH"/>
        </w:rPr>
        <w:fldChar w:fldCharType="separate"/>
      </w:r>
      <w:r w:rsidR="00276B78" w:rsidRPr="00276B78">
        <w:rPr>
          <w:rFonts w:ascii="Times New Roman" w:eastAsia="Calibri" w:hAnsi="Times New Roman" w:cs="Times New Roman"/>
          <w:noProof/>
          <w:sz w:val="24"/>
          <w:szCs w:val="24"/>
          <w:vertAlign w:val="superscript"/>
          <w:lang w:bidi="th-TH"/>
        </w:rPr>
        <w:t>20</w:t>
      </w:r>
      <w:r w:rsidRPr="009B5CC1">
        <w:rPr>
          <w:rFonts w:ascii="Times New Roman" w:eastAsia="Calibri" w:hAnsi="Times New Roman" w:cs="Times New Roman"/>
          <w:sz w:val="24"/>
          <w:szCs w:val="24"/>
          <w:lang w:bidi="th-TH"/>
        </w:rPr>
        <w:fldChar w:fldCharType="end"/>
      </w:r>
      <w:r w:rsidRPr="009B5CC1">
        <w:rPr>
          <w:rFonts w:ascii="Times New Roman" w:eastAsia="Calibri" w:hAnsi="Times New Roman" w:cs="Times New Roman"/>
          <w:sz w:val="24"/>
          <w:szCs w:val="24"/>
          <w:lang w:bidi="th-TH"/>
        </w:rPr>
        <w:t xml:space="preserve"> and 3-21G (</w:t>
      </w:r>
      <w:proofErr w:type="spellStart"/>
      <w:r w:rsidRPr="009B5CC1">
        <w:rPr>
          <w:rFonts w:ascii="Times New Roman" w:eastAsia="Calibri" w:hAnsi="Times New Roman" w:cs="Times New Roman"/>
          <w:sz w:val="24"/>
          <w:szCs w:val="24"/>
          <w:lang w:bidi="th-TH"/>
        </w:rPr>
        <w:t>d,p</w:t>
      </w:r>
      <w:proofErr w:type="spellEnd"/>
      <w:r w:rsidRPr="009B5CC1">
        <w:rPr>
          <w:rFonts w:ascii="Times New Roman" w:eastAsia="Calibri" w:hAnsi="Times New Roman" w:cs="Times New Roman"/>
          <w:sz w:val="24"/>
          <w:szCs w:val="24"/>
          <w:lang w:bidi="th-TH"/>
        </w:rPr>
        <w:t>) basis set</w:t>
      </w:r>
      <w:r w:rsidR="0066519F">
        <w:rPr>
          <w:rFonts w:ascii="Times New Roman" w:eastAsia="Calibri" w:hAnsi="Times New Roman" w:cs="Times New Roman"/>
          <w:sz w:val="24"/>
          <w:szCs w:val="24"/>
          <w:lang w:bidi="th-TH"/>
        </w:rPr>
        <w:t>.</w:t>
      </w:r>
      <w:r w:rsidRPr="009B5CC1">
        <w:rPr>
          <w:rFonts w:ascii="Times New Roman" w:eastAsia="Calibri" w:hAnsi="Times New Roman" w:cs="Times New Roman"/>
          <w:sz w:val="24"/>
          <w:szCs w:val="24"/>
          <w:lang w:bidi="th-TH"/>
        </w:rPr>
        <w:fldChar w:fldCharType="begin" w:fldLock="1"/>
      </w:r>
      <w:r w:rsidR="00276B78">
        <w:rPr>
          <w:rFonts w:ascii="Times New Roman" w:eastAsia="Calibri" w:hAnsi="Times New Roman" w:cs="Times New Roman"/>
          <w:sz w:val="24"/>
          <w:szCs w:val="24"/>
          <w:lang w:bidi="th-TH"/>
        </w:rPr>
        <w:instrText>ADDIN CSL_CITATION {"citationItems":[{"id":"ITEM-1","itemData":{"DOI":"10.1063/1.1749835","ISSN":"00219606","abstract":"I. The method given by Eidinoff and Aston for calculating the limiting high temperature rotational partition function has been further simplified. An important special case, comprising molecules which may be represented by a rigid framework to which symmetrical tops are attached in any position is developed. II. The methods of the preceding part are applied to the series of methyl derivatives of methane, and to the completely nonrigid molecule n-butane. The calculated entropies at 25°C show the same general variation with chain length and number of branches as has been found experimentally from the third law. III. The entropies of all the isomeric methyl derivatives of benzene are calculated. Comparison with third law values for the liquids is hampered by lack of reliable vapor pressure data and of vibration frequencies, but there are no major discrepancies which must be attributed to either the calculated or the observed entropies.","author":[{"dropping-particle":"","family":"Kassel","given":"Loins S.","non-dropping-particle":"","parse-names":false,"suffix":""}],"container-title":"The Journal of Chemical Physics","id":"ITEM-1","issue":"4","issued":{"date-parts":[["1936"]]},"page":"276-282","title":"The limiting high temperature rotational partition function of nonrigid molecules: I. General theory. II. CH4, C2H6, C3H8, CH(CH3)3, C(CH 3)4 and CH3(CH2)2CH 3. III. Benzene and its eleven methyl derivatives","type":"article-journal","volume":"4"},"uris":["http://www.mendeley.com/documents/?uuid=0527509a-330d-4439-8d22-6ba50f27eebb"]}],"mendeley":{"formattedCitation":"&lt;sup&gt;21&lt;/sup&gt;","plainTextFormattedCitation":"21","previouslyFormattedCitation":"&lt;sup&gt;21&lt;/sup&gt;"},"properties":{"noteIndex":0},"schema":"https://github.com/citation-style-language/schema/raw/master/csl-citation.json"}</w:instrText>
      </w:r>
      <w:r w:rsidRPr="009B5CC1">
        <w:rPr>
          <w:rFonts w:ascii="Times New Roman" w:eastAsia="Calibri" w:hAnsi="Times New Roman" w:cs="Times New Roman"/>
          <w:sz w:val="24"/>
          <w:szCs w:val="24"/>
          <w:lang w:bidi="th-TH"/>
        </w:rPr>
        <w:fldChar w:fldCharType="separate"/>
      </w:r>
      <w:r w:rsidR="00276B78" w:rsidRPr="00276B78">
        <w:rPr>
          <w:rFonts w:ascii="Times New Roman" w:eastAsia="Calibri" w:hAnsi="Times New Roman" w:cs="Times New Roman"/>
          <w:noProof/>
          <w:sz w:val="24"/>
          <w:szCs w:val="24"/>
          <w:vertAlign w:val="superscript"/>
          <w:lang w:bidi="th-TH"/>
        </w:rPr>
        <w:t>21</w:t>
      </w:r>
      <w:r w:rsidRPr="009B5CC1">
        <w:rPr>
          <w:rFonts w:ascii="Times New Roman" w:eastAsia="Calibri" w:hAnsi="Times New Roman" w:cs="Times New Roman"/>
          <w:sz w:val="24"/>
          <w:szCs w:val="24"/>
          <w:lang w:bidi="th-TH"/>
        </w:rPr>
        <w:fldChar w:fldCharType="end"/>
      </w:r>
      <w:r w:rsidRPr="009B5CC1">
        <w:rPr>
          <w:rFonts w:ascii="Times New Roman" w:eastAsia="Calibri" w:hAnsi="Times New Roman" w:cs="Times New Roman"/>
          <w:sz w:val="24"/>
          <w:szCs w:val="24"/>
          <w:lang w:bidi="th-TH"/>
        </w:rPr>
        <w:t xml:space="preserve"> The vibrational frequencies were also calculated along with optimization. The assignment of the calculated wave</w:t>
      </w:r>
      <w:r w:rsidR="00923C3D">
        <w:rPr>
          <w:rFonts w:ascii="Times New Roman" w:eastAsia="Calibri" w:hAnsi="Times New Roman" w:cs="Times New Roman"/>
          <w:sz w:val="24"/>
          <w:szCs w:val="24"/>
          <w:lang w:bidi="th-TH"/>
        </w:rPr>
        <w:t xml:space="preserve"> </w:t>
      </w:r>
      <w:r w:rsidRPr="009B5CC1">
        <w:rPr>
          <w:rFonts w:ascii="Times New Roman" w:eastAsia="Calibri" w:hAnsi="Times New Roman" w:cs="Times New Roman"/>
          <w:sz w:val="24"/>
          <w:szCs w:val="24"/>
          <w:lang w:bidi="th-TH"/>
        </w:rPr>
        <w:t>numbers is aided by the animation option of Gauss View 6.0 graphical interface for Gaussian program,</w:t>
      </w:r>
      <w:r w:rsidR="0066519F">
        <w:rPr>
          <w:rFonts w:ascii="Times New Roman" w:eastAsia="Calibri" w:hAnsi="Times New Roman" w:cs="Times New Roman"/>
          <w:sz w:val="24"/>
          <w:szCs w:val="24"/>
          <w:lang w:bidi="th-TH"/>
        </w:rPr>
        <w:fldChar w:fldCharType="begin" w:fldLock="1"/>
      </w:r>
      <w:r w:rsidR="00276B78">
        <w:rPr>
          <w:rFonts w:ascii="Times New Roman" w:eastAsia="Calibri" w:hAnsi="Times New Roman" w:cs="Times New Roman"/>
          <w:sz w:val="24"/>
          <w:szCs w:val="24"/>
          <w:lang w:bidi="th-TH"/>
        </w:rPr>
        <w:instrText>ADDIN CSL_CITATION {"citationItems":[{"id":"ITEM-1","itemData":{"container-title":"Open Journal of Biophysics","id":"ITEM-1","issue":"5","issued":{"date-parts":[["2021"]]},"page":"1-30","title":"Open Journal of Biophysics (OJBIPHY) Journal Information","type":"article-journal","volume":"20"},"uris":["http://www.mendeley.com/documents/?uuid=1985fd4e-b2d7-42f2-8d50-25140ddfa372"]}],"mendeley":{"formattedCitation":"&lt;sup&gt;22&lt;/sup&gt;","plainTextFormattedCitation":"22","previouslyFormattedCitation":"&lt;sup&gt;22&lt;/sup&gt;"},"properties":{"noteIndex":0},"schema":"https://github.com/citation-style-language/schema/raw/master/csl-citation.json"}</w:instrText>
      </w:r>
      <w:r w:rsidR="0066519F">
        <w:rPr>
          <w:rFonts w:ascii="Times New Roman" w:eastAsia="Calibri" w:hAnsi="Times New Roman" w:cs="Times New Roman"/>
          <w:sz w:val="24"/>
          <w:szCs w:val="24"/>
          <w:lang w:bidi="th-TH"/>
        </w:rPr>
        <w:fldChar w:fldCharType="separate"/>
      </w:r>
      <w:r w:rsidR="00276B78" w:rsidRPr="00276B78">
        <w:rPr>
          <w:rFonts w:ascii="Times New Roman" w:eastAsia="Calibri" w:hAnsi="Times New Roman" w:cs="Times New Roman"/>
          <w:noProof/>
          <w:sz w:val="24"/>
          <w:szCs w:val="24"/>
          <w:vertAlign w:val="superscript"/>
          <w:lang w:bidi="th-TH"/>
        </w:rPr>
        <w:t>22</w:t>
      </w:r>
      <w:r w:rsidR="0066519F">
        <w:rPr>
          <w:rFonts w:ascii="Times New Roman" w:eastAsia="Calibri" w:hAnsi="Times New Roman" w:cs="Times New Roman"/>
          <w:sz w:val="24"/>
          <w:szCs w:val="24"/>
          <w:lang w:bidi="th-TH"/>
        </w:rPr>
        <w:fldChar w:fldCharType="end"/>
      </w:r>
      <w:r w:rsidRPr="009B5CC1">
        <w:rPr>
          <w:rFonts w:ascii="Times New Roman" w:eastAsia="Calibri" w:hAnsi="Times New Roman" w:cs="Times New Roman"/>
          <w:sz w:val="24"/>
          <w:szCs w:val="24"/>
          <w:lang w:bidi="th-TH"/>
        </w:rPr>
        <w:t xml:space="preserve"> which gives a visual presentation of the shape of the vibrational modes.</w:t>
      </w:r>
    </w:p>
    <w:p w:rsidR="00F1417B" w:rsidRPr="009B5CC1" w:rsidRDefault="00F1417B" w:rsidP="00F1417B">
      <w:pPr>
        <w:tabs>
          <w:tab w:val="left" w:pos="425"/>
        </w:tabs>
        <w:autoSpaceDE w:val="0"/>
        <w:autoSpaceDN w:val="0"/>
        <w:adjustRightInd w:val="0"/>
        <w:spacing w:before="40" w:after="0" w:line="360" w:lineRule="auto"/>
        <w:contextualSpacing/>
        <w:jc w:val="both"/>
        <w:rPr>
          <w:rFonts w:ascii="Times New Roman" w:eastAsia="Calibri" w:hAnsi="Times New Roman" w:cs="Times New Roman"/>
          <w:b/>
          <w:sz w:val="24"/>
          <w:szCs w:val="24"/>
          <w:lang w:bidi="th-TH"/>
        </w:rPr>
      </w:pPr>
      <w:r>
        <w:rPr>
          <w:rFonts w:ascii="Times New Roman" w:eastAsia="Calibri" w:hAnsi="Times New Roman" w:cs="Times New Roman"/>
          <w:b/>
          <w:sz w:val="24"/>
          <w:szCs w:val="24"/>
          <w:lang w:bidi="th-TH"/>
        </w:rPr>
        <w:t>2</w:t>
      </w:r>
      <w:r w:rsidRPr="009B5CC1">
        <w:rPr>
          <w:rFonts w:ascii="Times New Roman" w:eastAsia="Calibri" w:hAnsi="Times New Roman" w:cs="Times New Roman"/>
          <w:b/>
          <w:sz w:val="24"/>
          <w:szCs w:val="24"/>
          <w:lang w:bidi="th-TH"/>
        </w:rPr>
        <w:t>.6.</w:t>
      </w:r>
      <w:r w:rsidRPr="009B5CC1">
        <w:rPr>
          <w:rFonts w:ascii="Times New Roman" w:eastAsia="Calibri" w:hAnsi="Times New Roman" w:cs="Times New Roman"/>
          <w:b/>
          <w:sz w:val="24"/>
          <w:szCs w:val="24"/>
          <w:lang w:bidi="th-TH"/>
        </w:rPr>
        <w:tab/>
        <w:t>X-Ray Diffraction</w:t>
      </w:r>
    </w:p>
    <w:p w:rsidR="00E83DDF" w:rsidRPr="009740A9" w:rsidRDefault="00F1417B" w:rsidP="009740A9">
      <w:pPr>
        <w:tabs>
          <w:tab w:val="left" w:pos="5340"/>
        </w:tabs>
        <w:spacing w:line="360" w:lineRule="auto"/>
        <w:jc w:val="both"/>
        <w:rPr>
          <w:rFonts w:ascii="Times New Roman" w:hAnsi="Times New Roman" w:cs="Times New Roman"/>
          <w:sz w:val="24"/>
          <w:szCs w:val="24"/>
        </w:rPr>
      </w:pPr>
      <w:r w:rsidRPr="009B5CC1">
        <w:rPr>
          <w:rFonts w:ascii="Times New Roman" w:hAnsi="Times New Roman" w:cs="Times New Roman"/>
          <w:sz w:val="24"/>
          <w:szCs w:val="24"/>
        </w:rPr>
        <w:t xml:space="preserve">The XRD study (powder pattern) of the complexes were made with the help of X-ray </w:t>
      </w:r>
      <w:proofErr w:type="spellStart"/>
      <w:r w:rsidRPr="009B5CC1">
        <w:rPr>
          <w:rFonts w:ascii="Times New Roman" w:hAnsi="Times New Roman" w:cs="Times New Roman"/>
          <w:sz w:val="24"/>
          <w:szCs w:val="24"/>
        </w:rPr>
        <w:t>diffractometer</w:t>
      </w:r>
      <w:proofErr w:type="spellEnd"/>
      <w:r w:rsidRPr="009B5CC1">
        <w:rPr>
          <w:rFonts w:ascii="Times New Roman" w:hAnsi="Times New Roman" w:cs="Times New Roman"/>
          <w:sz w:val="24"/>
          <w:szCs w:val="24"/>
        </w:rPr>
        <w:t xml:space="preserve"> (Goniometer Radius mm=240.00 and Dist. Focus-</w:t>
      </w:r>
      <w:proofErr w:type="spellStart"/>
      <w:r w:rsidRPr="009B5CC1">
        <w:rPr>
          <w:rFonts w:ascii="Times New Roman" w:hAnsi="Times New Roman" w:cs="Times New Roman"/>
          <w:sz w:val="24"/>
          <w:szCs w:val="24"/>
        </w:rPr>
        <w:t>Diverg</w:t>
      </w:r>
      <w:proofErr w:type="spellEnd"/>
      <w:r w:rsidRPr="009B5CC1">
        <w:rPr>
          <w:rFonts w:ascii="Times New Roman" w:hAnsi="Times New Roman" w:cs="Times New Roman"/>
          <w:sz w:val="24"/>
          <w:szCs w:val="24"/>
        </w:rPr>
        <w:t>. Slit mm=91.00) with Cu- anode material, Kα [A˚] =1.54060 and the genera</w:t>
      </w:r>
      <w:r w:rsidR="001B1892">
        <w:rPr>
          <w:rFonts w:ascii="Times New Roman" w:hAnsi="Times New Roman" w:cs="Times New Roman"/>
          <w:sz w:val="24"/>
          <w:szCs w:val="24"/>
        </w:rPr>
        <w:t xml:space="preserve">tor settings 30 mA, 40 kV. </w:t>
      </w:r>
    </w:p>
    <w:p w:rsidR="00F1417B" w:rsidRPr="009B5CC1" w:rsidRDefault="00F1417B" w:rsidP="00F1417B">
      <w:pPr>
        <w:tabs>
          <w:tab w:val="left" w:pos="425"/>
        </w:tabs>
        <w:autoSpaceDE w:val="0"/>
        <w:autoSpaceDN w:val="0"/>
        <w:adjustRightInd w:val="0"/>
        <w:spacing w:before="40" w:after="0" w:line="360" w:lineRule="auto"/>
        <w:jc w:val="both"/>
        <w:rPr>
          <w:rFonts w:ascii="Times New Roman" w:eastAsia="Calibri" w:hAnsi="Times New Roman" w:cs="Times New Roman"/>
          <w:b/>
          <w:bCs/>
          <w:sz w:val="24"/>
          <w:szCs w:val="24"/>
          <w:lang w:bidi="th-TH"/>
        </w:rPr>
      </w:pPr>
      <w:r>
        <w:rPr>
          <w:rFonts w:ascii="Times New Roman" w:eastAsia="Calibri" w:hAnsi="Times New Roman" w:cs="Times New Roman"/>
          <w:b/>
          <w:bCs/>
          <w:sz w:val="24"/>
          <w:szCs w:val="24"/>
          <w:lang w:bidi="th-TH"/>
        </w:rPr>
        <w:t>2</w:t>
      </w:r>
      <w:r w:rsidRPr="009B5CC1">
        <w:rPr>
          <w:rFonts w:ascii="Times New Roman" w:eastAsia="Calibri" w:hAnsi="Times New Roman" w:cs="Times New Roman"/>
          <w:b/>
          <w:bCs/>
          <w:sz w:val="24"/>
          <w:szCs w:val="24"/>
          <w:lang w:bidi="th-TH"/>
        </w:rPr>
        <w:t>.7.</w:t>
      </w:r>
      <w:r w:rsidRPr="009B5CC1">
        <w:rPr>
          <w:rFonts w:ascii="Times New Roman" w:eastAsia="Calibri" w:hAnsi="Times New Roman" w:cs="Times New Roman"/>
          <w:b/>
          <w:bCs/>
          <w:sz w:val="24"/>
          <w:szCs w:val="24"/>
          <w:lang w:bidi="th-TH"/>
        </w:rPr>
        <w:tab/>
        <w:t xml:space="preserve">Antibacterial assay </w:t>
      </w:r>
    </w:p>
    <w:p w:rsidR="00F1417B" w:rsidRPr="009B5CC1" w:rsidRDefault="00F1417B" w:rsidP="00F1417B">
      <w:pPr>
        <w:tabs>
          <w:tab w:val="left" w:pos="5340"/>
        </w:tabs>
        <w:spacing w:line="360" w:lineRule="auto"/>
        <w:jc w:val="both"/>
        <w:rPr>
          <w:rFonts w:ascii="Times New Roman" w:hAnsi="Times New Roman" w:cs="Times New Roman"/>
          <w:sz w:val="24"/>
          <w:szCs w:val="24"/>
        </w:rPr>
      </w:pPr>
      <w:r w:rsidRPr="009B5CC1">
        <w:rPr>
          <w:rFonts w:ascii="Times New Roman" w:hAnsi="Times New Roman" w:cs="Times New Roman"/>
          <w:sz w:val="24"/>
          <w:szCs w:val="24"/>
        </w:rPr>
        <w:t>The antibacterial activity of L1 and its complexes was evaluated by agar diffusion method</w:t>
      </w:r>
      <w:r w:rsidR="0066519F">
        <w:rPr>
          <w:rFonts w:ascii="Times New Roman" w:hAnsi="Times New Roman" w:cs="Times New Roman"/>
          <w:sz w:val="24"/>
          <w:szCs w:val="24"/>
        </w:rPr>
        <w:t>,</w:t>
      </w:r>
      <w:r w:rsidRPr="009B5CC1">
        <w:rPr>
          <w:rFonts w:ascii="Times New Roman" w:hAnsi="Times New Roman" w:cs="Times New Roman"/>
          <w:sz w:val="24"/>
          <w:szCs w:val="24"/>
        </w:rPr>
        <w:fldChar w:fldCharType="begin" w:fldLock="1"/>
      </w:r>
      <w:r w:rsidR="00276B78">
        <w:rPr>
          <w:rFonts w:ascii="Times New Roman" w:hAnsi="Times New Roman" w:cs="Times New Roman"/>
          <w:sz w:val="24"/>
          <w:szCs w:val="24"/>
        </w:rPr>
        <w:instrText>ADDIN CSL_CITATION {"citationItems":[{"id":"ITEM-1","itemData":{"ISBN":"1970198419","author":[{"dropping-particle":"","family":"Kirbag","given":"Sevda","non-dropping-particle":"","parse-names":false,"suffix":""},{"dropping-particle":"","family":"Zengin","given":"Fikriye","non-dropping-particle":"","parse-names":false,"suffix":""},{"dropping-particle":"","family":"Fac","given":"Science","non-dropping-particle":"","parse-names":false,"suffix":""},{"dropping-particle":"","family":"Processing","given":"Food","non-dropping-particle":"","parse-names":false,"suffix":""}],"container-title":"Antimicrobial Activities of Some Euphorbia Species","id":"ITEM-1","issue":"12","issued":{"date-parts":[["2013"]]},"page":"305-309","title":"4 1 305","type":"article-journal","volume":"10"},"uris":["http://www.mendeley.com/documents/?uuid=a57d2ba2-ce00-400c-be56-5d93ae8632ad"]},{"id":"ITEM-2","itemData":{"author":[{"dropping-particle":"","family":"Alfredo Rodriguez","given":"Victor","non-dropping-particle":"","parse-names":false,"suffix":""},{"dropping-particle":"","family":"Alfredo","given":"Victor","non-dropping-particle":"","parse-names":false,"suffix":""}],"container-title":"thesis","id":"ITEM-2","issue":"2019","issued":{"date-parts":[["2018"]]},"page":"300","title":"Formulation Of Nanoparticle Systems For Drug Delivery Application In Biomedical Sciences","type":"article-journal","volume":"1"},"uris":["http://www.mendeley.com/documents/?uuid=51ba1ccf-d551-4e73-aec8-6ec1d917e163"]}],"mendeley":{"formattedCitation":"&lt;sup&gt;23,24&lt;/sup&gt;","plainTextFormattedCitation":"23,24","previouslyFormattedCitation":"&lt;sup&gt;23,24&lt;/sup&gt;"},"properties":{"noteIndex":0},"schema":"https://github.com/citation-style-language/schema/raw/master/csl-citation.json"}</w:instrText>
      </w:r>
      <w:r w:rsidRPr="009B5CC1">
        <w:rPr>
          <w:rFonts w:ascii="Times New Roman" w:hAnsi="Times New Roman" w:cs="Times New Roman"/>
          <w:sz w:val="24"/>
          <w:szCs w:val="24"/>
        </w:rPr>
        <w:fldChar w:fldCharType="separate"/>
      </w:r>
      <w:r w:rsidR="00276B78" w:rsidRPr="00276B78">
        <w:rPr>
          <w:rFonts w:ascii="Times New Roman" w:hAnsi="Times New Roman" w:cs="Times New Roman"/>
          <w:noProof/>
          <w:sz w:val="24"/>
          <w:szCs w:val="24"/>
          <w:vertAlign w:val="superscript"/>
        </w:rPr>
        <w:t>23,24</w:t>
      </w:r>
      <w:r w:rsidRPr="009B5CC1">
        <w:rPr>
          <w:rFonts w:ascii="Times New Roman" w:hAnsi="Times New Roman" w:cs="Times New Roman"/>
          <w:sz w:val="24"/>
          <w:szCs w:val="24"/>
        </w:rPr>
        <w:fldChar w:fldCharType="end"/>
      </w:r>
      <w:r w:rsidRPr="009B5CC1">
        <w:rPr>
          <w:rFonts w:ascii="Times New Roman" w:hAnsi="Times New Roman" w:cs="Times New Roman"/>
          <w:sz w:val="24"/>
          <w:szCs w:val="24"/>
        </w:rPr>
        <w:t xml:space="preserve"> against two Gram-negative bacteria (Staphylococcus </w:t>
      </w:r>
      <w:proofErr w:type="spellStart"/>
      <w:r w:rsidRPr="009B5CC1">
        <w:rPr>
          <w:rFonts w:ascii="Times New Roman" w:hAnsi="Times New Roman" w:cs="Times New Roman"/>
          <w:sz w:val="24"/>
          <w:szCs w:val="24"/>
        </w:rPr>
        <w:t>aureus</w:t>
      </w:r>
      <w:proofErr w:type="spellEnd"/>
      <w:r w:rsidRPr="009B5CC1">
        <w:rPr>
          <w:rFonts w:ascii="Times New Roman" w:hAnsi="Times New Roman" w:cs="Times New Roman"/>
          <w:sz w:val="24"/>
          <w:szCs w:val="24"/>
        </w:rPr>
        <w:t xml:space="preserve">, Escherichia coli) and two Gram- </w:t>
      </w:r>
      <w:r w:rsidRPr="009B5CC1">
        <w:rPr>
          <w:rFonts w:ascii="Times New Roman" w:hAnsi="Times New Roman" w:cs="Times New Roman"/>
          <w:sz w:val="24"/>
          <w:szCs w:val="24"/>
        </w:rPr>
        <w:lastRenderedPageBreak/>
        <w:t xml:space="preserve">positive bacteria (Bacillus </w:t>
      </w:r>
      <w:proofErr w:type="spellStart"/>
      <w:r w:rsidRPr="009B5CC1">
        <w:rPr>
          <w:rFonts w:ascii="Times New Roman" w:hAnsi="Times New Roman" w:cs="Times New Roman"/>
          <w:sz w:val="24"/>
          <w:szCs w:val="24"/>
        </w:rPr>
        <w:t>pumilis</w:t>
      </w:r>
      <w:proofErr w:type="spellEnd"/>
      <w:r w:rsidRPr="009B5CC1">
        <w:rPr>
          <w:rFonts w:ascii="Times New Roman" w:hAnsi="Times New Roman" w:cs="Times New Roman"/>
          <w:sz w:val="24"/>
          <w:szCs w:val="24"/>
        </w:rPr>
        <w:t xml:space="preserve">, Salmonella </w:t>
      </w:r>
      <w:proofErr w:type="spellStart"/>
      <w:r w:rsidRPr="009B5CC1">
        <w:rPr>
          <w:rFonts w:ascii="Times New Roman" w:hAnsi="Times New Roman" w:cs="Times New Roman"/>
          <w:sz w:val="24"/>
          <w:szCs w:val="24"/>
        </w:rPr>
        <w:t>typhi</w:t>
      </w:r>
      <w:proofErr w:type="spellEnd"/>
      <w:r w:rsidRPr="009B5CC1">
        <w:rPr>
          <w:rFonts w:ascii="Times New Roman" w:hAnsi="Times New Roman" w:cs="Times New Roman"/>
          <w:sz w:val="24"/>
          <w:szCs w:val="24"/>
        </w:rPr>
        <w:t>). All extracts were sterilized by sterile membrane syringe filter (pore size 0.45µm, Millipore). For assay, 1mL of culture suspension of each strain (25% transmittance, 530nm) was added in 100 mL antibiotic agar No.11 (45°C) and mixed well. 25mL of inoculated agar was poured in each petri dish (20×100mm) and kept for solidification. After solidification 4 holes were made using sterile borer of 8mm diameter with 6mm internal diameter. Holes were marked and each extract (100µL) was poured in the respective well, and incubated for 24 hours at 37°C. The experiment was performed in triplicate under strict aseptic conditions. After incubation, zone of inhibition (mm) produced by each extract was measured and antibacterial activity expressed in terms of percent inhibition. Gentamycin (0.3%) was used as a standard antibiotic in comparison to L1 and complexes.</w:t>
      </w:r>
    </w:p>
    <w:p w:rsidR="00F1417B" w:rsidRPr="009B5CC1" w:rsidRDefault="00F1417B" w:rsidP="00F1417B">
      <w:pPr>
        <w:spacing w:line="360" w:lineRule="auto"/>
        <w:jc w:val="both"/>
        <w:rPr>
          <w:rFonts w:ascii="Times New Roman" w:hAnsi="Times New Roman" w:cs="Times New Roman"/>
          <w:b/>
          <w:iCs/>
          <w:sz w:val="24"/>
          <w:szCs w:val="24"/>
        </w:rPr>
      </w:pPr>
      <w:r>
        <w:rPr>
          <w:rFonts w:ascii="Times New Roman" w:hAnsi="Times New Roman" w:cs="Times New Roman"/>
          <w:b/>
          <w:iCs/>
          <w:sz w:val="24"/>
          <w:szCs w:val="24"/>
        </w:rPr>
        <w:t>2</w:t>
      </w:r>
      <w:r w:rsidRPr="009B5CC1">
        <w:rPr>
          <w:rFonts w:ascii="Times New Roman" w:hAnsi="Times New Roman" w:cs="Times New Roman"/>
          <w:b/>
          <w:iCs/>
          <w:sz w:val="24"/>
          <w:szCs w:val="24"/>
        </w:rPr>
        <w:t>.8. DPPH Radical Scavenging Activity</w:t>
      </w:r>
    </w:p>
    <w:p w:rsidR="00494598" w:rsidRPr="00494598" w:rsidRDefault="00F1417B" w:rsidP="00976577">
      <w:pPr>
        <w:pStyle w:val="NoSpacing"/>
        <w:spacing w:line="360" w:lineRule="auto"/>
        <w:jc w:val="both"/>
        <w:rPr>
          <w:rFonts w:ascii="Times New Roman" w:hAnsi="Times New Roman" w:cs="Times New Roman"/>
          <w:sz w:val="24"/>
          <w:szCs w:val="24"/>
        </w:rPr>
      </w:pPr>
      <w:r w:rsidRPr="009B5CC1">
        <w:rPr>
          <w:rFonts w:ascii="Times New Roman" w:hAnsi="Times New Roman" w:cs="Times New Roman"/>
          <w:sz w:val="24"/>
          <w:szCs w:val="24"/>
        </w:rPr>
        <w:t>The free radical scavenging action was determined by using the DPPH (2,2-diphenyl-1-picrylhydrazyl) radical scavenging method</w:t>
      </w:r>
      <w:r w:rsidRPr="009B5CC1">
        <w:rPr>
          <w:sz w:val="24"/>
          <w:szCs w:val="24"/>
        </w:rPr>
        <w:t xml:space="preserve"> </w:t>
      </w:r>
      <w:r w:rsidRPr="009B5CC1">
        <w:rPr>
          <w:rFonts w:ascii="Times New Roman" w:hAnsi="Times New Roman" w:cs="Times New Roman"/>
          <w:sz w:val="24"/>
          <w:szCs w:val="24"/>
        </w:rPr>
        <w:t>with some modification.</w:t>
      </w:r>
      <w:r w:rsidR="00546517">
        <w:rPr>
          <w:rFonts w:ascii="Times New Roman" w:hAnsi="Times New Roman" w:cs="Times New Roman"/>
          <w:sz w:val="24"/>
          <w:szCs w:val="24"/>
        </w:rPr>
        <w:fldChar w:fldCharType="begin" w:fldLock="1"/>
      </w:r>
      <w:r w:rsidR="00276B78">
        <w:rPr>
          <w:rFonts w:ascii="Times New Roman" w:hAnsi="Times New Roman" w:cs="Times New Roman"/>
          <w:sz w:val="24"/>
          <w:szCs w:val="24"/>
        </w:rPr>
        <w:instrText>ADDIN CSL_CITATION {"citationItems":[{"id":"ITEM-1","itemData":{"DOI":"10.1016/j.bioorg.2018.03.004","ISSN":"10902120","PMID":"29529518","abstract":"The wide variety of potent biological activities of Morita-Baylis-Hillman adducts (MBH) encouraged us to synthesize new series of products belonging to this class of compounds, possessing different functionalities and exhibiting potential antioxidant activity. As part of our on-going program on targeting molecules with antioxidant activity, we describe herein different DPPH (2,2-diphenyl-1-picrylhydrazyl) scavenging activities of MBH alcohols and their derivatives including acetates, phosphonates and hydrazonophosphonates. The obtained results showed that the strongest DPPH radical scavenging activity was observed in the case of hydrazonophosphonates in comparison to the other MBH derivatives.","author":[{"dropping-particle":"","family":"Elleuch","given":"Haitham","non-dropping-particle":"","parse-names":false,"suffix":""},{"dropping-particle":"","family":"Mihoubi","given":"Wafa","non-dropping-particle":"","parse-names":false,"suffix":""},{"dropping-particle":"","family":"Mihoubi","given":"Mohamed","non-dropping-particle":"","parse-names":false,"suffix":""},{"dropping-particle":"","family":"Ketata","given":"Emna","non-dropping-particle":"","parse-names":false,"suffix":""},{"dropping-particle":"","family":"Gargouri","given":"Ali","non-dropping-particle":"","parse-names":false,"suffix":""},{"dropping-particle":"","family":"Rezgui","given":"Farhat","non-dropping-particle":"","parse-names":false,"suffix":""}],"container-title":"Bioorganic Chemistry","id":"ITEM-1","issued":{"date-parts":[["2018"]]},"page":"24-28","publisher":"Elsevier Inc.","title":"Potential antioxidant activity of Morita-Baylis-Hillman adducts","type":"article-journal","volume":"78"},"uris":["http://www.mendeley.com/documents/?uuid=a8f53c1e-5c21-4c29-80eb-20e5d0705575"]},{"id":"ITEM-2","itemData":{"DOI":"10.1016/j.foodchem.2011.09.067","ISSN":"03088146","abstract":"2,2′-Diphenyl-1-picrylhydrazyl (DPPH) method is commonly applied for the estimation of antioxidant activity of single compounds and their mixtures. The method is based on the spectrophotometric measurement of DPPH concentration changes resulting from the DPPH reaction with an antioxidant. The amount of remaining DPPH in the examined system is a measure of the antioxidative activity of compounds. The study shows that the type and amount of solvent used for the antioxidant dissolution, water content, and hydrogen or metal ion concentration in the measuring system significantly influence the differences in the amount of unreacted DPPH. The presence of ethyl acetate or dioxane or metal ions in the system decreases the kinetics of the reaction between DPPH and butylohydroxytoluene in relation to its kinetics in the system containing only methanolic solutions. The opposite effect is observed for water, low concentration of chloroform or hydrogen ions. The presented relationships confirm the necessity of standardising the DPPH method and show the complexity of the problem, even in very simple DPPH/antioxidant systems. © 2011 Elsevier Ltd. All rights reserved.","author":[{"dropping-particle":"","family":"Dawidowicz","given":"Andrzej L.","non-dropping-particle":"","parse-names":false,"suffix":""},{"dropping-particle":"","family":"Wianowska","given":"Dorota","non-dropping-particle":"","parse-names":false,"suffix":""},{"dropping-particle":"","family":"Olszowy","given":"Małgorzata","non-dropping-particle":"","parse-names":false,"suffix":""}],"container-title":"Food Chemistry","id":"ITEM-2","issue":"3","issued":{"date-parts":[["2012"]]},"page":"1037-1043","publisher":"Elsevier Ltd","title":"On practical problems in estimation of antioxidant activity of compounds by DPPH method (Problems in estimation of antioxidant activity)","type":"article-journal","volume":"131"},"uris":["http://www.mendeley.com/documents/?uuid=a9a3ee43-48c0-4623-b895-aecc68373ef7"]}],"mendeley":{"formattedCitation":"&lt;sup&gt;25,26&lt;/sup&gt;","plainTextFormattedCitation":"25,26","previouslyFormattedCitation":"&lt;sup&gt;25,26&lt;/sup&gt;"},"properties":{"noteIndex":0},"schema":"https://github.com/citation-style-language/schema/raw/master/csl-citation.json"}</w:instrText>
      </w:r>
      <w:r w:rsidR="00546517">
        <w:rPr>
          <w:rFonts w:ascii="Times New Roman" w:hAnsi="Times New Roman" w:cs="Times New Roman"/>
          <w:sz w:val="24"/>
          <w:szCs w:val="24"/>
        </w:rPr>
        <w:fldChar w:fldCharType="separate"/>
      </w:r>
      <w:r w:rsidR="00276B78" w:rsidRPr="00276B78">
        <w:rPr>
          <w:rFonts w:ascii="Times New Roman" w:hAnsi="Times New Roman" w:cs="Times New Roman"/>
          <w:noProof/>
          <w:sz w:val="24"/>
          <w:szCs w:val="24"/>
          <w:vertAlign w:val="superscript"/>
        </w:rPr>
        <w:t>25,26</w:t>
      </w:r>
      <w:r w:rsidR="00546517">
        <w:rPr>
          <w:rFonts w:ascii="Times New Roman" w:hAnsi="Times New Roman" w:cs="Times New Roman"/>
          <w:sz w:val="24"/>
          <w:szCs w:val="24"/>
        </w:rPr>
        <w:fldChar w:fldCharType="end"/>
      </w:r>
      <w:r w:rsidRPr="009B5CC1">
        <w:rPr>
          <w:rFonts w:ascii="Times New Roman" w:hAnsi="Times New Roman" w:cs="Times New Roman"/>
          <w:sz w:val="24"/>
          <w:szCs w:val="24"/>
        </w:rPr>
        <w:t xml:space="preserve"> </w:t>
      </w:r>
      <w:proofErr w:type="gramStart"/>
      <w:r w:rsidRPr="009B5CC1">
        <w:rPr>
          <w:rFonts w:ascii="Times New Roman" w:hAnsi="Times New Roman" w:cs="Times New Roman"/>
          <w:sz w:val="24"/>
          <w:szCs w:val="24"/>
        </w:rPr>
        <w:t>The</w:t>
      </w:r>
      <w:proofErr w:type="gramEnd"/>
      <w:r w:rsidRPr="009B5CC1">
        <w:rPr>
          <w:rFonts w:ascii="Times New Roman" w:hAnsi="Times New Roman" w:cs="Times New Roman"/>
          <w:sz w:val="24"/>
          <w:szCs w:val="24"/>
        </w:rPr>
        <w:t xml:space="preserve"> 0.3mM solution of DPPH was prepared in methanol. 10μL of each sample of different concentration (25</w:t>
      </w:r>
      <w:r w:rsidRPr="009B5CC1">
        <w:rPr>
          <w:rFonts w:ascii="Times New Roman" w:hAnsi="Times New Roman" w:cs="Times New Roman"/>
          <w:sz w:val="24"/>
          <w:szCs w:val="24"/>
        </w:rPr>
        <w:sym w:font="Symbol" w:char="F06D"/>
      </w:r>
      <w:r w:rsidRPr="009B5CC1">
        <w:rPr>
          <w:rFonts w:ascii="Times New Roman" w:hAnsi="Times New Roman" w:cs="Times New Roman"/>
          <w:sz w:val="24"/>
          <w:szCs w:val="24"/>
        </w:rPr>
        <w:t>g - 100</w:t>
      </w:r>
      <w:r w:rsidRPr="009B5CC1">
        <w:rPr>
          <w:rFonts w:ascii="Times New Roman" w:hAnsi="Times New Roman" w:cs="Times New Roman"/>
          <w:sz w:val="24"/>
          <w:szCs w:val="24"/>
        </w:rPr>
        <w:sym w:font="Symbol" w:char="F06D"/>
      </w:r>
      <w:r w:rsidRPr="009B5CC1">
        <w:rPr>
          <w:rFonts w:ascii="Times New Roman" w:hAnsi="Times New Roman" w:cs="Times New Roman"/>
          <w:sz w:val="24"/>
          <w:szCs w:val="24"/>
        </w:rPr>
        <w:t>g) was mixed with 1.0 mL of DPPH solution. The reaction mixture was incubated at 37°C for about 30 min. The absorbance at 515 nm was measured by spectrophotometer and percent radical scavenging activity was determined in comparison with the methanol treated control. Ascorbic acid was used as standard for further samples analysis.</w:t>
      </w:r>
      <w:r w:rsidR="00546517">
        <w:rPr>
          <w:rFonts w:ascii="Times New Roman" w:hAnsi="Times New Roman" w:cs="Times New Roman"/>
          <w:sz w:val="24"/>
          <w:szCs w:val="24"/>
        </w:rPr>
        <w:fldChar w:fldCharType="begin" w:fldLock="1"/>
      </w:r>
      <w:r w:rsidR="00276B78">
        <w:rPr>
          <w:rFonts w:ascii="Times New Roman" w:hAnsi="Times New Roman" w:cs="Times New Roman"/>
          <w:sz w:val="24"/>
          <w:szCs w:val="24"/>
        </w:rPr>
        <w:instrText>ADDIN CSL_CITATION {"citationItems":[{"id":"ITEM-1","itemData":{"DOI":"10.1007/s00204-011-0774-2","ISSN":"03405761","PMID":"22102161","abstract":"Recently, there has been growing interest in research into the role of plant-derived antioxidants in food and human health. The beneficial influence of many foodstuffs and beverages including fruits, vegetables, tea, coffee, and cacao on human health has been recently recognized to originate from their antioxidant activity. For this purpose, the most commonly methods used in vitro determination of antioxidant capacity of food constituents are reviewed and presented. Also, the general chemistry underlying the assays in the present paper was clarified. Hence, this overview provides a basis and rationale for developing standardized antioxidant capacity methods for the food, nutraceutical, and dietary supplement industries. In addition, the most important advantages and shortcomings of each method were detected and highlighted. The chemical principles of these methods are outlined and critically discussed. The chemical principles of methods of 2,2′-azinobis- (3-ethylbenzothiazoline-6-sulphonate) radical (ABTS •+) scavenging, 1,1-diphenyl-2-picrylhydrazyl (DPPH •) radical scavenging, Fe 3+-Fe 2+ transformation assay, ferric reducing antioxidant power (FRAP) assay, cupric ions (Cu 2+) reducing power assay (Cuprac), Folin-Ciocalteu reducing capacity (FCR assay), peroxyl radical scavenging, superoxide anion radical (O 2•- ) scavenging, hydrogen peroxide (H 2O 2) scavenging, hydroxyl radical (OH •) scavenging, singlet oxygen ( 1O 2) quenching assay and nitric oxide radical (NO •) scavenging assay are outlined and critically discussed. Also, the general antioxidant aspects of main food components were discussed by a number of methods which are currently used for detection of antioxidant properties food components. This review consists of two main sections. The first section is devoted to main components in the foodstuffs and beverages. The second general section is some definitions of the main antioxidant methods commonly used for determination of antioxidant activity of components in the foodstuffs and beverages. In addition, there are given some chemical and kinetic basis and technical details of the used methods. © 2011 Springer-Verlag.","author":[{"dropping-particle":"","family":"Gülçin","given":"Ilhami","non-dropping-particle":"","parse-names":false,"suffix":""}],"container-title":"Archives of Toxicology","id":"ITEM-1","issue":"3","issued":{"date-parts":[["2012"]]},"page":"345-391","title":"Antioxidant activity of food constituents: An overview","type":"article-journal","volume":"86"},"uris":["http://www.mendeley.com/documents/?uuid=4ffde77c-cbb9-4f11-9f52-815bc6de4ab1"]}],"mendeley":{"formattedCitation":"&lt;sup&gt;27&lt;/sup&gt;","plainTextFormattedCitation":"27","previouslyFormattedCitation":"&lt;sup&gt;27&lt;/sup&gt;"},"properties":{"noteIndex":0},"schema":"https://github.com/citation-style-language/schema/raw/master/csl-citation.json"}</w:instrText>
      </w:r>
      <w:r w:rsidR="00546517">
        <w:rPr>
          <w:rFonts w:ascii="Times New Roman" w:hAnsi="Times New Roman" w:cs="Times New Roman"/>
          <w:sz w:val="24"/>
          <w:szCs w:val="24"/>
        </w:rPr>
        <w:fldChar w:fldCharType="separate"/>
      </w:r>
      <w:r w:rsidR="00276B78" w:rsidRPr="00276B78">
        <w:rPr>
          <w:rFonts w:ascii="Times New Roman" w:hAnsi="Times New Roman" w:cs="Times New Roman"/>
          <w:noProof/>
          <w:sz w:val="24"/>
          <w:szCs w:val="24"/>
          <w:vertAlign w:val="superscript"/>
        </w:rPr>
        <w:t>27</w:t>
      </w:r>
      <w:r w:rsidR="00546517">
        <w:rPr>
          <w:rFonts w:ascii="Times New Roman" w:hAnsi="Times New Roman" w:cs="Times New Roman"/>
          <w:sz w:val="24"/>
          <w:szCs w:val="24"/>
        </w:rPr>
        <w:fldChar w:fldCharType="end"/>
      </w:r>
      <w:r w:rsidRPr="009B5CC1">
        <w:rPr>
          <w:rFonts w:ascii="Times New Roman" w:hAnsi="Times New Roman" w:cs="Times New Roman"/>
          <w:sz w:val="24"/>
          <w:szCs w:val="24"/>
        </w:rPr>
        <w:t xml:space="preserve"> By using this standard the antioxidant activity of the MBHA (L1) and its metal complexes have been determined and recorded in </w:t>
      </w:r>
      <w:r w:rsidRPr="00994518">
        <w:rPr>
          <w:rFonts w:ascii="Times New Roman" w:hAnsi="Times New Roman" w:cs="Times New Roman"/>
          <w:sz w:val="24"/>
          <w:szCs w:val="24"/>
        </w:rPr>
        <w:t xml:space="preserve">the </w:t>
      </w:r>
      <w:r w:rsidR="00987A05">
        <w:rPr>
          <w:rFonts w:ascii="Times New Roman" w:hAnsi="Times New Roman" w:cs="Times New Roman"/>
          <w:sz w:val="24"/>
          <w:szCs w:val="24"/>
        </w:rPr>
        <w:t>Table 4</w:t>
      </w:r>
      <w:r w:rsidRPr="009B5CC1">
        <w:rPr>
          <w:rFonts w:ascii="Times New Roman" w:hAnsi="Times New Roman" w:cs="Times New Roman"/>
          <w:sz w:val="24"/>
          <w:szCs w:val="24"/>
        </w:rPr>
        <w:t>.</w:t>
      </w:r>
    </w:p>
    <w:p w:rsidR="003A6E3C" w:rsidRPr="009B5CC1" w:rsidRDefault="00F1417B" w:rsidP="009B5CC1">
      <w:pPr>
        <w:spacing w:line="360" w:lineRule="auto"/>
        <w:ind w:right="720"/>
        <w:contextualSpacing/>
        <w:jc w:val="both"/>
        <w:rPr>
          <w:rFonts w:ascii="Times New Roman" w:hAnsi="Times New Roman" w:cs="Times New Roman"/>
          <w:sz w:val="24"/>
          <w:szCs w:val="24"/>
        </w:rPr>
      </w:pPr>
      <w:r>
        <w:rPr>
          <w:rFonts w:ascii="Times New Roman" w:eastAsia="Calibri" w:hAnsi="Times New Roman" w:cs="Times New Roman"/>
          <w:b/>
          <w:bCs/>
          <w:sz w:val="24"/>
          <w:szCs w:val="24"/>
          <w:lang w:bidi="th-TH"/>
        </w:rPr>
        <w:t>3</w:t>
      </w:r>
      <w:r w:rsidR="00AA2104">
        <w:rPr>
          <w:rFonts w:ascii="Times New Roman" w:eastAsia="Calibri" w:hAnsi="Times New Roman" w:cs="Times New Roman"/>
          <w:b/>
          <w:bCs/>
          <w:sz w:val="24"/>
          <w:szCs w:val="24"/>
          <w:lang w:bidi="th-TH"/>
        </w:rPr>
        <w:t>.</w:t>
      </w:r>
      <w:r w:rsidR="003A6E3C" w:rsidRPr="009B5CC1">
        <w:rPr>
          <w:rFonts w:ascii="Times New Roman" w:eastAsia="Calibri" w:hAnsi="Times New Roman" w:cs="Times New Roman"/>
          <w:b/>
          <w:bCs/>
          <w:sz w:val="24"/>
          <w:szCs w:val="24"/>
          <w:lang w:bidi="th-TH"/>
        </w:rPr>
        <w:tab/>
        <w:t>RESULTS AND DISCUSSIONS</w:t>
      </w:r>
    </w:p>
    <w:p w:rsidR="003A6E3C" w:rsidRDefault="003A6E3C" w:rsidP="009B5CC1">
      <w:pPr>
        <w:tabs>
          <w:tab w:val="left" w:pos="425"/>
        </w:tabs>
        <w:spacing w:before="40" w:after="0" w:line="360" w:lineRule="auto"/>
        <w:contextualSpacing/>
        <w:jc w:val="both"/>
        <w:rPr>
          <w:rFonts w:ascii="Times New Roman" w:eastAsia="Calibri" w:hAnsi="Times New Roman" w:cs="Times New Roman"/>
          <w:sz w:val="24"/>
          <w:szCs w:val="24"/>
          <w:lang w:bidi="th-TH"/>
        </w:rPr>
      </w:pPr>
      <w:r w:rsidRPr="009B5CC1">
        <w:rPr>
          <w:rFonts w:ascii="Arial-BoldMT" w:eastAsia="Calibri" w:hAnsi="Arial-BoldMT" w:cs="Arial-BoldMT"/>
          <w:b/>
          <w:bCs/>
          <w:sz w:val="24"/>
          <w:szCs w:val="24"/>
          <w:lang w:bidi="th-TH"/>
        </w:rPr>
        <w:tab/>
      </w:r>
      <w:r w:rsidRPr="009B5CC1">
        <w:rPr>
          <w:rFonts w:ascii="Times New Roman" w:eastAsia="Calibri" w:hAnsi="Times New Roman" w:cs="Times New Roman"/>
          <w:sz w:val="24"/>
          <w:szCs w:val="24"/>
          <w:lang w:bidi="th-TH"/>
        </w:rPr>
        <w:t>The present work was initiated with (</w:t>
      </w:r>
      <w:proofErr w:type="spellStart"/>
      <w:r w:rsidRPr="009B5CC1">
        <w:rPr>
          <w:rFonts w:ascii="Times New Roman" w:eastAsia="Calibri" w:hAnsi="Times New Roman" w:cs="Times New Roman"/>
          <w:sz w:val="24"/>
          <w:szCs w:val="24"/>
          <w:lang w:bidi="th-TH"/>
        </w:rPr>
        <w:t>i</w:t>
      </w:r>
      <w:proofErr w:type="spellEnd"/>
      <w:r w:rsidRPr="009B5CC1">
        <w:rPr>
          <w:rFonts w:ascii="Times New Roman" w:eastAsia="Calibri" w:hAnsi="Times New Roman" w:cs="Times New Roman"/>
          <w:sz w:val="24"/>
          <w:szCs w:val="24"/>
          <w:lang w:bidi="th-TH"/>
        </w:rPr>
        <w:t>) the synthesis of ligand MBHA (</w:t>
      </w:r>
      <w:r w:rsidRPr="009B5CC1">
        <w:rPr>
          <w:rFonts w:ascii="Times New Roman" w:hAnsi="Times New Roman" w:cs="Times New Roman"/>
          <w:sz w:val="24"/>
          <w:szCs w:val="24"/>
        </w:rPr>
        <w:t>C</w:t>
      </w:r>
      <w:r w:rsidRPr="009B5CC1">
        <w:rPr>
          <w:rFonts w:ascii="Times New Roman" w:hAnsi="Times New Roman" w:cs="Times New Roman"/>
          <w:sz w:val="24"/>
          <w:szCs w:val="24"/>
          <w:vertAlign w:val="subscript"/>
        </w:rPr>
        <w:t>11</w:t>
      </w:r>
      <w:r w:rsidRPr="009B5CC1">
        <w:rPr>
          <w:rFonts w:ascii="Times New Roman" w:hAnsi="Times New Roman" w:cs="Times New Roman"/>
          <w:sz w:val="24"/>
          <w:szCs w:val="24"/>
        </w:rPr>
        <w:t>H</w:t>
      </w:r>
      <w:r w:rsidRPr="009B5CC1">
        <w:rPr>
          <w:rFonts w:ascii="Times New Roman" w:hAnsi="Times New Roman" w:cs="Times New Roman"/>
          <w:sz w:val="24"/>
          <w:szCs w:val="24"/>
          <w:vertAlign w:val="subscript"/>
        </w:rPr>
        <w:t>11</w:t>
      </w:r>
      <w:r w:rsidRPr="009B5CC1">
        <w:rPr>
          <w:rFonts w:ascii="Times New Roman" w:hAnsi="Times New Roman" w:cs="Times New Roman"/>
          <w:sz w:val="24"/>
          <w:szCs w:val="24"/>
        </w:rPr>
        <w:t>ClO</w:t>
      </w:r>
      <w:r w:rsidRPr="009B5CC1">
        <w:rPr>
          <w:rFonts w:ascii="Times New Roman" w:hAnsi="Times New Roman" w:cs="Times New Roman"/>
          <w:sz w:val="24"/>
          <w:szCs w:val="24"/>
          <w:vertAlign w:val="subscript"/>
        </w:rPr>
        <w:t>3</w:t>
      </w:r>
      <w:r w:rsidRPr="009B5CC1">
        <w:rPr>
          <w:rFonts w:ascii="Times New Roman" w:hAnsi="Times New Roman" w:cs="Times New Roman"/>
          <w:sz w:val="24"/>
          <w:szCs w:val="24"/>
        </w:rPr>
        <w:t>) (</w:t>
      </w:r>
      <w:r w:rsidRPr="009B5CC1">
        <w:rPr>
          <w:rFonts w:ascii="Times New Roman" w:eastAsia="Calibri" w:hAnsi="Times New Roman" w:cs="Times New Roman"/>
          <w:sz w:val="24"/>
          <w:szCs w:val="24"/>
          <w:lang w:bidi="th-TH"/>
        </w:rPr>
        <w:t>Scheme 1), its transition metal complexes with five biologically significant transition metal ions (Scheme 2), (ii) characterization of these compounds and finally (iii) their subsequent biological and antioxidant investigations. The UV-Visible spectroscopic results have revealed the formation of metal complexes, which observed between 250nm-265nm of wavelength in contrast to BMHA (L1) that shows a</w:t>
      </w:r>
      <w:r w:rsidRPr="009B5CC1">
        <w:rPr>
          <w:rFonts w:ascii="Times New Roman" w:eastAsia="Calibri" w:hAnsi="Times New Roman" w:cs="Times New Roman" w:hint="cs"/>
          <w:sz w:val="24"/>
          <w:szCs w:val="24"/>
          <w:lang w:bidi="th-TH"/>
        </w:rPr>
        <w:t xml:space="preserve"> </w:t>
      </w:r>
      <w:proofErr w:type="spellStart"/>
      <w:r w:rsidRPr="009B5CC1">
        <w:rPr>
          <w:rFonts w:ascii="Times New Roman" w:eastAsia="Calibri" w:hAnsi="Times New Roman" w:cs="Times New Roman" w:hint="cs"/>
          <w:sz w:val="24"/>
          <w:szCs w:val="24"/>
          <w:lang w:bidi="th-TH"/>
        </w:rPr>
        <w:t>λ</w:t>
      </w:r>
      <w:r w:rsidRPr="009B5CC1">
        <w:rPr>
          <w:rFonts w:ascii="Times New Roman" w:eastAsia="Calibri" w:hAnsi="Times New Roman" w:cs="Times New Roman"/>
          <w:sz w:val="24"/>
          <w:szCs w:val="24"/>
          <w:vertAlign w:val="subscript"/>
          <w:lang w:bidi="th-TH"/>
        </w:rPr>
        <w:t>max</w:t>
      </w:r>
      <w:proofErr w:type="spellEnd"/>
      <w:r w:rsidRPr="009B5CC1">
        <w:rPr>
          <w:rFonts w:ascii="Times New Roman" w:eastAsia="Calibri" w:hAnsi="Times New Roman" w:cs="Times New Roman"/>
          <w:sz w:val="24"/>
          <w:szCs w:val="24"/>
          <w:lang w:bidi="th-TH"/>
        </w:rPr>
        <w:t xml:space="preserve"> 267 nm.  Additionally, the m/z ratio and relative abundance (%) of MBHA and its metal complexes was observed using Electrospray ionization-mass spectrometry (ESI-MS)</w:t>
      </w:r>
      <w:r w:rsidR="00546517">
        <w:rPr>
          <w:rFonts w:ascii="Times New Roman" w:eastAsia="Calibri" w:hAnsi="Times New Roman" w:cs="Times New Roman"/>
          <w:sz w:val="24"/>
          <w:szCs w:val="24"/>
          <w:lang w:bidi="th-TH"/>
        </w:rPr>
        <w:t>.</w:t>
      </w:r>
      <w:r w:rsidRPr="009B5CC1">
        <w:rPr>
          <w:rFonts w:ascii="Times New Roman" w:eastAsia="Calibri" w:hAnsi="Times New Roman" w:cs="Times New Roman"/>
          <w:sz w:val="24"/>
          <w:szCs w:val="24"/>
          <w:lang w:bidi="th-TH"/>
        </w:rPr>
        <w:t xml:space="preserve"> </w:t>
      </w:r>
      <w:r w:rsidRPr="009B5CC1">
        <w:rPr>
          <w:rFonts w:ascii="Times New Roman" w:eastAsia="Calibri" w:hAnsi="Times New Roman" w:cs="Times New Roman"/>
          <w:sz w:val="24"/>
          <w:szCs w:val="24"/>
          <w:lang w:bidi="th-TH"/>
        </w:rPr>
        <w:fldChar w:fldCharType="begin" w:fldLock="1"/>
      </w:r>
      <w:r w:rsidR="00276B78">
        <w:rPr>
          <w:rFonts w:ascii="Times New Roman" w:eastAsia="Calibri" w:hAnsi="Times New Roman" w:cs="Times New Roman"/>
          <w:sz w:val="24"/>
          <w:szCs w:val="24"/>
          <w:lang w:bidi="th-TH"/>
        </w:rPr>
        <w:instrText>ADDIN CSL_CITATION {"citationItems":[{"id":"ITEM-1","itemData":{"DOI":"10.1038/srep26785","ISSN":"2045-2322","abstract":"Electrospray ionization-mass spectrometry (ESI-MS) is used to analyze metal species in a variety of samples. Here, we describe an application for identifying metal species by tandem mass spectrometry (ESI-MS/MS) with the release of free metals from the corresponding metal-ligand complexes. The MS/MS data were used to elucidate the possible fragmentation pathways of different metal-deoxymugineic acid (-DMA) and metal-nicotianamine (-NA) complexes and select the product ions with highest abundance that may be useful for quantitative multiple reaction monitoring. This method can be used for identifying different metal-ligand complexes, especially for metal species whose mass spectra peaks are clustered close together. Different metal-DMA/NA complexes were simultaneously identified under different physiological pH conditions with this method. We further demonstrated the application of the technique for different plant samples and with different MS instruments.","author":[{"dropping-particle":"","family":"Tsednee","given":"Munkhtsetseg","non-dropping-particle":"","parse-names":false,"suffix":""},{"dropping-particle":"","family":"Huang","given":"Yu-Chen","non-dropping-particle":"","parse-names":false,"suffix":""},{"dropping-particle":"","family":"Chen","given":"Yet-Ran","non-dropping-particle":"","parse-names":false,"suffix":""},{"dropping-particle":"","family":"Yeh","given":"Kuo-Chen","non-dropping-particle":"","parse-names":false,"suffix":""}],"container-title":"Scientific Reports","id":"ITEM-1","issue":"1","issued":{"date-parts":[["2016","6"]]},"page":"26785","publisher":"Nature Publishing Group","title":"Identification of metal species by ESI-MS/MS through release of free metals from the corresponding metal-ligand complexes","type":"article-journal","volume":"6"},"uris":["http://www.mendeley.com/documents/?uuid=3c01a4f4-2da4-4ab0-936c-f32584e369d9"]}],"mendeley":{"formattedCitation":"&lt;sup&gt;28&lt;/sup&gt;","plainTextFormattedCitation":"28","previouslyFormattedCitation":"&lt;sup&gt;28&lt;/sup&gt;"},"properties":{"noteIndex":0},"schema":"https://github.com/citation-style-language/schema/raw/master/csl-citation.json"}</w:instrText>
      </w:r>
      <w:r w:rsidRPr="009B5CC1">
        <w:rPr>
          <w:rFonts w:ascii="Times New Roman" w:eastAsia="Calibri" w:hAnsi="Times New Roman" w:cs="Times New Roman"/>
          <w:sz w:val="24"/>
          <w:szCs w:val="24"/>
          <w:lang w:bidi="th-TH"/>
        </w:rPr>
        <w:fldChar w:fldCharType="separate"/>
      </w:r>
      <w:r w:rsidR="00276B78" w:rsidRPr="00276B78">
        <w:rPr>
          <w:rFonts w:ascii="Times New Roman" w:eastAsia="Calibri" w:hAnsi="Times New Roman" w:cs="Times New Roman"/>
          <w:noProof/>
          <w:sz w:val="24"/>
          <w:szCs w:val="24"/>
          <w:vertAlign w:val="superscript"/>
          <w:lang w:bidi="th-TH"/>
        </w:rPr>
        <w:t>28</w:t>
      </w:r>
      <w:r w:rsidRPr="009B5CC1">
        <w:rPr>
          <w:rFonts w:ascii="Times New Roman" w:eastAsia="Calibri" w:hAnsi="Times New Roman" w:cs="Times New Roman"/>
          <w:sz w:val="24"/>
          <w:szCs w:val="24"/>
          <w:lang w:bidi="th-TH"/>
        </w:rPr>
        <w:fldChar w:fldCharType="end"/>
      </w:r>
      <w:r w:rsidRPr="009B5CC1">
        <w:rPr>
          <w:rFonts w:ascii="Times New Roman" w:eastAsia="Calibri" w:hAnsi="Times New Roman" w:cs="Times New Roman"/>
          <w:sz w:val="24"/>
          <w:szCs w:val="24"/>
          <w:lang w:bidi="th-TH"/>
        </w:rPr>
        <w:t xml:space="preserve"> The results of study confirm that each transition metal (Cr</w:t>
      </w:r>
      <w:r w:rsidRPr="009B5CC1">
        <w:rPr>
          <w:rFonts w:ascii="Times New Roman" w:eastAsia="Calibri" w:hAnsi="Times New Roman" w:cs="Times New Roman"/>
          <w:sz w:val="24"/>
          <w:szCs w:val="24"/>
          <w:vertAlign w:val="superscript"/>
          <w:lang w:bidi="th-TH"/>
        </w:rPr>
        <w:t>+3</w:t>
      </w:r>
      <w:r w:rsidRPr="009B5CC1">
        <w:rPr>
          <w:rFonts w:ascii="Times New Roman" w:eastAsia="Calibri" w:hAnsi="Times New Roman" w:cs="Times New Roman"/>
          <w:sz w:val="24"/>
          <w:szCs w:val="24"/>
          <w:lang w:bidi="th-TH"/>
        </w:rPr>
        <w:t>, Co</w:t>
      </w:r>
      <w:r w:rsidRPr="009B5CC1">
        <w:rPr>
          <w:rFonts w:ascii="Times New Roman" w:eastAsia="Calibri" w:hAnsi="Times New Roman" w:cs="Times New Roman"/>
          <w:sz w:val="24"/>
          <w:szCs w:val="24"/>
          <w:vertAlign w:val="superscript"/>
          <w:lang w:bidi="th-TH"/>
        </w:rPr>
        <w:t>+3</w:t>
      </w:r>
      <w:r w:rsidRPr="009B5CC1">
        <w:rPr>
          <w:rFonts w:ascii="Times New Roman" w:eastAsia="Calibri" w:hAnsi="Times New Roman" w:cs="Times New Roman"/>
          <w:sz w:val="24"/>
          <w:szCs w:val="24"/>
          <w:lang w:bidi="th-TH"/>
        </w:rPr>
        <w:t>, Ni</w:t>
      </w:r>
      <w:r w:rsidRPr="009B5CC1">
        <w:rPr>
          <w:rFonts w:ascii="Times New Roman" w:eastAsia="Calibri" w:hAnsi="Times New Roman" w:cs="Times New Roman"/>
          <w:sz w:val="24"/>
          <w:szCs w:val="24"/>
          <w:vertAlign w:val="superscript"/>
          <w:lang w:bidi="th-TH"/>
        </w:rPr>
        <w:t>+2</w:t>
      </w:r>
      <w:r w:rsidRPr="009B5CC1">
        <w:rPr>
          <w:rFonts w:ascii="Times New Roman" w:eastAsia="Calibri" w:hAnsi="Times New Roman" w:cs="Times New Roman"/>
          <w:sz w:val="24"/>
          <w:szCs w:val="24"/>
          <w:lang w:bidi="th-TH"/>
        </w:rPr>
        <w:t>, Mn</w:t>
      </w:r>
      <w:r w:rsidRPr="009B5CC1">
        <w:rPr>
          <w:rFonts w:ascii="Times New Roman" w:eastAsia="Calibri" w:hAnsi="Times New Roman" w:cs="Times New Roman"/>
          <w:sz w:val="24"/>
          <w:szCs w:val="24"/>
          <w:vertAlign w:val="superscript"/>
          <w:lang w:bidi="th-TH"/>
        </w:rPr>
        <w:t>+2</w:t>
      </w:r>
      <w:r w:rsidRPr="009B5CC1">
        <w:rPr>
          <w:rFonts w:ascii="Times New Roman" w:eastAsia="Calibri" w:hAnsi="Times New Roman" w:cs="Times New Roman"/>
          <w:sz w:val="24"/>
          <w:szCs w:val="24"/>
          <w:lang w:bidi="th-TH"/>
        </w:rPr>
        <w:t>, Cu</w:t>
      </w:r>
      <w:r w:rsidRPr="009B5CC1">
        <w:rPr>
          <w:rFonts w:ascii="Times New Roman" w:eastAsia="Calibri" w:hAnsi="Times New Roman" w:cs="Times New Roman"/>
          <w:sz w:val="24"/>
          <w:szCs w:val="24"/>
          <w:vertAlign w:val="superscript"/>
          <w:lang w:bidi="th-TH"/>
        </w:rPr>
        <w:t>+2</w:t>
      </w:r>
      <w:r w:rsidRPr="009B5CC1">
        <w:rPr>
          <w:rFonts w:ascii="Times New Roman" w:eastAsia="Calibri" w:hAnsi="Times New Roman" w:cs="Times New Roman"/>
          <w:sz w:val="24"/>
          <w:szCs w:val="24"/>
          <w:lang w:bidi="th-TH"/>
        </w:rPr>
        <w:t>) complex with MBHA (L1) has 1:2 stoichiometric ratios (Fig. 1).</w:t>
      </w:r>
    </w:p>
    <w:p w:rsidR="00CF333F" w:rsidRPr="009B5CC1" w:rsidRDefault="00163CBA" w:rsidP="0040549E">
      <w:pPr>
        <w:jc w:val="center"/>
        <w:rPr>
          <w:rFonts w:ascii="Times New Roman" w:hAnsi="Times New Roman" w:cs="Times New Roman"/>
          <w:sz w:val="24"/>
          <w:szCs w:val="24"/>
          <w:u w:val="single"/>
        </w:rPr>
      </w:pPr>
      <w:r w:rsidRPr="00163CBA">
        <w:rPr>
          <w:rFonts w:ascii="Times New Roman" w:hAnsi="Times New Roman" w:cs="Times New Roman"/>
          <w:noProof/>
          <w:sz w:val="24"/>
          <w:szCs w:val="24"/>
          <w:u w:val="single"/>
        </w:rPr>
        <w:lastRenderedPageBreak/>
        <w:drawing>
          <wp:inline distT="0" distB="0" distL="0" distR="0">
            <wp:extent cx="5732145" cy="8110708"/>
            <wp:effectExtent l="0" t="0" r="1905" b="5080"/>
            <wp:docPr id="2" name="Picture 2" descr="C:\Users\USER\Downloads\11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1 (1).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2145" cy="8110708"/>
                    </a:xfrm>
                    <a:prstGeom prst="rect">
                      <a:avLst/>
                    </a:prstGeom>
                    <a:noFill/>
                    <a:ln>
                      <a:noFill/>
                    </a:ln>
                  </pic:spPr>
                </pic:pic>
              </a:graphicData>
            </a:graphic>
          </wp:inline>
        </w:drawing>
      </w:r>
    </w:p>
    <w:p w:rsidR="00CF333F" w:rsidRPr="007A333B" w:rsidRDefault="00CF333F" w:rsidP="007A333B">
      <w:pPr>
        <w:jc w:val="both"/>
        <w:rPr>
          <w:rFonts w:ascii="Arial" w:hAnsi="Arial" w:cs="Arial"/>
          <w:sz w:val="16"/>
          <w:szCs w:val="16"/>
        </w:rPr>
      </w:pPr>
      <w:r w:rsidRPr="00B83246">
        <w:rPr>
          <w:rFonts w:ascii="Arial" w:hAnsi="Arial" w:cs="Arial"/>
          <w:b/>
          <w:sz w:val="16"/>
          <w:szCs w:val="16"/>
        </w:rPr>
        <w:t>Fig. 1</w:t>
      </w:r>
      <w:r w:rsidR="006813A4" w:rsidRPr="00B83246">
        <w:rPr>
          <w:rFonts w:ascii="Arial" w:hAnsi="Arial" w:cs="Arial"/>
          <w:sz w:val="16"/>
          <w:szCs w:val="16"/>
        </w:rPr>
        <w:t xml:space="preserve">. </w:t>
      </w:r>
      <w:r w:rsidRPr="00B83246">
        <w:rPr>
          <w:rFonts w:ascii="Arial" w:hAnsi="Arial" w:cs="Arial"/>
          <w:sz w:val="16"/>
          <w:szCs w:val="16"/>
        </w:rPr>
        <w:t>Theoretical optimized geometry of the (</w:t>
      </w:r>
      <w:r w:rsidRPr="00B83246">
        <w:rPr>
          <w:rFonts w:ascii="Arial" w:hAnsi="Arial" w:cs="Arial"/>
          <w:b/>
          <w:sz w:val="16"/>
          <w:szCs w:val="16"/>
        </w:rPr>
        <w:t>1a</w:t>
      </w:r>
      <w:r w:rsidRPr="00B83246">
        <w:rPr>
          <w:rFonts w:ascii="Arial" w:hAnsi="Arial" w:cs="Arial"/>
          <w:sz w:val="16"/>
          <w:szCs w:val="16"/>
        </w:rPr>
        <w:t>) MBHA (L1), and its corresponding complexes, (</w:t>
      </w:r>
      <w:r w:rsidRPr="00B83246">
        <w:rPr>
          <w:rFonts w:ascii="Arial" w:hAnsi="Arial" w:cs="Arial"/>
          <w:b/>
          <w:sz w:val="16"/>
          <w:szCs w:val="16"/>
        </w:rPr>
        <w:t>1b</w:t>
      </w:r>
      <w:r w:rsidRPr="00B83246">
        <w:rPr>
          <w:rFonts w:ascii="Arial" w:hAnsi="Arial" w:cs="Arial"/>
          <w:sz w:val="16"/>
          <w:szCs w:val="16"/>
        </w:rPr>
        <w:t>) CrL1, (</w:t>
      </w:r>
      <w:r w:rsidRPr="00B83246">
        <w:rPr>
          <w:rFonts w:ascii="Arial" w:hAnsi="Arial" w:cs="Arial"/>
          <w:b/>
          <w:sz w:val="16"/>
          <w:szCs w:val="16"/>
        </w:rPr>
        <w:t>1c</w:t>
      </w:r>
      <w:r w:rsidRPr="00B83246">
        <w:rPr>
          <w:rFonts w:ascii="Arial" w:hAnsi="Arial" w:cs="Arial"/>
          <w:sz w:val="16"/>
          <w:szCs w:val="16"/>
        </w:rPr>
        <w:t>) CoL1, (</w:t>
      </w:r>
      <w:r w:rsidRPr="00B83246">
        <w:rPr>
          <w:rFonts w:ascii="Arial" w:hAnsi="Arial" w:cs="Arial"/>
          <w:b/>
          <w:sz w:val="16"/>
          <w:szCs w:val="16"/>
        </w:rPr>
        <w:t>1d</w:t>
      </w:r>
      <w:r w:rsidRPr="00B83246">
        <w:rPr>
          <w:rFonts w:ascii="Arial" w:hAnsi="Arial" w:cs="Arial"/>
          <w:sz w:val="16"/>
          <w:szCs w:val="16"/>
        </w:rPr>
        <w:t>) NiL1,  (</w:t>
      </w:r>
      <w:r w:rsidRPr="00B83246">
        <w:rPr>
          <w:rFonts w:ascii="Arial" w:hAnsi="Arial" w:cs="Arial"/>
          <w:b/>
          <w:sz w:val="16"/>
          <w:szCs w:val="16"/>
        </w:rPr>
        <w:t>1e</w:t>
      </w:r>
      <w:r w:rsidRPr="00B83246">
        <w:rPr>
          <w:rFonts w:ascii="Arial" w:hAnsi="Arial" w:cs="Arial"/>
          <w:sz w:val="16"/>
          <w:szCs w:val="16"/>
        </w:rPr>
        <w:t>) MnL1 and (</w:t>
      </w:r>
      <w:r w:rsidRPr="00B83246">
        <w:rPr>
          <w:rFonts w:ascii="Arial" w:hAnsi="Arial" w:cs="Arial"/>
          <w:b/>
          <w:sz w:val="16"/>
          <w:szCs w:val="16"/>
        </w:rPr>
        <w:t>1f)</w:t>
      </w:r>
      <w:r w:rsidRPr="00B83246">
        <w:rPr>
          <w:rFonts w:ascii="Arial" w:hAnsi="Arial" w:cs="Arial"/>
          <w:sz w:val="16"/>
          <w:szCs w:val="16"/>
        </w:rPr>
        <w:t xml:space="preserve"> CuL1. The results have confirmed that each metal is coordinated by two ligand molecules, Cr</w:t>
      </w:r>
      <w:r w:rsidRPr="00B83246">
        <w:rPr>
          <w:rFonts w:ascii="Arial" w:hAnsi="Arial" w:cs="Arial"/>
          <w:sz w:val="16"/>
          <w:szCs w:val="16"/>
          <w:vertAlign w:val="superscript"/>
        </w:rPr>
        <w:t>+3</w:t>
      </w:r>
      <w:r w:rsidRPr="00B83246">
        <w:rPr>
          <w:rFonts w:ascii="Arial" w:hAnsi="Arial" w:cs="Arial"/>
          <w:sz w:val="16"/>
          <w:szCs w:val="16"/>
        </w:rPr>
        <w:t>, Co</w:t>
      </w:r>
      <w:r w:rsidRPr="00B83246">
        <w:rPr>
          <w:rFonts w:ascii="Arial" w:hAnsi="Arial" w:cs="Arial"/>
          <w:sz w:val="16"/>
          <w:szCs w:val="16"/>
          <w:vertAlign w:val="superscript"/>
        </w:rPr>
        <w:t>+3</w:t>
      </w:r>
      <w:r w:rsidRPr="00B83246">
        <w:rPr>
          <w:rFonts w:ascii="Arial" w:hAnsi="Arial" w:cs="Arial"/>
          <w:sz w:val="16"/>
          <w:szCs w:val="16"/>
        </w:rPr>
        <w:t xml:space="preserve"> are octahedral and Ni</w:t>
      </w:r>
      <w:r w:rsidRPr="00B83246">
        <w:rPr>
          <w:rFonts w:ascii="Arial" w:hAnsi="Arial" w:cs="Arial"/>
          <w:sz w:val="16"/>
          <w:szCs w:val="16"/>
          <w:vertAlign w:val="superscript"/>
        </w:rPr>
        <w:t>+2</w:t>
      </w:r>
      <w:r w:rsidRPr="00B83246">
        <w:rPr>
          <w:rFonts w:ascii="Arial" w:hAnsi="Arial" w:cs="Arial"/>
          <w:sz w:val="16"/>
          <w:szCs w:val="16"/>
        </w:rPr>
        <w:t>, Mn</w:t>
      </w:r>
      <w:r w:rsidRPr="00B83246">
        <w:rPr>
          <w:rFonts w:ascii="Arial" w:hAnsi="Arial" w:cs="Arial"/>
          <w:sz w:val="16"/>
          <w:szCs w:val="16"/>
          <w:vertAlign w:val="superscript"/>
        </w:rPr>
        <w:t>+2</w:t>
      </w:r>
      <w:r w:rsidRPr="00B83246">
        <w:rPr>
          <w:rFonts w:ascii="Arial" w:hAnsi="Arial" w:cs="Arial"/>
          <w:sz w:val="16"/>
          <w:szCs w:val="16"/>
        </w:rPr>
        <w:t>, Cu</w:t>
      </w:r>
      <w:r w:rsidRPr="00B83246">
        <w:rPr>
          <w:rFonts w:ascii="Arial" w:hAnsi="Arial" w:cs="Arial"/>
          <w:sz w:val="16"/>
          <w:szCs w:val="16"/>
          <w:vertAlign w:val="superscript"/>
        </w:rPr>
        <w:t>+2</w:t>
      </w:r>
      <w:r w:rsidRPr="00B83246">
        <w:rPr>
          <w:rFonts w:ascii="Arial" w:hAnsi="Arial" w:cs="Arial"/>
          <w:sz w:val="16"/>
          <w:szCs w:val="16"/>
        </w:rPr>
        <w:t xml:space="preserve"> are tetrahedral as per optimized geometrical structures</w:t>
      </w:r>
    </w:p>
    <w:p w:rsidR="003A6E3C" w:rsidRPr="009B5CC1" w:rsidRDefault="00F1417B" w:rsidP="009B5CC1">
      <w:pPr>
        <w:tabs>
          <w:tab w:val="left" w:pos="425"/>
        </w:tabs>
        <w:spacing w:before="40" w:after="0" w:line="360" w:lineRule="auto"/>
        <w:contextualSpacing/>
        <w:jc w:val="both"/>
        <w:rPr>
          <w:rFonts w:ascii="Times New Roman" w:eastAsia="Calibri" w:hAnsi="Times New Roman" w:cs="Times New Roman"/>
          <w:b/>
          <w:bCs/>
          <w:i/>
          <w:sz w:val="24"/>
          <w:szCs w:val="24"/>
          <w:lang w:bidi="th-TH"/>
        </w:rPr>
      </w:pPr>
      <w:r>
        <w:rPr>
          <w:rFonts w:ascii="Times New Roman" w:eastAsia="Calibri" w:hAnsi="Times New Roman" w:cs="Times New Roman"/>
          <w:b/>
          <w:bCs/>
          <w:i/>
          <w:sz w:val="24"/>
          <w:szCs w:val="24"/>
          <w:lang w:bidi="th-TH"/>
        </w:rPr>
        <w:lastRenderedPageBreak/>
        <w:t>3</w:t>
      </w:r>
      <w:r w:rsidR="003A6E3C" w:rsidRPr="009B5CC1">
        <w:rPr>
          <w:rFonts w:ascii="Times New Roman" w:eastAsia="Calibri" w:hAnsi="Times New Roman" w:cs="Times New Roman"/>
          <w:b/>
          <w:bCs/>
          <w:i/>
          <w:sz w:val="24"/>
          <w:szCs w:val="24"/>
          <w:lang w:bidi="th-TH"/>
        </w:rPr>
        <w:t>.1.</w:t>
      </w:r>
      <w:r w:rsidR="003A6E3C" w:rsidRPr="009B5CC1">
        <w:rPr>
          <w:rFonts w:ascii="Times New Roman" w:eastAsia="Calibri" w:hAnsi="Times New Roman" w:cs="Times New Roman"/>
          <w:b/>
          <w:bCs/>
          <w:i/>
          <w:sz w:val="24"/>
          <w:szCs w:val="24"/>
          <w:lang w:bidi="th-TH"/>
        </w:rPr>
        <w:tab/>
      </w:r>
      <w:r w:rsidR="00923C3D" w:rsidRPr="009B5CC1">
        <w:rPr>
          <w:rFonts w:ascii="Times New Roman" w:eastAsia="Calibri" w:hAnsi="Times New Roman" w:cs="Times New Roman"/>
          <w:b/>
          <w:bCs/>
          <w:i/>
          <w:sz w:val="24"/>
          <w:szCs w:val="24"/>
          <w:lang w:bidi="th-TH"/>
        </w:rPr>
        <w:t xml:space="preserve">Theoretical and Experimental FTIR Analysis </w:t>
      </w:r>
      <w:r w:rsidR="00B57DF3">
        <w:rPr>
          <w:rFonts w:ascii="Times New Roman" w:eastAsia="Calibri" w:hAnsi="Times New Roman" w:cs="Times New Roman"/>
          <w:b/>
          <w:bCs/>
          <w:i/>
          <w:sz w:val="24"/>
          <w:szCs w:val="24"/>
          <w:lang w:bidi="th-TH"/>
        </w:rPr>
        <w:t xml:space="preserve">of </w:t>
      </w:r>
      <w:r w:rsidR="00B57DF3" w:rsidRPr="009B5CC1">
        <w:rPr>
          <w:rFonts w:ascii="Times New Roman" w:eastAsia="Calibri" w:hAnsi="Times New Roman" w:cs="Times New Roman"/>
          <w:b/>
          <w:bCs/>
          <w:i/>
          <w:sz w:val="24"/>
          <w:szCs w:val="24"/>
          <w:lang w:bidi="th-TH"/>
        </w:rPr>
        <w:t>ligand</w:t>
      </w:r>
      <w:r w:rsidR="003A6E3C" w:rsidRPr="009B5CC1">
        <w:rPr>
          <w:rFonts w:ascii="Times New Roman" w:eastAsia="Calibri" w:hAnsi="Times New Roman" w:cs="Times New Roman"/>
          <w:b/>
          <w:bCs/>
          <w:i/>
          <w:sz w:val="24"/>
          <w:szCs w:val="24"/>
          <w:lang w:bidi="th-TH"/>
        </w:rPr>
        <w:t xml:space="preserve"> (MBHA)/Compound 3</w:t>
      </w:r>
    </w:p>
    <w:p w:rsidR="003A6E3C" w:rsidRDefault="003A6E3C" w:rsidP="009B5CC1">
      <w:pPr>
        <w:tabs>
          <w:tab w:val="left" w:pos="425"/>
        </w:tabs>
        <w:autoSpaceDE w:val="0"/>
        <w:autoSpaceDN w:val="0"/>
        <w:adjustRightInd w:val="0"/>
        <w:spacing w:before="40" w:after="0" w:line="360" w:lineRule="auto"/>
        <w:contextualSpacing/>
        <w:jc w:val="both"/>
        <w:rPr>
          <w:rFonts w:ascii="Times New Roman" w:eastAsia="Calibri" w:hAnsi="Times New Roman" w:cs="Times New Roman"/>
          <w:sz w:val="24"/>
          <w:szCs w:val="24"/>
        </w:rPr>
      </w:pPr>
      <w:r w:rsidRPr="009B5CC1">
        <w:rPr>
          <w:rFonts w:ascii="Times New Roman" w:eastAsia="Calibri" w:hAnsi="Times New Roman" w:cs="Times New Roman"/>
          <w:sz w:val="24"/>
          <w:szCs w:val="24"/>
        </w:rPr>
        <w:t>The FTIR spectra of MBHA (L1) and their complexes [M(L1)</w:t>
      </w:r>
      <w:r w:rsidRPr="009B5CC1">
        <w:rPr>
          <w:rFonts w:ascii="Times New Roman" w:eastAsia="Calibri" w:hAnsi="Times New Roman" w:cs="Times New Roman"/>
          <w:sz w:val="24"/>
          <w:szCs w:val="24"/>
          <w:vertAlign w:val="subscript"/>
        </w:rPr>
        <w:t>2</w:t>
      </w:r>
      <w:r w:rsidRPr="009B5CC1">
        <w:rPr>
          <w:rFonts w:ascii="Times New Roman" w:eastAsia="Calibri" w:hAnsi="Times New Roman" w:cs="Times New Roman"/>
          <w:sz w:val="24"/>
          <w:szCs w:val="24"/>
        </w:rPr>
        <w:t>(H</w:t>
      </w:r>
      <w:r w:rsidRPr="009B5CC1">
        <w:rPr>
          <w:rFonts w:ascii="Times New Roman" w:eastAsia="Calibri" w:hAnsi="Times New Roman" w:cs="Times New Roman"/>
          <w:sz w:val="24"/>
          <w:szCs w:val="24"/>
          <w:vertAlign w:val="subscript"/>
        </w:rPr>
        <w:t>2</w:t>
      </w:r>
      <w:r w:rsidRPr="009B5CC1">
        <w:rPr>
          <w:rFonts w:ascii="Times New Roman" w:eastAsia="Calibri" w:hAnsi="Times New Roman" w:cs="Times New Roman"/>
          <w:sz w:val="24"/>
          <w:szCs w:val="24"/>
        </w:rPr>
        <w:t>O)</w:t>
      </w:r>
      <w:r w:rsidRPr="009B5CC1">
        <w:rPr>
          <w:rFonts w:ascii="Times New Roman" w:eastAsia="Calibri" w:hAnsi="Times New Roman" w:cs="Times New Roman"/>
          <w:sz w:val="24"/>
          <w:szCs w:val="24"/>
          <w:vertAlign w:val="subscript"/>
        </w:rPr>
        <w:t>4</w:t>
      </w:r>
      <w:r w:rsidRPr="009B5CC1">
        <w:rPr>
          <w:rFonts w:ascii="Times New Roman" w:eastAsia="Calibri" w:hAnsi="Times New Roman" w:cs="Times New Roman"/>
          <w:sz w:val="24"/>
          <w:szCs w:val="24"/>
        </w:rPr>
        <w:t>]</w:t>
      </w:r>
      <w:r w:rsidRPr="009B5CC1">
        <w:rPr>
          <w:rFonts w:ascii="Times New Roman" w:eastAsia="Calibri" w:hAnsi="Times New Roman" w:cs="Times New Roman"/>
          <w:sz w:val="24"/>
          <w:szCs w:val="24"/>
          <w:vertAlign w:val="superscript"/>
        </w:rPr>
        <w:t>+3</w:t>
      </w:r>
      <w:r w:rsidRPr="009B5CC1">
        <w:rPr>
          <w:rFonts w:ascii="Times New Roman" w:eastAsia="Calibri" w:hAnsi="Times New Roman" w:cs="Times New Roman"/>
          <w:sz w:val="24"/>
          <w:szCs w:val="24"/>
        </w:rPr>
        <w:t>,  [M(L1)</w:t>
      </w:r>
      <w:r w:rsidRPr="009B5CC1">
        <w:rPr>
          <w:rFonts w:ascii="Times New Roman" w:eastAsia="Calibri" w:hAnsi="Times New Roman" w:cs="Times New Roman"/>
          <w:sz w:val="24"/>
          <w:szCs w:val="24"/>
          <w:vertAlign w:val="subscript"/>
        </w:rPr>
        <w:t>2</w:t>
      </w:r>
      <w:r w:rsidRPr="009B5CC1">
        <w:rPr>
          <w:rFonts w:ascii="Times New Roman" w:eastAsia="Calibri" w:hAnsi="Times New Roman" w:cs="Times New Roman"/>
          <w:sz w:val="24"/>
          <w:szCs w:val="24"/>
        </w:rPr>
        <w:t>(H</w:t>
      </w:r>
      <w:r w:rsidRPr="009B5CC1">
        <w:rPr>
          <w:rFonts w:ascii="Times New Roman" w:eastAsia="Calibri" w:hAnsi="Times New Roman" w:cs="Times New Roman"/>
          <w:sz w:val="24"/>
          <w:szCs w:val="24"/>
          <w:vertAlign w:val="subscript"/>
        </w:rPr>
        <w:t>2</w:t>
      </w:r>
      <w:r w:rsidRPr="009B5CC1">
        <w:rPr>
          <w:rFonts w:ascii="Times New Roman" w:eastAsia="Calibri" w:hAnsi="Times New Roman" w:cs="Times New Roman"/>
          <w:sz w:val="24"/>
          <w:szCs w:val="24"/>
        </w:rPr>
        <w:t>O)</w:t>
      </w:r>
      <w:r w:rsidRPr="009B5CC1">
        <w:rPr>
          <w:rFonts w:ascii="Times New Roman" w:eastAsia="Calibri" w:hAnsi="Times New Roman" w:cs="Times New Roman"/>
          <w:sz w:val="24"/>
          <w:szCs w:val="24"/>
          <w:vertAlign w:val="subscript"/>
        </w:rPr>
        <w:t>2</w:t>
      </w:r>
      <w:r w:rsidRPr="009B5CC1">
        <w:rPr>
          <w:rFonts w:ascii="Times New Roman" w:eastAsia="Calibri" w:hAnsi="Times New Roman" w:cs="Times New Roman"/>
          <w:sz w:val="24"/>
          <w:szCs w:val="24"/>
        </w:rPr>
        <w:t>]</w:t>
      </w:r>
      <w:r w:rsidRPr="009B5CC1">
        <w:rPr>
          <w:rFonts w:ascii="Times New Roman" w:eastAsia="Calibri" w:hAnsi="Times New Roman" w:cs="Times New Roman"/>
          <w:sz w:val="24"/>
          <w:szCs w:val="24"/>
          <w:vertAlign w:val="superscript"/>
        </w:rPr>
        <w:t>+2</w:t>
      </w:r>
      <w:r w:rsidRPr="009B5CC1">
        <w:rPr>
          <w:rFonts w:ascii="Times New Roman" w:eastAsia="Calibri" w:hAnsi="Times New Roman" w:cs="Times New Roman"/>
          <w:sz w:val="24"/>
          <w:szCs w:val="24"/>
        </w:rPr>
        <w:t xml:space="preserve"> were recorded between 4000–500 cm</w:t>
      </w:r>
      <w:r w:rsidRPr="009B5CC1">
        <w:rPr>
          <w:rFonts w:ascii="Times New Roman" w:eastAsia="Calibri" w:hAnsi="Times New Roman" w:cs="Times New Roman"/>
          <w:sz w:val="24"/>
          <w:szCs w:val="24"/>
          <w:vertAlign w:val="superscript"/>
        </w:rPr>
        <w:t>−1</w:t>
      </w:r>
      <w:r w:rsidRPr="009B5CC1">
        <w:rPr>
          <w:rFonts w:ascii="Times New Roman" w:eastAsia="Calibri" w:hAnsi="Times New Roman" w:cs="Times New Roman"/>
          <w:sz w:val="24"/>
          <w:szCs w:val="24"/>
        </w:rPr>
        <w:t xml:space="preserve"> using </w:t>
      </w:r>
      <w:proofErr w:type="spellStart"/>
      <w:r w:rsidRPr="009B5CC1">
        <w:rPr>
          <w:rFonts w:ascii="Times New Roman" w:eastAsia="Calibri" w:hAnsi="Times New Roman" w:cs="Times New Roman"/>
          <w:sz w:val="24"/>
          <w:szCs w:val="24"/>
        </w:rPr>
        <w:t>KBr</w:t>
      </w:r>
      <w:proofErr w:type="spellEnd"/>
      <w:r w:rsidRPr="009B5CC1">
        <w:rPr>
          <w:rFonts w:ascii="Times New Roman" w:eastAsia="Calibri" w:hAnsi="Times New Roman" w:cs="Times New Roman"/>
          <w:sz w:val="24"/>
          <w:szCs w:val="24"/>
        </w:rPr>
        <w:t xml:space="preserve"> disk and the data is presented in Table-2. The FTIR  data corresponding to compound </w:t>
      </w:r>
      <w:r w:rsidRPr="009B5CC1">
        <w:rPr>
          <w:rFonts w:ascii="Times New Roman" w:eastAsia="Calibri" w:hAnsi="Times New Roman" w:cs="Times New Roman"/>
          <w:b/>
          <w:sz w:val="24"/>
          <w:szCs w:val="24"/>
        </w:rPr>
        <w:t>3</w:t>
      </w:r>
      <w:r w:rsidRPr="009B5CC1">
        <w:rPr>
          <w:rFonts w:ascii="Times New Roman" w:eastAsia="Calibri" w:hAnsi="Times New Roman" w:cs="Times New Roman"/>
          <w:sz w:val="24"/>
          <w:szCs w:val="24"/>
        </w:rPr>
        <w:t>, has shown the characteristics -OH broad peak in 3446 cm</w:t>
      </w:r>
      <w:r w:rsidRPr="009B5CC1">
        <w:rPr>
          <w:rFonts w:ascii="Times New Roman" w:eastAsia="Calibri" w:hAnsi="Times New Roman" w:cs="Times New Roman"/>
          <w:sz w:val="24"/>
          <w:szCs w:val="24"/>
          <w:vertAlign w:val="superscript"/>
        </w:rPr>
        <w:t>-1</w:t>
      </w:r>
      <w:r w:rsidRPr="009B5CC1">
        <w:rPr>
          <w:rFonts w:ascii="Times New Roman" w:eastAsia="Calibri" w:hAnsi="Times New Roman" w:cs="Times New Roman"/>
          <w:sz w:val="24"/>
          <w:szCs w:val="24"/>
        </w:rPr>
        <w:t>, prominent  stretch of =C-H at  2953 cm</w:t>
      </w:r>
      <w:r w:rsidRPr="009B5CC1">
        <w:rPr>
          <w:rFonts w:ascii="Times New Roman" w:eastAsia="Calibri" w:hAnsi="Times New Roman" w:cs="Times New Roman"/>
          <w:sz w:val="24"/>
          <w:szCs w:val="24"/>
          <w:vertAlign w:val="superscript"/>
        </w:rPr>
        <w:t xml:space="preserve">-1 </w:t>
      </w:r>
      <w:r w:rsidRPr="009B5CC1">
        <w:rPr>
          <w:rFonts w:ascii="Times New Roman" w:eastAsia="Calibri" w:hAnsi="Times New Roman" w:cs="Times New Roman"/>
          <w:sz w:val="24"/>
          <w:szCs w:val="24"/>
        </w:rPr>
        <w:t>and  Sp</w:t>
      </w:r>
      <w:r w:rsidRPr="009B5CC1">
        <w:rPr>
          <w:rFonts w:ascii="Times New Roman" w:eastAsia="Calibri" w:hAnsi="Times New Roman" w:cs="Times New Roman"/>
          <w:sz w:val="24"/>
          <w:szCs w:val="24"/>
          <w:vertAlign w:val="superscript"/>
        </w:rPr>
        <w:t>3</w:t>
      </w:r>
      <w:r w:rsidRPr="009B5CC1">
        <w:rPr>
          <w:rFonts w:ascii="Times New Roman" w:eastAsia="Calibri" w:hAnsi="Times New Roman" w:cs="Times New Roman"/>
          <w:sz w:val="24"/>
          <w:szCs w:val="24"/>
        </w:rPr>
        <w:t xml:space="preserve"> C-H stretch at 2897cm</w:t>
      </w:r>
      <w:r w:rsidRPr="009B5CC1">
        <w:rPr>
          <w:rFonts w:ascii="Times New Roman" w:eastAsia="Calibri" w:hAnsi="Times New Roman" w:cs="Times New Roman"/>
          <w:sz w:val="24"/>
          <w:szCs w:val="24"/>
          <w:vertAlign w:val="superscript"/>
        </w:rPr>
        <w:t>-1</w:t>
      </w:r>
      <w:r w:rsidRPr="009B5CC1">
        <w:rPr>
          <w:rFonts w:ascii="Times New Roman" w:eastAsia="Calibri" w:hAnsi="Times New Roman" w:cs="Times New Roman"/>
          <w:sz w:val="24"/>
          <w:szCs w:val="24"/>
        </w:rPr>
        <w:t>.  The band observed at 1714 cm</w:t>
      </w:r>
      <w:r w:rsidRPr="009B5CC1">
        <w:rPr>
          <w:rFonts w:ascii="Times New Roman" w:eastAsia="Calibri" w:hAnsi="Times New Roman" w:cs="Times New Roman"/>
          <w:sz w:val="24"/>
          <w:szCs w:val="24"/>
          <w:vertAlign w:val="superscript"/>
        </w:rPr>
        <w:t>-1</w:t>
      </w:r>
      <w:r w:rsidRPr="009B5CC1">
        <w:rPr>
          <w:rFonts w:ascii="Times New Roman" w:eastAsia="Calibri" w:hAnsi="Times New Roman" w:cs="Times New Roman"/>
          <w:sz w:val="24"/>
          <w:szCs w:val="24"/>
        </w:rPr>
        <w:t xml:space="preserve"> is due to ester carbonyl vibration. Furthermore,  the frequency (</w:t>
      </w:r>
      <w:r w:rsidRPr="009B5CC1">
        <w:rPr>
          <w:rFonts w:ascii="Times New Roman" w:hAnsi="Times New Roman" w:cs="Times New Roman"/>
          <w:sz w:val="24"/>
          <w:szCs w:val="24"/>
        </w:rPr>
        <w:t>ν̄</w:t>
      </w:r>
      <w:r w:rsidRPr="009B5CC1">
        <w:rPr>
          <w:rFonts w:ascii="Times New Roman" w:eastAsia="Calibri" w:hAnsi="Times New Roman" w:cs="Times New Roman"/>
          <w:sz w:val="24"/>
          <w:szCs w:val="24"/>
        </w:rPr>
        <w:t xml:space="preserve"> ) of C=C aromatic,</w:t>
      </w:r>
      <w:r w:rsidRPr="009B5CC1">
        <w:rPr>
          <w:rFonts w:ascii="Times New Roman" w:hAnsi="Times New Roman" w:cs="Times New Roman"/>
          <w:sz w:val="24"/>
          <w:szCs w:val="24"/>
        </w:rPr>
        <w:t xml:space="preserve"> </w:t>
      </w:r>
      <w:r w:rsidRPr="009B5CC1">
        <w:rPr>
          <w:rFonts w:ascii="Times New Roman" w:eastAsia="Calibri" w:hAnsi="Times New Roman" w:cs="Times New Roman"/>
          <w:sz w:val="24"/>
          <w:szCs w:val="24"/>
        </w:rPr>
        <w:t>-CH</w:t>
      </w:r>
      <w:r w:rsidRPr="009B5CC1">
        <w:rPr>
          <w:rFonts w:ascii="Times New Roman" w:eastAsia="Calibri" w:hAnsi="Times New Roman" w:cs="Times New Roman"/>
          <w:sz w:val="24"/>
          <w:szCs w:val="24"/>
          <w:vertAlign w:val="subscript"/>
        </w:rPr>
        <w:t>3</w:t>
      </w:r>
      <w:r w:rsidRPr="009B5CC1">
        <w:rPr>
          <w:rFonts w:ascii="Times New Roman" w:eastAsia="Calibri" w:hAnsi="Times New Roman" w:cs="Times New Roman"/>
          <w:sz w:val="24"/>
          <w:szCs w:val="24"/>
        </w:rPr>
        <w:t>, C-O and C-Cl were designated as 1631 cm</w:t>
      </w:r>
      <w:r w:rsidRPr="009B5CC1">
        <w:rPr>
          <w:rFonts w:ascii="Times New Roman" w:eastAsia="Calibri" w:hAnsi="Times New Roman" w:cs="Times New Roman"/>
          <w:sz w:val="24"/>
          <w:szCs w:val="24"/>
          <w:vertAlign w:val="superscript"/>
        </w:rPr>
        <w:t xml:space="preserve">-1, </w:t>
      </w:r>
      <w:r w:rsidRPr="009B5CC1">
        <w:rPr>
          <w:rFonts w:ascii="Times New Roman" w:eastAsia="Calibri" w:hAnsi="Times New Roman" w:cs="Times New Roman"/>
          <w:sz w:val="24"/>
          <w:szCs w:val="24"/>
        </w:rPr>
        <w:t>1440 cm</w:t>
      </w:r>
      <w:r w:rsidRPr="009B5CC1">
        <w:rPr>
          <w:rFonts w:ascii="Times New Roman" w:eastAsia="Calibri" w:hAnsi="Times New Roman" w:cs="Times New Roman"/>
          <w:sz w:val="24"/>
          <w:szCs w:val="24"/>
          <w:vertAlign w:val="superscript"/>
        </w:rPr>
        <w:t xml:space="preserve">-1, </w:t>
      </w:r>
      <w:r w:rsidRPr="009B5CC1">
        <w:rPr>
          <w:rFonts w:ascii="Times New Roman" w:eastAsia="Calibri" w:hAnsi="Times New Roman" w:cs="Times New Roman"/>
          <w:sz w:val="24"/>
          <w:szCs w:val="24"/>
        </w:rPr>
        <w:t>1278cm</w:t>
      </w:r>
      <w:r w:rsidRPr="009B5CC1">
        <w:rPr>
          <w:rFonts w:ascii="Times New Roman" w:eastAsia="Calibri" w:hAnsi="Times New Roman" w:cs="Times New Roman"/>
          <w:sz w:val="24"/>
          <w:szCs w:val="24"/>
          <w:vertAlign w:val="superscript"/>
        </w:rPr>
        <w:t>-1</w:t>
      </w:r>
      <w:r w:rsidRPr="009B5CC1">
        <w:rPr>
          <w:rFonts w:ascii="Times New Roman" w:eastAsia="Calibri" w:hAnsi="Times New Roman" w:cs="Times New Roman"/>
          <w:sz w:val="24"/>
          <w:szCs w:val="24"/>
        </w:rPr>
        <w:t xml:space="preserve">  and 540 cm</w:t>
      </w:r>
      <w:r w:rsidRPr="009B5CC1">
        <w:rPr>
          <w:rFonts w:ascii="Times New Roman" w:eastAsia="Calibri" w:hAnsi="Times New Roman" w:cs="Times New Roman"/>
          <w:sz w:val="24"/>
          <w:szCs w:val="24"/>
          <w:vertAlign w:val="superscript"/>
        </w:rPr>
        <w:t>-1</w:t>
      </w:r>
      <w:r w:rsidR="00546517">
        <w:rPr>
          <w:rFonts w:ascii="Times New Roman" w:eastAsia="Calibri" w:hAnsi="Times New Roman" w:cs="Times New Roman"/>
          <w:sz w:val="24"/>
          <w:szCs w:val="24"/>
        </w:rPr>
        <w:t xml:space="preserve"> respectively (Fig. 2a)</w:t>
      </w:r>
      <w:r w:rsidRPr="009B5CC1">
        <w:rPr>
          <w:rFonts w:ascii="Times New Roman" w:eastAsia="Calibri" w:hAnsi="Times New Roman" w:cs="Times New Roman"/>
          <w:sz w:val="24"/>
          <w:szCs w:val="24"/>
        </w:rPr>
        <w:t>.</w:t>
      </w:r>
      <w:r w:rsidR="006E7F4F">
        <w:rPr>
          <w:rFonts w:ascii="Times New Roman" w:eastAsia="Calibri" w:hAnsi="Times New Roman" w:cs="Times New Roman"/>
          <w:sz w:val="24"/>
          <w:szCs w:val="24"/>
        </w:rPr>
        <w:fldChar w:fldCharType="begin" w:fldLock="1"/>
      </w:r>
      <w:r w:rsidR="00276B78">
        <w:rPr>
          <w:rFonts w:ascii="Times New Roman" w:eastAsia="Calibri" w:hAnsi="Times New Roman" w:cs="Times New Roman"/>
          <w:sz w:val="24"/>
          <w:szCs w:val="24"/>
        </w:rPr>
        <w:instrText>ADDIN CSL_CITATION {"citationItems":[{"id":"ITEM-1","itemData":{"DOI":"10.1016/j.molstruc.2019.02.093","ISSN":"00222860","abstract":"In the present studies, [Cu(ABOVL)]1, [Co(ABOVL)]2, [Cr (ABOVL)]3, and [Zn (ABOVL)]4 complexes were prepared where ABOVL is the condensation product of 2-hydroxy-3-methoxybenzaldehyde (o-Vanillin) and (2-aminophenyl)methanol (2-aminobenzylalcohol). To characterize ABOVL and its metal complexes standard analytical and spectral techniques were employed. From the spectral data, ABOVL acts as a bi-dentate ligand with O, N as donor atoms and complex I exhibited square planar geometry and complexes 2, 3, and 4 exhibited octahedral geometries respectively. DNA binding studies were performed using fluorescence, viscosity and absorption studies. The binding constant from absorption studies was 6.23 ± 0.04 × 10 4 M −1 , 5.76 ± 0.03 × 10 4 M −1 , 4.95 ± 0.07 × 10 4 M −1 and 4.12 ± 0.06 × 10 4 M −1 for 1, 2, 3 and 4 complexes respectively, and Stern-Volmer quenching constant, K SV from fluorescence studies was 3.99 × 10 3 M −1 , 3.21 × 10 3 M −1 , 2.78 × 10 3 M −1 and 2.53 × 10 3 M −1 for 1, 2, 3 and 4 complexes respectively. The above data signifies intercalative mode of binding of complexes to CT-DNA. Viscosity studies further revealed the binding of complexes to CT-DNA through intercalation. Nuclease studies of the complexes were carried out using supercoiled pUC19 DNA with hydrogen peroxide as an oxidant and the results were discussed. GOLO 3.1 programme (software) was used for docking studies and the results showed that complexes can effective bind with active receptor protein of DNA topoisomerase I involving hydrogen bonding interactions and the results were discussed. Antimicrobial studies performed by disc diffusion method showed that the complexes possess higher anti-microbial activity than compared to ABOVL. In-vitro cytotoxic studies were performed for the synthesized complexes against selected cell lines by MTT assay where Complex I showed potential inhibitory efficiency with an IC 50 of 49.13 μg/mL as compared to other complexes. Molecular modelling studies were carried out using Argus lab.","author":[{"dropping-particle":"","family":"Kavitha","given":"B.","non-dropping-particle":"","parse-names":false,"suffix":""},{"dropping-particle":"","family":"Sravanthi","given":"M.","non-dropping-particle":"","parse-names":false,"suffix":""},{"dropping-particle":"","family":"Saritha Reddy","given":"P.","non-dropping-particle":"","parse-names":false,"suffix":""}],"container-title":"Journal of Molecular Structure","id":"ITEM-1","issued":{"date-parts":[["2019"]]},"page":"153-167","publisher":"Elsevier B.V","title":"DNA interaction, docking, molecular modelling and biological studies of o-Vanillin derived Schiff base metal complexes","type":"article-journal","volume":"1185"},"uris":["http://www.mendeley.com/documents/?uuid=a4d5c604-3a62-4fe0-988e-b02d20fe9b6a"]}],"mendeley":{"formattedCitation":"&lt;sup&gt;29&lt;/sup&gt;","plainTextFormattedCitation":"29","previouslyFormattedCitation":"&lt;sup&gt;29&lt;/sup&gt;"},"properties":{"noteIndex":0},"schema":"https://github.com/citation-style-language/schema/raw/master/csl-citation.json"}</w:instrText>
      </w:r>
      <w:r w:rsidR="006E7F4F">
        <w:rPr>
          <w:rFonts w:ascii="Times New Roman" w:eastAsia="Calibri" w:hAnsi="Times New Roman" w:cs="Times New Roman"/>
          <w:sz w:val="24"/>
          <w:szCs w:val="24"/>
        </w:rPr>
        <w:fldChar w:fldCharType="separate"/>
      </w:r>
      <w:r w:rsidR="00276B78" w:rsidRPr="00276B78">
        <w:rPr>
          <w:rFonts w:ascii="Times New Roman" w:eastAsia="Calibri" w:hAnsi="Times New Roman" w:cs="Times New Roman"/>
          <w:noProof/>
          <w:sz w:val="24"/>
          <w:szCs w:val="24"/>
          <w:vertAlign w:val="superscript"/>
        </w:rPr>
        <w:t>29</w:t>
      </w:r>
      <w:r w:rsidR="006E7F4F">
        <w:rPr>
          <w:rFonts w:ascii="Times New Roman" w:eastAsia="Calibri" w:hAnsi="Times New Roman" w:cs="Times New Roman"/>
          <w:sz w:val="24"/>
          <w:szCs w:val="24"/>
        </w:rPr>
        <w:fldChar w:fldCharType="end"/>
      </w:r>
      <w:r w:rsidRPr="009B5CC1">
        <w:rPr>
          <w:rFonts w:ascii="Times New Roman" w:eastAsia="Calibri" w:hAnsi="Times New Roman" w:cs="Times New Roman"/>
          <w:sz w:val="24"/>
          <w:szCs w:val="24"/>
        </w:rPr>
        <w:t xml:space="preserve"> Moreover, in computational IR analysis, it was observed that OH peak is somewhat different from the observed spectrum. This fact is because of the breadth of OH band appeared by the water vapors. It might be obtained due to greater number of OH ions appeared in the same intensity</w:t>
      </w:r>
      <w:r w:rsidR="006E7F4F">
        <w:rPr>
          <w:rFonts w:ascii="Times New Roman" w:eastAsia="Calibri" w:hAnsi="Times New Roman" w:cs="Times New Roman"/>
          <w:sz w:val="24"/>
          <w:szCs w:val="24"/>
        </w:rPr>
        <w:t>.</w:t>
      </w:r>
      <w:r w:rsidRPr="009B5CC1">
        <w:rPr>
          <w:rFonts w:ascii="Times New Roman" w:eastAsia="Calibri" w:hAnsi="Times New Roman" w:cs="Times New Roman"/>
          <w:sz w:val="24"/>
          <w:szCs w:val="24"/>
        </w:rPr>
        <w:fldChar w:fldCharType="begin" w:fldLock="1"/>
      </w:r>
      <w:r w:rsidR="00276B78">
        <w:rPr>
          <w:rFonts w:ascii="Times New Roman" w:eastAsia="Calibri" w:hAnsi="Times New Roman" w:cs="Times New Roman"/>
          <w:sz w:val="24"/>
          <w:szCs w:val="24"/>
        </w:rPr>
        <w:instrText>ADDIN CSL_CITATION {"citationItems":[{"id":"ITEM-1","itemData":{"DOI":"10.1016/j.saa.2010.09.016","ISSN":"13861425","PMID":"20940104","abstract":"In this work the electronic structure of (E)-4-methoxy-2-[(p-tolylimino) methyl]phenol has been characterized by the B3LYP/6-31G(d) level by using density functional theory. The experimental infrared and electronic absorption spectra have been obtained and compared with the theoretically obtained ones. Molecular electrostatic potential map has been evaluated; natural bond orbital and frontier molecular orbitals analysis have been performed from the optimized geometry. The energetic behavior of the title compound has been examined in solvent media using polarizable continuum model. The non-linear optical properties have been computed with the same level of theory. In addition, the changes of thermodynamic properties have been obtained in the range of 100-500 K. © 2010 Elsevier B.V. All rights reserved.","author":[{"dropping-particle":"","family":"Kosar","given":"Basak","non-dropping-particle":"","parse-names":false,"suffix":""},{"dropping-particle":"","family":"Albayrak","given":"Cigdem","non-dropping-particle":"","parse-names":false,"suffix":""}],"container-title":"Spectrochimica Acta - Part A: Molecular and Biomolecular Spectroscopy","id":"ITEM-1","issue":"1","issued":{"date-parts":[["2011"]]},"page":"160-167","publisher":"Elsevier B.V.","title":"Spectroscopic investigations and quantum chemical computational study of (E)-4-methoxy-2-[(p-tolylimino)methyl]phenol","type":"article-journal","volume":"78"},"uris":["http://www.mendeley.com/documents/?uuid=1abc3de5-36b4-4440-8d75-1904f6a6401a"]}],"mendeley":{"formattedCitation":"&lt;sup&gt;30&lt;/sup&gt;","plainTextFormattedCitation":"30","previouslyFormattedCitation":"&lt;sup&gt;30&lt;/sup&gt;"},"properties":{"noteIndex":0},"schema":"https://github.com/citation-style-language/schema/raw/master/csl-citation.json"}</w:instrText>
      </w:r>
      <w:r w:rsidRPr="009B5CC1">
        <w:rPr>
          <w:rFonts w:ascii="Times New Roman" w:eastAsia="Calibri" w:hAnsi="Times New Roman" w:cs="Times New Roman"/>
          <w:sz w:val="24"/>
          <w:szCs w:val="24"/>
        </w:rPr>
        <w:fldChar w:fldCharType="separate"/>
      </w:r>
      <w:r w:rsidR="00276B78" w:rsidRPr="00276B78">
        <w:rPr>
          <w:rFonts w:ascii="Times New Roman" w:eastAsia="Calibri" w:hAnsi="Times New Roman" w:cs="Times New Roman"/>
          <w:noProof/>
          <w:sz w:val="24"/>
          <w:szCs w:val="24"/>
          <w:vertAlign w:val="superscript"/>
        </w:rPr>
        <w:t>30</w:t>
      </w:r>
      <w:r w:rsidRPr="009B5CC1">
        <w:rPr>
          <w:rFonts w:ascii="Times New Roman" w:eastAsia="Calibri" w:hAnsi="Times New Roman" w:cs="Times New Roman"/>
          <w:sz w:val="24"/>
          <w:szCs w:val="24"/>
        </w:rPr>
        <w:fldChar w:fldCharType="end"/>
      </w:r>
      <w:r w:rsidRPr="009B5CC1">
        <w:rPr>
          <w:rFonts w:ascii="Times New Roman" w:eastAsia="Calibri" w:hAnsi="Times New Roman" w:cs="Times New Roman"/>
          <w:sz w:val="24"/>
          <w:szCs w:val="24"/>
        </w:rPr>
        <w:t xml:space="preserve"> The peak intensities of left aforementioned fragments (Fig. 2b) in calculated spectrum more about the similar values. The slight change may observed because of the theoretical results presented to isolated functional groups in gaseous state, while the experimental calculations belong to the molecules in solid state</w:t>
      </w:r>
      <w:r w:rsidR="006E7F4F">
        <w:rPr>
          <w:rFonts w:ascii="Times New Roman" w:eastAsia="Calibri" w:hAnsi="Times New Roman" w:cs="Times New Roman"/>
          <w:sz w:val="24"/>
          <w:szCs w:val="24"/>
        </w:rPr>
        <w:t>.</w:t>
      </w:r>
      <w:r w:rsidRPr="009B5CC1">
        <w:rPr>
          <w:rFonts w:ascii="Times New Roman" w:eastAsia="Calibri" w:hAnsi="Times New Roman" w:cs="Times New Roman"/>
          <w:sz w:val="24"/>
          <w:szCs w:val="24"/>
        </w:rPr>
        <w:fldChar w:fldCharType="begin" w:fldLock="1"/>
      </w:r>
      <w:r w:rsidR="00276B78">
        <w:rPr>
          <w:rFonts w:ascii="Times New Roman" w:eastAsia="Calibri" w:hAnsi="Times New Roman" w:cs="Times New Roman"/>
          <w:sz w:val="24"/>
          <w:szCs w:val="24"/>
        </w:rPr>
        <w:instrText>ADDIN CSL_CITATION {"citationItems":[{"id":"ITEM-1","itemData":{"DOI":"10.1016/j.saa.2008.02.016","ISSN":"13861425","PMID":"18358770","abstract":"In this work, we will report a combined experimental and theoretical study on molecular and vibrational structure of 4-N,N′-dimethylamino pyridine (4NN′DMAP). The Fourier transform infrared and Fourier transform Raman spectra of 4NN′DMAP was recorded in the solid phase. The optimized geometry was calculated by HF and B3LYP methods with 6-31G(d,p) and 6-311++G(d,p) basis sets. The harmonic vibrational frequencies, infrared intensities and Raman scattering activities of the title compound were performed at same level of theories. The scaled theoretical wavenumber showed very good agreement with the experimental values. The thermodynamic functions of the title compound was also performed at HF/6-31G(d,p) and B3LYP/6-311++G(d,p) level of theories. A detailed interpretation of the infrared and Raman spectra of 4NN′DMAP was reported. The theoretical spectrograms for FT-IR and FT-Raman spectra of the title molecule have been constructed. © 2008 Elsevier B.V. All rights reserved.","author":[{"dropping-particle":"","family":"Sundaraganesan","given":"N.","non-dropping-particle":"","parse-names":false,"suffix":""},{"dropping-particle":"","family":"Kalaichelvan","given":"S.","non-dropping-particle":"","parse-names":false,"suffix":""},{"dropping-particle":"","family":"Meganathan","given":"C.","non-dropping-particle":"","parse-names":false,"suffix":""},{"dropping-particle":"","family":"Joshua","given":"B. Dominic","non-dropping-particle":"","parse-names":false,"suffix":""},{"dropping-particle":"","family":"Cornard","given":"J.","non-dropping-particle":"","parse-names":false,"suffix":""}],"container-title":"Spectrochimica Acta - Part A: Molecular and Biomolecular Spectroscopy","id":"ITEM-1","issue":"3","issued":{"date-parts":[["2008"]]},"page":"898-906","title":"FT-IR, FT-Raman spectra and ab initio HF and DFT calculations of 4-N,N′-dimethylamino pyridine","type":"article-journal","volume":"71"},"uris":["http://www.mendeley.com/documents/?uuid=ffd99934-d339-4e26-b6ef-f11665ab39f3"]}],"mendeley":{"formattedCitation":"&lt;sup&gt;31&lt;/sup&gt;","plainTextFormattedCitation":"31","previouslyFormattedCitation":"&lt;sup&gt;31&lt;/sup&gt;"},"properties":{"noteIndex":0},"schema":"https://github.com/citation-style-language/schema/raw/master/csl-citation.json"}</w:instrText>
      </w:r>
      <w:r w:rsidRPr="009B5CC1">
        <w:rPr>
          <w:rFonts w:ascii="Times New Roman" w:eastAsia="Calibri" w:hAnsi="Times New Roman" w:cs="Times New Roman"/>
          <w:sz w:val="24"/>
          <w:szCs w:val="24"/>
        </w:rPr>
        <w:fldChar w:fldCharType="separate"/>
      </w:r>
      <w:r w:rsidR="00276B78" w:rsidRPr="00276B78">
        <w:rPr>
          <w:rFonts w:ascii="Times New Roman" w:eastAsia="Calibri" w:hAnsi="Times New Roman" w:cs="Times New Roman"/>
          <w:noProof/>
          <w:sz w:val="24"/>
          <w:szCs w:val="24"/>
          <w:vertAlign w:val="superscript"/>
        </w:rPr>
        <w:t>31</w:t>
      </w:r>
      <w:r w:rsidRPr="009B5CC1">
        <w:rPr>
          <w:rFonts w:ascii="Times New Roman" w:eastAsia="Calibri" w:hAnsi="Times New Roman" w:cs="Times New Roman"/>
          <w:sz w:val="24"/>
          <w:szCs w:val="24"/>
        </w:rPr>
        <w:fldChar w:fldCharType="end"/>
      </w:r>
      <w:r w:rsidRPr="009B5CC1">
        <w:rPr>
          <w:rFonts w:ascii="Times New Roman" w:eastAsia="Calibri" w:hAnsi="Times New Roman" w:cs="Times New Roman"/>
          <w:sz w:val="24"/>
          <w:szCs w:val="24"/>
        </w:rPr>
        <w:t xml:space="preserve"> </w:t>
      </w:r>
    </w:p>
    <w:p w:rsidR="001B1892" w:rsidRPr="009B5CC1" w:rsidRDefault="00623062" w:rsidP="00163CBA">
      <w:pPr>
        <w:tabs>
          <w:tab w:val="left" w:pos="5340"/>
        </w:tabs>
        <w:jc w:val="center"/>
        <w:rPr>
          <w:rFonts w:ascii="Times New Roman" w:hAnsi="Times New Roman" w:cs="Times New Roman"/>
          <w:sz w:val="24"/>
          <w:szCs w:val="24"/>
        </w:rPr>
      </w:pPr>
      <w:r w:rsidRPr="00623062">
        <w:rPr>
          <w:rFonts w:ascii="Times New Roman" w:hAnsi="Times New Roman" w:cs="Times New Roman"/>
          <w:noProof/>
          <w:sz w:val="24"/>
          <w:szCs w:val="24"/>
        </w:rPr>
        <w:drawing>
          <wp:inline distT="0" distB="0" distL="0" distR="0">
            <wp:extent cx="5705475" cy="2417445"/>
            <wp:effectExtent l="0" t="0" r="9525" b="1905"/>
            <wp:docPr id="8" name="Picture 8" descr="C:\Users\USER\Desktop\Research meterials\Acta Solvenica Chemica\Figure. 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esearch meterials\Acta Solvenica Chemica\Figure. 2a.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0354" cy="2419512"/>
                    </a:xfrm>
                    <a:prstGeom prst="rect">
                      <a:avLst/>
                    </a:prstGeom>
                    <a:noFill/>
                    <a:ln>
                      <a:noFill/>
                    </a:ln>
                  </pic:spPr>
                </pic:pic>
              </a:graphicData>
            </a:graphic>
          </wp:inline>
        </w:drawing>
      </w:r>
    </w:p>
    <w:p w:rsidR="001B1892" w:rsidRPr="00B83246" w:rsidRDefault="001B1892" w:rsidP="001B1892">
      <w:pPr>
        <w:tabs>
          <w:tab w:val="left" w:pos="5340"/>
        </w:tabs>
        <w:jc w:val="center"/>
        <w:rPr>
          <w:rFonts w:ascii="Arial" w:hAnsi="Arial" w:cs="Arial"/>
          <w:sz w:val="16"/>
          <w:szCs w:val="16"/>
        </w:rPr>
      </w:pPr>
      <w:r w:rsidRPr="00B83246">
        <w:rPr>
          <w:rFonts w:ascii="Arial" w:hAnsi="Arial" w:cs="Arial"/>
          <w:b/>
          <w:sz w:val="16"/>
          <w:szCs w:val="16"/>
        </w:rPr>
        <w:t>Fig. 2a</w:t>
      </w:r>
      <w:r w:rsidRPr="00B83246">
        <w:rPr>
          <w:rFonts w:ascii="Arial" w:hAnsi="Arial" w:cs="Arial"/>
          <w:sz w:val="16"/>
          <w:szCs w:val="16"/>
        </w:rPr>
        <w:t>.   Experimental FTIR spectrum of Methyl 2-((4-chlorophenyl</w:t>
      </w:r>
      <w:proofErr w:type="gramStart"/>
      <w:r w:rsidRPr="00B83246">
        <w:rPr>
          <w:rFonts w:ascii="Arial" w:hAnsi="Arial" w:cs="Arial"/>
          <w:sz w:val="16"/>
          <w:szCs w:val="16"/>
        </w:rPr>
        <w:t>)(</w:t>
      </w:r>
      <w:proofErr w:type="spellStart"/>
      <w:proofErr w:type="gramEnd"/>
      <w:r w:rsidRPr="00B83246">
        <w:rPr>
          <w:rFonts w:ascii="Arial" w:hAnsi="Arial" w:cs="Arial"/>
          <w:sz w:val="16"/>
          <w:szCs w:val="16"/>
        </w:rPr>
        <w:t>hydroxy</w:t>
      </w:r>
      <w:proofErr w:type="spellEnd"/>
      <w:r w:rsidRPr="00B83246">
        <w:rPr>
          <w:rFonts w:ascii="Arial" w:hAnsi="Arial" w:cs="Arial"/>
          <w:sz w:val="16"/>
          <w:szCs w:val="16"/>
        </w:rPr>
        <w:t>)</w:t>
      </w:r>
      <w:proofErr w:type="spellStart"/>
      <w:r w:rsidRPr="00B83246">
        <w:rPr>
          <w:rFonts w:ascii="Arial" w:hAnsi="Arial" w:cs="Arial"/>
          <w:sz w:val="16"/>
          <w:szCs w:val="16"/>
        </w:rPr>
        <w:t>methyle</w:t>
      </w:r>
      <w:proofErr w:type="spellEnd"/>
      <w:r w:rsidRPr="00B83246">
        <w:rPr>
          <w:rFonts w:ascii="Arial" w:hAnsi="Arial" w:cs="Arial"/>
          <w:sz w:val="16"/>
          <w:szCs w:val="16"/>
        </w:rPr>
        <w:t>) acrylate [MBHA (L1)]</w:t>
      </w:r>
    </w:p>
    <w:p w:rsidR="00947764" w:rsidRDefault="00947764" w:rsidP="00623062">
      <w:pPr>
        <w:tabs>
          <w:tab w:val="left" w:pos="5340"/>
        </w:tabs>
        <w:jc w:val="center"/>
        <w:rPr>
          <w:rFonts w:ascii="Times New Roman" w:hAnsi="Times New Roman" w:cs="Times New Roman"/>
          <w:noProof/>
          <w:sz w:val="24"/>
          <w:szCs w:val="24"/>
        </w:rPr>
      </w:pPr>
    </w:p>
    <w:p w:rsidR="00947764" w:rsidRDefault="00947764" w:rsidP="00623062">
      <w:pPr>
        <w:tabs>
          <w:tab w:val="left" w:pos="5340"/>
        </w:tabs>
        <w:jc w:val="center"/>
        <w:rPr>
          <w:rFonts w:ascii="Times New Roman" w:hAnsi="Times New Roman" w:cs="Times New Roman"/>
          <w:noProof/>
          <w:sz w:val="24"/>
          <w:szCs w:val="24"/>
        </w:rPr>
      </w:pPr>
    </w:p>
    <w:p w:rsidR="00163CBA" w:rsidRPr="009B5CC1" w:rsidRDefault="00623062" w:rsidP="00623062">
      <w:pPr>
        <w:tabs>
          <w:tab w:val="left" w:pos="5340"/>
        </w:tabs>
        <w:jc w:val="center"/>
        <w:rPr>
          <w:rFonts w:ascii="Times New Roman" w:hAnsi="Times New Roman" w:cs="Times New Roman"/>
          <w:sz w:val="24"/>
          <w:szCs w:val="24"/>
        </w:rPr>
      </w:pPr>
      <w:r w:rsidRPr="00623062">
        <w:rPr>
          <w:rFonts w:ascii="Times New Roman" w:hAnsi="Times New Roman" w:cs="Times New Roman"/>
          <w:noProof/>
          <w:sz w:val="24"/>
          <w:szCs w:val="24"/>
        </w:rPr>
        <w:lastRenderedPageBreak/>
        <w:drawing>
          <wp:inline distT="0" distB="0" distL="0" distR="0">
            <wp:extent cx="5619750" cy="2776451"/>
            <wp:effectExtent l="0" t="0" r="0" b="5080"/>
            <wp:docPr id="9" name="Picture 9" descr="C:\Users\USER\Desktop\Research meterials\Acta Solvenica Chemica\Figure. 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Research meterials\Acta Solvenica Chemica\Figure. 2b.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858" r="1961"/>
                    <a:stretch/>
                  </pic:blipFill>
                  <pic:spPr bwMode="auto">
                    <a:xfrm>
                      <a:off x="0" y="0"/>
                      <a:ext cx="5638731" cy="2785829"/>
                    </a:xfrm>
                    <a:prstGeom prst="rect">
                      <a:avLst/>
                    </a:prstGeom>
                    <a:noFill/>
                    <a:ln>
                      <a:noFill/>
                    </a:ln>
                    <a:extLst>
                      <a:ext uri="{53640926-AAD7-44D8-BBD7-CCE9431645EC}">
                        <a14:shadowObscured xmlns:a14="http://schemas.microsoft.com/office/drawing/2010/main"/>
                      </a:ext>
                    </a:extLst>
                  </pic:spPr>
                </pic:pic>
              </a:graphicData>
            </a:graphic>
          </wp:inline>
        </w:drawing>
      </w:r>
    </w:p>
    <w:p w:rsidR="001B1892" w:rsidRPr="00B83246" w:rsidRDefault="001B1892" w:rsidP="001B1892">
      <w:pPr>
        <w:widowControl w:val="0"/>
        <w:autoSpaceDE w:val="0"/>
        <w:autoSpaceDN w:val="0"/>
        <w:adjustRightInd w:val="0"/>
        <w:spacing w:line="240" w:lineRule="auto"/>
        <w:jc w:val="center"/>
        <w:rPr>
          <w:rFonts w:ascii="Arial" w:hAnsi="Arial" w:cs="Arial"/>
          <w:sz w:val="16"/>
          <w:szCs w:val="16"/>
        </w:rPr>
      </w:pPr>
      <w:r w:rsidRPr="00B83246">
        <w:rPr>
          <w:rFonts w:ascii="Arial" w:hAnsi="Arial" w:cs="Arial"/>
          <w:b/>
          <w:sz w:val="16"/>
          <w:szCs w:val="16"/>
        </w:rPr>
        <w:t>Fig. 2b</w:t>
      </w:r>
      <w:r w:rsidRPr="00B83246">
        <w:rPr>
          <w:rFonts w:ascii="Arial" w:hAnsi="Arial" w:cs="Arial"/>
          <w:sz w:val="16"/>
          <w:szCs w:val="16"/>
        </w:rPr>
        <w:t>.  Theoretical FTIR spectrum of Methyl 2-((4-chlorophenyl</w:t>
      </w:r>
      <w:proofErr w:type="gramStart"/>
      <w:r w:rsidRPr="00B83246">
        <w:rPr>
          <w:rFonts w:ascii="Arial" w:hAnsi="Arial" w:cs="Arial"/>
          <w:sz w:val="16"/>
          <w:szCs w:val="16"/>
        </w:rPr>
        <w:t>)(</w:t>
      </w:r>
      <w:proofErr w:type="spellStart"/>
      <w:proofErr w:type="gramEnd"/>
      <w:r w:rsidRPr="00B83246">
        <w:rPr>
          <w:rFonts w:ascii="Arial" w:hAnsi="Arial" w:cs="Arial"/>
          <w:sz w:val="16"/>
          <w:szCs w:val="16"/>
        </w:rPr>
        <w:t>hydroxy</w:t>
      </w:r>
      <w:proofErr w:type="spellEnd"/>
      <w:r w:rsidRPr="00B83246">
        <w:rPr>
          <w:rFonts w:ascii="Arial" w:hAnsi="Arial" w:cs="Arial"/>
          <w:sz w:val="16"/>
          <w:szCs w:val="16"/>
        </w:rPr>
        <w:t>)</w:t>
      </w:r>
      <w:proofErr w:type="spellStart"/>
      <w:r w:rsidRPr="00B83246">
        <w:rPr>
          <w:rFonts w:ascii="Arial" w:hAnsi="Arial" w:cs="Arial"/>
          <w:sz w:val="16"/>
          <w:szCs w:val="16"/>
        </w:rPr>
        <w:t>methyle</w:t>
      </w:r>
      <w:proofErr w:type="spellEnd"/>
      <w:r w:rsidRPr="00B83246">
        <w:rPr>
          <w:rFonts w:ascii="Arial" w:hAnsi="Arial" w:cs="Arial"/>
          <w:sz w:val="16"/>
          <w:szCs w:val="16"/>
        </w:rPr>
        <w:t>) acrylate [MBHA (L1)]</w:t>
      </w:r>
    </w:p>
    <w:p w:rsidR="00FB5B27" w:rsidRDefault="00FB5B27" w:rsidP="00FB5B27">
      <w:pPr>
        <w:tabs>
          <w:tab w:val="left" w:pos="425"/>
        </w:tabs>
        <w:autoSpaceDE w:val="0"/>
        <w:autoSpaceDN w:val="0"/>
        <w:adjustRightInd w:val="0"/>
        <w:spacing w:before="40" w:after="0" w:line="360" w:lineRule="auto"/>
        <w:contextualSpacing/>
        <w:jc w:val="both"/>
        <w:rPr>
          <w:rFonts w:ascii="Times New Roman" w:eastAsia="Calibri" w:hAnsi="Times New Roman" w:cs="Times New Roman"/>
          <w:sz w:val="24"/>
          <w:szCs w:val="24"/>
        </w:rPr>
      </w:pPr>
      <w:r w:rsidRPr="009B5CC1">
        <w:rPr>
          <w:rFonts w:ascii="Times New Roman" w:eastAsia="Calibri" w:hAnsi="Times New Roman" w:cs="Times New Roman"/>
          <w:sz w:val="24"/>
          <w:szCs w:val="24"/>
        </w:rPr>
        <w:t>In Mass spectrum</w:t>
      </w:r>
      <w:r w:rsidR="00B72588">
        <w:rPr>
          <w:rFonts w:ascii="Times New Roman" w:eastAsia="Calibri" w:hAnsi="Times New Roman" w:cs="Times New Roman"/>
          <w:sz w:val="24"/>
          <w:szCs w:val="24"/>
        </w:rPr>
        <w:t>,</w:t>
      </w:r>
      <w:r w:rsidRPr="009B5CC1">
        <w:rPr>
          <w:rFonts w:ascii="Times New Roman" w:eastAsia="Calibri" w:hAnsi="Times New Roman" w:cs="Times New Roman"/>
          <w:sz w:val="24"/>
          <w:szCs w:val="24"/>
        </w:rPr>
        <w:fldChar w:fldCharType="begin" w:fldLock="1"/>
      </w:r>
      <w:r w:rsidR="00276B78">
        <w:rPr>
          <w:rFonts w:ascii="Times New Roman" w:eastAsia="Calibri" w:hAnsi="Times New Roman" w:cs="Times New Roman"/>
          <w:sz w:val="24"/>
          <w:szCs w:val="24"/>
        </w:rPr>
        <w:instrText>ADDIN CSL_CITATION {"citationItems":[{"id":"ITEM-1","itemData":{"DOI":"10.1016/j.tet.2010.04.018","ISSN":"00404020","abstract":"The synthesis of quinolones from Morita-Baylis-Hillman (MBH) adducts is reported. The quinolone skeleton is formed via a TFA-mediated cyclization of the MBH adduct, and a mechanism study using ESI(+)-MS(/MS) has indicated the role played by TFA in this key reaction step. The total syntheses of Norfloxacin and a benzyl quinolone carboxylic acid (BQCA) derivative are described. Norfloxacin is a fluoroquinolonic antibacterial drug whereas BQCA is M1 receptor positive allosteric modulator and seem to provide access to new potential drugs for Alzheimer disease, pain, and sleep disorders. The syntheses of these two important quinolones exemplify the versatility and potentiality of the approach. © 2010 Elsevier Ltd. All rights reserved.","author":[{"dropping-particle":"","family":"Amarante","given":"Giovanni W.","non-dropping-particle":"","parse-names":false,"suffix":""},{"dropping-particle":"","family":"Benassi","given":"Mario","non-dropping-particle":"","parse-names":false,"suffix":""},{"dropping-particle":"","family":"Pascoal","given":"Robert N.","non-dropping-particle":"","parse-names":false,"suffix":""},{"dropping-particle":"","family":"Eberlin","given":"Marcos N.","non-dropping-particle":"","parse-names":false,"suffix":""},{"dropping-particle":"","family":"Coelho","given":"Fernando","non-dropping-particle":"","parse-names":false,"suffix":""}],"container-title":"Tetrahedron","id":"ITEM-1","issue":"24","issued":{"date-parts":[["2010"]]},"page":"4370-4376","publisher":"Elsevier Ltd","title":"Mechanism and synthesis of pharmacologically active quinolones from Morita-Baylis-Hillman adducts","type":"article-journal","volume":"66"},"uris":["http://www.mendeley.com/documents/?uuid=cf3cddc3-5559-4085-8041-0b61f1cdc08a"]}],"mendeley":{"formattedCitation":"&lt;sup&gt;8&lt;/sup&gt;","plainTextFormattedCitation":"8","previouslyFormattedCitation":"&lt;sup&gt;8&lt;/sup&gt;"},"properties":{"noteIndex":0},"schema":"https://github.com/citation-style-language/schema/raw/master/csl-citation.json"}</w:instrText>
      </w:r>
      <w:r w:rsidRPr="009B5CC1">
        <w:rPr>
          <w:rFonts w:ascii="Times New Roman" w:eastAsia="Calibri" w:hAnsi="Times New Roman" w:cs="Times New Roman"/>
          <w:sz w:val="24"/>
          <w:szCs w:val="24"/>
        </w:rPr>
        <w:fldChar w:fldCharType="separate"/>
      </w:r>
      <w:r w:rsidR="00276B78" w:rsidRPr="00276B78">
        <w:rPr>
          <w:rFonts w:ascii="Times New Roman" w:eastAsia="Calibri" w:hAnsi="Times New Roman" w:cs="Times New Roman"/>
          <w:noProof/>
          <w:sz w:val="24"/>
          <w:szCs w:val="24"/>
          <w:vertAlign w:val="superscript"/>
        </w:rPr>
        <w:t>8</w:t>
      </w:r>
      <w:r w:rsidRPr="009B5CC1">
        <w:rPr>
          <w:rFonts w:ascii="Times New Roman" w:eastAsia="Calibri" w:hAnsi="Times New Roman" w:cs="Times New Roman"/>
          <w:sz w:val="24"/>
          <w:szCs w:val="24"/>
        </w:rPr>
        <w:fldChar w:fldCharType="end"/>
      </w:r>
      <w:r w:rsidRPr="009B5CC1">
        <w:rPr>
          <w:rFonts w:ascii="Times New Roman" w:eastAsia="Calibri" w:hAnsi="Times New Roman" w:cs="Times New Roman"/>
          <w:sz w:val="24"/>
          <w:szCs w:val="24"/>
        </w:rPr>
        <w:t xml:space="preserve"> a prominent peak of 226 m/z at 56.5% noted for M</w:t>
      </w:r>
      <w:r w:rsidRPr="009B5CC1">
        <w:rPr>
          <w:rFonts w:ascii="Times New Roman" w:eastAsia="Calibri" w:hAnsi="Times New Roman" w:cs="Times New Roman"/>
          <w:sz w:val="24"/>
          <w:szCs w:val="24"/>
          <w:vertAlign w:val="superscript"/>
        </w:rPr>
        <w:t xml:space="preserve"> +, </w:t>
      </w:r>
      <w:r w:rsidRPr="009B5CC1">
        <w:rPr>
          <w:rFonts w:ascii="Times New Roman" w:eastAsia="Calibri" w:hAnsi="Times New Roman" w:cs="Times New Roman"/>
          <w:sz w:val="24"/>
          <w:szCs w:val="24"/>
        </w:rPr>
        <w:t>while 207 m/z (25%) , 191 m/z  (100%), 160 m/z  (90%), 132 m/z  (66%), 104 m/z  (70%) and 77 m/z  (64%) for fragmentation peaks pertaining to synthesized MBHA were recorded.</w:t>
      </w:r>
    </w:p>
    <w:p w:rsidR="00B83246" w:rsidRPr="00FB5B27" w:rsidRDefault="00B83246" w:rsidP="00FB5B27">
      <w:pPr>
        <w:tabs>
          <w:tab w:val="left" w:pos="425"/>
        </w:tabs>
        <w:autoSpaceDE w:val="0"/>
        <w:autoSpaceDN w:val="0"/>
        <w:adjustRightInd w:val="0"/>
        <w:spacing w:before="40" w:after="0" w:line="360" w:lineRule="auto"/>
        <w:contextualSpacing/>
        <w:jc w:val="both"/>
        <w:rPr>
          <w:rFonts w:ascii="Times New Roman" w:eastAsia="Calibri" w:hAnsi="Times New Roman" w:cs="Times New Roman"/>
          <w:sz w:val="24"/>
          <w:szCs w:val="24"/>
        </w:rPr>
      </w:pPr>
    </w:p>
    <w:p w:rsidR="003A6E3C" w:rsidRPr="009B5CC1" w:rsidRDefault="00F1417B" w:rsidP="009B5CC1">
      <w:pPr>
        <w:tabs>
          <w:tab w:val="left" w:pos="425"/>
        </w:tabs>
        <w:spacing w:before="40" w:after="0" w:line="360" w:lineRule="auto"/>
        <w:contextualSpacing/>
        <w:jc w:val="both"/>
        <w:rPr>
          <w:rFonts w:ascii="Times New Roman" w:eastAsia="Calibri" w:hAnsi="Times New Roman" w:cs="Times New Roman"/>
          <w:b/>
          <w:i/>
          <w:sz w:val="24"/>
          <w:szCs w:val="24"/>
          <w:lang w:bidi="th-TH"/>
        </w:rPr>
      </w:pPr>
      <w:r>
        <w:rPr>
          <w:rFonts w:ascii="Times New Roman" w:eastAsia="Calibri" w:hAnsi="Times New Roman" w:cs="Times New Roman"/>
          <w:b/>
          <w:i/>
          <w:sz w:val="24"/>
          <w:szCs w:val="24"/>
          <w:lang w:bidi="th-TH"/>
        </w:rPr>
        <w:t>3</w:t>
      </w:r>
      <w:r w:rsidR="003A6E3C" w:rsidRPr="009B5CC1">
        <w:rPr>
          <w:rFonts w:ascii="Times New Roman" w:eastAsia="Calibri" w:hAnsi="Times New Roman" w:cs="Times New Roman"/>
          <w:b/>
          <w:i/>
          <w:sz w:val="24"/>
          <w:szCs w:val="24"/>
          <w:lang w:bidi="th-TH"/>
        </w:rPr>
        <w:t>.2. Characterization of MBHA based on metal complexes</w:t>
      </w:r>
    </w:p>
    <w:p w:rsidR="003A6E3C" w:rsidRPr="009B5CC1" w:rsidRDefault="003A6E3C" w:rsidP="009B5CC1">
      <w:pPr>
        <w:tabs>
          <w:tab w:val="left" w:pos="425"/>
        </w:tabs>
        <w:spacing w:before="40" w:after="0" w:line="360" w:lineRule="auto"/>
        <w:contextualSpacing/>
        <w:jc w:val="both"/>
        <w:rPr>
          <w:rFonts w:ascii="Times New Roman" w:eastAsia="Calibri" w:hAnsi="Times New Roman" w:cs="Times New Roman"/>
          <w:sz w:val="24"/>
          <w:szCs w:val="24"/>
          <w:lang w:bidi="th-TH"/>
        </w:rPr>
      </w:pPr>
      <w:r w:rsidRPr="009B5CC1">
        <w:rPr>
          <w:rFonts w:ascii="Times New Roman" w:eastAsia="Calibri" w:hAnsi="Times New Roman" w:cs="Times New Roman"/>
          <w:sz w:val="24"/>
          <w:szCs w:val="24"/>
          <w:lang w:bidi="th-TH"/>
        </w:rPr>
        <w:t>The transition metals (Cr</w:t>
      </w:r>
      <w:r w:rsidRPr="009B5CC1">
        <w:rPr>
          <w:rFonts w:ascii="Times New Roman" w:eastAsia="Calibri" w:hAnsi="Times New Roman" w:cs="Times New Roman"/>
          <w:sz w:val="24"/>
          <w:szCs w:val="24"/>
          <w:vertAlign w:val="superscript"/>
          <w:lang w:bidi="th-TH"/>
        </w:rPr>
        <w:t>+3</w:t>
      </w:r>
      <w:r w:rsidRPr="009B5CC1">
        <w:rPr>
          <w:rFonts w:ascii="Times New Roman" w:eastAsia="Calibri" w:hAnsi="Times New Roman" w:cs="Times New Roman"/>
          <w:sz w:val="24"/>
          <w:szCs w:val="24"/>
          <w:lang w:bidi="th-TH"/>
        </w:rPr>
        <w:t>, Co</w:t>
      </w:r>
      <w:r w:rsidRPr="009B5CC1">
        <w:rPr>
          <w:rFonts w:ascii="Times New Roman" w:eastAsia="Calibri" w:hAnsi="Times New Roman" w:cs="Times New Roman"/>
          <w:sz w:val="24"/>
          <w:szCs w:val="24"/>
          <w:vertAlign w:val="superscript"/>
          <w:lang w:bidi="th-TH"/>
        </w:rPr>
        <w:t>+3</w:t>
      </w:r>
      <w:r w:rsidRPr="009B5CC1">
        <w:rPr>
          <w:rFonts w:ascii="Times New Roman" w:eastAsia="Calibri" w:hAnsi="Times New Roman" w:cs="Times New Roman"/>
          <w:sz w:val="24"/>
          <w:szCs w:val="24"/>
          <w:lang w:bidi="th-TH"/>
        </w:rPr>
        <w:t>, Ni</w:t>
      </w:r>
      <w:r w:rsidRPr="009B5CC1">
        <w:rPr>
          <w:rFonts w:ascii="Times New Roman" w:eastAsia="Calibri" w:hAnsi="Times New Roman" w:cs="Times New Roman"/>
          <w:sz w:val="24"/>
          <w:szCs w:val="24"/>
          <w:vertAlign w:val="superscript"/>
          <w:lang w:bidi="th-TH"/>
        </w:rPr>
        <w:t>+2</w:t>
      </w:r>
      <w:r w:rsidRPr="009B5CC1">
        <w:rPr>
          <w:rFonts w:ascii="Times New Roman" w:eastAsia="Calibri" w:hAnsi="Times New Roman" w:cs="Times New Roman"/>
          <w:sz w:val="24"/>
          <w:szCs w:val="24"/>
          <w:lang w:bidi="th-TH"/>
        </w:rPr>
        <w:t>, Mn</w:t>
      </w:r>
      <w:r w:rsidRPr="009B5CC1">
        <w:rPr>
          <w:rFonts w:ascii="Times New Roman" w:eastAsia="Calibri" w:hAnsi="Times New Roman" w:cs="Times New Roman"/>
          <w:sz w:val="24"/>
          <w:szCs w:val="24"/>
          <w:vertAlign w:val="superscript"/>
          <w:lang w:bidi="th-TH"/>
        </w:rPr>
        <w:t>+2</w:t>
      </w:r>
      <w:r w:rsidRPr="009B5CC1">
        <w:rPr>
          <w:rFonts w:ascii="Times New Roman" w:eastAsia="Calibri" w:hAnsi="Times New Roman" w:cs="Times New Roman"/>
          <w:sz w:val="24"/>
          <w:szCs w:val="24"/>
          <w:lang w:bidi="th-TH"/>
        </w:rPr>
        <w:t>, Cu</w:t>
      </w:r>
      <w:r w:rsidRPr="009B5CC1">
        <w:rPr>
          <w:rFonts w:ascii="Times New Roman" w:eastAsia="Calibri" w:hAnsi="Times New Roman" w:cs="Times New Roman"/>
          <w:sz w:val="24"/>
          <w:szCs w:val="24"/>
          <w:vertAlign w:val="superscript"/>
          <w:lang w:bidi="th-TH"/>
        </w:rPr>
        <w:t>+2</w:t>
      </w:r>
      <w:r w:rsidRPr="009B5CC1">
        <w:rPr>
          <w:rFonts w:ascii="Times New Roman" w:eastAsia="Calibri" w:hAnsi="Times New Roman" w:cs="Times New Roman"/>
          <w:sz w:val="24"/>
          <w:szCs w:val="24"/>
          <w:lang w:bidi="th-TH"/>
        </w:rPr>
        <w:t>) complexes of MBHA (L1) were synthesized. Initially, Cr</w:t>
      </w:r>
      <w:r w:rsidRPr="009B5CC1">
        <w:rPr>
          <w:rFonts w:ascii="Times New Roman" w:eastAsia="Calibri" w:hAnsi="Times New Roman" w:cs="Times New Roman"/>
          <w:sz w:val="24"/>
          <w:szCs w:val="24"/>
          <w:vertAlign w:val="superscript"/>
          <w:lang w:bidi="th-TH"/>
        </w:rPr>
        <w:t xml:space="preserve">+3 </w:t>
      </w:r>
      <w:r w:rsidRPr="009B5CC1">
        <w:rPr>
          <w:rFonts w:ascii="Times New Roman" w:eastAsia="Calibri" w:hAnsi="Times New Roman" w:cs="Times New Roman"/>
          <w:sz w:val="24"/>
          <w:szCs w:val="24"/>
          <w:lang w:bidi="th-TH"/>
        </w:rPr>
        <w:t xml:space="preserve">based complex </w:t>
      </w:r>
      <w:r w:rsidRPr="006350BD">
        <w:rPr>
          <w:rFonts w:ascii="Times New Roman" w:eastAsia="Calibri" w:hAnsi="Times New Roman" w:cs="Times New Roman"/>
          <w:b/>
          <w:sz w:val="24"/>
          <w:szCs w:val="24"/>
          <w:lang w:bidi="th-TH"/>
        </w:rPr>
        <w:t>4</w:t>
      </w:r>
      <w:r w:rsidRPr="009B5CC1">
        <w:rPr>
          <w:rFonts w:ascii="Times New Roman" w:eastAsia="Calibri" w:hAnsi="Times New Roman" w:cs="Times New Roman"/>
          <w:sz w:val="24"/>
          <w:szCs w:val="24"/>
          <w:lang w:bidi="th-TH"/>
        </w:rPr>
        <w:t xml:space="preserve"> of ligand was prepared by employing a reported method</w:t>
      </w:r>
      <w:r w:rsidR="006E7F4F">
        <w:rPr>
          <w:rFonts w:ascii="Times New Roman" w:eastAsia="Calibri" w:hAnsi="Times New Roman" w:cs="Times New Roman"/>
          <w:sz w:val="24"/>
          <w:szCs w:val="24"/>
          <w:lang w:bidi="th-TH"/>
        </w:rPr>
        <w:t>.</w:t>
      </w:r>
      <w:r w:rsidRPr="009B5CC1">
        <w:rPr>
          <w:rFonts w:ascii="Times New Roman" w:eastAsia="Calibri" w:hAnsi="Times New Roman" w:cs="Times New Roman"/>
          <w:sz w:val="24"/>
          <w:szCs w:val="24"/>
          <w:lang w:bidi="th-TH"/>
        </w:rPr>
        <w:fldChar w:fldCharType="begin" w:fldLock="1"/>
      </w:r>
      <w:r w:rsidR="00276B78">
        <w:rPr>
          <w:rFonts w:ascii="Times New Roman" w:eastAsia="Calibri" w:hAnsi="Times New Roman" w:cs="Times New Roman"/>
          <w:sz w:val="24"/>
          <w:szCs w:val="24"/>
          <w:lang w:bidi="th-TH"/>
        </w:rPr>
        <w:instrText>ADDIN CSL_CITATION {"citationItems":[{"id":"ITEM-1","itemData":{"DOI":"10.1039/d0nj01187h","ISSN":"13699261","abstract":"A new compound of the dithiocarbazate family, 2,2′-((disulfanediylbis((ethylthio)methylene))bis(hydrazin-2-yl-1-ylidene))bis(2-oxo-1,2-dihydro-3H-indol-3-ylidene), and its five metal complexes are synthesized. All compounds are characterized by elemental and mass analysis, spectroscopic (FT-IR,1H-NMR and13C-NMR) and TGA techniques. The crystal structure of the synthesized compounds is determined by single crystal X-ray diffraction analysis, which shows that the ligand acts as a tridentate chelate coordinated to Zn, Co and Ni ions in a distorted octahedral fashion and also as bidentate to Pt and Pd ions in a distorted square planar geometry. In order to investigate the compounds’ cytotoxicity, two human cancer cell lines of HeLa and MCF-7 are used and compared to the normal cell line of CHO. The clinical drug cisplatin is used as the standard drug. Fluorescence spectrophotometry is used to study the interaction of the compounds with human serum albumin (HSA) and parameters such as the Stern-Volmer quenching constant (KSV), the number of binding sites (n), association constants (Ka) and free energy changes (ΔG) at 298 K are calculated.","author":[{"dropping-particle":"","family":"Yekke-Ghasemi","given":"Zahra","non-dropping-particle":"","parse-names":false,"suffix":""},{"dropping-particle":"","family":"Ramezani","given":"Mohammad","non-dropping-particle":"","parse-names":false,"suffix":""},{"dropping-particle":"","family":"Mague","given":"Joel T.","non-dropping-particle":"","parse-names":false,"suffix":""},{"dropping-particle":"","family":"Takjoo","given":"Reza","non-dropping-particle":"","parse-names":false,"suffix":""}],"container-title":"New Journal of Chemistry","id":"ITEM-1","issue":"21","issued":{"date-parts":[["2020"]]},"page":"8878-8889","title":"Synthesis, characterization and bioactivity studies of new dithiocarbazate complexes","type":"article-journal","volume":"44"},"uris":["http://www.mendeley.com/documents/?uuid=312d28de-1888-430a-bebb-c1c03a3321cf"]}],"mendeley":{"formattedCitation":"&lt;sup&gt;32&lt;/sup&gt;","plainTextFormattedCitation":"32","previouslyFormattedCitation":"&lt;sup&gt;32&lt;/sup&gt;"},"properties":{"noteIndex":0},"schema":"https://github.com/citation-style-language/schema/raw/master/csl-citation.json"}</w:instrText>
      </w:r>
      <w:r w:rsidRPr="009B5CC1">
        <w:rPr>
          <w:rFonts w:ascii="Times New Roman" w:eastAsia="Calibri" w:hAnsi="Times New Roman" w:cs="Times New Roman"/>
          <w:sz w:val="24"/>
          <w:szCs w:val="24"/>
          <w:lang w:bidi="th-TH"/>
        </w:rPr>
        <w:fldChar w:fldCharType="separate"/>
      </w:r>
      <w:r w:rsidR="00276B78" w:rsidRPr="00276B78">
        <w:rPr>
          <w:rFonts w:ascii="Times New Roman" w:eastAsia="Calibri" w:hAnsi="Times New Roman" w:cs="Times New Roman"/>
          <w:noProof/>
          <w:sz w:val="24"/>
          <w:szCs w:val="24"/>
          <w:vertAlign w:val="superscript"/>
          <w:lang w:bidi="th-TH"/>
        </w:rPr>
        <w:t>32</w:t>
      </w:r>
      <w:r w:rsidRPr="009B5CC1">
        <w:rPr>
          <w:rFonts w:ascii="Times New Roman" w:eastAsia="Calibri" w:hAnsi="Times New Roman" w:cs="Times New Roman"/>
          <w:sz w:val="24"/>
          <w:szCs w:val="24"/>
          <w:lang w:bidi="th-TH"/>
        </w:rPr>
        <w:fldChar w:fldCharType="end"/>
      </w:r>
      <w:r w:rsidRPr="009B5CC1">
        <w:rPr>
          <w:rFonts w:ascii="Times New Roman" w:eastAsia="Calibri" w:hAnsi="Times New Roman" w:cs="Times New Roman"/>
          <w:sz w:val="24"/>
          <w:szCs w:val="24"/>
          <w:lang w:bidi="th-TH"/>
        </w:rPr>
        <w:t xml:space="preserve"> The existence of a single complex specie in the reaction mixture and hence, the purity of the complex was confirmed through TLC, until a single spot was achieved on TLC plate (expected product </w:t>
      </w:r>
      <w:r w:rsidRPr="009B5CC1">
        <w:rPr>
          <w:rFonts w:ascii="Times New Roman" w:eastAsia="Calibri" w:hAnsi="Times New Roman" w:cs="Times New Roman"/>
          <w:b/>
          <w:sz w:val="24"/>
          <w:szCs w:val="24"/>
          <w:lang w:bidi="th-TH"/>
        </w:rPr>
        <w:t>4</w:t>
      </w:r>
      <w:r w:rsidRPr="009B5CC1">
        <w:rPr>
          <w:rFonts w:ascii="Times New Roman" w:eastAsia="Calibri" w:hAnsi="Times New Roman" w:cs="Times New Roman"/>
          <w:sz w:val="24"/>
          <w:szCs w:val="24"/>
          <w:lang w:bidi="th-TH"/>
        </w:rPr>
        <w:t xml:space="preserve">) (Scheme 2). In addition to this, the major spot upon purification was subjected to UV- visible analysis, which presented considerable difference from MBHA band (expected product </w:t>
      </w:r>
      <w:r w:rsidRPr="009B5CC1">
        <w:rPr>
          <w:rFonts w:ascii="Times New Roman" w:eastAsia="Calibri" w:hAnsi="Times New Roman" w:cs="Times New Roman"/>
          <w:b/>
          <w:sz w:val="24"/>
          <w:szCs w:val="24"/>
          <w:lang w:bidi="th-TH"/>
        </w:rPr>
        <w:t>4</w:t>
      </w:r>
      <w:r w:rsidRPr="009B5CC1">
        <w:rPr>
          <w:rFonts w:ascii="Times New Roman" w:eastAsia="Calibri" w:hAnsi="Times New Roman" w:cs="Times New Roman"/>
          <w:sz w:val="24"/>
          <w:szCs w:val="24"/>
          <w:lang w:bidi="th-TH"/>
        </w:rPr>
        <w:t xml:space="preserve">). By repeating the procedure with slight modification such as increasing the pH, precipitates were observed in 2.5 hours. Furthermore, the TLC analysis indicated 20-30 percent conversion with less spots and change in color. Based on current observation (TLC in 1.5h), any increase in the concentration of base up to 4M, maximum conversion of the reactants into product was observed (Scheme 2).  </w:t>
      </w:r>
    </w:p>
    <w:p w:rsidR="003B55AF" w:rsidRDefault="003A6E3C" w:rsidP="009B5CC1">
      <w:pPr>
        <w:tabs>
          <w:tab w:val="left" w:pos="425"/>
        </w:tabs>
        <w:spacing w:before="40" w:after="0" w:line="360" w:lineRule="auto"/>
        <w:contextualSpacing/>
        <w:jc w:val="both"/>
        <w:rPr>
          <w:rFonts w:ascii="Times New Roman" w:eastAsia="Calibri" w:hAnsi="Times New Roman" w:cs="Times New Roman"/>
          <w:sz w:val="24"/>
          <w:szCs w:val="24"/>
          <w:lang w:bidi="th-TH"/>
        </w:rPr>
      </w:pPr>
      <w:r w:rsidRPr="009B5CC1">
        <w:rPr>
          <w:rFonts w:ascii="Times New Roman" w:eastAsia="Calibri" w:hAnsi="Times New Roman" w:cs="Times New Roman"/>
          <w:sz w:val="24"/>
          <w:szCs w:val="24"/>
          <w:lang w:bidi="th-TH"/>
        </w:rPr>
        <w:t>All the transition metal complexes (</w:t>
      </w:r>
      <w:r w:rsidRPr="009B5CC1">
        <w:rPr>
          <w:rFonts w:ascii="Times New Roman" w:eastAsia="Calibri" w:hAnsi="Times New Roman" w:cs="Times New Roman"/>
          <w:b/>
          <w:sz w:val="24"/>
          <w:szCs w:val="24"/>
          <w:lang w:bidi="th-TH"/>
        </w:rPr>
        <w:t>4-8</w:t>
      </w:r>
      <w:r w:rsidRPr="009B5CC1">
        <w:rPr>
          <w:rFonts w:ascii="Times New Roman" w:eastAsia="Calibri" w:hAnsi="Times New Roman" w:cs="Times New Roman"/>
          <w:sz w:val="24"/>
          <w:szCs w:val="24"/>
          <w:lang w:bidi="th-TH"/>
        </w:rPr>
        <w:t xml:space="preserve">) were subjected to characterization through their physical characteristics. Their molecular and structural formulae were established with the help of m/z ratio obtained through powder XRD and FTIR analyses. The data presented for m/z ratio of the ligand and compound </w:t>
      </w:r>
      <w:r w:rsidRPr="009B5CC1">
        <w:rPr>
          <w:rFonts w:ascii="Times New Roman" w:eastAsia="Calibri" w:hAnsi="Times New Roman" w:cs="Times New Roman"/>
          <w:b/>
          <w:sz w:val="24"/>
          <w:szCs w:val="24"/>
          <w:lang w:bidi="th-TH"/>
        </w:rPr>
        <w:t>4-8</w:t>
      </w:r>
      <w:r w:rsidRPr="009B5CC1">
        <w:rPr>
          <w:rFonts w:ascii="Times New Roman" w:eastAsia="Calibri" w:hAnsi="Times New Roman" w:cs="Times New Roman"/>
          <w:sz w:val="24"/>
          <w:szCs w:val="24"/>
          <w:lang w:bidi="th-TH"/>
        </w:rPr>
        <w:t xml:space="preserve"> shows a good agreement between the calculated and observed values and thus support the suggested structures of the complexes.</w:t>
      </w:r>
    </w:p>
    <w:p w:rsidR="007A333B" w:rsidRDefault="007A333B" w:rsidP="009B5CC1">
      <w:pPr>
        <w:tabs>
          <w:tab w:val="left" w:pos="425"/>
        </w:tabs>
        <w:spacing w:before="40" w:after="0" w:line="360" w:lineRule="auto"/>
        <w:contextualSpacing/>
        <w:jc w:val="both"/>
        <w:rPr>
          <w:rFonts w:ascii="Times New Roman" w:eastAsia="Calibri" w:hAnsi="Times New Roman" w:cs="Times New Roman"/>
          <w:sz w:val="24"/>
          <w:szCs w:val="24"/>
          <w:lang w:bidi="th-TH"/>
        </w:rPr>
      </w:pPr>
    </w:p>
    <w:p w:rsidR="003A6E3C" w:rsidRPr="00BB5681" w:rsidRDefault="00F1417B" w:rsidP="00BB5681">
      <w:pPr>
        <w:widowControl w:val="0"/>
        <w:autoSpaceDE w:val="0"/>
        <w:autoSpaceDN w:val="0"/>
        <w:adjustRightInd w:val="0"/>
        <w:spacing w:line="240" w:lineRule="auto"/>
        <w:rPr>
          <w:rFonts w:ascii="Times New Roman" w:hAnsi="Times New Roman" w:cs="Times New Roman"/>
          <w:sz w:val="24"/>
          <w:szCs w:val="24"/>
        </w:rPr>
      </w:pPr>
      <w:r>
        <w:rPr>
          <w:rFonts w:ascii="Times New Roman" w:eastAsia="Calibri" w:hAnsi="Times New Roman" w:cs="Times New Roman"/>
          <w:b/>
          <w:bCs/>
          <w:i/>
          <w:sz w:val="24"/>
          <w:szCs w:val="24"/>
          <w:lang w:bidi="th-TH"/>
        </w:rPr>
        <w:lastRenderedPageBreak/>
        <w:t>3</w:t>
      </w:r>
      <w:r w:rsidR="003A6E3C" w:rsidRPr="009B5CC1">
        <w:rPr>
          <w:rFonts w:ascii="Times New Roman" w:eastAsia="Calibri" w:hAnsi="Times New Roman" w:cs="Times New Roman"/>
          <w:b/>
          <w:bCs/>
          <w:i/>
          <w:sz w:val="24"/>
          <w:szCs w:val="24"/>
          <w:lang w:bidi="th-TH"/>
        </w:rPr>
        <w:t>.3. Theoretical and Experimental FTIR Analysis of the Compounds 4-8</w:t>
      </w:r>
    </w:p>
    <w:p w:rsidR="003A6E3C" w:rsidRPr="009B5CC1" w:rsidRDefault="00FC3434" w:rsidP="009B5CC1">
      <w:pPr>
        <w:tabs>
          <w:tab w:val="left" w:pos="425"/>
        </w:tabs>
        <w:spacing w:before="40" w:after="0" w:line="360" w:lineRule="auto"/>
        <w:contextualSpacing/>
        <w:jc w:val="both"/>
        <w:rPr>
          <w:rFonts w:ascii="Times New Roman" w:eastAsia="Calibri" w:hAnsi="Times New Roman" w:cs="Times New Roman"/>
          <w:sz w:val="24"/>
          <w:szCs w:val="24"/>
          <w:lang w:bidi="th-TH"/>
        </w:rPr>
      </w:pPr>
      <w:r>
        <w:rPr>
          <w:rFonts w:ascii="Times New Roman" w:eastAsia="Calibri" w:hAnsi="Times New Roman" w:cs="Times New Roman"/>
          <w:sz w:val="24"/>
          <w:szCs w:val="24"/>
          <w:lang w:bidi="th-TH"/>
        </w:rPr>
        <w:t>Table 1</w:t>
      </w:r>
      <w:r w:rsidR="003A6E3C" w:rsidRPr="009B5CC1">
        <w:rPr>
          <w:rFonts w:ascii="Times New Roman" w:eastAsia="Calibri" w:hAnsi="Times New Roman" w:cs="Times New Roman"/>
          <w:sz w:val="24"/>
          <w:szCs w:val="24"/>
          <w:lang w:bidi="th-TH"/>
        </w:rPr>
        <w:t xml:space="preserve"> provides the details of the experimental and computed IR vibrational frequencies of MBHA (compound </w:t>
      </w:r>
      <w:r w:rsidR="003A6E3C" w:rsidRPr="009B5CC1">
        <w:rPr>
          <w:rFonts w:ascii="Times New Roman" w:eastAsia="Calibri" w:hAnsi="Times New Roman" w:cs="Times New Roman"/>
          <w:b/>
          <w:sz w:val="24"/>
          <w:szCs w:val="24"/>
          <w:lang w:bidi="th-TH"/>
        </w:rPr>
        <w:t>3</w:t>
      </w:r>
      <w:r w:rsidR="003A6E3C" w:rsidRPr="009B5CC1">
        <w:rPr>
          <w:rFonts w:ascii="Times New Roman" w:eastAsia="Calibri" w:hAnsi="Times New Roman" w:cs="Times New Roman"/>
          <w:sz w:val="24"/>
          <w:szCs w:val="24"/>
          <w:lang w:bidi="th-TH"/>
        </w:rPr>
        <w:t xml:space="preserve">) and metal complexes (compounds </w:t>
      </w:r>
      <w:r w:rsidR="003A6E3C" w:rsidRPr="009B5CC1">
        <w:rPr>
          <w:rFonts w:ascii="Times New Roman" w:eastAsia="Calibri" w:hAnsi="Times New Roman" w:cs="Times New Roman"/>
          <w:b/>
          <w:sz w:val="24"/>
          <w:szCs w:val="24"/>
          <w:lang w:bidi="th-TH"/>
        </w:rPr>
        <w:t>4-8</w:t>
      </w:r>
      <w:r w:rsidR="003A6E3C" w:rsidRPr="009B5CC1">
        <w:rPr>
          <w:rFonts w:ascii="Times New Roman" w:eastAsia="Calibri" w:hAnsi="Times New Roman" w:cs="Times New Roman"/>
          <w:sz w:val="24"/>
          <w:szCs w:val="24"/>
          <w:lang w:bidi="th-TH"/>
        </w:rPr>
        <w:t xml:space="preserve">). Considering FTIR spectrum of compound </w:t>
      </w:r>
      <w:r w:rsidR="003A6E3C" w:rsidRPr="009B5CC1">
        <w:rPr>
          <w:rFonts w:ascii="Times New Roman" w:eastAsia="Calibri" w:hAnsi="Times New Roman" w:cs="Times New Roman"/>
          <w:b/>
          <w:sz w:val="24"/>
          <w:szCs w:val="24"/>
          <w:lang w:bidi="th-TH"/>
        </w:rPr>
        <w:t>4</w:t>
      </w:r>
      <w:r w:rsidR="003A6E3C" w:rsidRPr="009B5CC1">
        <w:rPr>
          <w:rFonts w:ascii="Times New Roman" w:eastAsia="Calibri" w:hAnsi="Times New Roman" w:cs="Times New Roman"/>
          <w:sz w:val="24"/>
          <w:szCs w:val="24"/>
          <w:lang w:bidi="th-TH"/>
        </w:rPr>
        <w:t>, a broad band at 3500-3380 cm</w:t>
      </w:r>
      <w:r w:rsidR="003A6E3C" w:rsidRPr="009B5CC1">
        <w:rPr>
          <w:rFonts w:ascii="Times New Roman" w:eastAsia="Calibri" w:hAnsi="Times New Roman" w:cs="Times New Roman"/>
          <w:sz w:val="24"/>
          <w:szCs w:val="24"/>
          <w:vertAlign w:val="superscript"/>
          <w:lang w:bidi="th-TH"/>
        </w:rPr>
        <w:t>-1</w:t>
      </w:r>
      <w:r w:rsidR="003A6E3C" w:rsidRPr="009B5CC1">
        <w:rPr>
          <w:rFonts w:ascii="Times New Roman" w:eastAsia="Calibri" w:hAnsi="Times New Roman" w:cs="Times New Roman"/>
          <w:sz w:val="24"/>
          <w:szCs w:val="24"/>
          <w:lang w:bidi="th-TH"/>
        </w:rPr>
        <w:t xml:space="preserve"> (–OH) can be observed, which might be either due to moisture or coordinated water in the complex.  Moreover,  we observed peak shifts toward lower frequency value for C=O group from a sharp peak of ligand  at 1725 cm</w:t>
      </w:r>
      <w:r w:rsidR="003A6E3C" w:rsidRPr="009B5CC1">
        <w:rPr>
          <w:rFonts w:ascii="Times New Roman" w:eastAsia="Calibri" w:hAnsi="Times New Roman" w:cs="Times New Roman"/>
          <w:sz w:val="24"/>
          <w:szCs w:val="24"/>
          <w:vertAlign w:val="superscript"/>
          <w:lang w:bidi="th-TH"/>
        </w:rPr>
        <w:t>-1</w:t>
      </w:r>
      <w:r w:rsidR="003A6E3C" w:rsidRPr="009B5CC1">
        <w:rPr>
          <w:rFonts w:ascii="Times New Roman" w:eastAsia="Calibri" w:hAnsi="Times New Roman" w:cs="Times New Roman"/>
          <w:sz w:val="24"/>
          <w:szCs w:val="24"/>
          <w:lang w:bidi="th-TH"/>
        </w:rPr>
        <w:t xml:space="preserve"> to a small peak at 1625 cm</w:t>
      </w:r>
      <w:r w:rsidR="003A6E3C" w:rsidRPr="009B5CC1">
        <w:rPr>
          <w:rFonts w:ascii="Times New Roman" w:eastAsia="Calibri" w:hAnsi="Times New Roman" w:cs="Times New Roman"/>
          <w:sz w:val="24"/>
          <w:szCs w:val="24"/>
          <w:vertAlign w:val="superscript"/>
          <w:lang w:bidi="th-TH"/>
        </w:rPr>
        <w:t>-1</w:t>
      </w:r>
      <w:r w:rsidR="003A6E3C" w:rsidRPr="009B5CC1">
        <w:rPr>
          <w:rFonts w:ascii="Times New Roman" w:eastAsia="Calibri" w:hAnsi="Times New Roman" w:cs="Times New Roman"/>
          <w:sz w:val="24"/>
          <w:szCs w:val="24"/>
          <w:lang w:bidi="th-TH"/>
        </w:rPr>
        <w:t>. It suggests the coordination of carbonyl group through oxygen to the Cr</w:t>
      </w:r>
      <w:r w:rsidR="003A6E3C" w:rsidRPr="009B5CC1">
        <w:rPr>
          <w:rFonts w:ascii="Times New Roman" w:eastAsia="Calibri" w:hAnsi="Times New Roman" w:cs="Times New Roman"/>
          <w:sz w:val="24"/>
          <w:szCs w:val="24"/>
          <w:vertAlign w:val="superscript"/>
          <w:lang w:bidi="th-TH"/>
        </w:rPr>
        <w:t>+3</w:t>
      </w:r>
      <w:r w:rsidR="003A6E3C" w:rsidRPr="009B5CC1">
        <w:rPr>
          <w:rFonts w:ascii="Times New Roman" w:eastAsia="Calibri" w:hAnsi="Times New Roman" w:cs="Times New Roman"/>
          <w:sz w:val="24"/>
          <w:szCs w:val="24"/>
          <w:lang w:bidi="th-TH"/>
        </w:rPr>
        <w:t xml:space="preserve"> metal which ultimately reduces strength of the carbonyl group in complex. These results are also supported by literature</w:t>
      </w:r>
      <w:r w:rsidR="006E7F4F">
        <w:rPr>
          <w:rFonts w:ascii="Times New Roman" w:eastAsia="Calibri" w:hAnsi="Times New Roman" w:cs="Times New Roman"/>
          <w:sz w:val="24"/>
          <w:szCs w:val="24"/>
          <w:lang w:bidi="th-TH"/>
        </w:rPr>
        <w:t>.</w:t>
      </w:r>
      <w:r w:rsidR="003A6E3C" w:rsidRPr="009B5CC1">
        <w:rPr>
          <w:rFonts w:ascii="Times New Roman" w:eastAsia="Calibri" w:hAnsi="Times New Roman" w:cs="Times New Roman"/>
          <w:sz w:val="24"/>
          <w:szCs w:val="24"/>
          <w:lang w:bidi="th-TH"/>
        </w:rPr>
        <w:fldChar w:fldCharType="begin" w:fldLock="1"/>
      </w:r>
      <w:r w:rsidR="00276B78">
        <w:rPr>
          <w:rFonts w:ascii="Times New Roman" w:eastAsia="Calibri" w:hAnsi="Times New Roman" w:cs="Times New Roman"/>
          <w:sz w:val="24"/>
          <w:szCs w:val="24"/>
          <w:lang w:bidi="th-TH"/>
        </w:rPr>
        <w:instrText>ADDIN CSL_CITATION {"citationItems":[{"id":"ITEM-1","itemData":{"DOI":"10.1039/d0dt02802a","ISSN":"14779234","PMID":"33047745","abstract":"Metal organic frameworks (MOFs), also known as coordination polymers/networks, have experienced a rapid upsurge in the last 20 years in part due to the precise visualization of their atomic arrangement in the solid state. Structure-function relationship properties in MOFs is a key step to understand the potential of a material for its applications in advanced technologies, which can be only understood if full structure determination is carried out. Single crystal X-ray diffraction is the most reliable technique for the 3D description of the atomic arrangement of a crystalline material, but it needs a suitable single crystal both in size and in quality. Sadly, it often occurs that it is not possible to grow crystals of enough quality for single crystal XRD analysis. In MOF synthesis, rather often the products of certain synthetic approaches such as fast crystallization or mechanochemical reactions are obtained as powders. Also, gas, temperature, and solvent induced reactions render single crystals unsuitable for single crystal XRD. In such cases, structure elucidation of MOFs must be carried out using ab initio powder XRD analysis. Unfortunately, structure solution from powder XRD data is more complicated than that from single crystal XRD data. In this article, ashort overview of crystal structure solution from powder XRD and how this technique has been applied in the structure solution of MOFs using direct-space strategy is given. Examples of microcrystalline MOFs obtained by solvothermal methods, synthesized by instant synthesis and mechanochemical methods and products obtained after solid-state reactivity are highlighted. The reported cases are challenging structure solution examples carried out by direct-space strategy using powder XRD data, and show that ab initio powder XRD structure solution is a powerful technique that allows many chemical reactions whose products cannot be carried out by single crystal X-ray analysis to be understood. Hopefully, the strength of ab initio powder XRD structure elucidation with the few cases shown inthis Perspective will encourage members of this field of research to exploit this technique to makefurther progress in MOF chemistry.","author":[{"dropping-particle":"","family":"Martí-Rujas","given":"Javier","non-dropping-particle":"","parse-names":false,"suffix":""}],"container-title":"Dalton Transactions","id":"ITEM-1","issue":"40","issued":{"date-parts":[["2020"]]},"page":"13897-13916","title":"Structural elucidation of microcrystalline MOFs from powder X-ray diffraction","type":"article-journal","volume":"49"},"uris":["http://www.mendeley.com/documents/?uuid=8c9abac7-197f-418f-b3eb-7aeb98b33ab2"]}],"mendeley":{"formattedCitation":"&lt;sup&gt;14&lt;/sup&gt;","plainTextFormattedCitation":"14","previouslyFormattedCitation":"&lt;sup&gt;14&lt;/sup&gt;"},"properties":{"noteIndex":0},"schema":"https://github.com/citation-style-language/schema/raw/master/csl-citation.json"}</w:instrText>
      </w:r>
      <w:r w:rsidR="003A6E3C" w:rsidRPr="009B5CC1">
        <w:rPr>
          <w:rFonts w:ascii="Times New Roman" w:eastAsia="Calibri" w:hAnsi="Times New Roman" w:cs="Times New Roman"/>
          <w:sz w:val="24"/>
          <w:szCs w:val="24"/>
          <w:lang w:bidi="th-TH"/>
        </w:rPr>
        <w:fldChar w:fldCharType="separate"/>
      </w:r>
      <w:r w:rsidR="00276B78" w:rsidRPr="00276B78">
        <w:rPr>
          <w:rFonts w:ascii="Times New Roman" w:eastAsia="Calibri" w:hAnsi="Times New Roman" w:cs="Times New Roman"/>
          <w:noProof/>
          <w:sz w:val="24"/>
          <w:szCs w:val="24"/>
          <w:vertAlign w:val="superscript"/>
          <w:lang w:bidi="th-TH"/>
        </w:rPr>
        <w:t>14</w:t>
      </w:r>
      <w:r w:rsidR="003A6E3C" w:rsidRPr="009B5CC1">
        <w:rPr>
          <w:rFonts w:ascii="Times New Roman" w:eastAsia="Calibri" w:hAnsi="Times New Roman" w:cs="Times New Roman"/>
          <w:sz w:val="24"/>
          <w:szCs w:val="24"/>
          <w:lang w:bidi="th-TH"/>
        </w:rPr>
        <w:fldChar w:fldCharType="end"/>
      </w:r>
      <w:r w:rsidR="003A6E3C" w:rsidRPr="009B5CC1">
        <w:rPr>
          <w:rFonts w:ascii="Times New Roman" w:eastAsia="Calibri" w:hAnsi="Times New Roman" w:cs="Times New Roman"/>
          <w:sz w:val="24"/>
          <w:szCs w:val="24"/>
          <w:lang w:bidi="th-TH"/>
        </w:rPr>
        <w:t xml:space="preserve"> Similarly, the peaks of ligand and its C-O (of ester) appeared 1278 cm</w:t>
      </w:r>
      <w:r w:rsidR="003A6E3C" w:rsidRPr="009B5CC1">
        <w:rPr>
          <w:rFonts w:ascii="Times New Roman" w:eastAsia="Calibri" w:hAnsi="Times New Roman" w:cs="Times New Roman"/>
          <w:sz w:val="24"/>
          <w:szCs w:val="24"/>
          <w:vertAlign w:val="superscript"/>
          <w:lang w:bidi="th-TH"/>
        </w:rPr>
        <w:t>-1</w:t>
      </w:r>
      <w:r w:rsidR="003A6E3C" w:rsidRPr="009B5CC1">
        <w:rPr>
          <w:rFonts w:ascii="Times New Roman" w:eastAsia="Calibri" w:hAnsi="Times New Roman" w:cs="Times New Roman"/>
          <w:sz w:val="24"/>
          <w:szCs w:val="24"/>
          <w:lang w:bidi="th-TH"/>
        </w:rPr>
        <w:t xml:space="preserve"> which showed a shift from 1105 cm</w:t>
      </w:r>
      <w:r w:rsidR="003A6E3C" w:rsidRPr="009B5CC1">
        <w:rPr>
          <w:rFonts w:ascii="Times New Roman" w:eastAsia="Calibri" w:hAnsi="Times New Roman" w:cs="Times New Roman"/>
          <w:sz w:val="24"/>
          <w:szCs w:val="24"/>
          <w:vertAlign w:val="superscript"/>
          <w:lang w:bidi="th-TH"/>
        </w:rPr>
        <w:t xml:space="preserve">-1 </w:t>
      </w:r>
      <w:r>
        <w:rPr>
          <w:rFonts w:ascii="Times New Roman" w:eastAsia="Calibri" w:hAnsi="Times New Roman" w:cs="Times New Roman"/>
          <w:sz w:val="24"/>
          <w:szCs w:val="24"/>
          <w:lang w:bidi="th-TH"/>
        </w:rPr>
        <w:t>(Table 1</w:t>
      </w:r>
      <w:r w:rsidR="003A6E3C" w:rsidRPr="009B5CC1">
        <w:rPr>
          <w:rFonts w:ascii="Times New Roman" w:eastAsia="Calibri" w:hAnsi="Times New Roman" w:cs="Times New Roman"/>
          <w:sz w:val="24"/>
          <w:szCs w:val="24"/>
          <w:lang w:bidi="th-TH"/>
        </w:rPr>
        <w:t>). Which may change because of environmental effect regarding C=O coordination towards the metal ion</w:t>
      </w:r>
      <w:r w:rsidR="00B57DF3">
        <w:rPr>
          <w:rFonts w:ascii="Times New Roman" w:eastAsia="Calibri" w:hAnsi="Times New Roman" w:cs="Times New Roman"/>
          <w:sz w:val="24"/>
          <w:szCs w:val="24"/>
          <w:lang w:bidi="th-TH"/>
        </w:rPr>
        <w:t>.</w:t>
      </w:r>
      <w:r w:rsidR="00B57DF3">
        <w:rPr>
          <w:rFonts w:ascii="Times New Roman" w:eastAsia="Calibri" w:hAnsi="Times New Roman" w:cs="Times New Roman"/>
          <w:sz w:val="24"/>
          <w:szCs w:val="24"/>
          <w:lang w:bidi="th-TH"/>
        </w:rPr>
        <w:fldChar w:fldCharType="begin" w:fldLock="1"/>
      </w:r>
      <w:r w:rsidR="00B57DF3">
        <w:rPr>
          <w:rFonts w:ascii="Times New Roman" w:eastAsia="Calibri" w:hAnsi="Times New Roman" w:cs="Times New Roman"/>
          <w:sz w:val="24"/>
          <w:szCs w:val="24"/>
          <w:lang w:bidi="th-TH"/>
        </w:rPr>
        <w:instrText>ADDIN CSL_CITATION {"citationItems":[{"id":"ITEM-1","itemData":{"DOI":"10.1007/s10973-007-8712-5","ISSN":"13886150","abstract":"The mixed-ligand m-hydroxybenzoate complexes of Co(II), Ni(II), Cu(II) and Zn(II) with nicotinamide were synthesized and characterized. The chemical, FT IR and UV-vis spectrophotometric, thermal and mass spectral analyses, magnetic susceptibility measurements revealed that the compounds contain two water molecules, two m-hydroxybenzoate (m-hba) and two nicotinamide (na) ligands per formula unit. m-Hydroxybenzoate and nicotinamide ligands bind to the metal atoms monodentately through their acidic oxygen and pyridinic nitrogen atoms, respectively. The thermal decomposition pathways and the stability of the complexes are interpreted in the terms of the structural data. © 2008 Springer Science+Business Media, LLC.","author":[{"dropping-particle":"","family":"Köse","given":"D. A.","non-dropping-particle":"","parse-names":false,"suffix":""},{"dropping-particle":"","family":"Necefoğlu","given":"H.","non-dropping-particle":"","parse-names":false,"suffix":""}],"container-title":"Journal of Thermal Analysis and Calorimetry","id":"ITEM-1","issue":"2","issued":{"date-parts":[["2008"]]},"page":"509-514","title":"Synthesis and characterization of bis(nicotinamide) m-hydroxybenzoate complexes of Co(II), Ni(II), Cu(II) and Zn(II)","type":"article-journal","volume":"93"},"uris":["http://www.mendeley.com/documents/?uuid=47ae36df-4322-4724-a46e-d6cb77f226cf"]},{"id":"ITEM-2","itemData":{"DOI":"10.1016/S0223-5234(01)01221-1","ISSN":"02235234","PMID":"11461759","abstract":"Complexes of cerium(III), lanthanum(III) and neodymium(III) with 4-methyl-7-hydroxycoumarin (Mendiaxon, Hymecromone) were synthesized by the mixing of equimolar amounts of the respective metal nitrates and 4-methyl-7-hydroxycoumarin sodium salt in water. The complexes were characterized and identified by elemental analysis, conductivities, IR, 1H and 13C NMR spectroscopies and mass spectral data. DTA and TGA have been applied to study the compositions of the compounds. The newly synthesized compounds were assayed for acute intraperitoneal and per oral toxicity, influence on blood clotting time and the most active complex was investigated for spasmolytic activity. The complexes of cerium(III) and neodymium(III) showed marginal cytotoxic activity against transformed leukemic cell lines (P3HR1 and THP-1) as compared to the inorganic salts. © 2001 Éditions scientifiques et médicales Elsevier SAS.","author":[{"dropping-particle":"","family":"Kostova","given":"Irena","non-dropping-particle":"","parse-names":false,"suffix":""},{"dropping-particle":"","family":"Manolov","given":"Ilia","non-dropping-particle":"","parse-names":false,"suffix":""},{"dropping-particle":"","family":"Nicolova","given":"Irina","non-dropping-particle":"","parse-names":false,"suffix":""},{"dropping-particle":"","family":"Konstantinov","given":"Spiro","non-dropping-particle":"","parse-names":false,"suffix":""},{"dropping-particle":"","family":"Karaivanova","given":"Margarita","non-dropping-particle":"","parse-names":false,"suffix":""}],"container-title":"European Journal of Medicinal Chemistry","id":"ITEM-2","issue":"4","issued":{"date-parts":[["2001"]]},"page":"339-347","title":"New lanthanide complexes of 4-methyl-7-hydroxycoumarin and their pharmacological activity","type":"article-journal","volume":"36"},"uris":["http://www.mendeley.com/documents/?uuid=19e51609-c7bf-44dd-8587-6cff7875ce6c"]}],"mendeley":{"formattedCitation":"&lt;sup&gt;33,34&lt;/sup&gt;","plainTextFormattedCitation":"33,34","previouslyFormattedCitation":"&lt;sup&gt;33,34&lt;/sup&gt;"},"properties":{"noteIndex":0},"schema":"https://github.com/citation-style-language/schema/raw/master/csl-citation.json"}</w:instrText>
      </w:r>
      <w:r w:rsidR="00B57DF3">
        <w:rPr>
          <w:rFonts w:ascii="Times New Roman" w:eastAsia="Calibri" w:hAnsi="Times New Roman" w:cs="Times New Roman"/>
          <w:sz w:val="24"/>
          <w:szCs w:val="24"/>
          <w:lang w:bidi="th-TH"/>
        </w:rPr>
        <w:fldChar w:fldCharType="separate"/>
      </w:r>
      <w:r w:rsidR="00B57DF3" w:rsidRPr="00B57DF3">
        <w:rPr>
          <w:rFonts w:ascii="Times New Roman" w:eastAsia="Calibri" w:hAnsi="Times New Roman" w:cs="Times New Roman"/>
          <w:noProof/>
          <w:sz w:val="24"/>
          <w:szCs w:val="24"/>
          <w:vertAlign w:val="superscript"/>
          <w:lang w:bidi="th-TH"/>
        </w:rPr>
        <w:t>33,34</w:t>
      </w:r>
      <w:r w:rsidR="00B57DF3">
        <w:rPr>
          <w:rFonts w:ascii="Times New Roman" w:eastAsia="Calibri" w:hAnsi="Times New Roman" w:cs="Times New Roman"/>
          <w:sz w:val="24"/>
          <w:szCs w:val="24"/>
          <w:lang w:bidi="th-TH"/>
        </w:rPr>
        <w:fldChar w:fldCharType="end"/>
      </w:r>
      <w:r w:rsidR="003A6E3C" w:rsidRPr="009B5CC1">
        <w:rPr>
          <w:rFonts w:ascii="Times New Roman" w:eastAsia="Calibri" w:hAnsi="Times New Roman" w:cs="Times New Roman"/>
          <w:sz w:val="24"/>
          <w:szCs w:val="24"/>
          <w:lang w:bidi="th-TH"/>
        </w:rPr>
        <w:t xml:space="preserve"> </w:t>
      </w:r>
      <w:proofErr w:type="gramStart"/>
      <w:r w:rsidR="003A6E3C" w:rsidRPr="009B5CC1">
        <w:rPr>
          <w:rFonts w:ascii="Times New Roman" w:eastAsia="Calibri" w:hAnsi="Times New Roman" w:cs="Times New Roman"/>
          <w:sz w:val="24"/>
          <w:szCs w:val="24"/>
          <w:lang w:bidi="th-TH"/>
        </w:rPr>
        <w:t>Some</w:t>
      </w:r>
      <w:proofErr w:type="gramEnd"/>
      <w:r w:rsidR="003A6E3C" w:rsidRPr="009B5CC1">
        <w:rPr>
          <w:rFonts w:ascii="Times New Roman" w:eastAsia="Calibri" w:hAnsi="Times New Roman" w:cs="Times New Roman"/>
          <w:sz w:val="24"/>
          <w:szCs w:val="24"/>
          <w:lang w:bidi="th-TH"/>
        </w:rPr>
        <w:t xml:space="preserve"> additional peaks have also been observed to appear at 603 and 520 cm</w:t>
      </w:r>
      <w:r w:rsidR="003A6E3C" w:rsidRPr="009B5CC1">
        <w:rPr>
          <w:rFonts w:ascii="Times New Roman" w:eastAsia="Calibri" w:hAnsi="Times New Roman" w:cs="Times New Roman"/>
          <w:sz w:val="24"/>
          <w:szCs w:val="24"/>
          <w:vertAlign w:val="superscript"/>
          <w:lang w:bidi="th-TH"/>
        </w:rPr>
        <w:t>-1</w:t>
      </w:r>
      <w:r w:rsidR="003A6E3C" w:rsidRPr="009B5CC1">
        <w:rPr>
          <w:rFonts w:ascii="Times New Roman" w:eastAsia="Calibri" w:hAnsi="Times New Roman" w:cs="Times New Roman"/>
          <w:sz w:val="24"/>
          <w:szCs w:val="24"/>
          <w:lang w:bidi="th-TH"/>
        </w:rPr>
        <w:t>. These peaks were assigned to Cr-O and Cr-Cl, respectively.</w:t>
      </w:r>
      <w:r w:rsidR="00276B78">
        <w:rPr>
          <w:rFonts w:ascii="Times New Roman" w:eastAsia="Calibri" w:hAnsi="Times New Roman" w:cs="Times New Roman"/>
          <w:sz w:val="24"/>
          <w:szCs w:val="24"/>
          <w:lang w:bidi="th-TH"/>
        </w:rPr>
        <w:fldChar w:fldCharType="begin" w:fldLock="1"/>
      </w:r>
      <w:r w:rsidR="00B57DF3">
        <w:rPr>
          <w:rFonts w:ascii="Times New Roman" w:eastAsia="Calibri" w:hAnsi="Times New Roman" w:cs="Times New Roman"/>
          <w:sz w:val="24"/>
          <w:szCs w:val="24"/>
          <w:lang w:bidi="th-TH"/>
        </w:rPr>
        <w:instrText>ADDIN CSL_CITATION {"citationItems":[{"id":"ITEM-1","itemData":{"DOI":"10.1155/2017/2956145","ISSN":"1687479X","abstract":"Enantiomerically enriched coordination compounds of aspartic acid and racemic mixtures of coordination compounds of glycine metal-ligand ratio 1: 3 were synthesized and characterized using infrared and UV-Vis spectrophotometric techniques and magnetic susceptibility measurements. Five of the complexes were resolved using (+)-cis-dichlorobis(ethylenediamine)cobalt(III) chloride, (+)-bis(glycinato)(1,10-phenanthroline)cobalt(III) chloride, and (+)-tris(1,10-phenanthroline)nickel(II) chloride as resolving agents. The antimicrobial and cytotoxic activities of these complexes were then determined. The results obtained indicated that aspartic acid and glycine coordinated in a bidentate fashion. The enantiomeric purity of the compounds was in the range of 22.10-32.10%, with (+)-cis-dichlorobis(ethylenediamine)cobalt(III) complex as the more efficient resolving agent. The resolved complexes exhibited better activity in some cases compared to the parent complexes for both biological activities. It was therefore inferred that although the increase in the lipophilicity of the complexes may assist in the permeability of the complexes through the cell membrane of the pathogens, the enantiomeric purity of the complexes is also of importance in their activity as antimicrobial and cytotoxic agents.","author":[{"dropping-particle":"","family":"Aiyelabola","given":"Temitayo","non-dropping-particle":"","parse-names":false,"suffix":""},{"dropping-particle":"","family":"Akinkunmi","given":"Ezekiel","non-dropping-particle":"","parse-names":false,"suffix":""},{"dropping-particle":"","family":"Ojo","given":"Isaac","non-dropping-particle":"","parse-names":false,"suffix":""},{"dropping-particle":"","family":"Obuotor","given":"Efere","non-dropping-particle":"","parse-names":false,"suffix":""},{"dropping-particle":"","family":"Adebajo","given":"Clement","non-dropping-particle":"","parse-names":false,"suffix":""},{"dropping-particle":"","family":"Isabirye","given":"David","non-dropping-particle":"","parse-names":false,"suffix":""}],"container-title":"Bioinorganic Chemistry and Applications","id":"ITEM-1","issued":{"date-parts":[["2017"]]},"title":"Syntheses, Characterization, Resolution, and Biological Studies of Coordination Compounds of Aspartic Acid and Glycine","type":"article-journal","volume":"2017"},"uris":["http://www.mendeley.com/documents/?uuid=2ae80cd5-0245-408c-9c4e-c29e8f0f5098"]}],"mendeley":{"formattedCitation":"&lt;sup&gt;35&lt;/sup&gt;","plainTextFormattedCitation":"35","previouslyFormattedCitation":"&lt;sup&gt;35&lt;/sup&gt;"},"properties":{"noteIndex":0},"schema":"https://github.com/citation-style-language/schema/raw/master/csl-citation.json"}</w:instrText>
      </w:r>
      <w:r w:rsidR="00276B78">
        <w:rPr>
          <w:rFonts w:ascii="Times New Roman" w:eastAsia="Calibri" w:hAnsi="Times New Roman" w:cs="Times New Roman"/>
          <w:sz w:val="24"/>
          <w:szCs w:val="24"/>
          <w:lang w:bidi="th-TH"/>
        </w:rPr>
        <w:fldChar w:fldCharType="separate"/>
      </w:r>
      <w:r w:rsidR="00B57DF3" w:rsidRPr="00B57DF3">
        <w:rPr>
          <w:rFonts w:ascii="Times New Roman" w:eastAsia="Calibri" w:hAnsi="Times New Roman" w:cs="Times New Roman"/>
          <w:noProof/>
          <w:sz w:val="24"/>
          <w:szCs w:val="24"/>
          <w:vertAlign w:val="superscript"/>
          <w:lang w:bidi="th-TH"/>
        </w:rPr>
        <w:t>35</w:t>
      </w:r>
      <w:r w:rsidR="00276B78">
        <w:rPr>
          <w:rFonts w:ascii="Times New Roman" w:eastAsia="Calibri" w:hAnsi="Times New Roman" w:cs="Times New Roman"/>
          <w:sz w:val="24"/>
          <w:szCs w:val="24"/>
          <w:lang w:bidi="th-TH"/>
        </w:rPr>
        <w:fldChar w:fldCharType="end"/>
      </w:r>
      <w:r w:rsidR="003A6E3C" w:rsidRPr="009B5CC1">
        <w:rPr>
          <w:rFonts w:ascii="Times New Roman" w:eastAsia="Calibri" w:hAnsi="Times New Roman" w:cs="Times New Roman"/>
          <w:sz w:val="24"/>
          <w:szCs w:val="24"/>
          <w:lang w:bidi="th-TH"/>
        </w:rPr>
        <w:t xml:space="preserve"> These findings have confirmed the participation of </w:t>
      </w:r>
      <w:proofErr w:type="spellStart"/>
      <w:r w:rsidR="003A6E3C" w:rsidRPr="009B5CC1">
        <w:rPr>
          <w:rFonts w:ascii="Times New Roman" w:eastAsia="Calibri" w:hAnsi="Times New Roman" w:cs="Times New Roman"/>
          <w:sz w:val="24"/>
          <w:szCs w:val="24"/>
          <w:lang w:bidi="th-TH"/>
        </w:rPr>
        <w:t>carbonylic</w:t>
      </w:r>
      <w:proofErr w:type="spellEnd"/>
      <w:r w:rsidR="003A6E3C" w:rsidRPr="009B5CC1">
        <w:rPr>
          <w:rFonts w:ascii="Times New Roman" w:eastAsia="Calibri" w:hAnsi="Times New Roman" w:cs="Times New Roman"/>
          <w:sz w:val="24"/>
          <w:szCs w:val="24"/>
          <w:lang w:bidi="th-TH"/>
        </w:rPr>
        <w:t xml:space="preserve"> functional group of the ligand in complex formation. No significant change in the IR frequency of C=C double bond was seen upon complex formation and hence, it is inferred that this group doesn’t participate in </w:t>
      </w:r>
      <w:proofErr w:type="spellStart"/>
      <w:r w:rsidR="003A6E3C" w:rsidRPr="009B5CC1">
        <w:rPr>
          <w:rFonts w:ascii="Times New Roman" w:eastAsia="Calibri" w:hAnsi="Times New Roman" w:cs="Times New Roman"/>
          <w:sz w:val="24"/>
          <w:szCs w:val="24"/>
          <w:lang w:bidi="th-TH"/>
        </w:rPr>
        <w:t>complexation</w:t>
      </w:r>
      <w:proofErr w:type="spellEnd"/>
      <w:r w:rsidR="003A6E3C" w:rsidRPr="009B5CC1">
        <w:rPr>
          <w:rFonts w:ascii="Times New Roman" w:eastAsia="Calibri" w:hAnsi="Times New Roman" w:cs="Times New Roman"/>
          <w:sz w:val="24"/>
          <w:szCs w:val="24"/>
          <w:lang w:bidi="th-TH"/>
        </w:rPr>
        <w:t xml:space="preserve"> (Fig. 1b). Based on these observations, the molecular and structural formulae of the compound </w:t>
      </w:r>
      <w:r w:rsidR="003A6E3C" w:rsidRPr="006350BD">
        <w:rPr>
          <w:rFonts w:ascii="Times New Roman" w:eastAsia="Calibri" w:hAnsi="Times New Roman" w:cs="Times New Roman"/>
          <w:b/>
          <w:sz w:val="24"/>
          <w:szCs w:val="24"/>
          <w:lang w:bidi="th-TH"/>
        </w:rPr>
        <w:t>4</w:t>
      </w:r>
      <w:r w:rsidR="003A6E3C" w:rsidRPr="009B5CC1">
        <w:rPr>
          <w:rFonts w:ascii="Times New Roman" w:eastAsia="Calibri" w:hAnsi="Times New Roman" w:cs="Times New Roman"/>
          <w:sz w:val="24"/>
          <w:szCs w:val="24"/>
          <w:lang w:bidi="th-TH"/>
        </w:rPr>
        <w:t xml:space="preserve"> were deduced as [</w:t>
      </w:r>
      <w:proofErr w:type="gramStart"/>
      <w:r w:rsidR="003A6E3C" w:rsidRPr="009B5CC1">
        <w:rPr>
          <w:rFonts w:ascii="Times New Roman" w:eastAsia="Calibri" w:hAnsi="Times New Roman" w:cs="Times New Roman"/>
          <w:sz w:val="24"/>
          <w:szCs w:val="24"/>
          <w:lang w:bidi="th-TH"/>
        </w:rPr>
        <w:t>Cr(</w:t>
      </w:r>
      <w:proofErr w:type="gramEnd"/>
      <w:r w:rsidR="003A6E3C" w:rsidRPr="009B5CC1">
        <w:rPr>
          <w:rFonts w:ascii="Times New Roman" w:eastAsia="Calibri" w:hAnsi="Times New Roman" w:cs="Times New Roman"/>
          <w:sz w:val="24"/>
          <w:szCs w:val="24"/>
          <w:lang w:bidi="th-TH"/>
        </w:rPr>
        <w:t>L1)</w:t>
      </w:r>
      <w:r w:rsidR="003A6E3C" w:rsidRPr="009B5CC1">
        <w:rPr>
          <w:rFonts w:ascii="Times New Roman" w:eastAsia="Calibri" w:hAnsi="Times New Roman" w:cs="Times New Roman"/>
          <w:sz w:val="24"/>
          <w:szCs w:val="24"/>
          <w:vertAlign w:val="subscript"/>
          <w:lang w:bidi="th-TH"/>
        </w:rPr>
        <w:t>2</w:t>
      </w:r>
      <w:r w:rsidR="003A6E3C" w:rsidRPr="009B5CC1">
        <w:rPr>
          <w:rFonts w:ascii="Times New Roman" w:eastAsia="Calibri" w:hAnsi="Times New Roman" w:cs="Times New Roman"/>
          <w:sz w:val="24"/>
          <w:szCs w:val="24"/>
          <w:lang w:bidi="th-TH"/>
        </w:rPr>
        <w:t>(H</w:t>
      </w:r>
      <w:r w:rsidR="003A6E3C" w:rsidRPr="009B5CC1">
        <w:rPr>
          <w:rFonts w:ascii="Times New Roman" w:eastAsia="Calibri" w:hAnsi="Times New Roman" w:cs="Times New Roman"/>
          <w:sz w:val="24"/>
          <w:szCs w:val="24"/>
          <w:vertAlign w:val="subscript"/>
          <w:lang w:bidi="th-TH"/>
        </w:rPr>
        <w:t>2</w:t>
      </w:r>
      <w:r w:rsidR="003A6E3C" w:rsidRPr="009B5CC1">
        <w:rPr>
          <w:rFonts w:ascii="Times New Roman" w:eastAsia="Calibri" w:hAnsi="Times New Roman" w:cs="Times New Roman"/>
          <w:sz w:val="24"/>
          <w:szCs w:val="24"/>
          <w:lang w:bidi="th-TH"/>
        </w:rPr>
        <w:t>O)</w:t>
      </w:r>
      <w:r w:rsidR="003A6E3C" w:rsidRPr="009B5CC1">
        <w:rPr>
          <w:rFonts w:ascii="Times New Roman" w:eastAsia="Calibri" w:hAnsi="Times New Roman" w:cs="Times New Roman"/>
          <w:sz w:val="24"/>
          <w:szCs w:val="24"/>
          <w:vertAlign w:val="subscript"/>
          <w:lang w:bidi="th-TH"/>
        </w:rPr>
        <w:t>4</w:t>
      </w:r>
      <w:r w:rsidR="003A6E3C" w:rsidRPr="009B5CC1">
        <w:rPr>
          <w:rFonts w:ascii="Times New Roman" w:eastAsia="Calibri" w:hAnsi="Times New Roman" w:cs="Times New Roman"/>
          <w:sz w:val="24"/>
          <w:szCs w:val="24"/>
          <w:lang w:bidi="th-TH"/>
        </w:rPr>
        <w:t>]</w:t>
      </w:r>
      <w:r w:rsidR="003A6E3C" w:rsidRPr="009B5CC1">
        <w:rPr>
          <w:rFonts w:ascii="Times New Roman" w:eastAsia="Calibri" w:hAnsi="Times New Roman" w:cs="Times New Roman"/>
          <w:sz w:val="24"/>
          <w:szCs w:val="24"/>
          <w:vertAlign w:val="superscript"/>
          <w:lang w:bidi="th-TH"/>
        </w:rPr>
        <w:t xml:space="preserve">+3 </w:t>
      </w:r>
      <w:r w:rsidR="003A6E3C" w:rsidRPr="009B5CC1">
        <w:rPr>
          <w:rFonts w:ascii="Times New Roman" w:eastAsia="Calibri" w:hAnsi="Times New Roman" w:cs="Times New Roman"/>
          <w:sz w:val="24"/>
          <w:szCs w:val="24"/>
          <w:lang w:bidi="th-TH"/>
        </w:rPr>
        <w:t>.</w:t>
      </w:r>
    </w:p>
    <w:p w:rsidR="003A6E3C" w:rsidRPr="009B5CC1" w:rsidRDefault="003A6E3C" w:rsidP="009B5CC1">
      <w:pPr>
        <w:tabs>
          <w:tab w:val="left" w:pos="425"/>
        </w:tabs>
        <w:spacing w:before="40" w:after="0" w:line="360" w:lineRule="auto"/>
        <w:contextualSpacing/>
        <w:jc w:val="both"/>
        <w:rPr>
          <w:rFonts w:ascii="Times New Roman" w:eastAsia="Calibri" w:hAnsi="Times New Roman" w:cs="Times New Roman"/>
          <w:sz w:val="24"/>
          <w:szCs w:val="24"/>
          <w:lang w:bidi="th-TH"/>
        </w:rPr>
      </w:pPr>
      <w:r w:rsidRPr="009B5CC1">
        <w:rPr>
          <w:rFonts w:ascii="Times New Roman" w:eastAsia="Calibri" w:hAnsi="Times New Roman" w:cs="Times New Roman"/>
          <w:sz w:val="24"/>
          <w:szCs w:val="24"/>
          <w:lang w:bidi="th-TH"/>
        </w:rPr>
        <w:t xml:space="preserve">In FTIR spectral results for the compound </w:t>
      </w:r>
      <w:r w:rsidRPr="009B5CC1">
        <w:rPr>
          <w:rFonts w:ascii="Times New Roman" w:eastAsia="Calibri" w:hAnsi="Times New Roman" w:cs="Times New Roman"/>
          <w:b/>
          <w:sz w:val="24"/>
          <w:szCs w:val="24"/>
          <w:lang w:bidi="th-TH"/>
        </w:rPr>
        <w:t>5</w:t>
      </w:r>
      <w:r w:rsidRPr="009B5CC1">
        <w:rPr>
          <w:rFonts w:ascii="Times New Roman" w:eastAsia="Calibri" w:hAnsi="Times New Roman" w:cs="Times New Roman"/>
          <w:sz w:val="24"/>
          <w:szCs w:val="24"/>
          <w:lang w:bidi="th-TH"/>
        </w:rPr>
        <w:t xml:space="preserve"> we observed that –OH group has shown a broad signal ranging from 3400-3300 cm</w:t>
      </w:r>
      <w:r w:rsidRPr="009B5CC1">
        <w:rPr>
          <w:rFonts w:ascii="Times New Roman" w:eastAsia="Calibri" w:hAnsi="Times New Roman" w:cs="Times New Roman"/>
          <w:sz w:val="24"/>
          <w:szCs w:val="24"/>
          <w:vertAlign w:val="superscript"/>
          <w:lang w:bidi="th-TH"/>
        </w:rPr>
        <w:t>-1</w:t>
      </w:r>
      <w:r w:rsidRPr="009B5CC1">
        <w:rPr>
          <w:rFonts w:ascii="Times New Roman" w:eastAsia="Calibri" w:hAnsi="Times New Roman" w:cs="Times New Roman"/>
          <w:sz w:val="24"/>
          <w:szCs w:val="24"/>
          <w:lang w:bidi="th-TH"/>
        </w:rPr>
        <w:t xml:space="preserve">. This signal was relatively at similar position as in the ligand. While comparing the C=C frequencies of both the ligand and complex </w:t>
      </w:r>
      <w:r w:rsidRPr="006350BD">
        <w:rPr>
          <w:rFonts w:ascii="Times New Roman" w:eastAsia="Calibri" w:hAnsi="Times New Roman" w:cs="Times New Roman"/>
          <w:b/>
          <w:sz w:val="24"/>
          <w:szCs w:val="24"/>
          <w:lang w:bidi="th-TH"/>
        </w:rPr>
        <w:t>5</w:t>
      </w:r>
      <w:r w:rsidRPr="009B5CC1">
        <w:rPr>
          <w:rFonts w:ascii="Times New Roman" w:eastAsia="Calibri" w:hAnsi="Times New Roman" w:cs="Times New Roman"/>
          <w:sz w:val="24"/>
          <w:szCs w:val="24"/>
          <w:lang w:bidi="th-TH"/>
        </w:rPr>
        <w:t>, the peak was found to be slightly  shifted from 1631 cm</w:t>
      </w:r>
      <w:r w:rsidRPr="009B5CC1">
        <w:rPr>
          <w:rFonts w:ascii="Times New Roman" w:eastAsia="Calibri" w:hAnsi="Times New Roman" w:cs="Times New Roman"/>
          <w:sz w:val="24"/>
          <w:szCs w:val="24"/>
          <w:vertAlign w:val="superscript"/>
          <w:lang w:bidi="th-TH"/>
        </w:rPr>
        <w:t>-1</w:t>
      </w:r>
      <w:r w:rsidRPr="009B5CC1">
        <w:rPr>
          <w:rFonts w:ascii="Times New Roman" w:eastAsia="Calibri" w:hAnsi="Times New Roman" w:cs="Times New Roman"/>
          <w:sz w:val="24"/>
          <w:szCs w:val="24"/>
          <w:lang w:bidi="th-TH"/>
        </w:rPr>
        <w:t xml:space="preserve"> to 1620 cm</w:t>
      </w:r>
      <w:r w:rsidRPr="009B5CC1">
        <w:rPr>
          <w:rFonts w:ascii="Times New Roman" w:eastAsia="Calibri" w:hAnsi="Times New Roman" w:cs="Times New Roman"/>
          <w:sz w:val="24"/>
          <w:szCs w:val="24"/>
          <w:vertAlign w:val="superscript"/>
          <w:lang w:bidi="th-TH"/>
        </w:rPr>
        <w:t>-1</w:t>
      </w:r>
      <w:r w:rsidRPr="009B5CC1">
        <w:rPr>
          <w:rFonts w:ascii="Times New Roman" w:eastAsia="Calibri" w:hAnsi="Times New Roman" w:cs="Times New Roman"/>
          <w:sz w:val="24"/>
          <w:szCs w:val="24"/>
          <w:lang w:bidi="th-TH"/>
        </w:rPr>
        <w:t xml:space="preserve"> which suggests that this functional group was not involved in coordination. The aromatic ring has shown frequencies (1604 and 1521cm</w:t>
      </w:r>
      <w:r w:rsidRPr="009B5CC1">
        <w:rPr>
          <w:rFonts w:ascii="Times New Roman" w:eastAsia="Calibri" w:hAnsi="Times New Roman" w:cs="Times New Roman"/>
          <w:sz w:val="24"/>
          <w:szCs w:val="24"/>
          <w:vertAlign w:val="superscript"/>
          <w:lang w:bidi="th-TH"/>
        </w:rPr>
        <w:t>-1</w:t>
      </w:r>
      <w:r w:rsidRPr="009B5CC1">
        <w:rPr>
          <w:rFonts w:ascii="Times New Roman" w:eastAsia="Calibri" w:hAnsi="Times New Roman" w:cs="Times New Roman"/>
          <w:sz w:val="24"/>
          <w:szCs w:val="24"/>
          <w:lang w:bidi="th-TH"/>
        </w:rPr>
        <w:t>) almost at similar position as that of the ligand aromatic pi bonds which also suggests non coordination behavior of the aromatic ring in respective complex formation. A clearer signal appeared at 1651 cm</w:t>
      </w:r>
      <w:r w:rsidRPr="009B5CC1">
        <w:rPr>
          <w:rFonts w:ascii="Times New Roman" w:eastAsia="Calibri" w:hAnsi="Times New Roman" w:cs="Times New Roman"/>
          <w:sz w:val="24"/>
          <w:szCs w:val="24"/>
          <w:vertAlign w:val="superscript"/>
          <w:lang w:bidi="th-TH"/>
        </w:rPr>
        <w:t>-1</w:t>
      </w:r>
      <w:r w:rsidRPr="009B5CC1">
        <w:rPr>
          <w:rFonts w:ascii="Times New Roman" w:eastAsia="Calibri" w:hAnsi="Times New Roman" w:cs="Times New Roman"/>
          <w:sz w:val="24"/>
          <w:szCs w:val="24"/>
          <w:lang w:bidi="th-TH"/>
        </w:rPr>
        <w:t xml:space="preserve"> was probably due to the carbonyl group and has significantly shifted from 1714 cm</w:t>
      </w:r>
      <w:r w:rsidRPr="009B5CC1">
        <w:rPr>
          <w:rFonts w:ascii="Times New Roman" w:eastAsia="Calibri" w:hAnsi="Times New Roman" w:cs="Times New Roman"/>
          <w:sz w:val="24"/>
          <w:szCs w:val="24"/>
          <w:vertAlign w:val="superscript"/>
          <w:lang w:bidi="th-TH"/>
        </w:rPr>
        <w:t>-1</w:t>
      </w:r>
      <w:r w:rsidRPr="009B5CC1">
        <w:rPr>
          <w:rFonts w:ascii="Times New Roman" w:eastAsia="Calibri" w:hAnsi="Times New Roman" w:cs="Times New Roman"/>
          <w:sz w:val="24"/>
          <w:szCs w:val="24"/>
          <w:lang w:bidi="th-TH"/>
        </w:rPr>
        <w:t xml:space="preserve"> to 1651 cm</w:t>
      </w:r>
      <w:r w:rsidRPr="009B5CC1">
        <w:rPr>
          <w:rFonts w:ascii="Times New Roman" w:eastAsia="Calibri" w:hAnsi="Times New Roman" w:cs="Times New Roman"/>
          <w:sz w:val="24"/>
          <w:szCs w:val="24"/>
          <w:vertAlign w:val="superscript"/>
          <w:lang w:bidi="th-TH"/>
        </w:rPr>
        <w:t>-1</w:t>
      </w:r>
      <w:r w:rsidRPr="009B5CC1">
        <w:rPr>
          <w:rFonts w:ascii="Times New Roman" w:eastAsia="Calibri" w:hAnsi="Times New Roman" w:cs="Times New Roman"/>
          <w:sz w:val="24"/>
          <w:szCs w:val="24"/>
          <w:lang w:bidi="th-TH"/>
        </w:rPr>
        <w:t xml:space="preserve"> upon </w:t>
      </w:r>
      <w:proofErr w:type="spellStart"/>
      <w:r w:rsidRPr="009B5CC1">
        <w:rPr>
          <w:rFonts w:ascii="Times New Roman" w:eastAsia="Calibri" w:hAnsi="Times New Roman" w:cs="Times New Roman"/>
          <w:sz w:val="24"/>
          <w:szCs w:val="24"/>
          <w:lang w:bidi="th-TH"/>
        </w:rPr>
        <w:t>complexation</w:t>
      </w:r>
      <w:proofErr w:type="spellEnd"/>
      <w:r w:rsidRPr="009B5CC1">
        <w:rPr>
          <w:rFonts w:ascii="Times New Roman" w:eastAsia="Calibri" w:hAnsi="Times New Roman" w:cs="Times New Roman"/>
          <w:sz w:val="24"/>
          <w:szCs w:val="24"/>
          <w:lang w:bidi="th-TH"/>
        </w:rPr>
        <w:t>. This kind of shift has also been reported in literature</w:t>
      </w:r>
      <w:r w:rsidR="006E7F4F">
        <w:rPr>
          <w:rFonts w:ascii="Times New Roman" w:eastAsia="Calibri" w:hAnsi="Times New Roman" w:cs="Times New Roman"/>
          <w:sz w:val="24"/>
          <w:szCs w:val="24"/>
          <w:lang w:bidi="th-TH"/>
        </w:rPr>
        <w:t>,</w:t>
      </w:r>
      <w:r w:rsidRPr="009B5CC1">
        <w:rPr>
          <w:rFonts w:ascii="Times New Roman" w:eastAsia="Calibri" w:hAnsi="Times New Roman" w:cs="Times New Roman"/>
          <w:sz w:val="24"/>
          <w:szCs w:val="24"/>
          <w:lang w:bidi="th-TH"/>
        </w:rPr>
        <w:fldChar w:fldCharType="begin" w:fldLock="1"/>
      </w:r>
      <w:r w:rsidR="00276B78">
        <w:rPr>
          <w:rFonts w:ascii="Times New Roman" w:eastAsia="Calibri" w:hAnsi="Times New Roman" w:cs="Times New Roman"/>
          <w:sz w:val="24"/>
          <w:szCs w:val="24"/>
          <w:lang w:bidi="th-TH"/>
        </w:rPr>
        <w:instrText>ADDIN CSL_CITATION {"citationItems":[{"id":"ITEM-1","itemData":{"DOI":"10.1039/d0dt02802a","ISSN":"14779234","PMID":"33047745","abstract":"Metal organic frameworks (MOFs), also known as coordination polymers/networks, have experienced a rapid upsurge in the last 20 years in part due to the precise visualization of their atomic arrangement in the solid state. Structure-function relationship properties in MOFs is a key step to understand the potential of a material for its applications in advanced technologies, which can be only understood if full structure determination is carried out. Single crystal X-ray diffraction is the most reliable technique for the 3D description of the atomic arrangement of a crystalline material, but it needs a suitable single crystal both in size and in quality. Sadly, it often occurs that it is not possible to grow crystals of enough quality for single crystal XRD analysis. In MOF synthesis, rather often the products of certain synthetic approaches such as fast crystallization or mechanochemical reactions are obtained as powders. Also, gas, temperature, and solvent induced reactions render single crystals unsuitable for single crystal XRD. In such cases, structure elucidation of MOFs must be carried out using ab initio powder XRD analysis. Unfortunately, structure solution from powder XRD data is more complicated than that from single crystal XRD data. In this article, ashort overview of crystal structure solution from powder XRD and how this technique has been applied in the structure solution of MOFs using direct-space strategy is given. Examples of microcrystalline MOFs obtained by solvothermal methods, synthesized by instant synthesis and mechanochemical methods and products obtained after solid-state reactivity are highlighted. The reported cases are challenging structure solution examples carried out by direct-space strategy using powder XRD data, and show that ab initio powder XRD structure solution is a powerful technique that allows many chemical reactions whose products cannot be carried out by single crystal X-ray analysis to be understood. Hopefully, the strength of ab initio powder XRD structure elucidation with the few cases shown inthis Perspective will encourage members of this field of research to exploit this technique to makefurther progress in MOF chemistry.","author":[{"dropping-particle":"","family":"Martí-Rujas","given":"Javier","non-dropping-particle":"","parse-names":false,"suffix":""}],"container-title":"Dalton Transactions","id":"ITEM-1","issue":"40","issued":{"date-parts":[["2020"]]},"page":"13897-13916","title":"Structural elucidation of microcrystalline MOFs from powder X-ray diffraction","type":"article-journal","volume":"49"},"uris":["http://www.mendeley.com/documents/?uuid=8c9abac7-197f-418f-b3eb-7aeb98b33ab2"]}],"mendeley":{"formattedCitation":"&lt;sup&gt;14&lt;/sup&gt;","plainTextFormattedCitation":"14","previouslyFormattedCitation":"&lt;sup&gt;14&lt;/sup&gt;"},"properties":{"noteIndex":0},"schema":"https://github.com/citation-style-language/schema/raw/master/csl-citation.json"}</w:instrText>
      </w:r>
      <w:r w:rsidRPr="009B5CC1">
        <w:rPr>
          <w:rFonts w:ascii="Times New Roman" w:eastAsia="Calibri" w:hAnsi="Times New Roman" w:cs="Times New Roman"/>
          <w:sz w:val="24"/>
          <w:szCs w:val="24"/>
          <w:lang w:bidi="th-TH"/>
        </w:rPr>
        <w:fldChar w:fldCharType="separate"/>
      </w:r>
      <w:r w:rsidR="00276B78" w:rsidRPr="00276B78">
        <w:rPr>
          <w:rFonts w:ascii="Times New Roman" w:eastAsia="Calibri" w:hAnsi="Times New Roman" w:cs="Times New Roman"/>
          <w:noProof/>
          <w:sz w:val="24"/>
          <w:szCs w:val="24"/>
          <w:vertAlign w:val="superscript"/>
          <w:lang w:bidi="th-TH"/>
        </w:rPr>
        <w:t>14</w:t>
      </w:r>
      <w:r w:rsidRPr="009B5CC1">
        <w:rPr>
          <w:rFonts w:ascii="Times New Roman" w:eastAsia="Calibri" w:hAnsi="Times New Roman" w:cs="Times New Roman"/>
          <w:sz w:val="24"/>
          <w:szCs w:val="24"/>
          <w:lang w:bidi="th-TH"/>
        </w:rPr>
        <w:fldChar w:fldCharType="end"/>
      </w:r>
      <w:r w:rsidRPr="009B5CC1">
        <w:rPr>
          <w:rFonts w:ascii="Times New Roman" w:eastAsia="Calibri" w:hAnsi="Times New Roman" w:cs="Times New Roman"/>
          <w:sz w:val="24"/>
          <w:szCs w:val="24"/>
          <w:lang w:bidi="th-TH"/>
        </w:rPr>
        <w:t xml:space="preserve"> thus confirming the coordination of the ligand’s carbonyl site to the Co</w:t>
      </w:r>
      <w:r w:rsidRPr="009B5CC1">
        <w:rPr>
          <w:rFonts w:ascii="Times New Roman" w:eastAsia="Calibri" w:hAnsi="Times New Roman" w:cs="Times New Roman"/>
          <w:sz w:val="24"/>
          <w:szCs w:val="24"/>
          <w:vertAlign w:val="superscript"/>
          <w:lang w:bidi="th-TH"/>
        </w:rPr>
        <w:t>+3</w:t>
      </w:r>
      <w:r w:rsidRPr="009B5CC1">
        <w:rPr>
          <w:rFonts w:ascii="Times New Roman" w:eastAsia="Calibri" w:hAnsi="Times New Roman" w:cs="Times New Roman"/>
          <w:sz w:val="24"/>
          <w:szCs w:val="24"/>
          <w:lang w:bidi="th-TH"/>
        </w:rPr>
        <w:t xml:space="preserve"> metal. Another significant variation in the IR spectrum of complex was a slight shift to the higher frequencies in IR signal of C-O (of ester) i.e. ligand C-O frequency shifted from 1278 to 13</w:t>
      </w:r>
      <w:r w:rsidR="00FC3434">
        <w:rPr>
          <w:rFonts w:ascii="Times New Roman" w:eastAsia="Calibri" w:hAnsi="Times New Roman" w:cs="Times New Roman"/>
          <w:sz w:val="24"/>
          <w:szCs w:val="24"/>
          <w:lang w:bidi="th-TH"/>
        </w:rPr>
        <w:t>86 (C-O of the complex) (Table 1</w:t>
      </w:r>
      <w:r w:rsidRPr="009B5CC1">
        <w:rPr>
          <w:rFonts w:ascii="Times New Roman" w:eastAsia="Calibri" w:hAnsi="Times New Roman" w:cs="Times New Roman"/>
          <w:sz w:val="24"/>
          <w:szCs w:val="24"/>
          <w:lang w:bidi="th-TH"/>
        </w:rPr>
        <w:t>).  Additionally, a unique signal attributable to Co-O appeared at 607 cm</w:t>
      </w:r>
      <w:r w:rsidRPr="009B5CC1">
        <w:rPr>
          <w:rFonts w:ascii="Times New Roman" w:eastAsia="Calibri" w:hAnsi="Times New Roman" w:cs="Times New Roman"/>
          <w:sz w:val="24"/>
          <w:szCs w:val="24"/>
          <w:vertAlign w:val="superscript"/>
          <w:lang w:bidi="th-TH"/>
        </w:rPr>
        <w:t>-1</w:t>
      </w:r>
      <w:r w:rsidRPr="009B5CC1">
        <w:rPr>
          <w:rFonts w:ascii="Times New Roman" w:eastAsia="Calibri" w:hAnsi="Times New Roman" w:cs="Times New Roman"/>
          <w:sz w:val="24"/>
          <w:szCs w:val="24"/>
          <w:lang w:bidi="th-TH"/>
        </w:rPr>
        <w:t xml:space="preserve"> and another noticeable variation in </w:t>
      </w:r>
      <w:r w:rsidRPr="009B5CC1">
        <w:rPr>
          <w:rFonts w:ascii="Times New Roman" w:eastAsia="Calibri" w:hAnsi="Times New Roman" w:cs="Times New Roman"/>
          <w:sz w:val="24"/>
          <w:szCs w:val="24"/>
        </w:rPr>
        <w:t>C-Cl frequency from 540 cm</w:t>
      </w:r>
      <w:r w:rsidRPr="009B5CC1">
        <w:rPr>
          <w:rFonts w:ascii="Times New Roman" w:eastAsia="Calibri" w:hAnsi="Times New Roman" w:cs="Times New Roman"/>
          <w:sz w:val="24"/>
          <w:szCs w:val="24"/>
          <w:vertAlign w:val="superscript"/>
        </w:rPr>
        <w:t>-1</w:t>
      </w:r>
      <w:r w:rsidRPr="009B5CC1">
        <w:rPr>
          <w:rFonts w:ascii="Times New Roman" w:eastAsia="Calibri" w:hAnsi="Times New Roman" w:cs="Times New Roman"/>
          <w:sz w:val="24"/>
          <w:szCs w:val="24"/>
          <w:lang w:bidi="th-TH"/>
        </w:rPr>
        <w:t xml:space="preserve"> to 518 cm</w:t>
      </w:r>
      <w:r w:rsidRPr="009B5CC1">
        <w:rPr>
          <w:rFonts w:ascii="Times New Roman" w:eastAsia="Calibri" w:hAnsi="Times New Roman" w:cs="Times New Roman"/>
          <w:sz w:val="24"/>
          <w:szCs w:val="24"/>
          <w:vertAlign w:val="superscript"/>
          <w:lang w:bidi="th-TH"/>
        </w:rPr>
        <w:t xml:space="preserve">-1 </w:t>
      </w:r>
      <w:r w:rsidRPr="009B5CC1">
        <w:rPr>
          <w:rFonts w:ascii="Times New Roman" w:eastAsia="Calibri" w:hAnsi="Times New Roman" w:cs="Times New Roman"/>
          <w:sz w:val="24"/>
          <w:szCs w:val="24"/>
          <w:lang w:bidi="th-TH"/>
        </w:rPr>
        <w:t>was also observed. Based on the overall information discussed above, the molecular formula [</w:t>
      </w:r>
      <w:proofErr w:type="gramStart"/>
      <w:r w:rsidRPr="009B5CC1">
        <w:rPr>
          <w:rFonts w:ascii="Times New Roman" w:eastAsia="Calibri" w:hAnsi="Times New Roman" w:cs="Times New Roman"/>
          <w:sz w:val="24"/>
          <w:szCs w:val="24"/>
          <w:lang w:bidi="th-TH"/>
        </w:rPr>
        <w:t>Co(</w:t>
      </w:r>
      <w:proofErr w:type="gramEnd"/>
      <w:r w:rsidRPr="009B5CC1">
        <w:rPr>
          <w:rFonts w:ascii="Times New Roman" w:eastAsia="Calibri" w:hAnsi="Times New Roman" w:cs="Times New Roman"/>
          <w:sz w:val="24"/>
          <w:szCs w:val="24"/>
          <w:lang w:bidi="th-TH"/>
        </w:rPr>
        <w:t>L1)</w:t>
      </w:r>
      <w:r w:rsidRPr="009B5CC1">
        <w:rPr>
          <w:rFonts w:ascii="Times New Roman" w:eastAsia="Calibri" w:hAnsi="Times New Roman" w:cs="Times New Roman"/>
          <w:sz w:val="24"/>
          <w:szCs w:val="24"/>
          <w:vertAlign w:val="subscript"/>
          <w:lang w:bidi="th-TH"/>
        </w:rPr>
        <w:t>2</w:t>
      </w:r>
      <w:r w:rsidRPr="009B5CC1">
        <w:rPr>
          <w:rFonts w:ascii="Times New Roman" w:eastAsia="Calibri" w:hAnsi="Times New Roman" w:cs="Times New Roman"/>
          <w:sz w:val="24"/>
          <w:szCs w:val="24"/>
          <w:lang w:bidi="th-TH"/>
        </w:rPr>
        <w:t>(H</w:t>
      </w:r>
      <w:r w:rsidRPr="009B5CC1">
        <w:rPr>
          <w:rFonts w:ascii="Times New Roman" w:eastAsia="Calibri" w:hAnsi="Times New Roman" w:cs="Times New Roman"/>
          <w:sz w:val="24"/>
          <w:szCs w:val="24"/>
          <w:vertAlign w:val="subscript"/>
          <w:lang w:bidi="th-TH"/>
        </w:rPr>
        <w:t>2</w:t>
      </w:r>
      <w:r w:rsidRPr="009B5CC1">
        <w:rPr>
          <w:rFonts w:ascii="Times New Roman" w:eastAsia="Calibri" w:hAnsi="Times New Roman" w:cs="Times New Roman"/>
          <w:sz w:val="24"/>
          <w:szCs w:val="24"/>
          <w:lang w:bidi="th-TH"/>
        </w:rPr>
        <w:t>O)</w:t>
      </w:r>
      <w:r w:rsidRPr="009B5CC1">
        <w:rPr>
          <w:rFonts w:ascii="Times New Roman" w:eastAsia="Calibri" w:hAnsi="Times New Roman" w:cs="Times New Roman"/>
          <w:sz w:val="24"/>
          <w:szCs w:val="24"/>
          <w:vertAlign w:val="subscript"/>
          <w:lang w:bidi="th-TH"/>
        </w:rPr>
        <w:t>4</w:t>
      </w:r>
      <w:r w:rsidRPr="009B5CC1">
        <w:rPr>
          <w:rFonts w:ascii="Times New Roman" w:eastAsia="Calibri" w:hAnsi="Times New Roman" w:cs="Times New Roman"/>
          <w:sz w:val="24"/>
          <w:szCs w:val="24"/>
          <w:lang w:bidi="th-TH"/>
        </w:rPr>
        <w:t>]</w:t>
      </w:r>
      <w:r w:rsidRPr="009B5CC1">
        <w:rPr>
          <w:rFonts w:ascii="Times New Roman" w:eastAsia="Calibri" w:hAnsi="Times New Roman" w:cs="Times New Roman"/>
          <w:sz w:val="24"/>
          <w:szCs w:val="24"/>
          <w:vertAlign w:val="superscript"/>
          <w:lang w:bidi="th-TH"/>
        </w:rPr>
        <w:t>+3</w:t>
      </w:r>
      <w:r w:rsidRPr="009B5CC1">
        <w:rPr>
          <w:rFonts w:ascii="Times New Roman" w:eastAsia="Calibri" w:hAnsi="Times New Roman" w:cs="Times New Roman"/>
          <w:sz w:val="24"/>
          <w:szCs w:val="24"/>
          <w:lang w:bidi="th-TH"/>
        </w:rPr>
        <w:t xml:space="preserve"> and structural formula (Fig. 1c) was established for the compound </w:t>
      </w:r>
      <w:r w:rsidRPr="009B5CC1">
        <w:rPr>
          <w:rFonts w:ascii="Times New Roman" w:eastAsia="Calibri" w:hAnsi="Times New Roman" w:cs="Times New Roman"/>
          <w:b/>
          <w:sz w:val="24"/>
          <w:szCs w:val="24"/>
          <w:lang w:bidi="th-TH"/>
        </w:rPr>
        <w:t>5</w:t>
      </w:r>
      <w:r w:rsidRPr="009B5CC1">
        <w:rPr>
          <w:rFonts w:ascii="Times New Roman" w:eastAsia="Calibri" w:hAnsi="Times New Roman" w:cs="Times New Roman"/>
          <w:sz w:val="24"/>
          <w:szCs w:val="24"/>
          <w:lang w:bidi="th-TH"/>
        </w:rPr>
        <w:t>.</w:t>
      </w:r>
    </w:p>
    <w:p w:rsidR="00FB5B27" w:rsidRDefault="003A6E3C" w:rsidP="00623062">
      <w:pPr>
        <w:tabs>
          <w:tab w:val="left" w:pos="425"/>
        </w:tabs>
        <w:spacing w:before="40" w:after="0" w:line="360" w:lineRule="auto"/>
        <w:contextualSpacing/>
        <w:jc w:val="both"/>
        <w:rPr>
          <w:rFonts w:ascii="Times New Roman" w:eastAsia="Calibri" w:hAnsi="Times New Roman" w:cs="Times New Roman"/>
          <w:sz w:val="24"/>
          <w:szCs w:val="24"/>
          <w:lang w:bidi="th-TH"/>
        </w:rPr>
      </w:pPr>
      <w:r w:rsidRPr="009B5CC1">
        <w:rPr>
          <w:rFonts w:ascii="Times New Roman" w:eastAsia="Calibri" w:hAnsi="Times New Roman" w:cs="Times New Roman"/>
          <w:sz w:val="24"/>
          <w:szCs w:val="24"/>
          <w:lang w:bidi="th-TH"/>
        </w:rPr>
        <w:lastRenderedPageBreak/>
        <w:t>FTIR analysis for the Ni</w:t>
      </w:r>
      <w:r w:rsidRPr="009B5CC1">
        <w:rPr>
          <w:rFonts w:ascii="Times New Roman" w:eastAsia="Calibri" w:hAnsi="Times New Roman" w:cs="Times New Roman"/>
          <w:sz w:val="24"/>
          <w:szCs w:val="24"/>
          <w:vertAlign w:val="superscript"/>
          <w:lang w:bidi="th-TH"/>
        </w:rPr>
        <w:t>+2</w:t>
      </w:r>
      <w:r w:rsidRPr="009B5CC1">
        <w:rPr>
          <w:rFonts w:ascii="Times New Roman" w:eastAsia="Calibri" w:hAnsi="Times New Roman" w:cs="Times New Roman"/>
          <w:sz w:val="24"/>
          <w:szCs w:val="24"/>
          <w:lang w:bidi="th-TH"/>
        </w:rPr>
        <w:t xml:space="preserve"> complex (compound </w:t>
      </w:r>
      <w:r w:rsidRPr="009B5CC1">
        <w:rPr>
          <w:rFonts w:ascii="Times New Roman" w:eastAsia="Calibri" w:hAnsi="Times New Roman" w:cs="Times New Roman"/>
          <w:b/>
          <w:sz w:val="24"/>
          <w:szCs w:val="24"/>
          <w:lang w:bidi="th-TH"/>
        </w:rPr>
        <w:t>6</w:t>
      </w:r>
      <w:r w:rsidRPr="009B5CC1">
        <w:rPr>
          <w:rFonts w:ascii="Times New Roman" w:eastAsia="Calibri" w:hAnsi="Times New Roman" w:cs="Times New Roman"/>
          <w:sz w:val="24"/>
          <w:szCs w:val="24"/>
          <w:lang w:bidi="th-TH"/>
        </w:rPr>
        <w:t>) showed peaks for all the prominent functional groups along with some informative shifts which revealed the complex formation. Such as, an extremely weak band, almost negligible at 1640 cm</w:t>
      </w:r>
      <w:r w:rsidRPr="009B5CC1">
        <w:rPr>
          <w:rFonts w:ascii="Times New Roman" w:eastAsia="Calibri" w:hAnsi="Times New Roman" w:cs="Times New Roman"/>
          <w:sz w:val="24"/>
          <w:szCs w:val="24"/>
          <w:vertAlign w:val="superscript"/>
          <w:lang w:bidi="th-TH"/>
        </w:rPr>
        <w:t>-1</w:t>
      </w:r>
      <w:r w:rsidRPr="009B5CC1">
        <w:rPr>
          <w:rFonts w:ascii="Times New Roman" w:eastAsia="Calibri" w:hAnsi="Times New Roman" w:cs="Times New Roman"/>
          <w:sz w:val="24"/>
          <w:szCs w:val="24"/>
          <w:lang w:bidi="th-TH"/>
        </w:rPr>
        <w:t xml:space="preserve"> correspond to carbonyl group which was comparatively at lower frequency than its precursor (Ligand) carbonyl absorption (1714 cm</w:t>
      </w:r>
      <w:r w:rsidRPr="009B5CC1">
        <w:rPr>
          <w:rFonts w:ascii="Times New Roman" w:eastAsia="Calibri" w:hAnsi="Times New Roman" w:cs="Times New Roman"/>
          <w:sz w:val="24"/>
          <w:szCs w:val="24"/>
          <w:vertAlign w:val="superscript"/>
          <w:lang w:bidi="th-TH"/>
        </w:rPr>
        <w:t>-1</w:t>
      </w:r>
      <w:r w:rsidRPr="009B5CC1">
        <w:rPr>
          <w:rFonts w:ascii="Times New Roman" w:eastAsia="Calibri" w:hAnsi="Times New Roman" w:cs="Times New Roman"/>
          <w:sz w:val="24"/>
          <w:szCs w:val="24"/>
          <w:lang w:bidi="th-TH"/>
        </w:rPr>
        <w:t>). It suggests carbonyl coordination upon complex formation. Moreover, the peaks at 609 cm</w:t>
      </w:r>
      <w:r w:rsidRPr="009B5CC1">
        <w:rPr>
          <w:rFonts w:ascii="Times New Roman" w:eastAsia="Calibri" w:hAnsi="Times New Roman" w:cs="Times New Roman"/>
          <w:sz w:val="24"/>
          <w:szCs w:val="24"/>
          <w:vertAlign w:val="superscript"/>
          <w:lang w:bidi="th-TH"/>
        </w:rPr>
        <w:t>-1</w:t>
      </w:r>
      <w:r w:rsidRPr="009B5CC1">
        <w:rPr>
          <w:rFonts w:ascii="Times New Roman" w:eastAsia="Calibri" w:hAnsi="Times New Roman" w:cs="Times New Roman"/>
          <w:sz w:val="24"/>
          <w:szCs w:val="24"/>
          <w:lang w:bidi="th-TH"/>
        </w:rPr>
        <w:t xml:space="preserve"> and 455 cm</w:t>
      </w:r>
      <w:r w:rsidRPr="009B5CC1">
        <w:rPr>
          <w:rFonts w:ascii="Times New Roman" w:eastAsia="Calibri" w:hAnsi="Times New Roman" w:cs="Times New Roman"/>
          <w:sz w:val="24"/>
          <w:szCs w:val="24"/>
          <w:vertAlign w:val="superscript"/>
          <w:lang w:bidi="th-TH"/>
        </w:rPr>
        <w:t>-1</w:t>
      </w:r>
      <w:r w:rsidRPr="009B5CC1">
        <w:rPr>
          <w:rFonts w:ascii="Times New Roman" w:eastAsia="Calibri" w:hAnsi="Times New Roman" w:cs="Times New Roman"/>
          <w:sz w:val="24"/>
          <w:szCs w:val="24"/>
          <w:lang w:bidi="th-TH"/>
        </w:rPr>
        <w:t xml:space="preserve"> were assigned to Ni-O and C-Cl groups, respectively. Additionally the –OH and =CH groups exhibited peaks at 3450-3350 cm</w:t>
      </w:r>
      <w:r w:rsidRPr="009B5CC1">
        <w:rPr>
          <w:rFonts w:ascii="Times New Roman" w:eastAsia="Calibri" w:hAnsi="Times New Roman" w:cs="Times New Roman"/>
          <w:sz w:val="24"/>
          <w:szCs w:val="24"/>
          <w:vertAlign w:val="superscript"/>
          <w:lang w:bidi="th-TH"/>
        </w:rPr>
        <w:t>-1</w:t>
      </w:r>
      <w:r w:rsidRPr="009B5CC1">
        <w:rPr>
          <w:rFonts w:ascii="Times New Roman" w:eastAsia="Calibri" w:hAnsi="Times New Roman" w:cs="Times New Roman"/>
          <w:sz w:val="24"/>
          <w:szCs w:val="24"/>
          <w:lang w:bidi="th-TH"/>
        </w:rPr>
        <w:t xml:space="preserve"> (broad) and 3005 cm</w:t>
      </w:r>
      <w:r w:rsidRPr="009B5CC1">
        <w:rPr>
          <w:rFonts w:ascii="Times New Roman" w:eastAsia="Calibri" w:hAnsi="Times New Roman" w:cs="Times New Roman"/>
          <w:sz w:val="24"/>
          <w:szCs w:val="24"/>
          <w:vertAlign w:val="superscript"/>
          <w:lang w:bidi="th-TH"/>
        </w:rPr>
        <w:t>-1</w:t>
      </w:r>
      <w:r w:rsidRPr="009B5CC1">
        <w:rPr>
          <w:rFonts w:ascii="Times New Roman" w:eastAsia="Calibri" w:hAnsi="Times New Roman" w:cs="Times New Roman"/>
          <w:sz w:val="24"/>
          <w:szCs w:val="24"/>
          <w:lang w:bidi="th-TH"/>
        </w:rPr>
        <w:t>, respectively. Furthermore, we have also observed peaks for C=C bond at 1643 cm</w:t>
      </w:r>
      <w:r w:rsidRPr="009B5CC1">
        <w:rPr>
          <w:rFonts w:ascii="Times New Roman" w:eastAsia="Calibri" w:hAnsi="Times New Roman" w:cs="Times New Roman"/>
          <w:sz w:val="24"/>
          <w:szCs w:val="24"/>
          <w:vertAlign w:val="superscript"/>
          <w:lang w:bidi="th-TH"/>
        </w:rPr>
        <w:t>-1</w:t>
      </w:r>
      <w:r w:rsidRPr="009B5CC1">
        <w:rPr>
          <w:rFonts w:ascii="Times New Roman" w:eastAsia="Calibri" w:hAnsi="Times New Roman" w:cs="Times New Roman"/>
          <w:sz w:val="24"/>
          <w:szCs w:val="24"/>
          <w:lang w:bidi="th-TH"/>
        </w:rPr>
        <w:t xml:space="preserve"> with no significant shift and simultaneously demonstrating that C=C do not participate in </w:t>
      </w:r>
      <w:proofErr w:type="spellStart"/>
      <w:r w:rsidRPr="009B5CC1">
        <w:rPr>
          <w:rFonts w:ascii="Times New Roman" w:eastAsia="Calibri" w:hAnsi="Times New Roman" w:cs="Times New Roman"/>
          <w:sz w:val="24"/>
          <w:szCs w:val="24"/>
          <w:lang w:bidi="th-TH"/>
        </w:rPr>
        <w:t>complexation</w:t>
      </w:r>
      <w:proofErr w:type="spellEnd"/>
      <w:r w:rsidRPr="009B5CC1">
        <w:rPr>
          <w:rFonts w:ascii="Times New Roman" w:eastAsia="Calibri" w:hAnsi="Times New Roman" w:cs="Times New Roman"/>
          <w:sz w:val="24"/>
          <w:szCs w:val="24"/>
          <w:lang w:bidi="th-TH"/>
        </w:rPr>
        <w:t xml:space="preserve"> (Fig. 1d). In spite of that we have also observed sharp peak instead at 3880-3886 cm</w:t>
      </w:r>
      <w:r w:rsidRPr="009B5CC1">
        <w:rPr>
          <w:rFonts w:ascii="Times New Roman" w:eastAsia="Calibri" w:hAnsi="Times New Roman" w:cs="Times New Roman"/>
          <w:sz w:val="24"/>
          <w:szCs w:val="24"/>
          <w:vertAlign w:val="superscript"/>
          <w:lang w:bidi="th-TH"/>
        </w:rPr>
        <w:t>-1</w:t>
      </w:r>
      <w:r w:rsidRPr="009B5CC1">
        <w:rPr>
          <w:rFonts w:ascii="Times New Roman" w:eastAsia="Calibri" w:hAnsi="Times New Roman" w:cs="Times New Roman"/>
          <w:sz w:val="24"/>
          <w:szCs w:val="24"/>
          <w:lang w:bidi="th-TH"/>
        </w:rPr>
        <w:t xml:space="preserve"> of same (-OH) functional group. The difference is observed due to the presence of moisture in the compound, which has provided interference during recording of spectrum</w:t>
      </w:r>
      <w:r w:rsidR="006E7F4F">
        <w:rPr>
          <w:rFonts w:ascii="Times New Roman" w:eastAsia="Calibri" w:hAnsi="Times New Roman" w:cs="Times New Roman"/>
          <w:sz w:val="24"/>
          <w:szCs w:val="24"/>
          <w:lang w:bidi="th-TH"/>
        </w:rPr>
        <w:t>.</w:t>
      </w:r>
      <w:r w:rsidRPr="009B5CC1">
        <w:rPr>
          <w:rFonts w:ascii="Times New Roman" w:eastAsia="Calibri" w:hAnsi="Times New Roman" w:cs="Times New Roman"/>
          <w:sz w:val="24"/>
          <w:szCs w:val="24"/>
          <w:lang w:bidi="th-TH"/>
        </w:rPr>
        <w:fldChar w:fldCharType="begin" w:fldLock="1"/>
      </w:r>
      <w:r w:rsidR="00276B78">
        <w:rPr>
          <w:rFonts w:ascii="Times New Roman" w:eastAsia="Calibri" w:hAnsi="Times New Roman" w:cs="Times New Roman"/>
          <w:sz w:val="24"/>
          <w:szCs w:val="24"/>
          <w:lang w:bidi="th-TH"/>
        </w:rPr>
        <w:instrText>ADDIN CSL_CITATION {"citationItems":[{"id":"ITEM-1","itemData":{"DOI":"10.1016/j.saa.2008.02.016","ISSN":"13861425","PMID":"18358770","abstract":"In this work, we will report a combined experimental and theoretical study on molecular and vibrational structure of 4-N,N′-dimethylamino pyridine (4NN′DMAP). The Fourier transform infrared and Fourier transform Raman spectra of 4NN′DMAP was recorded in the solid phase. The optimized geometry was calculated by HF and B3LYP methods with 6-31G(d,p) and 6-311++G(d,p) basis sets. The harmonic vibrational frequencies, infrared intensities and Raman scattering activities of the title compound were performed at same level of theories. The scaled theoretical wavenumber showed very good agreement with the experimental values. The thermodynamic functions of the title compound was also performed at HF/6-31G(d,p) and B3LYP/6-311++G(d,p) level of theories. A detailed interpretation of the infrared and Raman spectra of 4NN′DMAP was reported. The theoretical spectrograms for FT-IR and FT-Raman spectra of the title molecule have been constructed. © 2008 Elsevier B.V. All rights reserved.","author":[{"dropping-particle":"","family":"Sundaraganesan","given":"N.","non-dropping-particle":"","parse-names":false,"suffix":""},{"dropping-particle":"","family":"Kalaichelvan","given":"S.","non-dropping-particle":"","parse-names":false,"suffix":""},{"dropping-particle":"","family":"Meganathan","given":"C.","non-dropping-particle":"","parse-names":false,"suffix":""},{"dropping-particle":"","family":"Joshua","given":"B. Dominic","non-dropping-particle":"","parse-names":false,"suffix":""},{"dropping-particle":"","family":"Cornard","given":"J.","non-dropping-particle":"","parse-names":false,"suffix":""}],"container-title":"Spectrochimica Acta - Part A: Molecular and Biomolecular Spectroscopy","id":"ITEM-1","issue":"3","issued":{"date-parts":[["2008"]]},"page":"898-906","title":"FT-IR, FT-Raman spectra and ab initio HF and DFT calculations of 4-N,N′-dimethylamino pyridine","type":"article-journal","volume":"71"},"uris":["http://www.mendeley.com/documents/?uuid=ffd99934-d339-4e26-b6ef-f11665ab39f3"]}],"mendeley":{"formattedCitation":"&lt;sup&gt;31&lt;/sup&gt;","plainTextFormattedCitation":"31","previouslyFormattedCitation":"&lt;sup&gt;31&lt;/sup&gt;"},"properties":{"noteIndex":0},"schema":"https://github.com/citation-style-language/schema/raw/master/csl-citation.json"}</w:instrText>
      </w:r>
      <w:r w:rsidRPr="009B5CC1">
        <w:rPr>
          <w:rFonts w:ascii="Times New Roman" w:eastAsia="Calibri" w:hAnsi="Times New Roman" w:cs="Times New Roman"/>
          <w:sz w:val="24"/>
          <w:szCs w:val="24"/>
          <w:lang w:bidi="th-TH"/>
        </w:rPr>
        <w:fldChar w:fldCharType="separate"/>
      </w:r>
      <w:r w:rsidR="00276B78" w:rsidRPr="00276B78">
        <w:rPr>
          <w:rFonts w:ascii="Times New Roman" w:eastAsia="Calibri" w:hAnsi="Times New Roman" w:cs="Times New Roman"/>
          <w:noProof/>
          <w:sz w:val="24"/>
          <w:szCs w:val="24"/>
          <w:vertAlign w:val="superscript"/>
          <w:lang w:bidi="th-TH"/>
        </w:rPr>
        <w:t>31</w:t>
      </w:r>
      <w:r w:rsidRPr="009B5CC1">
        <w:rPr>
          <w:rFonts w:ascii="Times New Roman" w:eastAsia="Calibri" w:hAnsi="Times New Roman" w:cs="Times New Roman"/>
          <w:sz w:val="24"/>
          <w:szCs w:val="24"/>
          <w:lang w:bidi="th-TH"/>
        </w:rPr>
        <w:fldChar w:fldCharType="end"/>
      </w:r>
      <w:r w:rsidRPr="009B5CC1">
        <w:rPr>
          <w:rFonts w:ascii="Times New Roman" w:eastAsia="Calibri" w:hAnsi="Times New Roman" w:cs="Times New Roman"/>
          <w:sz w:val="24"/>
          <w:szCs w:val="24"/>
          <w:lang w:bidi="th-TH"/>
        </w:rPr>
        <w:t xml:space="preserve"> Likewise, the remaining functional groups show a little change in the calculated values as is evident from their sharp pointed peaks at exact frequencies. In the observed spectrum these small peaks overlap with each other to give loops</w:t>
      </w:r>
      <w:r w:rsidRPr="009B5CC1">
        <w:rPr>
          <w:rFonts w:ascii="Times New Roman" w:eastAsia="Calibri" w:hAnsi="Times New Roman" w:cs="Times New Roman"/>
          <w:sz w:val="24"/>
          <w:szCs w:val="24"/>
        </w:rPr>
        <w:t xml:space="preserve"> </w:t>
      </w:r>
      <w:r w:rsidRPr="009B5CC1">
        <w:rPr>
          <w:rFonts w:ascii="Times New Roman" w:eastAsia="Calibri" w:hAnsi="Times New Roman" w:cs="Times New Roman"/>
          <w:sz w:val="24"/>
          <w:szCs w:val="24"/>
          <w:lang w:bidi="th-TH"/>
        </w:rPr>
        <w:t>instead of sharp pointed peaks obtained in the theoretical spectrum (Fig. 3a &amp; Fig. 3b).</w:t>
      </w:r>
      <w:r w:rsidR="006E7F4F">
        <w:rPr>
          <w:rFonts w:ascii="Times New Roman" w:eastAsia="Calibri" w:hAnsi="Times New Roman" w:cs="Times New Roman"/>
          <w:sz w:val="24"/>
          <w:szCs w:val="24"/>
          <w:lang w:bidi="th-TH"/>
        </w:rPr>
        <w:fldChar w:fldCharType="begin" w:fldLock="1"/>
      </w:r>
      <w:r w:rsidR="00276B78">
        <w:rPr>
          <w:rFonts w:ascii="Times New Roman" w:eastAsia="Calibri" w:hAnsi="Times New Roman" w:cs="Times New Roman"/>
          <w:sz w:val="24"/>
          <w:szCs w:val="24"/>
          <w:lang w:bidi="th-TH"/>
        </w:rPr>
        <w:instrText>ADDIN CSL_CITATION {"citationItems":[{"id":"ITEM-1","itemData":{"DOI":"10.1016/j.saa.2010.09.016","ISSN":"13861425","PMID":"20940104","abstract":"In this work the electronic structure of (E)-4-methoxy-2-[(p-tolylimino) methyl]phenol has been characterized by the B3LYP/6-31G(d) level by using density functional theory. The experimental infrared and electronic absorption spectra have been obtained and compared with the theoretically obtained ones. Molecular electrostatic potential map has been evaluated; natural bond orbital and frontier molecular orbitals analysis have been performed from the optimized geometry. The energetic behavior of the title compound has been examined in solvent media using polarizable continuum model. The non-linear optical properties have been computed with the same level of theory. In addition, the changes of thermodynamic properties have been obtained in the range of 100-500 K. © 2010 Elsevier B.V. All rights reserved.","author":[{"dropping-particle":"","family":"Kosar","given":"Basak","non-dropping-particle":"","parse-names":false,"suffix":""},{"dropping-particle":"","family":"Albayrak","given":"Cigdem","non-dropping-particle":"","parse-names":false,"suffix":""}],"container-title":"Spectrochimica Acta - Part A: Molecular and Biomolecular Spectroscopy","id":"ITEM-1","issue":"1","issued":{"date-parts":[["2011"]]},"page":"160-167","publisher":"Elsevier B.V.","title":"Spectroscopic investigations and quantum chemical computational study of (E)-4-methoxy-2-[(p-tolylimino)methyl]phenol","type":"article-journal","volume":"78"},"uris":["http://www.mendeley.com/documents/?uuid=1abc3de5-36b4-4440-8d75-1904f6a6401a"]}],"mendeley":{"formattedCitation":"&lt;sup&gt;30&lt;/sup&gt;","plainTextFormattedCitation":"30","previouslyFormattedCitation":"&lt;sup&gt;30&lt;/sup&gt;"},"properties":{"noteIndex":0},"schema":"https://github.com/citation-style-language/schema/raw/master/csl-citation.json"}</w:instrText>
      </w:r>
      <w:r w:rsidR="006E7F4F">
        <w:rPr>
          <w:rFonts w:ascii="Times New Roman" w:eastAsia="Calibri" w:hAnsi="Times New Roman" w:cs="Times New Roman"/>
          <w:sz w:val="24"/>
          <w:szCs w:val="24"/>
          <w:lang w:bidi="th-TH"/>
        </w:rPr>
        <w:fldChar w:fldCharType="separate"/>
      </w:r>
      <w:r w:rsidR="00276B78" w:rsidRPr="00276B78">
        <w:rPr>
          <w:rFonts w:ascii="Times New Roman" w:eastAsia="Calibri" w:hAnsi="Times New Roman" w:cs="Times New Roman"/>
          <w:noProof/>
          <w:sz w:val="24"/>
          <w:szCs w:val="24"/>
          <w:vertAlign w:val="superscript"/>
          <w:lang w:bidi="th-TH"/>
        </w:rPr>
        <w:t>30</w:t>
      </w:r>
      <w:r w:rsidR="006E7F4F">
        <w:rPr>
          <w:rFonts w:ascii="Times New Roman" w:eastAsia="Calibri" w:hAnsi="Times New Roman" w:cs="Times New Roman"/>
          <w:sz w:val="24"/>
          <w:szCs w:val="24"/>
          <w:lang w:bidi="th-TH"/>
        </w:rPr>
        <w:fldChar w:fldCharType="end"/>
      </w:r>
      <w:r w:rsidRPr="009B5CC1">
        <w:rPr>
          <w:rFonts w:ascii="Times New Roman" w:eastAsia="Calibri" w:hAnsi="Times New Roman" w:cs="Times New Roman"/>
          <w:sz w:val="24"/>
          <w:szCs w:val="24"/>
          <w:lang w:bidi="th-TH"/>
        </w:rPr>
        <w:t xml:space="preserve"> Nevertheless, we have obtained good agreement in the observed and c</w:t>
      </w:r>
      <w:r w:rsidR="006E7F4F">
        <w:rPr>
          <w:rFonts w:ascii="Times New Roman" w:eastAsia="Calibri" w:hAnsi="Times New Roman" w:cs="Times New Roman"/>
          <w:sz w:val="24"/>
          <w:szCs w:val="24"/>
          <w:lang w:bidi="th-TH"/>
        </w:rPr>
        <w:t>alculated values of frequencies</w:t>
      </w:r>
      <w:r w:rsidRPr="009B5CC1">
        <w:rPr>
          <w:rFonts w:ascii="Times New Roman" w:eastAsia="Calibri" w:hAnsi="Times New Roman" w:cs="Times New Roman"/>
          <w:sz w:val="24"/>
          <w:szCs w:val="24"/>
          <w:lang w:bidi="th-TH"/>
        </w:rPr>
        <w:t xml:space="preserve"> and deduces the formula [Ni(L1)</w:t>
      </w:r>
      <w:r w:rsidRPr="009B5CC1">
        <w:rPr>
          <w:rFonts w:ascii="Times New Roman" w:eastAsia="Calibri" w:hAnsi="Times New Roman" w:cs="Times New Roman"/>
          <w:sz w:val="24"/>
          <w:szCs w:val="24"/>
          <w:vertAlign w:val="subscript"/>
          <w:lang w:bidi="th-TH"/>
        </w:rPr>
        <w:t>2</w:t>
      </w:r>
      <w:r w:rsidRPr="009B5CC1">
        <w:rPr>
          <w:rFonts w:ascii="Times New Roman" w:eastAsia="Calibri" w:hAnsi="Times New Roman" w:cs="Times New Roman"/>
          <w:sz w:val="24"/>
          <w:szCs w:val="24"/>
          <w:lang w:bidi="th-TH"/>
        </w:rPr>
        <w:t>(H</w:t>
      </w:r>
      <w:r w:rsidRPr="009B5CC1">
        <w:rPr>
          <w:rFonts w:ascii="Times New Roman" w:eastAsia="Calibri" w:hAnsi="Times New Roman" w:cs="Times New Roman"/>
          <w:sz w:val="24"/>
          <w:szCs w:val="24"/>
          <w:vertAlign w:val="subscript"/>
          <w:lang w:bidi="th-TH"/>
        </w:rPr>
        <w:t>2</w:t>
      </w:r>
      <w:r w:rsidRPr="009B5CC1">
        <w:rPr>
          <w:rFonts w:ascii="Times New Roman" w:eastAsia="Calibri" w:hAnsi="Times New Roman" w:cs="Times New Roman"/>
          <w:sz w:val="24"/>
          <w:szCs w:val="24"/>
          <w:lang w:bidi="th-TH"/>
        </w:rPr>
        <w:t>O)</w:t>
      </w:r>
      <w:r w:rsidRPr="009B5CC1">
        <w:rPr>
          <w:rFonts w:ascii="Times New Roman" w:eastAsia="Calibri" w:hAnsi="Times New Roman" w:cs="Times New Roman"/>
          <w:sz w:val="24"/>
          <w:szCs w:val="24"/>
          <w:vertAlign w:val="subscript"/>
          <w:lang w:bidi="th-TH"/>
        </w:rPr>
        <w:t>2</w:t>
      </w:r>
      <w:r w:rsidRPr="009B5CC1">
        <w:rPr>
          <w:rFonts w:ascii="Times New Roman" w:eastAsia="Calibri" w:hAnsi="Times New Roman" w:cs="Times New Roman"/>
          <w:sz w:val="24"/>
          <w:szCs w:val="24"/>
          <w:lang w:bidi="th-TH"/>
        </w:rPr>
        <w:t>]</w:t>
      </w:r>
      <w:r w:rsidRPr="009B5CC1">
        <w:rPr>
          <w:rFonts w:ascii="Times New Roman" w:eastAsia="Calibri" w:hAnsi="Times New Roman" w:cs="Times New Roman"/>
          <w:sz w:val="24"/>
          <w:szCs w:val="24"/>
          <w:vertAlign w:val="superscript"/>
          <w:lang w:bidi="th-TH"/>
        </w:rPr>
        <w:t>+2</w:t>
      </w:r>
      <w:r w:rsidRPr="009B5CC1">
        <w:rPr>
          <w:rFonts w:ascii="Times New Roman" w:eastAsia="Calibri" w:hAnsi="Times New Roman" w:cs="Times New Roman"/>
          <w:sz w:val="24"/>
          <w:szCs w:val="24"/>
          <w:lang w:bidi="th-TH"/>
        </w:rPr>
        <w:t>.</w:t>
      </w:r>
      <w:r w:rsidR="006E7F4F">
        <w:rPr>
          <w:rFonts w:ascii="Times New Roman" w:eastAsia="Calibri" w:hAnsi="Times New Roman" w:cs="Times New Roman"/>
          <w:sz w:val="24"/>
          <w:szCs w:val="24"/>
          <w:lang w:bidi="th-TH"/>
        </w:rPr>
        <w:fldChar w:fldCharType="begin" w:fldLock="1"/>
      </w:r>
      <w:r w:rsidR="00276B78">
        <w:rPr>
          <w:rFonts w:ascii="Times New Roman" w:eastAsia="Calibri" w:hAnsi="Times New Roman" w:cs="Times New Roman"/>
          <w:sz w:val="24"/>
          <w:szCs w:val="24"/>
          <w:lang w:bidi="th-TH"/>
        </w:rPr>
        <w:instrText>ADDIN CSL_CITATION {"citationItems":[{"id":"ITEM-1","itemData":{"DOI":"10.9734/ajacr/2019/v3i330093","abstract":"The salophen ligand and its complexes of Ni(II), Co(II), Cu(II), and Mn(II) are explored in terms of synthesis, conductivity; magnetic measurements, elemental analysis, FT-IR; electronic spectra, and antibacterial activities. The 3D molecular modeling structures of the ligand and its metal complexes are obtained by using Argus lab software. The experimental data shows that the ligand is tetradentate and bonded to the metal ion via N2O2 donor atoms. Antibacterial activity of the synthesized compounds are checked against the microbes Bacillus cereus and Escherichia coli. The metal complexes exhibit antibacterial activity higher than that of the free ligand. This works contributes to the science of Schiff base compounds, in addition to stimulating the synthesis of new ligands and its complexes for the future advancement of coordination chemistry.","author":[{"dropping-particle":"","family":"Asraf","given":"Md. Ali","non-dropping-particle":"","parse-names":false,"suffix":""},{"dropping-particle":"","family":"Rahman","given":"Md. Mahbubur","non-dropping-particle":"","parse-names":false,"suffix":""},{"dropping-particle":"","family":"Kabiraz","given":"D. C.","non-dropping-particle":"","parse-names":false,"suffix":""},{"dropping-particle":"","family":"Ansary","given":"Rezaul H.","non-dropping-particle":"","parse-names":false,"suffix":""},{"dropping-particle":"","family":"Hossen","given":"Md. Faruk","non-dropping-particle":"","parse-names":false,"suffix":""},{"dropping-particle":"","family":"Haque","given":"Md. Fazlul","non-dropping-particle":"","parse-names":false,"suffix":""},{"dropping-particle":"","family":"Zakaria","given":"C. M.","non-dropping-particle":"","parse-names":false,"suffix":""}],"container-title":"Asian Journal of Applied Chemistry Research","id":"ITEM-1","issue":"3","issued":{"date-parts":[["2019"]]},"page":"1-15","title":"Structural Elucidation, 3D Molecular Modeling and Antibacterial Activity of Ni (II), Co (II), Cu (II) and Mn (II) Complexes Containing Salophen Ligand","type":"article-journal","volume":"3"},"uris":["http://www.mendeley.com/documents/?uuid=ab974219-d921-4b78-bb5f-383b9350f7c2"]}],"mendeley":{"formattedCitation":"&lt;sup&gt;36&lt;/sup&gt;","plainTextFormattedCitation":"36","previouslyFormattedCitation":"&lt;sup&gt;36&lt;/sup&gt;"},"properties":{"noteIndex":0},"schema":"https://github.com/citation-style-language/schema/raw/master/csl-citation.json"}</w:instrText>
      </w:r>
      <w:r w:rsidR="006E7F4F">
        <w:rPr>
          <w:rFonts w:ascii="Times New Roman" w:eastAsia="Calibri" w:hAnsi="Times New Roman" w:cs="Times New Roman"/>
          <w:sz w:val="24"/>
          <w:szCs w:val="24"/>
          <w:lang w:bidi="th-TH"/>
        </w:rPr>
        <w:fldChar w:fldCharType="separate"/>
      </w:r>
      <w:r w:rsidR="00276B78" w:rsidRPr="00276B78">
        <w:rPr>
          <w:rFonts w:ascii="Times New Roman" w:eastAsia="Calibri" w:hAnsi="Times New Roman" w:cs="Times New Roman"/>
          <w:noProof/>
          <w:sz w:val="24"/>
          <w:szCs w:val="24"/>
          <w:vertAlign w:val="superscript"/>
          <w:lang w:bidi="th-TH"/>
        </w:rPr>
        <w:t>36</w:t>
      </w:r>
      <w:r w:rsidR="006E7F4F">
        <w:rPr>
          <w:rFonts w:ascii="Times New Roman" w:eastAsia="Calibri" w:hAnsi="Times New Roman" w:cs="Times New Roman"/>
          <w:sz w:val="24"/>
          <w:szCs w:val="24"/>
          <w:lang w:bidi="th-TH"/>
        </w:rPr>
        <w:fldChar w:fldCharType="end"/>
      </w:r>
    </w:p>
    <w:p w:rsidR="00947764" w:rsidRDefault="00947764" w:rsidP="00163CBA">
      <w:pPr>
        <w:tabs>
          <w:tab w:val="left" w:pos="425"/>
        </w:tabs>
        <w:spacing w:before="40" w:after="0" w:line="360" w:lineRule="auto"/>
        <w:contextualSpacing/>
        <w:jc w:val="center"/>
        <w:rPr>
          <w:rFonts w:ascii="Times New Roman" w:eastAsia="Calibri" w:hAnsi="Times New Roman" w:cs="Times New Roman"/>
          <w:noProof/>
          <w:sz w:val="24"/>
          <w:szCs w:val="24"/>
        </w:rPr>
      </w:pPr>
    </w:p>
    <w:p w:rsidR="00623062" w:rsidRPr="00163CBA" w:rsidRDefault="00623062" w:rsidP="00163CBA">
      <w:pPr>
        <w:tabs>
          <w:tab w:val="left" w:pos="425"/>
        </w:tabs>
        <w:spacing w:before="40" w:after="0" w:line="360" w:lineRule="auto"/>
        <w:contextualSpacing/>
        <w:jc w:val="center"/>
        <w:rPr>
          <w:rFonts w:ascii="Times New Roman" w:eastAsia="Calibri" w:hAnsi="Times New Roman" w:cs="Times New Roman"/>
          <w:sz w:val="24"/>
          <w:szCs w:val="24"/>
          <w:lang w:bidi="th-TH"/>
        </w:rPr>
      </w:pPr>
      <w:r w:rsidRPr="00623062">
        <w:rPr>
          <w:rFonts w:ascii="Times New Roman" w:eastAsia="Calibri" w:hAnsi="Times New Roman" w:cs="Times New Roman"/>
          <w:noProof/>
          <w:sz w:val="24"/>
          <w:szCs w:val="24"/>
        </w:rPr>
        <w:drawing>
          <wp:inline distT="0" distB="0" distL="0" distR="0">
            <wp:extent cx="5495925" cy="2547620"/>
            <wp:effectExtent l="0" t="0" r="9525" b="5080"/>
            <wp:docPr id="11" name="Picture 11" descr="C:\Users\USER\Desktop\Research meterials\Acta Solvenica Chemica\Figure. 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Research meterials\Acta Solvenica Chemica\Figure. 3a.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97" r="3124"/>
                    <a:stretch/>
                  </pic:blipFill>
                  <pic:spPr bwMode="auto">
                    <a:xfrm>
                      <a:off x="0" y="0"/>
                      <a:ext cx="5495925" cy="2547620"/>
                    </a:xfrm>
                    <a:prstGeom prst="rect">
                      <a:avLst/>
                    </a:prstGeom>
                    <a:noFill/>
                    <a:ln>
                      <a:noFill/>
                    </a:ln>
                    <a:extLst>
                      <a:ext uri="{53640926-AAD7-44D8-BBD7-CCE9431645EC}">
                        <a14:shadowObscured xmlns:a14="http://schemas.microsoft.com/office/drawing/2010/main"/>
                      </a:ext>
                    </a:extLst>
                  </pic:spPr>
                </pic:pic>
              </a:graphicData>
            </a:graphic>
          </wp:inline>
        </w:drawing>
      </w:r>
    </w:p>
    <w:p w:rsidR="00FB5B27" w:rsidRPr="00B83246" w:rsidRDefault="00FB5B27" w:rsidP="00FB5B27">
      <w:pPr>
        <w:widowControl w:val="0"/>
        <w:autoSpaceDE w:val="0"/>
        <w:autoSpaceDN w:val="0"/>
        <w:adjustRightInd w:val="0"/>
        <w:spacing w:line="240" w:lineRule="auto"/>
        <w:jc w:val="center"/>
        <w:rPr>
          <w:rFonts w:ascii="Arial" w:hAnsi="Arial" w:cs="Arial"/>
          <w:sz w:val="16"/>
          <w:szCs w:val="16"/>
        </w:rPr>
      </w:pPr>
      <w:r w:rsidRPr="00B83246">
        <w:rPr>
          <w:rFonts w:ascii="Arial" w:hAnsi="Arial" w:cs="Arial"/>
          <w:b/>
          <w:sz w:val="16"/>
          <w:szCs w:val="16"/>
        </w:rPr>
        <w:t>Fig. 3a</w:t>
      </w:r>
      <w:r w:rsidRPr="00B83246">
        <w:rPr>
          <w:rFonts w:ascii="Arial" w:hAnsi="Arial" w:cs="Arial"/>
          <w:sz w:val="16"/>
          <w:szCs w:val="16"/>
        </w:rPr>
        <w:t>. Observed FT-IR spectrum of Nickel Transition Metal with MBHA (L1)</w:t>
      </w:r>
    </w:p>
    <w:p w:rsidR="00163CBA" w:rsidRDefault="00163CBA" w:rsidP="00FB5B27">
      <w:pPr>
        <w:widowControl w:val="0"/>
        <w:autoSpaceDE w:val="0"/>
        <w:autoSpaceDN w:val="0"/>
        <w:adjustRightInd w:val="0"/>
        <w:spacing w:line="240" w:lineRule="auto"/>
        <w:jc w:val="center"/>
        <w:rPr>
          <w:rFonts w:ascii="Arial" w:hAnsi="Arial" w:cs="Arial"/>
          <w:b/>
          <w:sz w:val="16"/>
          <w:szCs w:val="16"/>
        </w:rPr>
      </w:pPr>
    </w:p>
    <w:p w:rsidR="00947764" w:rsidRDefault="00947764" w:rsidP="00FB5B27">
      <w:pPr>
        <w:widowControl w:val="0"/>
        <w:autoSpaceDE w:val="0"/>
        <w:autoSpaceDN w:val="0"/>
        <w:adjustRightInd w:val="0"/>
        <w:spacing w:line="240" w:lineRule="auto"/>
        <w:jc w:val="center"/>
        <w:rPr>
          <w:rFonts w:ascii="Arial" w:hAnsi="Arial" w:cs="Arial"/>
          <w:b/>
          <w:noProof/>
          <w:sz w:val="16"/>
          <w:szCs w:val="16"/>
        </w:rPr>
      </w:pPr>
    </w:p>
    <w:p w:rsidR="00623062" w:rsidRDefault="00623062" w:rsidP="00FB5B27">
      <w:pPr>
        <w:widowControl w:val="0"/>
        <w:autoSpaceDE w:val="0"/>
        <w:autoSpaceDN w:val="0"/>
        <w:adjustRightInd w:val="0"/>
        <w:spacing w:line="240" w:lineRule="auto"/>
        <w:jc w:val="center"/>
        <w:rPr>
          <w:rFonts w:ascii="Arial" w:hAnsi="Arial" w:cs="Arial"/>
          <w:b/>
          <w:sz w:val="16"/>
          <w:szCs w:val="16"/>
        </w:rPr>
      </w:pPr>
      <w:r w:rsidRPr="00623062">
        <w:rPr>
          <w:rFonts w:ascii="Arial" w:hAnsi="Arial" w:cs="Arial"/>
          <w:b/>
          <w:noProof/>
          <w:sz w:val="16"/>
          <w:szCs w:val="16"/>
        </w:rPr>
        <w:lastRenderedPageBreak/>
        <w:drawing>
          <wp:inline distT="0" distB="0" distL="0" distR="0">
            <wp:extent cx="5732145" cy="2652395"/>
            <wp:effectExtent l="0" t="0" r="1905" b="0"/>
            <wp:docPr id="12" name="Picture 12" descr="C:\Users\USER\Desktop\Research meterials\Acta Solvenica Chemica\Figure. 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Research meterials\Acta Solvenica Chemica\Figure. 3b.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7851"/>
                    <a:stretch/>
                  </pic:blipFill>
                  <pic:spPr bwMode="auto">
                    <a:xfrm>
                      <a:off x="0" y="0"/>
                      <a:ext cx="5732145" cy="2652395"/>
                    </a:xfrm>
                    <a:prstGeom prst="rect">
                      <a:avLst/>
                    </a:prstGeom>
                    <a:noFill/>
                    <a:ln>
                      <a:noFill/>
                    </a:ln>
                    <a:extLst>
                      <a:ext uri="{53640926-AAD7-44D8-BBD7-CCE9431645EC}">
                        <a14:shadowObscured xmlns:a14="http://schemas.microsoft.com/office/drawing/2010/main"/>
                      </a:ext>
                    </a:extLst>
                  </pic:spPr>
                </pic:pic>
              </a:graphicData>
            </a:graphic>
          </wp:inline>
        </w:drawing>
      </w:r>
    </w:p>
    <w:p w:rsidR="00FB5B27" w:rsidRPr="00B83246" w:rsidRDefault="00FB5B27" w:rsidP="00FB5B27">
      <w:pPr>
        <w:widowControl w:val="0"/>
        <w:autoSpaceDE w:val="0"/>
        <w:autoSpaceDN w:val="0"/>
        <w:adjustRightInd w:val="0"/>
        <w:spacing w:line="240" w:lineRule="auto"/>
        <w:jc w:val="center"/>
        <w:rPr>
          <w:rFonts w:ascii="Arial" w:hAnsi="Arial" w:cs="Arial"/>
          <w:sz w:val="16"/>
          <w:szCs w:val="16"/>
        </w:rPr>
      </w:pPr>
      <w:r w:rsidRPr="00B83246">
        <w:rPr>
          <w:rFonts w:ascii="Arial" w:hAnsi="Arial" w:cs="Arial"/>
          <w:b/>
          <w:sz w:val="16"/>
          <w:szCs w:val="16"/>
        </w:rPr>
        <w:t>Fig. 3b</w:t>
      </w:r>
      <w:r w:rsidRPr="00B83246">
        <w:rPr>
          <w:rFonts w:ascii="Arial" w:hAnsi="Arial" w:cs="Arial"/>
          <w:sz w:val="16"/>
          <w:szCs w:val="16"/>
        </w:rPr>
        <w:t>. Theoretical FT-IR spectrum of Nickel Transition Metal with MBHA (L1)</w:t>
      </w:r>
    </w:p>
    <w:p w:rsidR="00FB5B27" w:rsidRPr="009B5CC1" w:rsidRDefault="00FB5B27" w:rsidP="009B5CC1">
      <w:pPr>
        <w:tabs>
          <w:tab w:val="left" w:pos="425"/>
        </w:tabs>
        <w:spacing w:before="40" w:after="0" w:line="360" w:lineRule="auto"/>
        <w:contextualSpacing/>
        <w:jc w:val="both"/>
        <w:rPr>
          <w:rFonts w:ascii="Times New Roman" w:eastAsia="Calibri" w:hAnsi="Times New Roman" w:cs="Times New Roman"/>
          <w:sz w:val="24"/>
          <w:szCs w:val="24"/>
          <w:vertAlign w:val="superscript"/>
        </w:rPr>
      </w:pPr>
    </w:p>
    <w:p w:rsidR="003A6E3C" w:rsidRPr="009B5CC1" w:rsidRDefault="003A6E3C" w:rsidP="009B5CC1">
      <w:pPr>
        <w:tabs>
          <w:tab w:val="left" w:pos="425"/>
        </w:tabs>
        <w:spacing w:before="40" w:after="0" w:line="360" w:lineRule="auto"/>
        <w:contextualSpacing/>
        <w:jc w:val="both"/>
        <w:rPr>
          <w:rFonts w:ascii="Times New Roman" w:eastAsia="Calibri" w:hAnsi="Times New Roman" w:cs="Times New Roman"/>
          <w:sz w:val="24"/>
          <w:szCs w:val="24"/>
          <w:lang w:bidi="th-TH"/>
        </w:rPr>
      </w:pPr>
      <w:r w:rsidRPr="00B72588">
        <w:rPr>
          <w:rFonts w:ascii="Times New Roman" w:eastAsia="Calibri" w:hAnsi="Times New Roman" w:cs="Times New Roman"/>
          <w:sz w:val="24"/>
          <w:szCs w:val="24"/>
          <w:lang w:bidi="th-TH"/>
        </w:rPr>
        <w:t>FTIR spectral results</w:t>
      </w:r>
      <w:r w:rsidRPr="009B5CC1">
        <w:rPr>
          <w:rFonts w:ascii="Times New Roman" w:eastAsia="Calibri" w:hAnsi="Times New Roman" w:cs="Times New Roman"/>
          <w:sz w:val="24"/>
          <w:szCs w:val="24"/>
          <w:lang w:bidi="th-TH"/>
        </w:rPr>
        <w:t xml:space="preserve"> for the compound </w:t>
      </w:r>
      <w:r w:rsidRPr="009B5CC1">
        <w:rPr>
          <w:rFonts w:ascii="Times New Roman" w:eastAsia="Calibri" w:hAnsi="Times New Roman" w:cs="Times New Roman"/>
          <w:b/>
          <w:sz w:val="24"/>
          <w:szCs w:val="24"/>
          <w:lang w:bidi="th-TH"/>
        </w:rPr>
        <w:t>7</w:t>
      </w:r>
      <w:r w:rsidRPr="009B5CC1">
        <w:rPr>
          <w:rFonts w:ascii="Times New Roman" w:eastAsia="Calibri" w:hAnsi="Times New Roman" w:cs="Times New Roman"/>
          <w:sz w:val="24"/>
          <w:szCs w:val="24"/>
          <w:lang w:bidi="th-TH"/>
        </w:rPr>
        <w:t xml:space="preserve"> (Fig. 1e) reveal that –OH group gives a broad band ranging from 3505-3310 cm</w:t>
      </w:r>
      <w:r w:rsidRPr="009B5CC1">
        <w:rPr>
          <w:rFonts w:ascii="Times New Roman" w:eastAsia="Calibri" w:hAnsi="Times New Roman" w:cs="Times New Roman"/>
          <w:sz w:val="24"/>
          <w:szCs w:val="24"/>
          <w:vertAlign w:val="superscript"/>
          <w:lang w:bidi="th-TH"/>
        </w:rPr>
        <w:t>-1</w:t>
      </w:r>
      <w:r w:rsidRPr="009B5CC1">
        <w:rPr>
          <w:rFonts w:ascii="Times New Roman" w:eastAsia="Calibri" w:hAnsi="Times New Roman" w:cs="Times New Roman"/>
          <w:sz w:val="24"/>
          <w:szCs w:val="24"/>
          <w:lang w:bidi="th-TH"/>
        </w:rPr>
        <w:t xml:space="preserve"> with relatively no change in its position as compared to the ligand. Similarly, the C=C </w:t>
      </w:r>
      <w:r w:rsidRPr="009B5CC1">
        <w:rPr>
          <w:rFonts w:ascii="Times New Roman" w:hAnsi="Times New Roman" w:cs="Times New Roman"/>
          <w:sz w:val="24"/>
          <w:szCs w:val="24"/>
        </w:rPr>
        <w:t>ν̄</w:t>
      </w:r>
      <w:r w:rsidRPr="009B5CC1">
        <w:rPr>
          <w:rFonts w:ascii="Times New Roman" w:eastAsia="Calibri" w:hAnsi="Times New Roman" w:cs="Times New Roman"/>
          <w:sz w:val="24"/>
          <w:szCs w:val="24"/>
        </w:rPr>
        <w:t xml:space="preserve"> </w:t>
      </w:r>
      <w:r w:rsidRPr="009B5CC1">
        <w:rPr>
          <w:rFonts w:ascii="Times New Roman" w:eastAsia="Calibri" w:hAnsi="Times New Roman" w:cs="Times New Roman"/>
          <w:sz w:val="24"/>
          <w:szCs w:val="24"/>
          <w:lang w:bidi="th-TH"/>
        </w:rPr>
        <w:t>(1631 cm</w:t>
      </w:r>
      <w:r w:rsidRPr="009B5CC1">
        <w:rPr>
          <w:rFonts w:ascii="Times New Roman" w:eastAsia="Calibri" w:hAnsi="Times New Roman" w:cs="Times New Roman"/>
          <w:sz w:val="24"/>
          <w:szCs w:val="24"/>
          <w:vertAlign w:val="superscript"/>
          <w:lang w:bidi="th-TH"/>
        </w:rPr>
        <w:t>-1</w:t>
      </w:r>
      <w:r w:rsidRPr="009B5CC1">
        <w:rPr>
          <w:rFonts w:ascii="Times New Roman" w:eastAsia="Calibri" w:hAnsi="Times New Roman" w:cs="Times New Roman"/>
          <w:sz w:val="24"/>
          <w:szCs w:val="24"/>
          <w:lang w:bidi="th-TH"/>
        </w:rPr>
        <w:t>) remains about the same upon complex formation i.e. at 1629 cm</w:t>
      </w:r>
      <w:r w:rsidRPr="009B5CC1">
        <w:rPr>
          <w:rFonts w:ascii="Times New Roman" w:eastAsia="Calibri" w:hAnsi="Times New Roman" w:cs="Times New Roman"/>
          <w:sz w:val="24"/>
          <w:szCs w:val="24"/>
          <w:vertAlign w:val="superscript"/>
          <w:lang w:bidi="th-TH"/>
        </w:rPr>
        <w:t>-1</w:t>
      </w:r>
      <w:r w:rsidRPr="009B5CC1">
        <w:rPr>
          <w:rFonts w:ascii="Times New Roman" w:eastAsia="Calibri" w:hAnsi="Times New Roman" w:cs="Times New Roman"/>
          <w:sz w:val="24"/>
          <w:szCs w:val="24"/>
          <w:lang w:bidi="th-TH"/>
        </w:rPr>
        <w:t xml:space="preserve"> suggesting that this functional group was not involved in coordination. A clear disappearance of signal of the carbonyl group and its appearance at an entirely new position (Tab</w:t>
      </w:r>
      <w:r w:rsidR="00FC3434">
        <w:rPr>
          <w:rFonts w:ascii="Times New Roman" w:eastAsia="Calibri" w:hAnsi="Times New Roman" w:cs="Times New Roman"/>
          <w:sz w:val="24"/>
          <w:szCs w:val="24"/>
          <w:lang w:bidi="th-TH"/>
        </w:rPr>
        <w:t>le 1</w:t>
      </w:r>
      <w:r w:rsidRPr="009B5CC1">
        <w:rPr>
          <w:rFonts w:ascii="Times New Roman" w:eastAsia="Calibri" w:hAnsi="Times New Roman" w:cs="Times New Roman"/>
          <w:sz w:val="24"/>
          <w:szCs w:val="24"/>
          <w:lang w:bidi="th-TH"/>
        </w:rPr>
        <w:t>) was probably due to its coordination with the metal ion. This kind of shift has also been reported in the literature</w:t>
      </w:r>
      <w:r w:rsidR="00B72588">
        <w:rPr>
          <w:rFonts w:ascii="Times New Roman" w:eastAsia="Calibri" w:hAnsi="Times New Roman" w:cs="Times New Roman"/>
          <w:sz w:val="24"/>
          <w:szCs w:val="24"/>
          <w:lang w:bidi="th-TH"/>
        </w:rPr>
        <w:t>,</w:t>
      </w:r>
      <w:r w:rsidRPr="009B5CC1">
        <w:rPr>
          <w:rFonts w:ascii="Times New Roman" w:eastAsia="Calibri" w:hAnsi="Times New Roman" w:cs="Times New Roman"/>
          <w:sz w:val="24"/>
          <w:szCs w:val="24"/>
          <w:lang w:bidi="th-TH"/>
        </w:rPr>
        <w:fldChar w:fldCharType="begin" w:fldLock="1"/>
      </w:r>
      <w:r w:rsidR="00276B78">
        <w:rPr>
          <w:rFonts w:ascii="Times New Roman" w:eastAsia="Calibri" w:hAnsi="Times New Roman" w:cs="Times New Roman"/>
          <w:sz w:val="24"/>
          <w:szCs w:val="24"/>
          <w:lang w:bidi="th-TH"/>
        </w:rPr>
        <w:instrText>ADDIN CSL_CITATION {"citationItems":[{"id":"ITEM-1","itemData":{"DOI":"10.1039/d0dt02802a","ISSN":"14779234","PMID":"33047745","abstract":"Metal organic frameworks (MOFs), also known as coordination polymers/networks, have experienced a rapid upsurge in the last 20 years in part due to the precise visualization of their atomic arrangement in the solid state. Structure-function relationship properties in MOFs is a key step to understand the potential of a material for its applications in advanced technologies, which can be only understood if full structure determination is carried out. Single crystal X-ray diffraction is the most reliable technique for the 3D description of the atomic arrangement of a crystalline material, but it needs a suitable single crystal both in size and in quality. Sadly, it often occurs that it is not possible to grow crystals of enough quality for single crystal XRD analysis. In MOF synthesis, rather often the products of certain synthetic approaches such as fast crystallization or mechanochemical reactions are obtained as powders. Also, gas, temperature, and solvent induced reactions render single crystals unsuitable for single crystal XRD. In such cases, structure elucidation of MOFs must be carried out using ab initio powder XRD analysis. Unfortunately, structure solution from powder XRD data is more complicated than that from single crystal XRD data. In this article, ashort overview of crystal structure solution from powder XRD and how this technique has been applied in the structure solution of MOFs using direct-space strategy is given. Examples of microcrystalline MOFs obtained by solvothermal methods, synthesized by instant synthesis and mechanochemical methods and products obtained after solid-state reactivity are highlighted. The reported cases are challenging structure solution examples carried out by direct-space strategy using powder XRD data, and show that ab initio powder XRD structure solution is a powerful technique that allows many chemical reactions whose products cannot be carried out by single crystal X-ray analysis to be understood. Hopefully, the strength of ab initio powder XRD structure elucidation with the few cases shown inthis Perspective will encourage members of this field of research to exploit this technique to makefurther progress in MOF chemistry.","author":[{"dropping-particle":"","family":"Martí-Rujas","given":"Javier","non-dropping-particle":"","parse-names":false,"suffix":""}],"container-title":"Dalton Transactions","id":"ITEM-1","issue":"40","issued":{"date-parts":[["2020"]]},"page":"13897-13916","title":"Structural elucidation of microcrystalline MOFs from powder X-ray diffraction","type":"article-journal","volume":"49"},"uris":["http://www.mendeley.com/documents/?uuid=8c9abac7-197f-418f-b3eb-7aeb98b33ab2"]}],"mendeley":{"formattedCitation":"&lt;sup&gt;14&lt;/sup&gt;","plainTextFormattedCitation":"14","previouslyFormattedCitation":"&lt;sup&gt;14&lt;/sup&gt;"},"properties":{"noteIndex":0},"schema":"https://github.com/citation-style-language/schema/raw/master/csl-citation.json"}</w:instrText>
      </w:r>
      <w:r w:rsidRPr="009B5CC1">
        <w:rPr>
          <w:rFonts w:ascii="Times New Roman" w:eastAsia="Calibri" w:hAnsi="Times New Roman" w:cs="Times New Roman"/>
          <w:sz w:val="24"/>
          <w:szCs w:val="24"/>
          <w:lang w:bidi="th-TH"/>
        </w:rPr>
        <w:fldChar w:fldCharType="separate"/>
      </w:r>
      <w:r w:rsidR="00276B78" w:rsidRPr="00276B78">
        <w:rPr>
          <w:rFonts w:ascii="Times New Roman" w:eastAsia="Calibri" w:hAnsi="Times New Roman" w:cs="Times New Roman"/>
          <w:noProof/>
          <w:sz w:val="24"/>
          <w:szCs w:val="24"/>
          <w:vertAlign w:val="superscript"/>
          <w:lang w:bidi="th-TH"/>
        </w:rPr>
        <w:t>14</w:t>
      </w:r>
      <w:r w:rsidRPr="009B5CC1">
        <w:rPr>
          <w:rFonts w:ascii="Times New Roman" w:eastAsia="Calibri" w:hAnsi="Times New Roman" w:cs="Times New Roman"/>
          <w:sz w:val="24"/>
          <w:szCs w:val="24"/>
          <w:lang w:bidi="th-TH"/>
        </w:rPr>
        <w:fldChar w:fldCharType="end"/>
      </w:r>
      <w:r w:rsidRPr="009B5CC1">
        <w:rPr>
          <w:rFonts w:ascii="Times New Roman" w:eastAsia="Calibri" w:hAnsi="Times New Roman" w:cs="Times New Roman"/>
          <w:sz w:val="24"/>
          <w:szCs w:val="24"/>
          <w:lang w:bidi="th-TH"/>
        </w:rPr>
        <w:t xml:space="preserve"> hence confirms the coordination of the ligand’s carbonyl site to the Mn</w:t>
      </w:r>
      <w:r w:rsidRPr="009B5CC1">
        <w:rPr>
          <w:rFonts w:ascii="Times New Roman" w:eastAsia="Calibri" w:hAnsi="Times New Roman" w:cs="Times New Roman"/>
          <w:sz w:val="24"/>
          <w:szCs w:val="24"/>
          <w:vertAlign w:val="superscript"/>
          <w:lang w:bidi="th-TH"/>
        </w:rPr>
        <w:t>+2</w:t>
      </w:r>
      <w:r w:rsidRPr="009B5CC1">
        <w:rPr>
          <w:rFonts w:ascii="Times New Roman" w:eastAsia="Calibri" w:hAnsi="Times New Roman" w:cs="Times New Roman"/>
          <w:sz w:val="24"/>
          <w:szCs w:val="24"/>
          <w:lang w:bidi="th-TH"/>
        </w:rPr>
        <w:t xml:space="preserve"> metal ion. Moreover, the appearance of new peak at 603 cm</w:t>
      </w:r>
      <w:r w:rsidRPr="009B5CC1">
        <w:rPr>
          <w:rFonts w:ascii="Times New Roman" w:eastAsia="Calibri" w:hAnsi="Times New Roman" w:cs="Times New Roman"/>
          <w:sz w:val="24"/>
          <w:szCs w:val="24"/>
          <w:vertAlign w:val="superscript"/>
          <w:lang w:bidi="th-TH"/>
        </w:rPr>
        <w:t>-1</w:t>
      </w:r>
      <w:r w:rsidRPr="009B5CC1">
        <w:rPr>
          <w:rFonts w:ascii="Times New Roman" w:eastAsia="Calibri" w:hAnsi="Times New Roman" w:cs="Times New Roman"/>
          <w:sz w:val="24"/>
          <w:szCs w:val="24"/>
          <w:lang w:bidi="th-TH"/>
        </w:rPr>
        <w:t xml:space="preserve">was attributed to </w:t>
      </w:r>
      <w:proofErr w:type="spellStart"/>
      <w:r w:rsidRPr="009B5CC1">
        <w:rPr>
          <w:rFonts w:ascii="Times New Roman" w:eastAsia="Calibri" w:hAnsi="Times New Roman" w:cs="Times New Roman"/>
          <w:sz w:val="24"/>
          <w:szCs w:val="24"/>
          <w:lang w:bidi="th-TH"/>
        </w:rPr>
        <w:t>Mn</w:t>
      </w:r>
      <w:proofErr w:type="spellEnd"/>
      <w:r w:rsidRPr="009B5CC1">
        <w:rPr>
          <w:rFonts w:ascii="Times New Roman" w:eastAsia="Calibri" w:hAnsi="Times New Roman" w:cs="Times New Roman"/>
          <w:sz w:val="24"/>
          <w:szCs w:val="24"/>
          <w:lang w:bidi="th-TH"/>
        </w:rPr>
        <w:t xml:space="preserve">-O while </w:t>
      </w:r>
      <w:r w:rsidRPr="009B5CC1">
        <w:rPr>
          <w:rFonts w:ascii="Times New Roman" w:eastAsia="Calibri" w:hAnsi="Times New Roman" w:cs="Times New Roman"/>
          <w:sz w:val="24"/>
          <w:szCs w:val="24"/>
        </w:rPr>
        <w:t>C-Cl 540 cm</w:t>
      </w:r>
      <w:r w:rsidRPr="009B5CC1">
        <w:rPr>
          <w:rFonts w:ascii="Times New Roman" w:eastAsia="Calibri" w:hAnsi="Times New Roman" w:cs="Times New Roman"/>
          <w:sz w:val="24"/>
          <w:szCs w:val="24"/>
          <w:vertAlign w:val="superscript"/>
        </w:rPr>
        <w:t>-1</w:t>
      </w:r>
      <w:r w:rsidRPr="009B5CC1">
        <w:rPr>
          <w:rFonts w:ascii="Times New Roman" w:eastAsia="Calibri" w:hAnsi="Times New Roman" w:cs="Times New Roman"/>
          <w:sz w:val="24"/>
          <w:szCs w:val="24"/>
          <w:lang w:bidi="th-TH"/>
        </w:rPr>
        <w:t xml:space="preserve"> shifted towards 523 cm</w:t>
      </w:r>
      <w:r w:rsidRPr="009B5CC1">
        <w:rPr>
          <w:rFonts w:ascii="Times New Roman" w:eastAsia="Calibri" w:hAnsi="Times New Roman" w:cs="Times New Roman"/>
          <w:sz w:val="24"/>
          <w:szCs w:val="24"/>
          <w:vertAlign w:val="superscript"/>
          <w:lang w:bidi="th-TH"/>
        </w:rPr>
        <w:t>-1</w:t>
      </w:r>
      <w:r w:rsidRPr="009B5CC1">
        <w:rPr>
          <w:rFonts w:ascii="Times New Roman" w:eastAsia="Calibri" w:hAnsi="Times New Roman" w:cs="Times New Roman"/>
          <w:sz w:val="24"/>
          <w:szCs w:val="24"/>
          <w:lang w:bidi="th-TH"/>
        </w:rPr>
        <w:t>. The molecular [</w:t>
      </w:r>
      <w:proofErr w:type="spellStart"/>
      <w:proofErr w:type="gramStart"/>
      <w:r w:rsidRPr="009B5CC1">
        <w:rPr>
          <w:rFonts w:ascii="Times New Roman" w:eastAsia="Calibri" w:hAnsi="Times New Roman" w:cs="Times New Roman"/>
          <w:sz w:val="24"/>
          <w:szCs w:val="24"/>
          <w:lang w:bidi="th-TH"/>
        </w:rPr>
        <w:t>Mn</w:t>
      </w:r>
      <w:proofErr w:type="spellEnd"/>
      <w:r w:rsidRPr="009B5CC1">
        <w:rPr>
          <w:rFonts w:ascii="Times New Roman" w:eastAsia="Calibri" w:hAnsi="Times New Roman" w:cs="Times New Roman"/>
          <w:sz w:val="24"/>
          <w:szCs w:val="24"/>
          <w:lang w:bidi="th-TH"/>
        </w:rPr>
        <w:t>(</w:t>
      </w:r>
      <w:proofErr w:type="gramEnd"/>
      <w:r w:rsidRPr="009B5CC1">
        <w:rPr>
          <w:rFonts w:ascii="Times New Roman" w:eastAsia="Calibri" w:hAnsi="Times New Roman" w:cs="Times New Roman"/>
          <w:sz w:val="24"/>
          <w:szCs w:val="24"/>
          <w:lang w:bidi="th-TH"/>
        </w:rPr>
        <w:t>L1)</w:t>
      </w:r>
      <w:r w:rsidRPr="009B5CC1">
        <w:rPr>
          <w:rFonts w:ascii="Times New Roman" w:eastAsia="Calibri" w:hAnsi="Times New Roman" w:cs="Times New Roman"/>
          <w:sz w:val="24"/>
          <w:szCs w:val="24"/>
          <w:vertAlign w:val="subscript"/>
          <w:lang w:bidi="th-TH"/>
        </w:rPr>
        <w:t>2</w:t>
      </w:r>
      <w:r w:rsidRPr="009B5CC1">
        <w:rPr>
          <w:rFonts w:ascii="Times New Roman" w:eastAsia="Calibri" w:hAnsi="Times New Roman" w:cs="Times New Roman"/>
          <w:sz w:val="24"/>
          <w:szCs w:val="24"/>
          <w:lang w:bidi="th-TH"/>
        </w:rPr>
        <w:t>(H</w:t>
      </w:r>
      <w:r w:rsidRPr="009B5CC1">
        <w:rPr>
          <w:rFonts w:ascii="Times New Roman" w:eastAsia="Calibri" w:hAnsi="Times New Roman" w:cs="Times New Roman"/>
          <w:sz w:val="24"/>
          <w:szCs w:val="24"/>
          <w:vertAlign w:val="subscript"/>
          <w:lang w:bidi="th-TH"/>
        </w:rPr>
        <w:t>2</w:t>
      </w:r>
      <w:r w:rsidRPr="009B5CC1">
        <w:rPr>
          <w:rFonts w:ascii="Times New Roman" w:eastAsia="Calibri" w:hAnsi="Times New Roman" w:cs="Times New Roman"/>
          <w:sz w:val="24"/>
          <w:szCs w:val="24"/>
          <w:lang w:bidi="th-TH"/>
        </w:rPr>
        <w:t>O)</w:t>
      </w:r>
      <w:r w:rsidRPr="009B5CC1">
        <w:rPr>
          <w:rFonts w:ascii="Times New Roman" w:eastAsia="Calibri" w:hAnsi="Times New Roman" w:cs="Times New Roman"/>
          <w:sz w:val="24"/>
          <w:szCs w:val="24"/>
          <w:vertAlign w:val="subscript"/>
          <w:lang w:bidi="th-TH"/>
        </w:rPr>
        <w:t>2</w:t>
      </w:r>
      <w:r w:rsidRPr="009B5CC1">
        <w:rPr>
          <w:rFonts w:ascii="Times New Roman" w:eastAsia="Calibri" w:hAnsi="Times New Roman" w:cs="Times New Roman"/>
          <w:sz w:val="24"/>
          <w:szCs w:val="24"/>
          <w:lang w:bidi="th-TH"/>
        </w:rPr>
        <w:t>]</w:t>
      </w:r>
      <w:r w:rsidRPr="009B5CC1">
        <w:rPr>
          <w:rFonts w:ascii="Times New Roman" w:eastAsia="Calibri" w:hAnsi="Times New Roman" w:cs="Times New Roman"/>
          <w:sz w:val="24"/>
          <w:szCs w:val="24"/>
          <w:vertAlign w:val="superscript"/>
          <w:lang w:bidi="th-TH"/>
        </w:rPr>
        <w:t>+2</w:t>
      </w:r>
      <w:r w:rsidRPr="009B5CC1">
        <w:rPr>
          <w:rFonts w:ascii="Times New Roman" w:eastAsia="Calibri" w:hAnsi="Times New Roman" w:cs="Times New Roman"/>
          <w:sz w:val="24"/>
          <w:szCs w:val="24"/>
          <w:lang w:bidi="th-TH"/>
        </w:rPr>
        <w:t xml:space="preserve"> and structural formula  were established for the compound </w:t>
      </w:r>
      <w:r w:rsidRPr="009B5CC1">
        <w:rPr>
          <w:rFonts w:ascii="Times New Roman" w:eastAsia="Calibri" w:hAnsi="Times New Roman" w:cs="Times New Roman"/>
          <w:b/>
          <w:sz w:val="24"/>
          <w:szCs w:val="24"/>
          <w:lang w:bidi="th-TH"/>
        </w:rPr>
        <w:t>7</w:t>
      </w:r>
      <w:r w:rsidRPr="009B5CC1">
        <w:rPr>
          <w:rFonts w:ascii="Times New Roman" w:eastAsia="Calibri" w:hAnsi="Times New Roman" w:cs="Times New Roman"/>
          <w:sz w:val="24"/>
          <w:szCs w:val="24"/>
          <w:lang w:bidi="th-TH"/>
        </w:rPr>
        <w:t>.</w:t>
      </w:r>
    </w:p>
    <w:p w:rsidR="003B55AF" w:rsidRDefault="003A6E3C" w:rsidP="00114556">
      <w:pPr>
        <w:tabs>
          <w:tab w:val="left" w:pos="425"/>
        </w:tabs>
        <w:spacing w:before="40" w:after="0" w:line="360" w:lineRule="auto"/>
        <w:contextualSpacing/>
        <w:jc w:val="both"/>
        <w:rPr>
          <w:rFonts w:ascii="Times New Roman" w:eastAsia="Calibri" w:hAnsi="Times New Roman" w:cs="Times New Roman"/>
          <w:sz w:val="24"/>
          <w:szCs w:val="24"/>
          <w:lang w:bidi="th-TH"/>
        </w:rPr>
      </w:pPr>
      <w:r w:rsidRPr="009B5CC1">
        <w:rPr>
          <w:rFonts w:ascii="Times New Roman" w:eastAsia="Calibri" w:hAnsi="Times New Roman" w:cs="Times New Roman"/>
          <w:sz w:val="24"/>
          <w:szCs w:val="24"/>
          <w:lang w:bidi="th-TH"/>
        </w:rPr>
        <w:t xml:space="preserve">FTIR results for the compound </w:t>
      </w:r>
      <w:r w:rsidRPr="009B5CC1">
        <w:rPr>
          <w:rFonts w:ascii="Times New Roman" w:eastAsia="Calibri" w:hAnsi="Times New Roman" w:cs="Times New Roman"/>
          <w:b/>
          <w:sz w:val="24"/>
          <w:szCs w:val="24"/>
          <w:lang w:bidi="th-TH"/>
        </w:rPr>
        <w:t>8</w:t>
      </w:r>
      <w:r w:rsidRPr="009B5CC1">
        <w:rPr>
          <w:rFonts w:ascii="Times New Roman" w:eastAsia="Calibri" w:hAnsi="Times New Roman" w:cs="Times New Roman"/>
          <w:sz w:val="24"/>
          <w:szCs w:val="24"/>
          <w:lang w:bidi="th-TH"/>
        </w:rPr>
        <w:t xml:space="preserve"> (Fig. 1f) have revealed the presence of –OH functional group by a peak almost at similar position (3480-3350 cm</w:t>
      </w:r>
      <w:r w:rsidRPr="009B5CC1">
        <w:rPr>
          <w:rFonts w:ascii="Times New Roman" w:eastAsia="Calibri" w:hAnsi="Times New Roman" w:cs="Times New Roman"/>
          <w:sz w:val="24"/>
          <w:szCs w:val="24"/>
          <w:vertAlign w:val="superscript"/>
          <w:lang w:bidi="th-TH"/>
        </w:rPr>
        <w:t>-1</w:t>
      </w:r>
      <w:r w:rsidRPr="009B5CC1">
        <w:rPr>
          <w:rFonts w:ascii="Times New Roman" w:eastAsia="Calibri" w:hAnsi="Times New Roman" w:cs="Times New Roman"/>
          <w:sz w:val="24"/>
          <w:szCs w:val="24"/>
          <w:lang w:bidi="th-TH"/>
        </w:rPr>
        <w:t>) as that of the ligand precursor. Almost similar results were obtained for the presence of sp</w:t>
      </w:r>
      <w:r w:rsidRPr="009B5CC1">
        <w:rPr>
          <w:rFonts w:ascii="Times New Roman" w:eastAsia="Calibri" w:hAnsi="Times New Roman" w:cs="Times New Roman"/>
          <w:sz w:val="24"/>
          <w:szCs w:val="24"/>
          <w:vertAlign w:val="superscript"/>
          <w:lang w:bidi="th-TH"/>
        </w:rPr>
        <w:t>2</w:t>
      </w:r>
      <w:r w:rsidRPr="009B5CC1">
        <w:rPr>
          <w:rFonts w:ascii="Times New Roman" w:eastAsia="Calibri" w:hAnsi="Times New Roman" w:cs="Times New Roman"/>
          <w:sz w:val="24"/>
          <w:szCs w:val="24"/>
          <w:lang w:bidi="th-TH"/>
        </w:rPr>
        <w:t xml:space="preserve"> and sp</w:t>
      </w:r>
      <w:r w:rsidRPr="009B5CC1">
        <w:rPr>
          <w:rFonts w:ascii="Times New Roman" w:eastAsia="Calibri" w:hAnsi="Times New Roman" w:cs="Times New Roman"/>
          <w:sz w:val="24"/>
          <w:szCs w:val="24"/>
          <w:vertAlign w:val="superscript"/>
          <w:lang w:bidi="th-TH"/>
        </w:rPr>
        <w:t>3</w:t>
      </w:r>
      <w:r w:rsidRPr="009B5CC1">
        <w:rPr>
          <w:rFonts w:ascii="Times New Roman" w:eastAsia="Calibri" w:hAnsi="Times New Roman" w:cs="Times New Roman"/>
          <w:sz w:val="24"/>
          <w:szCs w:val="24"/>
          <w:lang w:bidi="th-TH"/>
        </w:rPr>
        <w:t xml:space="preserve"> C-H bonds of the complex i.e. their peaks were observed at 3115, 2980 cm</w:t>
      </w:r>
      <w:r w:rsidRPr="009B5CC1">
        <w:rPr>
          <w:rFonts w:ascii="Times New Roman" w:eastAsia="Calibri" w:hAnsi="Times New Roman" w:cs="Times New Roman"/>
          <w:sz w:val="24"/>
          <w:szCs w:val="24"/>
          <w:vertAlign w:val="superscript"/>
          <w:lang w:bidi="th-TH"/>
        </w:rPr>
        <w:t>-1</w:t>
      </w:r>
      <w:r w:rsidRPr="009B5CC1">
        <w:rPr>
          <w:rFonts w:ascii="Times New Roman" w:eastAsia="Calibri" w:hAnsi="Times New Roman" w:cs="Times New Roman"/>
          <w:sz w:val="24"/>
          <w:szCs w:val="24"/>
          <w:lang w:bidi="th-TH"/>
        </w:rPr>
        <w:t xml:space="preserve"> respectively. The ester carbonyl absorption (1705 cm</w:t>
      </w:r>
      <w:r w:rsidRPr="009B5CC1">
        <w:rPr>
          <w:rFonts w:ascii="Times New Roman" w:eastAsia="Calibri" w:hAnsi="Times New Roman" w:cs="Times New Roman"/>
          <w:sz w:val="24"/>
          <w:szCs w:val="24"/>
          <w:vertAlign w:val="superscript"/>
          <w:lang w:bidi="th-TH"/>
        </w:rPr>
        <w:t>-1</w:t>
      </w:r>
      <w:r w:rsidRPr="009B5CC1">
        <w:rPr>
          <w:rFonts w:ascii="Times New Roman" w:eastAsia="Calibri" w:hAnsi="Times New Roman" w:cs="Times New Roman"/>
          <w:sz w:val="24"/>
          <w:szCs w:val="24"/>
          <w:lang w:bidi="th-TH"/>
        </w:rPr>
        <w:t>) has completely disappeared as compared to that of the ligand carbonyl (1714 cm</w:t>
      </w:r>
      <w:r w:rsidRPr="009B5CC1">
        <w:rPr>
          <w:rFonts w:ascii="Times New Roman" w:eastAsia="Calibri" w:hAnsi="Times New Roman" w:cs="Times New Roman"/>
          <w:sz w:val="24"/>
          <w:szCs w:val="24"/>
          <w:vertAlign w:val="superscript"/>
          <w:lang w:bidi="th-TH"/>
        </w:rPr>
        <w:t>-1</w:t>
      </w:r>
      <w:r w:rsidRPr="009B5CC1">
        <w:rPr>
          <w:rFonts w:ascii="Times New Roman" w:eastAsia="Calibri" w:hAnsi="Times New Roman" w:cs="Times New Roman"/>
          <w:sz w:val="24"/>
          <w:szCs w:val="24"/>
          <w:lang w:bidi="th-TH"/>
        </w:rPr>
        <w:t>) which suggests its participation in complex formation. No marked difference was observed in the frequency due to the C=C double bond (1673 cm</w:t>
      </w:r>
      <w:r w:rsidRPr="009B5CC1">
        <w:rPr>
          <w:rFonts w:ascii="Times New Roman" w:eastAsia="Calibri" w:hAnsi="Times New Roman" w:cs="Times New Roman"/>
          <w:sz w:val="24"/>
          <w:szCs w:val="24"/>
          <w:vertAlign w:val="superscript"/>
          <w:lang w:bidi="th-TH"/>
        </w:rPr>
        <w:t>-1</w:t>
      </w:r>
      <w:r w:rsidRPr="009B5CC1">
        <w:rPr>
          <w:rFonts w:ascii="Times New Roman" w:eastAsia="Calibri" w:hAnsi="Times New Roman" w:cs="Times New Roman"/>
          <w:sz w:val="24"/>
          <w:szCs w:val="24"/>
          <w:lang w:bidi="th-TH"/>
        </w:rPr>
        <w:t>) and aromatic C=C bond (1604 cm</w:t>
      </w:r>
      <w:r w:rsidRPr="009B5CC1">
        <w:rPr>
          <w:rFonts w:ascii="Times New Roman" w:eastAsia="Calibri" w:hAnsi="Times New Roman" w:cs="Times New Roman"/>
          <w:sz w:val="24"/>
          <w:szCs w:val="24"/>
          <w:vertAlign w:val="superscript"/>
          <w:lang w:bidi="th-TH"/>
        </w:rPr>
        <w:t>-1</w:t>
      </w:r>
      <w:r w:rsidRPr="009B5CC1">
        <w:rPr>
          <w:rFonts w:ascii="Times New Roman" w:eastAsia="Calibri" w:hAnsi="Times New Roman" w:cs="Times New Roman"/>
          <w:sz w:val="24"/>
          <w:szCs w:val="24"/>
          <w:lang w:bidi="th-TH"/>
        </w:rPr>
        <w:t>) suggesting no contribution in complex formation. These assumptions were further supported by appearance of IR peaks at 605 cm</w:t>
      </w:r>
      <w:r w:rsidRPr="009B5CC1">
        <w:rPr>
          <w:rFonts w:ascii="Times New Roman" w:eastAsia="Calibri" w:hAnsi="Times New Roman" w:cs="Times New Roman"/>
          <w:sz w:val="24"/>
          <w:szCs w:val="24"/>
          <w:vertAlign w:val="superscript"/>
          <w:lang w:bidi="th-TH"/>
        </w:rPr>
        <w:t>-1</w:t>
      </w:r>
      <w:r w:rsidRPr="009B5CC1">
        <w:rPr>
          <w:rFonts w:ascii="Times New Roman" w:eastAsia="Calibri" w:hAnsi="Times New Roman" w:cs="Times New Roman"/>
          <w:sz w:val="24"/>
          <w:szCs w:val="24"/>
          <w:lang w:bidi="th-TH"/>
        </w:rPr>
        <w:t>, and 486 cm</w:t>
      </w:r>
      <w:r w:rsidRPr="009B5CC1">
        <w:rPr>
          <w:rFonts w:ascii="Times New Roman" w:eastAsia="Calibri" w:hAnsi="Times New Roman" w:cs="Times New Roman"/>
          <w:sz w:val="24"/>
          <w:szCs w:val="24"/>
          <w:vertAlign w:val="superscript"/>
          <w:lang w:bidi="th-TH"/>
        </w:rPr>
        <w:t>-1</w:t>
      </w:r>
      <w:r w:rsidRPr="009B5CC1">
        <w:rPr>
          <w:rFonts w:ascii="Times New Roman" w:eastAsia="Calibri" w:hAnsi="Times New Roman" w:cs="Times New Roman"/>
          <w:sz w:val="24"/>
          <w:szCs w:val="24"/>
          <w:lang w:bidi="th-TH"/>
        </w:rPr>
        <w:t xml:space="preserve"> due to presence of Cu-O and C-Cl bond. Based on all these physical, analytical and spectral results the prepared complex was assigned the structure presented above in scheme 2 as compound </w:t>
      </w:r>
      <w:r w:rsidRPr="009B5CC1">
        <w:rPr>
          <w:rFonts w:ascii="Times New Roman" w:eastAsia="Calibri" w:hAnsi="Times New Roman" w:cs="Times New Roman"/>
          <w:b/>
          <w:sz w:val="24"/>
          <w:szCs w:val="24"/>
          <w:lang w:bidi="th-TH"/>
        </w:rPr>
        <w:t>8</w:t>
      </w:r>
      <w:r w:rsidRPr="009B5CC1">
        <w:rPr>
          <w:rFonts w:ascii="Times New Roman" w:eastAsia="Calibri" w:hAnsi="Times New Roman" w:cs="Times New Roman"/>
          <w:sz w:val="24"/>
          <w:szCs w:val="24"/>
          <w:lang w:bidi="th-TH"/>
        </w:rPr>
        <w:t xml:space="preserve"> formulated as [</w:t>
      </w:r>
      <w:proofErr w:type="gramStart"/>
      <w:r w:rsidRPr="009B5CC1">
        <w:rPr>
          <w:rFonts w:ascii="Times New Roman" w:eastAsia="Calibri" w:hAnsi="Times New Roman" w:cs="Times New Roman"/>
          <w:sz w:val="24"/>
          <w:szCs w:val="24"/>
          <w:lang w:bidi="th-TH"/>
        </w:rPr>
        <w:t>Cu(</w:t>
      </w:r>
      <w:proofErr w:type="gramEnd"/>
      <w:r w:rsidRPr="009B5CC1">
        <w:rPr>
          <w:rFonts w:ascii="Times New Roman" w:eastAsia="Calibri" w:hAnsi="Times New Roman" w:cs="Times New Roman"/>
          <w:sz w:val="24"/>
          <w:szCs w:val="24"/>
          <w:lang w:bidi="th-TH"/>
        </w:rPr>
        <w:t>L1)</w:t>
      </w:r>
      <w:r w:rsidRPr="009B5CC1">
        <w:rPr>
          <w:rFonts w:ascii="Times New Roman" w:eastAsia="Calibri" w:hAnsi="Times New Roman" w:cs="Times New Roman"/>
          <w:sz w:val="24"/>
          <w:szCs w:val="24"/>
          <w:vertAlign w:val="subscript"/>
          <w:lang w:bidi="th-TH"/>
        </w:rPr>
        <w:t>2</w:t>
      </w:r>
      <w:r w:rsidRPr="009B5CC1">
        <w:rPr>
          <w:rFonts w:ascii="Times New Roman" w:eastAsia="Calibri" w:hAnsi="Times New Roman" w:cs="Times New Roman"/>
          <w:sz w:val="24"/>
          <w:szCs w:val="24"/>
          <w:lang w:bidi="th-TH"/>
        </w:rPr>
        <w:t>(H</w:t>
      </w:r>
      <w:r w:rsidRPr="009B5CC1">
        <w:rPr>
          <w:rFonts w:ascii="Times New Roman" w:eastAsia="Calibri" w:hAnsi="Times New Roman" w:cs="Times New Roman"/>
          <w:sz w:val="24"/>
          <w:szCs w:val="24"/>
          <w:vertAlign w:val="subscript"/>
          <w:lang w:bidi="th-TH"/>
        </w:rPr>
        <w:t>2</w:t>
      </w:r>
      <w:r w:rsidRPr="009B5CC1">
        <w:rPr>
          <w:rFonts w:ascii="Times New Roman" w:eastAsia="Calibri" w:hAnsi="Times New Roman" w:cs="Times New Roman"/>
          <w:sz w:val="24"/>
          <w:szCs w:val="24"/>
          <w:lang w:bidi="th-TH"/>
        </w:rPr>
        <w:t>O)</w:t>
      </w:r>
      <w:r w:rsidRPr="009B5CC1">
        <w:rPr>
          <w:rFonts w:ascii="Times New Roman" w:eastAsia="Calibri" w:hAnsi="Times New Roman" w:cs="Times New Roman"/>
          <w:sz w:val="24"/>
          <w:szCs w:val="24"/>
          <w:vertAlign w:val="subscript"/>
          <w:lang w:bidi="th-TH"/>
        </w:rPr>
        <w:t>2</w:t>
      </w:r>
      <w:r w:rsidRPr="009B5CC1">
        <w:rPr>
          <w:rFonts w:ascii="Times New Roman" w:eastAsia="Calibri" w:hAnsi="Times New Roman" w:cs="Times New Roman"/>
          <w:sz w:val="24"/>
          <w:szCs w:val="24"/>
          <w:lang w:bidi="th-TH"/>
        </w:rPr>
        <w:t>]</w:t>
      </w:r>
      <w:r w:rsidRPr="009B5CC1">
        <w:rPr>
          <w:rFonts w:ascii="Times New Roman" w:eastAsia="Calibri" w:hAnsi="Times New Roman" w:cs="Times New Roman"/>
          <w:sz w:val="24"/>
          <w:szCs w:val="24"/>
          <w:vertAlign w:val="superscript"/>
          <w:lang w:bidi="th-TH"/>
        </w:rPr>
        <w:t>+2</w:t>
      </w:r>
      <w:r w:rsidRPr="009B5CC1">
        <w:rPr>
          <w:rFonts w:ascii="Times New Roman" w:eastAsia="Calibri" w:hAnsi="Times New Roman" w:cs="Times New Roman"/>
          <w:sz w:val="24"/>
          <w:szCs w:val="24"/>
          <w:lang w:bidi="th-TH"/>
        </w:rPr>
        <w:t xml:space="preserve">. </w:t>
      </w:r>
    </w:p>
    <w:p w:rsidR="00114556" w:rsidRPr="00114556" w:rsidRDefault="00114556" w:rsidP="00114556">
      <w:pPr>
        <w:tabs>
          <w:tab w:val="left" w:pos="425"/>
        </w:tabs>
        <w:spacing w:before="40" w:after="0" w:line="360" w:lineRule="auto"/>
        <w:contextualSpacing/>
        <w:jc w:val="both"/>
        <w:rPr>
          <w:rFonts w:ascii="Times New Roman" w:eastAsia="Calibri" w:hAnsi="Times New Roman" w:cs="Times New Roman"/>
          <w:sz w:val="24"/>
          <w:szCs w:val="24"/>
          <w:lang w:bidi="th-TH"/>
        </w:rPr>
      </w:pPr>
    </w:p>
    <w:p w:rsidR="003B55AF" w:rsidRPr="00B83246" w:rsidRDefault="00FC3434" w:rsidP="003B55AF">
      <w:pPr>
        <w:jc w:val="both"/>
        <w:rPr>
          <w:rFonts w:ascii="Times New Roman" w:hAnsi="Times New Roman" w:cs="Times New Roman"/>
          <w:sz w:val="20"/>
          <w:szCs w:val="20"/>
        </w:rPr>
      </w:pPr>
      <w:r>
        <w:rPr>
          <w:rFonts w:ascii="Times New Roman" w:hAnsi="Times New Roman" w:cs="Times New Roman"/>
          <w:b/>
          <w:sz w:val="24"/>
          <w:szCs w:val="24"/>
        </w:rPr>
        <w:t>Table 1</w:t>
      </w:r>
      <w:r w:rsidR="003B55AF" w:rsidRPr="009B5CC1">
        <w:rPr>
          <w:rFonts w:ascii="Times New Roman" w:hAnsi="Times New Roman" w:cs="Times New Roman"/>
          <w:b/>
          <w:sz w:val="24"/>
          <w:szCs w:val="24"/>
        </w:rPr>
        <w:t xml:space="preserve">. </w:t>
      </w:r>
      <w:r w:rsidR="003B55AF" w:rsidRPr="00B83246">
        <w:rPr>
          <w:rFonts w:ascii="Times New Roman" w:hAnsi="Times New Roman" w:cs="Times New Roman"/>
          <w:sz w:val="20"/>
          <w:szCs w:val="20"/>
        </w:rPr>
        <w:t>Characteristic FTIR bands of the MBHA (L1) and its metal complexes (cm</w:t>
      </w:r>
      <w:r w:rsidR="003B55AF" w:rsidRPr="00B83246">
        <w:rPr>
          <w:rFonts w:ascii="Times New Roman" w:hAnsi="Times New Roman" w:cs="Times New Roman"/>
          <w:sz w:val="20"/>
          <w:szCs w:val="20"/>
          <w:vertAlign w:val="superscript"/>
        </w:rPr>
        <w:t>−1</w:t>
      </w:r>
      <w:r w:rsidR="003B55AF" w:rsidRPr="00B83246">
        <w:rPr>
          <w:rFonts w:ascii="Times New Roman" w:hAnsi="Times New Roman" w:cs="Times New Roman"/>
          <w:sz w:val="20"/>
          <w:szCs w:val="20"/>
        </w:rPr>
        <w:t>)</w:t>
      </w:r>
      <w:r w:rsidR="003B55AF" w:rsidRPr="00B83246">
        <w:rPr>
          <w:rFonts w:ascii="Times New Roman" w:eastAsia="Calibri" w:hAnsi="Times New Roman" w:cs="Times New Roman"/>
          <w:sz w:val="20"/>
          <w:szCs w:val="20"/>
          <w:lang w:bidi="th-TH"/>
        </w:rPr>
        <w:t xml:space="preserve"> ν̄</w:t>
      </w:r>
    </w:p>
    <w:tbl>
      <w:tblPr>
        <w:tblW w:w="9356" w:type="dxa"/>
        <w:tblBorders>
          <w:top w:val="single" w:sz="4" w:space="0" w:color="auto"/>
          <w:bottom w:val="single" w:sz="4" w:space="0" w:color="auto"/>
        </w:tblBorders>
        <w:tblLayout w:type="fixed"/>
        <w:tblLook w:val="04A0" w:firstRow="1" w:lastRow="0" w:firstColumn="1" w:lastColumn="0" w:noHBand="0" w:noVBand="1"/>
      </w:tblPr>
      <w:tblGrid>
        <w:gridCol w:w="1599"/>
        <w:gridCol w:w="936"/>
        <w:gridCol w:w="678"/>
        <w:gridCol w:w="1000"/>
        <w:gridCol w:w="1000"/>
        <w:gridCol w:w="1000"/>
        <w:gridCol w:w="999"/>
        <w:gridCol w:w="1000"/>
        <w:gridCol w:w="1144"/>
      </w:tblGrid>
      <w:tr w:rsidR="003B55AF" w:rsidRPr="00443F3C" w:rsidTr="00BB5681">
        <w:trPr>
          <w:trHeight w:val="591"/>
        </w:trPr>
        <w:tc>
          <w:tcPr>
            <w:tcW w:w="1985" w:type="dxa"/>
            <w:tcBorders>
              <w:top w:val="single" w:sz="4" w:space="0" w:color="auto"/>
              <w:bottom w:val="single" w:sz="4" w:space="0" w:color="auto"/>
            </w:tcBorders>
            <w:shd w:val="clear" w:color="auto" w:fill="E7E6E6" w:themeFill="background2"/>
          </w:tcPr>
          <w:p w:rsidR="003B55AF" w:rsidRPr="00443F3C" w:rsidRDefault="003B55AF" w:rsidP="00E639BA">
            <w:pPr>
              <w:spacing w:line="240" w:lineRule="auto"/>
              <w:rPr>
                <w:rFonts w:ascii="Times New Roman" w:hAnsi="Times New Roman" w:cs="Times New Roman"/>
                <w:b/>
                <w:sz w:val="20"/>
                <w:szCs w:val="20"/>
              </w:rPr>
            </w:pPr>
            <w:r w:rsidRPr="00443F3C">
              <w:rPr>
                <w:rFonts w:ascii="Times New Roman" w:hAnsi="Times New Roman" w:cs="Times New Roman"/>
                <w:b/>
                <w:sz w:val="20"/>
                <w:szCs w:val="20"/>
              </w:rPr>
              <w:t>Functional</w:t>
            </w:r>
          </w:p>
          <w:p w:rsidR="003B55AF" w:rsidRPr="00443F3C" w:rsidRDefault="003B55AF" w:rsidP="00E639BA">
            <w:pPr>
              <w:spacing w:line="240" w:lineRule="auto"/>
              <w:rPr>
                <w:rFonts w:ascii="Times New Roman" w:hAnsi="Times New Roman" w:cs="Times New Roman"/>
                <w:b/>
                <w:sz w:val="20"/>
                <w:szCs w:val="20"/>
              </w:rPr>
            </w:pPr>
            <w:r w:rsidRPr="00443F3C">
              <w:rPr>
                <w:rFonts w:ascii="Times New Roman" w:hAnsi="Times New Roman" w:cs="Times New Roman"/>
                <w:b/>
                <w:sz w:val="20"/>
                <w:szCs w:val="20"/>
              </w:rPr>
              <w:t>groups</w:t>
            </w:r>
          </w:p>
        </w:tc>
        <w:tc>
          <w:tcPr>
            <w:tcW w:w="1134" w:type="dxa"/>
            <w:tcBorders>
              <w:top w:val="single" w:sz="4" w:space="0" w:color="auto"/>
              <w:bottom w:val="single" w:sz="4" w:space="0" w:color="auto"/>
            </w:tcBorders>
            <w:shd w:val="clear" w:color="auto" w:fill="E7E6E6" w:themeFill="background2"/>
          </w:tcPr>
          <w:p w:rsidR="003B55AF" w:rsidRPr="00443F3C" w:rsidRDefault="003B55AF" w:rsidP="00E639BA">
            <w:pPr>
              <w:spacing w:line="240" w:lineRule="auto"/>
              <w:jc w:val="center"/>
              <w:rPr>
                <w:rFonts w:ascii="Times New Roman" w:hAnsi="Times New Roman" w:cs="Times New Roman"/>
                <w:sz w:val="20"/>
                <w:szCs w:val="20"/>
              </w:rPr>
            </w:pPr>
            <w:r w:rsidRPr="00443F3C">
              <w:rPr>
                <w:rFonts w:ascii="Times New Roman" w:eastAsia="Calibri" w:hAnsi="Times New Roman" w:cs="Times New Roman"/>
                <w:b/>
                <w:sz w:val="20"/>
                <w:szCs w:val="20"/>
              </w:rPr>
              <w:t xml:space="preserve"> (L1)</w:t>
            </w:r>
          </w:p>
        </w:tc>
        <w:tc>
          <w:tcPr>
            <w:tcW w:w="803" w:type="dxa"/>
            <w:tcBorders>
              <w:top w:val="single" w:sz="4" w:space="0" w:color="auto"/>
              <w:bottom w:val="single" w:sz="4" w:space="0" w:color="auto"/>
            </w:tcBorders>
            <w:shd w:val="clear" w:color="auto" w:fill="E7E6E6" w:themeFill="background2"/>
          </w:tcPr>
          <w:p w:rsidR="003B55AF" w:rsidRPr="00443F3C" w:rsidRDefault="003B55AF" w:rsidP="00E639BA">
            <w:pPr>
              <w:spacing w:line="240" w:lineRule="auto"/>
              <w:jc w:val="center"/>
              <w:rPr>
                <w:rFonts w:ascii="Times New Roman" w:hAnsi="Times New Roman" w:cs="Times New Roman"/>
                <w:b/>
                <w:sz w:val="20"/>
                <w:szCs w:val="20"/>
              </w:rPr>
            </w:pPr>
            <w:r w:rsidRPr="00443F3C">
              <w:rPr>
                <w:rFonts w:ascii="Times New Roman" w:hAnsi="Times New Roman" w:cs="Times New Roman"/>
                <w:b/>
                <w:sz w:val="20"/>
                <w:szCs w:val="20"/>
              </w:rPr>
              <w:t>Calc.</w:t>
            </w:r>
          </w:p>
          <w:p w:rsidR="003B55AF" w:rsidRPr="00443F3C" w:rsidRDefault="003B55AF" w:rsidP="00E639BA">
            <w:pPr>
              <w:spacing w:line="240" w:lineRule="auto"/>
              <w:jc w:val="center"/>
              <w:rPr>
                <w:rFonts w:ascii="Times New Roman" w:hAnsi="Times New Roman" w:cs="Times New Roman"/>
                <w:b/>
                <w:sz w:val="20"/>
                <w:szCs w:val="20"/>
              </w:rPr>
            </w:pPr>
            <w:r w:rsidRPr="00443F3C">
              <w:rPr>
                <w:rFonts w:ascii="Times New Roman" w:hAnsi="Times New Roman" w:cs="Times New Roman"/>
                <w:b/>
                <w:sz w:val="20"/>
                <w:szCs w:val="20"/>
              </w:rPr>
              <w:t>(L1)</w:t>
            </w:r>
          </w:p>
        </w:tc>
        <w:tc>
          <w:tcPr>
            <w:tcW w:w="1217" w:type="dxa"/>
            <w:tcBorders>
              <w:top w:val="single" w:sz="4" w:space="0" w:color="auto"/>
              <w:bottom w:val="single" w:sz="4" w:space="0" w:color="auto"/>
            </w:tcBorders>
            <w:shd w:val="clear" w:color="auto" w:fill="E7E6E6" w:themeFill="background2"/>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b/>
                <w:sz w:val="20"/>
                <w:szCs w:val="20"/>
              </w:rPr>
              <w:t>CrL1</w:t>
            </w:r>
          </w:p>
        </w:tc>
        <w:tc>
          <w:tcPr>
            <w:tcW w:w="1217" w:type="dxa"/>
            <w:tcBorders>
              <w:top w:val="single" w:sz="4" w:space="0" w:color="auto"/>
              <w:bottom w:val="single" w:sz="4" w:space="0" w:color="auto"/>
            </w:tcBorders>
            <w:shd w:val="clear" w:color="auto" w:fill="E7E6E6" w:themeFill="background2"/>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b/>
                <w:sz w:val="20"/>
                <w:szCs w:val="20"/>
              </w:rPr>
              <w:t>CoL1</w:t>
            </w:r>
          </w:p>
        </w:tc>
        <w:tc>
          <w:tcPr>
            <w:tcW w:w="1217" w:type="dxa"/>
            <w:tcBorders>
              <w:top w:val="single" w:sz="4" w:space="0" w:color="auto"/>
              <w:bottom w:val="single" w:sz="4" w:space="0" w:color="auto"/>
            </w:tcBorders>
            <w:shd w:val="clear" w:color="auto" w:fill="E7E6E6" w:themeFill="background2"/>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b/>
                <w:sz w:val="20"/>
                <w:szCs w:val="20"/>
              </w:rPr>
              <w:t>NiL1</w:t>
            </w:r>
          </w:p>
        </w:tc>
        <w:tc>
          <w:tcPr>
            <w:tcW w:w="1216" w:type="dxa"/>
            <w:tcBorders>
              <w:top w:val="single" w:sz="4" w:space="0" w:color="auto"/>
              <w:bottom w:val="single" w:sz="4" w:space="0" w:color="auto"/>
            </w:tcBorders>
            <w:shd w:val="clear" w:color="auto" w:fill="E7E6E6" w:themeFill="background2"/>
          </w:tcPr>
          <w:p w:rsidR="003B55AF" w:rsidRPr="00443F3C" w:rsidRDefault="003B55AF" w:rsidP="00E639BA">
            <w:pPr>
              <w:spacing w:line="240" w:lineRule="auto"/>
              <w:rPr>
                <w:rFonts w:ascii="Times New Roman" w:hAnsi="Times New Roman" w:cs="Times New Roman"/>
                <w:b/>
                <w:sz w:val="20"/>
                <w:szCs w:val="20"/>
              </w:rPr>
            </w:pPr>
            <w:r w:rsidRPr="00443F3C">
              <w:rPr>
                <w:rFonts w:ascii="Times New Roman" w:hAnsi="Times New Roman" w:cs="Times New Roman"/>
                <w:b/>
                <w:sz w:val="20"/>
                <w:szCs w:val="20"/>
              </w:rPr>
              <w:t>Calc.</w:t>
            </w:r>
          </w:p>
          <w:p w:rsidR="003B55AF" w:rsidRPr="00443F3C" w:rsidRDefault="003B55AF" w:rsidP="00E639BA">
            <w:pPr>
              <w:spacing w:line="240" w:lineRule="auto"/>
              <w:rPr>
                <w:rFonts w:ascii="Times New Roman" w:hAnsi="Times New Roman" w:cs="Times New Roman"/>
                <w:b/>
                <w:sz w:val="20"/>
                <w:szCs w:val="20"/>
              </w:rPr>
            </w:pPr>
            <w:r w:rsidRPr="00443F3C">
              <w:rPr>
                <w:rFonts w:ascii="Times New Roman" w:hAnsi="Times New Roman" w:cs="Times New Roman"/>
                <w:b/>
                <w:sz w:val="20"/>
                <w:szCs w:val="20"/>
              </w:rPr>
              <w:t>NiL1</w:t>
            </w:r>
          </w:p>
        </w:tc>
        <w:tc>
          <w:tcPr>
            <w:tcW w:w="1217" w:type="dxa"/>
            <w:tcBorders>
              <w:top w:val="single" w:sz="4" w:space="0" w:color="auto"/>
              <w:bottom w:val="single" w:sz="4" w:space="0" w:color="auto"/>
            </w:tcBorders>
            <w:shd w:val="clear" w:color="auto" w:fill="E7E6E6" w:themeFill="background2"/>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b/>
                <w:sz w:val="20"/>
                <w:szCs w:val="20"/>
              </w:rPr>
              <w:t>MnL1</w:t>
            </w:r>
          </w:p>
        </w:tc>
        <w:tc>
          <w:tcPr>
            <w:tcW w:w="1402" w:type="dxa"/>
            <w:tcBorders>
              <w:top w:val="single" w:sz="4" w:space="0" w:color="auto"/>
              <w:bottom w:val="single" w:sz="4" w:space="0" w:color="auto"/>
            </w:tcBorders>
            <w:shd w:val="clear" w:color="auto" w:fill="E7E6E6" w:themeFill="background2"/>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b/>
                <w:sz w:val="20"/>
                <w:szCs w:val="20"/>
              </w:rPr>
              <w:t>CuL1</w:t>
            </w:r>
          </w:p>
        </w:tc>
      </w:tr>
      <w:tr w:rsidR="003B55AF" w:rsidRPr="00443F3C" w:rsidTr="00BB5681">
        <w:trPr>
          <w:trHeight w:val="286"/>
        </w:trPr>
        <w:tc>
          <w:tcPr>
            <w:tcW w:w="1985" w:type="dxa"/>
            <w:tcBorders>
              <w:top w:val="single" w:sz="4" w:space="0" w:color="auto"/>
            </w:tcBorders>
          </w:tcPr>
          <w:p w:rsidR="003B55AF" w:rsidRPr="00443F3C" w:rsidRDefault="003B55AF" w:rsidP="00E639BA">
            <w:pPr>
              <w:spacing w:line="240" w:lineRule="auto"/>
              <w:rPr>
                <w:rFonts w:ascii="Times New Roman" w:hAnsi="Times New Roman" w:cs="Times New Roman"/>
                <w:b/>
                <w:sz w:val="20"/>
                <w:szCs w:val="20"/>
              </w:rPr>
            </w:pPr>
            <w:r w:rsidRPr="00443F3C">
              <w:rPr>
                <w:rFonts w:ascii="Times New Roman" w:eastAsia="Calibri" w:hAnsi="Times New Roman" w:cs="Times New Roman"/>
                <w:b/>
                <w:sz w:val="20"/>
                <w:szCs w:val="20"/>
                <w:lang w:bidi="th-TH"/>
              </w:rPr>
              <w:t xml:space="preserve">ν̄ </w:t>
            </w:r>
            <w:r w:rsidRPr="00443F3C">
              <w:rPr>
                <w:rFonts w:ascii="Times New Roman" w:eastAsia="Calibri" w:hAnsi="Times New Roman" w:cs="Times New Roman"/>
                <w:b/>
                <w:sz w:val="20"/>
                <w:szCs w:val="20"/>
              </w:rPr>
              <w:t>(-OH)</w:t>
            </w:r>
          </w:p>
        </w:tc>
        <w:tc>
          <w:tcPr>
            <w:tcW w:w="1134" w:type="dxa"/>
            <w:tcBorders>
              <w:top w:val="single" w:sz="4" w:space="0" w:color="auto"/>
            </w:tcBorders>
          </w:tcPr>
          <w:p w:rsidR="003B55AF" w:rsidRPr="00443F3C" w:rsidRDefault="003B55AF" w:rsidP="00E639BA">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3446</w:t>
            </w:r>
          </w:p>
        </w:tc>
        <w:tc>
          <w:tcPr>
            <w:tcW w:w="803" w:type="dxa"/>
            <w:tcBorders>
              <w:top w:val="single" w:sz="4" w:space="0" w:color="auto"/>
            </w:tcBorders>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3838</w:t>
            </w:r>
          </w:p>
        </w:tc>
        <w:tc>
          <w:tcPr>
            <w:tcW w:w="1217" w:type="dxa"/>
            <w:tcBorders>
              <w:top w:val="single" w:sz="4" w:space="0" w:color="auto"/>
            </w:tcBorders>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3500-3380</w:t>
            </w:r>
          </w:p>
        </w:tc>
        <w:tc>
          <w:tcPr>
            <w:tcW w:w="1217" w:type="dxa"/>
            <w:tcBorders>
              <w:top w:val="single" w:sz="4" w:space="0" w:color="auto"/>
            </w:tcBorders>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3300-3400</w:t>
            </w:r>
          </w:p>
        </w:tc>
        <w:tc>
          <w:tcPr>
            <w:tcW w:w="1217" w:type="dxa"/>
            <w:tcBorders>
              <w:top w:val="single" w:sz="4" w:space="0" w:color="auto"/>
            </w:tcBorders>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3350-3450</w:t>
            </w:r>
          </w:p>
        </w:tc>
        <w:tc>
          <w:tcPr>
            <w:tcW w:w="1216" w:type="dxa"/>
            <w:tcBorders>
              <w:top w:val="single" w:sz="4" w:space="0" w:color="auto"/>
            </w:tcBorders>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3880-3886</w:t>
            </w:r>
          </w:p>
        </w:tc>
        <w:tc>
          <w:tcPr>
            <w:tcW w:w="1217" w:type="dxa"/>
            <w:tcBorders>
              <w:top w:val="single" w:sz="4" w:space="0" w:color="auto"/>
            </w:tcBorders>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3310-3505</w:t>
            </w:r>
          </w:p>
        </w:tc>
        <w:tc>
          <w:tcPr>
            <w:tcW w:w="1402" w:type="dxa"/>
            <w:tcBorders>
              <w:top w:val="single" w:sz="4" w:space="0" w:color="auto"/>
            </w:tcBorders>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3350-3480</w:t>
            </w:r>
          </w:p>
        </w:tc>
      </w:tr>
      <w:tr w:rsidR="003B55AF" w:rsidRPr="00443F3C" w:rsidTr="00BB5681">
        <w:trPr>
          <w:trHeight w:val="304"/>
        </w:trPr>
        <w:tc>
          <w:tcPr>
            <w:tcW w:w="1985" w:type="dxa"/>
          </w:tcPr>
          <w:p w:rsidR="003B55AF" w:rsidRPr="00443F3C" w:rsidRDefault="003B55AF" w:rsidP="00E639BA">
            <w:pPr>
              <w:spacing w:line="240" w:lineRule="auto"/>
              <w:rPr>
                <w:rFonts w:ascii="Times New Roman" w:hAnsi="Times New Roman" w:cs="Times New Roman"/>
                <w:b/>
                <w:sz w:val="20"/>
                <w:szCs w:val="20"/>
              </w:rPr>
            </w:pPr>
            <w:r w:rsidRPr="00443F3C">
              <w:rPr>
                <w:rFonts w:ascii="Times New Roman" w:eastAsia="Calibri" w:hAnsi="Times New Roman" w:cs="Times New Roman"/>
                <w:b/>
                <w:sz w:val="20"/>
                <w:szCs w:val="20"/>
                <w:lang w:bidi="th-TH"/>
              </w:rPr>
              <w:t xml:space="preserve">ν̄ </w:t>
            </w:r>
            <w:r w:rsidRPr="00443F3C">
              <w:rPr>
                <w:rFonts w:ascii="Times New Roman" w:eastAsia="Calibri" w:hAnsi="Times New Roman" w:cs="Times New Roman"/>
                <w:b/>
                <w:sz w:val="20"/>
                <w:szCs w:val="20"/>
              </w:rPr>
              <w:t>(=C-H)</w:t>
            </w:r>
          </w:p>
        </w:tc>
        <w:tc>
          <w:tcPr>
            <w:tcW w:w="1134" w:type="dxa"/>
          </w:tcPr>
          <w:p w:rsidR="003B55AF" w:rsidRPr="00443F3C" w:rsidRDefault="003B55AF" w:rsidP="00E639BA">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2953</w:t>
            </w:r>
          </w:p>
        </w:tc>
        <w:tc>
          <w:tcPr>
            <w:tcW w:w="803"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3334</w:t>
            </w:r>
          </w:p>
        </w:tc>
        <w:tc>
          <w:tcPr>
            <w:tcW w:w="1217"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2915</w:t>
            </w:r>
          </w:p>
        </w:tc>
        <w:tc>
          <w:tcPr>
            <w:tcW w:w="1217"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2950</w:t>
            </w:r>
          </w:p>
        </w:tc>
        <w:tc>
          <w:tcPr>
            <w:tcW w:w="1217"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3005</w:t>
            </w:r>
          </w:p>
        </w:tc>
        <w:tc>
          <w:tcPr>
            <w:tcW w:w="1216"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3194</w:t>
            </w:r>
          </w:p>
        </w:tc>
        <w:tc>
          <w:tcPr>
            <w:tcW w:w="1217"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3005</w:t>
            </w:r>
          </w:p>
        </w:tc>
        <w:tc>
          <w:tcPr>
            <w:tcW w:w="1402"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3115</w:t>
            </w:r>
          </w:p>
        </w:tc>
      </w:tr>
      <w:tr w:rsidR="003B55AF" w:rsidRPr="00443F3C" w:rsidTr="00BB5681">
        <w:trPr>
          <w:trHeight w:val="411"/>
        </w:trPr>
        <w:tc>
          <w:tcPr>
            <w:tcW w:w="1985" w:type="dxa"/>
          </w:tcPr>
          <w:p w:rsidR="003B55AF" w:rsidRPr="00443F3C" w:rsidRDefault="003B55AF" w:rsidP="00E639BA">
            <w:pPr>
              <w:spacing w:line="240" w:lineRule="auto"/>
              <w:rPr>
                <w:rFonts w:ascii="Times New Roman" w:hAnsi="Times New Roman" w:cs="Times New Roman"/>
                <w:b/>
                <w:sz w:val="20"/>
                <w:szCs w:val="20"/>
              </w:rPr>
            </w:pPr>
            <w:r w:rsidRPr="00443F3C">
              <w:rPr>
                <w:rFonts w:ascii="Times New Roman" w:eastAsia="Calibri" w:hAnsi="Times New Roman" w:cs="Times New Roman"/>
                <w:b/>
                <w:sz w:val="20"/>
                <w:szCs w:val="20"/>
                <w:lang w:bidi="th-TH"/>
              </w:rPr>
              <w:t xml:space="preserve">ν̄ </w:t>
            </w:r>
            <w:r w:rsidRPr="00443F3C">
              <w:rPr>
                <w:rFonts w:ascii="Times New Roman" w:eastAsia="Calibri" w:hAnsi="Times New Roman" w:cs="Times New Roman"/>
                <w:b/>
                <w:sz w:val="20"/>
                <w:szCs w:val="20"/>
              </w:rPr>
              <w:t>(Sp</w:t>
            </w:r>
            <w:r w:rsidRPr="00443F3C">
              <w:rPr>
                <w:rFonts w:ascii="Times New Roman" w:eastAsia="Calibri" w:hAnsi="Times New Roman" w:cs="Times New Roman"/>
                <w:b/>
                <w:sz w:val="20"/>
                <w:szCs w:val="20"/>
                <w:vertAlign w:val="superscript"/>
              </w:rPr>
              <w:t>3</w:t>
            </w:r>
            <w:r w:rsidRPr="00443F3C">
              <w:rPr>
                <w:rFonts w:ascii="Times New Roman" w:eastAsia="Calibri" w:hAnsi="Times New Roman" w:cs="Times New Roman"/>
                <w:b/>
                <w:sz w:val="20"/>
                <w:szCs w:val="20"/>
              </w:rPr>
              <w:t xml:space="preserve"> C-H stretch),</w:t>
            </w:r>
          </w:p>
        </w:tc>
        <w:tc>
          <w:tcPr>
            <w:tcW w:w="1134" w:type="dxa"/>
          </w:tcPr>
          <w:p w:rsidR="003B55AF" w:rsidRPr="00443F3C" w:rsidRDefault="003B55AF" w:rsidP="00E639BA">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2897</w:t>
            </w:r>
          </w:p>
        </w:tc>
        <w:tc>
          <w:tcPr>
            <w:tcW w:w="803"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3262</w:t>
            </w:r>
          </w:p>
        </w:tc>
        <w:tc>
          <w:tcPr>
            <w:tcW w:w="1217"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2810-2980</w:t>
            </w:r>
          </w:p>
        </w:tc>
        <w:tc>
          <w:tcPr>
            <w:tcW w:w="1217"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2860-2935</w:t>
            </w:r>
          </w:p>
        </w:tc>
        <w:tc>
          <w:tcPr>
            <w:tcW w:w="1217"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2850</w:t>
            </w:r>
          </w:p>
        </w:tc>
        <w:tc>
          <w:tcPr>
            <w:tcW w:w="1216"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3244</w:t>
            </w:r>
          </w:p>
        </w:tc>
        <w:tc>
          <w:tcPr>
            <w:tcW w:w="1217"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2980</w:t>
            </w:r>
          </w:p>
        </w:tc>
        <w:tc>
          <w:tcPr>
            <w:tcW w:w="1402"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2980</w:t>
            </w:r>
          </w:p>
        </w:tc>
      </w:tr>
      <w:tr w:rsidR="003B55AF" w:rsidRPr="00443F3C" w:rsidTr="00BB5681">
        <w:trPr>
          <w:trHeight w:val="286"/>
        </w:trPr>
        <w:tc>
          <w:tcPr>
            <w:tcW w:w="1985" w:type="dxa"/>
          </w:tcPr>
          <w:p w:rsidR="003B55AF" w:rsidRPr="00443F3C" w:rsidRDefault="003B55AF" w:rsidP="00E639BA">
            <w:pPr>
              <w:spacing w:line="240" w:lineRule="auto"/>
              <w:rPr>
                <w:rFonts w:ascii="Times New Roman" w:hAnsi="Times New Roman" w:cs="Times New Roman"/>
                <w:b/>
                <w:sz w:val="20"/>
                <w:szCs w:val="20"/>
              </w:rPr>
            </w:pPr>
            <w:r w:rsidRPr="00443F3C">
              <w:rPr>
                <w:rFonts w:ascii="Times New Roman" w:eastAsia="Calibri" w:hAnsi="Times New Roman" w:cs="Times New Roman"/>
                <w:b/>
                <w:sz w:val="20"/>
                <w:szCs w:val="20"/>
                <w:lang w:bidi="th-TH"/>
              </w:rPr>
              <w:t xml:space="preserve">ν̄ </w:t>
            </w:r>
            <w:r w:rsidRPr="00443F3C">
              <w:rPr>
                <w:rFonts w:ascii="Times New Roman" w:eastAsia="Calibri" w:hAnsi="Times New Roman" w:cs="Times New Roman"/>
                <w:b/>
                <w:sz w:val="20"/>
                <w:szCs w:val="20"/>
              </w:rPr>
              <w:t>(ester C=O),</w:t>
            </w:r>
          </w:p>
        </w:tc>
        <w:tc>
          <w:tcPr>
            <w:tcW w:w="1134" w:type="dxa"/>
          </w:tcPr>
          <w:p w:rsidR="003B55AF" w:rsidRPr="00443F3C" w:rsidRDefault="003B55AF" w:rsidP="00E639BA">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1714</w:t>
            </w:r>
          </w:p>
        </w:tc>
        <w:tc>
          <w:tcPr>
            <w:tcW w:w="803"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1931</w:t>
            </w:r>
          </w:p>
        </w:tc>
        <w:tc>
          <w:tcPr>
            <w:tcW w:w="1217"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1625</w:t>
            </w:r>
          </w:p>
        </w:tc>
        <w:tc>
          <w:tcPr>
            <w:tcW w:w="1217"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1651</w:t>
            </w:r>
          </w:p>
        </w:tc>
        <w:tc>
          <w:tcPr>
            <w:tcW w:w="1217"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1640</w:t>
            </w:r>
          </w:p>
        </w:tc>
        <w:tc>
          <w:tcPr>
            <w:tcW w:w="1216"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1669</w:t>
            </w:r>
          </w:p>
        </w:tc>
        <w:tc>
          <w:tcPr>
            <w:tcW w:w="1217"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w:t>
            </w:r>
          </w:p>
        </w:tc>
        <w:tc>
          <w:tcPr>
            <w:tcW w:w="1402"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w:t>
            </w:r>
          </w:p>
        </w:tc>
      </w:tr>
      <w:tr w:rsidR="003B55AF" w:rsidRPr="00443F3C" w:rsidTr="00BB5681">
        <w:trPr>
          <w:trHeight w:val="304"/>
        </w:trPr>
        <w:tc>
          <w:tcPr>
            <w:tcW w:w="1985" w:type="dxa"/>
          </w:tcPr>
          <w:p w:rsidR="003B55AF" w:rsidRPr="00443F3C" w:rsidRDefault="003B55AF" w:rsidP="00BC794B">
            <w:pPr>
              <w:spacing w:line="240" w:lineRule="auto"/>
              <w:rPr>
                <w:rFonts w:ascii="Times New Roman" w:hAnsi="Times New Roman" w:cs="Times New Roman"/>
                <w:b/>
                <w:sz w:val="20"/>
                <w:szCs w:val="20"/>
              </w:rPr>
            </w:pPr>
            <w:r w:rsidRPr="00443F3C">
              <w:rPr>
                <w:rFonts w:ascii="Times New Roman" w:eastAsia="Calibri" w:hAnsi="Times New Roman" w:cs="Times New Roman"/>
                <w:b/>
                <w:sz w:val="20"/>
                <w:szCs w:val="20"/>
                <w:lang w:bidi="th-TH"/>
              </w:rPr>
              <w:t>ν̄</w:t>
            </w:r>
            <w:r w:rsidR="00BC794B" w:rsidRPr="00443F3C">
              <w:rPr>
                <w:rFonts w:ascii="Times New Roman" w:eastAsia="Calibri" w:hAnsi="Times New Roman" w:cs="Times New Roman"/>
                <w:b/>
                <w:sz w:val="20"/>
                <w:szCs w:val="20"/>
              </w:rPr>
              <w:t xml:space="preserve"> C=C</w:t>
            </w:r>
            <w:r w:rsidRPr="00443F3C">
              <w:rPr>
                <w:rFonts w:ascii="Times New Roman" w:eastAsia="Calibri" w:hAnsi="Times New Roman" w:cs="Times New Roman"/>
                <w:b/>
                <w:sz w:val="20"/>
                <w:szCs w:val="20"/>
                <w:lang w:bidi="th-TH"/>
              </w:rPr>
              <w:t xml:space="preserve"> </w:t>
            </w:r>
            <w:r w:rsidRPr="00443F3C">
              <w:rPr>
                <w:rFonts w:ascii="Times New Roman" w:eastAsia="Calibri" w:hAnsi="Times New Roman" w:cs="Times New Roman"/>
                <w:b/>
                <w:sz w:val="20"/>
                <w:szCs w:val="20"/>
              </w:rPr>
              <w:t>(aromatic),</w:t>
            </w:r>
          </w:p>
        </w:tc>
        <w:tc>
          <w:tcPr>
            <w:tcW w:w="1134" w:type="dxa"/>
          </w:tcPr>
          <w:p w:rsidR="003B55AF" w:rsidRPr="00443F3C" w:rsidRDefault="003B55AF" w:rsidP="00E639BA">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1631</w:t>
            </w:r>
          </w:p>
        </w:tc>
        <w:tc>
          <w:tcPr>
            <w:tcW w:w="803"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1767</w:t>
            </w:r>
          </w:p>
        </w:tc>
        <w:tc>
          <w:tcPr>
            <w:tcW w:w="1217"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1550</w:t>
            </w:r>
          </w:p>
        </w:tc>
        <w:tc>
          <w:tcPr>
            <w:tcW w:w="1217"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1620</w:t>
            </w:r>
          </w:p>
        </w:tc>
        <w:tc>
          <w:tcPr>
            <w:tcW w:w="1217"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1643</w:t>
            </w:r>
          </w:p>
        </w:tc>
        <w:tc>
          <w:tcPr>
            <w:tcW w:w="1216"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1627</w:t>
            </w:r>
          </w:p>
        </w:tc>
        <w:tc>
          <w:tcPr>
            <w:tcW w:w="1217"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1629</w:t>
            </w:r>
          </w:p>
        </w:tc>
        <w:tc>
          <w:tcPr>
            <w:tcW w:w="1402"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1673</w:t>
            </w:r>
          </w:p>
        </w:tc>
      </w:tr>
      <w:tr w:rsidR="003B55AF" w:rsidRPr="00443F3C" w:rsidTr="00BB5681">
        <w:trPr>
          <w:trHeight w:val="304"/>
        </w:trPr>
        <w:tc>
          <w:tcPr>
            <w:tcW w:w="1985" w:type="dxa"/>
          </w:tcPr>
          <w:p w:rsidR="003B55AF" w:rsidRPr="00443F3C" w:rsidRDefault="003B55AF" w:rsidP="00E639BA">
            <w:pPr>
              <w:spacing w:line="240" w:lineRule="auto"/>
              <w:rPr>
                <w:rFonts w:ascii="Times New Roman" w:hAnsi="Times New Roman" w:cs="Times New Roman"/>
                <w:b/>
                <w:sz w:val="20"/>
                <w:szCs w:val="20"/>
              </w:rPr>
            </w:pPr>
            <w:r w:rsidRPr="00443F3C">
              <w:rPr>
                <w:rFonts w:ascii="Times New Roman" w:eastAsia="Calibri" w:hAnsi="Times New Roman" w:cs="Times New Roman"/>
                <w:b/>
                <w:sz w:val="20"/>
                <w:szCs w:val="20"/>
                <w:lang w:bidi="th-TH"/>
              </w:rPr>
              <w:t xml:space="preserve">ν̄ </w:t>
            </w:r>
            <w:r w:rsidRPr="00443F3C">
              <w:rPr>
                <w:rFonts w:ascii="Times New Roman" w:hAnsi="Times New Roman" w:cs="Times New Roman"/>
                <w:b/>
                <w:sz w:val="20"/>
                <w:szCs w:val="20"/>
              </w:rPr>
              <w:t>C=C</w:t>
            </w:r>
          </w:p>
        </w:tc>
        <w:tc>
          <w:tcPr>
            <w:tcW w:w="1134" w:type="dxa"/>
          </w:tcPr>
          <w:p w:rsidR="003B55AF" w:rsidRPr="00443F3C" w:rsidRDefault="003B55AF" w:rsidP="00E639BA">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w:t>
            </w:r>
          </w:p>
        </w:tc>
        <w:tc>
          <w:tcPr>
            <w:tcW w:w="803"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1604</w:t>
            </w:r>
          </w:p>
        </w:tc>
        <w:tc>
          <w:tcPr>
            <w:tcW w:w="1217"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1438</w:t>
            </w:r>
          </w:p>
        </w:tc>
        <w:tc>
          <w:tcPr>
            <w:tcW w:w="1217"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1483</w:t>
            </w:r>
          </w:p>
        </w:tc>
        <w:tc>
          <w:tcPr>
            <w:tcW w:w="1217"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1566</w:t>
            </w:r>
          </w:p>
        </w:tc>
        <w:tc>
          <w:tcPr>
            <w:tcW w:w="1216"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1576</w:t>
            </w:r>
          </w:p>
        </w:tc>
        <w:tc>
          <w:tcPr>
            <w:tcW w:w="1217"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1500</w:t>
            </w:r>
          </w:p>
        </w:tc>
        <w:tc>
          <w:tcPr>
            <w:tcW w:w="1402"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1604</w:t>
            </w:r>
          </w:p>
        </w:tc>
      </w:tr>
      <w:tr w:rsidR="003B55AF" w:rsidRPr="00443F3C" w:rsidTr="00BB5681">
        <w:trPr>
          <w:trHeight w:val="73"/>
        </w:trPr>
        <w:tc>
          <w:tcPr>
            <w:tcW w:w="1985" w:type="dxa"/>
          </w:tcPr>
          <w:p w:rsidR="003B55AF" w:rsidRPr="00443F3C" w:rsidRDefault="003B55AF" w:rsidP="00E639BA">
            <w:pPr>
              <w:spacing w:line="240" w:lineRule="auto"/>
              <w:rPr>
                <w:rFonts w:ascii="Times New Roman" w:hAnsi="Times New Roman" w:cs="Times New Roman"/>
                <w:b/>
                <w:sz w:val="20"/>
                <w:szCs w:val="20"/>
              </w:rPr>
            </w:pPr>
            <w:r w:rsidRPr="00443F3C">
              <w:rPr>
                <w:rFonts w:ascii="Times New Roman" w:eastAsia="Calibri" w:hAnsi="Times New Roman" w:cs="Times New Roman"/>
                <w:b/>
                <w:sz w:val="20"/>
                <w:szCs w:val="20"/>
                <w:lang w:bidi="th-TH"/>
              </w:rPr>
              <w:t xml:space="preserve">ν̄ </w:t>
            </w:r>
            <w:r w:rsidRPr="00443F3C">
              <w:rPr>
                <w:rFonts w:ascii="Times New Roman" w:eastAsia="Calibri" w:hAnsi="Times New Roman" w:cs="Times New Roman"/>
                <w:b/>
                <w:sz w:val="20"/>
                <w:szCs w:val="20"/>
              </w:rPr>
              <w:t>(-CH</w:t>
            </w:r>
            <w:r w:rsidRPr="00443F3C">
              <w:rPr>
                <w:rFonts w:ascii="Times New Roman" w:eastAsia="Calibri" w:hAnsi="Times New Roman" w:cs="Times New Roman"/>
                <w:b/>
                <w:sz w:val="20"/>
                <w:szCs w:val="20"/>
                <w:vertAlign w:val="subscript"/>
              </w:rPr>
              <w:t>3</w:t>
            </w:r>
            <w:r w:rsidRPr="00443F3C">
              <w:rPr>
                <w:rFonts w:ascii="Times New Roman" w:eastAsia="Calibri" w:hAnsi="Times New Roman" w:cs="Times New Roman"/>
                <w:b/>
                <w:sz w:val="20"/>
                <w:szCs w:val="20"/>
              </w:rPr>
              <w:t>)</w:t>
            </w:r>
          </w:p>
        </w:tc>
        <w:tc>
          <w:tcPr>
            <w:tcW w:w="1134" w:type="dxa"/>
          </w:tcPr>
          <w:p w:rsidR="003B55AF" w:rsidRPr="00443F3C" w:rsidRDefault="003B55AF" w:rsidP="00E639BA">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1440</w:t>
            </w:r>
          </w:p>
        </w:tc>
        <w:tc>
          <w:tcPr>
            <w:tcW w:w="803"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1325</w:t>
            </w:r>
          </w:p>
        </w:tc>
        <w:tc>
          <w:tcPr>
            <w:tcW w:w="1217"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w:t>
            </w:r>
          </w:p>
        </w:tc>
        <w:tc>
          <w:tcPr>
            <w:tcW w:w="1217"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w:t>
            </w:r>
          </w:p>
        </w:tc>
        <w:tc>
          <w:tcPr>
            <w:tcW w:w="1217"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1463</w:t>
            </w:r>
          </w:p>
        </w:tc>
        <w:tc>
          <w:tcPr>
            <w:tcW w:w="1216"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1485</w:t>
            </w:r>
          </w:p>
        </w:tc>
        <w:tc>
          <w:tcPr>
            <w:tcW w:w="1217"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1566</w:t>
            </w:r>
          </w:p>
        </w:tc>
        <w:tc>
          <w:tcPr>
            <w:tcW w:w="1402"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1521</w:t>
            </w:r>
          </w:p>
        </w:tc>
      </w:tr>
      <w:tr w:rsidR="003B55AF" w:rsidRPr="00443F3C" w:rsidTr="00BB5681">
        <w:trPr>
          <w:trHeight w:val="304"/>
        </w:trPr>
        <w:tc>
          <w:tcPr>
            <w:tcW w:w="1985" w:type="dxa"/>
          </w:tcPr>
          <w:p w:rsidR="003B55AF" w:rsidRPr="00443F3C" w:rsidRDefault="003B55AF" w:rsidP="00E639BA">
            <w:pPr>
              <w:spacing w:line="240" w:lineRule="auto"/>
              <w:rPr>
                <w:rFonts w:ascii="Times New Roman" w:eastAsia="Calibri" w:hAnsi="Times New Roman" w:cs="Times New Roman"/>
                <w:b/>
                <w:sz w:val="20"/>
                <w:szCs w:val="20"/>
              </w:rPr>
            </w:pPr>
            <w:r w:rsidRPr="00443F3C">
              <w:rPr>
                <w:rFonts w:ascii="Times New Roman" w:eastAsia="Calibri" w:hAnsi="Times New Roman" w:cs="Times New Roman"/>
                <w:b/>
                <w:sz w:val="20"/>
                <w:szCs w:val="20"/>
                <w:lang w:bidi="th-TH"/>
              </w:rPr>
              <w:t xml:space="preserve">ν̄ </w:t>
            </w:r>
            <w:r w:rsidRPr="00443F3C">
              <w:rPr>
                <w:rFonts w:ascii="Times New Roman" w:eastAsia="Calibri" w:hAnsi="Times New Roman" w:cs="Times New Roman"/>
                <w:b/>
                <w:sz w:val="20"/>
                <w:szCs w:val="20"/>
              </w:rPr>
              <w:t>(C-O)</w:t>
            </w:r>
          </w:p>
        </w:tc>
        <w:tc>
          <w:tcPr>
            <w:tcW w:w="1134" w:type="dxa"/>
          </w:tcPr>
          <w:p w:rsidR="003B55AF" w:rsidRPr="00443F3C" w:rsidRDefault="003B55AF" w:rsidP="00E639BA">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1278</w:t>
            </w:r>
          </w:p>
        </w:tc>
        <w:tc>
          <w:tcPr>
            <w:tcW w:w="803"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1303</w:t>
            </w:r>
          </w:p>
        </w:tc>
        <w:tc>
          <w:tcPr>
            <w:tcW w:w="1217"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1105</w:t>
            </w:r>
          </w:p>
        </w:tc>
        <w:tc>
          <w:tcPr>
            <w:tcW w:w="1217"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1386</w:t>
            </w:r>
          </w:p>
        </w:tc>
        <w:tc>
          <w:tcPr>
            <w:tcW w:w="1217"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1388</w:t>
            </w:r>
          </w:p>
        </w:tc>
        <w:tc>
          <w:tcPr>
            <w:tcW w:w="1216"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1358</w:t>
            </w:r>
          </w:p>
        </w:tc>
        <w:tc>
          <w:tcPr>
            <w:tcW w:w="1217"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1386</w:t>
            </w:r>
          </w:p>
        </w:tc>
        <w:tc>
          <w:tcPr>
            <w:tcW w:w="1402"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1388</w:t>
            </w:r>
          </w:p>
        </w:tc>
      </w:tr>
      <w:tr w:rsidR="003B55AF" w:rsidRPr="00443F3C" w:rsidTr="00BB5681">
        <w:trPr>
          <w:trHeight w:val="286"/>
        </w:trPr>
        <w:tc>
          <w:tcPr>
            <w:tcW w:w="1985" w:type="dxa"/>
          </w:tcPr>
          <w:p w:rsidR="003B55AF" w:rsidRPr="00443F3C" w:rsidRDefault="003B55AF" w:rsidP="00E639BA">
            <w:pPr>
              <w:spacing w:line="240" w:lineRule="auto"/>
              <w:rPr>
                <w:rFonts w:ascii="Times New Roman" w:eastAsia="Calibri" w:hAnsi="Times New Roman" w:cs="Times New Roman"/>
                <w:b/>
                <w:sz w:val="20"/>
                <w:szCs w:val="20"/>
              </w:rPr>
            </w:pPr>
            <w:r w:rsidRPr="00443F3C">
              <w:rPr>
                <w:rFonts w:ascii="Times New Roman" w:eastAsia="Calibri" w:hAnsi="Times New Roman" w:cs="Times New Roman"/>
                <w:b/>
                <w:sz w:val="20"/>
                <w:szCs w:val="20"/>
                <w:lang w:bidi="th-TH"/>
              </w:rPr>
              <w:t xml:space="preserve">ν̄ </w:t>
            </w:r>
            <w:r w:rsidRPr="00443F3C">
              <w:rPr>
                <w:rFonts w:ascii="Times New Roman" w:eastAsia="Calibri" w:hAnsi="Times New Roman" w:cs="Times New Roman"/>
                <w:b/>
                <w:sz w:val="20"/>
                <w:szCs w:val="20"/>
              </w:rPr>
              <w:t>(C-OCH</w:t>
            </w:r>
            <w:r w:rsidRPr="00443F3C">
              <w:rPr>
                <w:rFonts w:ascii="Times New Roman" w:eastAsia="Calibri" w:hAnsi="Times New Roman" w:cs="Times New Roman"/>
                <w:b/>
                <w:sz w:val="20"/>
                <w:szCs w:val="20"/>
                <w:vertAlign w:val="subscript"/>
              </w:rPr>
              <w:t>3</w:t>
            </w:r>
            <w:r w:rsidRPr="00443F3C">
              <w:rPr>
                <w:rFonts w:ascii="Times New Roman" w:eastAsia="Calibri" w:hAnsi="Times New Roman" w:cs="Times New Roman"/>
                <w:b/>
                <w:sz w:val="20"/>
                <w:szCs w:val="20"/>
              </w:rPr>
              <w:t>)</w:t>
            </w:r>
          </w:p>
        </w:tc>
        <w:tc>
          <w:tcPr>
            <w:tcW w:w="1134" w:type="dxa"/>
          </w:tcPr>
          <w:p w:rsidR="003B55AF" w:rsidRPr="00443F3C" w:rsidRDefault="003B55AF" w:rsidP="00E639BA">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w:t>
            </w:r>
          </w:p>
        </w:tc>
        <w:tc>
          <w:tcPr>
            <w:tcW w:w="803"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w:t>
            </w:r>
          </w:p>
        </w:tc>
        <w:tc>
          <w:tcPr>
            <w:tcW w:w="1217"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1382</w:t>
            </w:r>
          </w:p>
        </w:tc>
        <w:tc>
          <w:tcPr>
            <w:tcW w:w="1217"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1109</w:t>
            </w:r>
          </w:p>
        </w:tc>
        <w:tc>
          <w:tcPr>
            <w:tcW w:w="1217"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1109</w:t>
            </w:r>
          </w:p>
        </w:tc>
        <w:tc>
          <w:tcPr>
            <w:tcW w:w="1216"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1128</w:t>
            </w:r>
          </w:p>
        </w:tc>
        <w:tc>
          <w:tcPr>
            <w:tcW w:w="1217"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1111</w:t>
            </w:r>
          </w:p>
        </w:tc>
        <w:tc>
          <w:tcPr>
            <w:tcW w:w="1402"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1112</w:t>
            </w:r>
          </w:p>
        </w:tc>
      </w:tr>
      <w:tr w:rsidR="003B55AF" w:rsidRPr="00443F3C" w:rsidTr="00BB5681">
        <w:trPr>
          <w:trHeight w:val="304"/>
        </w:trPr>
        <w:tc>
          <w:tcPr>
            <w:tcW w:w="1985" w:type="dxa"/>
          </w:tcPr>
          <w:p w:rsidR="003B55AF" w:rsidRPr="00443F3C" w:rsidRDefault="003B55AF" w:rsidP="00E639BA">
            <w:pPr>
              <w:spacing w:line="240" w:lineRule="auto"/>
              <w:rPr>
                <w:rFonts w:ascii="Times New Roman" w:eastAsia="Calibri" w:hAnsi="Times New Roman" w:cs="Times New Roman"/>
                <w:b/>
                <w:sz w:val="20"/>
                <w:szCs w:val="20"/>
              </w:rPr>
            </w:pPr>
            <w:r w:rsidRPr="00443F3C">
              <w:rPr>
                <w:rFonts w:ascii="Times New Roman" w:eastAsia="Calibri" w:hAnsi="Times New Roman" w:cs="Times New Roman"/>
                <w:b/>
                <w:sz w:val="20"/>
                <w:szCs w:val="20"/>
                <w:lang w:bidi="th-TH"/>
              </w:rPr>
              <w:t xml:space="preserve">ν̄ </w:t>
            </w:r>
            <w:r w:rsidRPr="00443F3C">
              <w:rPr>
                <w:rFonts w:ascii="Times New Roman" w:eastAsia="Calibri" w:hAnsi="Times New Roman" w:cs="Times New Roman"/>
                <w:b/>
                <w:sz w:val="20"/>
                <w:szCs w:val="20"/>
              </w:rPr>
              <w:t>(M-O)</w:t>
            </w:r>
          </w:p>
        </w:tc>
        <w:tc>
          <w:tcPr>
            <w:tcW w:w="1134" w:type="dxa"/>
          </w:tcPr>
          <w:p w:rsidR="003B55AF" w:rsidRPr="00443F3C" w:rsidRDefault="003B55AF" w:rsidP="00E639BA">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w:t>
            </w:r>
          </w:p>
        </w:tc>
        <w:tc>
          <w:tcPr>
            <w:tcW w:w="803"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w:t>
            </w:r>
          </w:p>
        </w:tc>
        <w:tc>
          <w:tcPr>
            <w:tcW w:w="1217"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603</w:t>
            </w:r>
          </w:p>
        </w:tc>
        <w:tc>
          <w:tcPr>
            <w:tcW w:w="1217"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607</w:t>
            </w:r>
          </w:p>
        </w:tc>
        <w:tc>
          <w:tcPr>
            <w:tcW w:w="1217"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609</w:t>
            </w:r>
          </w:p>
        </w:tc>
        <w:tc>
          <w:tcPr>
            <w:tcW w:w="1216"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606</w:t>
            </w:r>
          </w:p>
        </w:tc>
        <w:tc>
          <w:tcPr>
            <w:tcW w:w="1217"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603</w:t>
            </w:r>
          </w:p>
        </w:tc>
        <w:tc>
          <w:tcPr>
            <w:tcW w:w="1402"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605</w:t>
            </w:r>
          </w:p>
        </w:tc>
      </w:tr>
      <w:tr w:rsidR="003B55AF" w:rsidRPr="00443F3C" w:rsidTr="00BB5681">
        <w:trPr>
          <w:trHeight w:val="286"/>
        </w:trPr>
        <w:tc>
          <w:tcPr>
            <w:tcW w:w="1985" w:type="dxa"/>
          </w:tcPr>
          <w:p w:rsidR="003B55AF" w:rsidRPr="00443F3C" w:rsidRDefault="003B55AF" w:rsidP="00E639BA">
            <w:pPr>
              <w:spacing w:line="240" w:lineRule="auto"/>
              <w:rPr>
                <w:rFonts w:ascii="Times New Roman" w:eastAsia="Calibri" w:hAnsi="Times New Roman" w:cs="Times New Roman"/>
                <w:b/>
                <w:sz w:val="20"/>
                <w:szCs w:val="20"/>
              </w:rPr>
            </w:pPr>
            <w:r w:rsidRPr="00443F3C">
              <w:rPr>
                <w:rFonts w:ascii="Times New Roman" w:eastAsia="Calibri" w:hAnsi="Times New Roman" w:cs="Times New Roman"/>
                <w:b/>
                <w:sz w:val="20"/>
                <w:szCs w:val="20"/>
                <w:lang w:bidi="th-TH"/>
              </w:rPr>
              <w:t xml:space="preserve">ν̄ </w:t>
            </w:r>
            <w:r w:rsidRPr="00443F3C">
              <w:rPr>
                <w:rFonts w:ascii="Times New Roman" w:eastAsia="Calibri" w:hAnsi="Times New Roman" w:cs="Times New Roman"/>
                <w:b/>
                <w:sz w:val="20"/>
                <w:szCs w:val="20"/>
              </w:rPr>
              <w:t>(C-Cl)</w:t>
            </w:r>
          </w:p>
        </w:tc>
        <w:tc>
          <w:tcPr>
            <w:tcW w:w="1134" w:type="dxa"/>
          </w:tcPr>
          <w:p w:rsidR="003B55AF" w:rsidRPr="00443F3C" w:rsidRDefault="003B55AF" w:rsidP="00E639BA">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540</w:t>
            </w:r>
          </w:p>
        </w:tc>
        <w:tc>
          <w:tcPr>
            <w:tcW w:w="803"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334</w:t>
            </w:r>
          </w:p>
        </w:tc>
        <w:tc>
          <w:tcPr>
            <w:tcW w:w="1217"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520</w:t>
            </w:r>
          </w:p>
        </w:tc>
        <w:tc>
          <w:tcPr>
            <w:tcW w:w="1217"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518</w:t>
            </w:r>
          </w:p>
        </w:tc>
        <w:tc>
          <w:tcPr>
            <w:tcW w:w="1217"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455</w:t>
            </w:r>
          </w:p>
        </w:tc>
        <w:tc>
          <w:tcPr>
            <w:tcW w:w="1216"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485</w:t>
            </w:r>
          </w:p>
        </w:tc>
        <w:tc>
          <w:tcPr>
            <w:tcW w:w="1217"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523</w:t>
            </w:r>
          </w:p>
        </w:tc>
        <w:tc>
          <w:tcPr>
            <w:tcW w:w="1402" w:type="dxa"/>
          </w:tcPr>
          <w:p w:rsidR="003B55AF" w:rsidRPr="00443F3C" w:rsidRDefault="003B55AF" w:rsidP="00E639BA">
            <w:pPr>
              <w:spacing w:line="240" w:lineRule="auto"/>
              <w:rPr>
                <w:rFonts w:ascii="Times New Roman" w:hAnsi="Times New Roman" w:cs="Times New Roman"/>
                <w:sz w:val="20"/>
                <w:szCs w:val="20"/>
              </w:rPr>
            </w:pPr>
            <w:r w:rsidRPr="00443F3C">
              <w:rPr>
                <w:rFonts w:ascii="Times New Roman" w:hAnsi="Times New Roman" w:cs="Times New Roman"/>
                <w:sz w:val="20"/>
                <w:szCs w:val="20"/>
              </w:rPr>
              <w:t>486</w:t>
            </w:r>
          </w:p>
        </w:tc>
      </w:tr>
    </w:tbl>
    <w:p w:rsidR="006813A4" w:rsidRPr="00BC794B" w:rsidRDefault="003B55AF" w:rsidP="00114556">
      <w:pPr>
        <w:spacing w:line="360" w:lineRule="auto"/>
        <w:rPr>
          <w:rFonts w:ascii="Times New Roman" w:hAnsi="Times New Roman" w:cs="Times New Roman"/>
          <w:sz w:val="20"/>
          <w:szCs w:val="20"/>
        </w:rPr>
      </w:pPr>
      <w:r w:rsidRPr="009B5CC1">
        <w:rPr>
          <w:rFonts w:ascii="Times New Roman" w:hAnsi="Times New Roman" w:cs="Times New Roman"/>
          <w:sz w:val="24"/>
          <w:szCs w:val="24"/>
        </w:rPr>
        <w:t xml:space="preserve">      </w:t>
      </w:r>
      <w:r w:rsidRPr="00B83246">
        <w:rPr>
          <w:rFonts w:ascii="Times New Roman" w:hAnsi="Times New Roman" w:cs="Times New Roman"/>
          <w:sz w:val="20"/>
          <w:szCs w:val="20"/>
        </w:rPr>
        <w:t>Only the observed changes in specified func</w:t>
      </w:r>
      <w:r w:rsidR="00BC794B">
        <w:rPr>
          <w:rFonts w:ascii="Times New Roman" w:hAnsi="Times New Roman" w:cs="Times New Roman"/>
          <w:sz w:val="20"/>
          <w:szCs w:val="20"/>
        </w:rPr>
        <w:t>tional groups are represented</w:t>
      </w:r>
    </w:p>
    <w:p w:rsidR="003A6E3C" w:rsidRPr="009B5CC1" w:rsidRDefault="00F1417B" w:rsidP="009B5CC1">
      <w:pPr>
        <w:autoSpaceDE w:val="0"/>
        <w:autoSpaceDN w:val="0"/>
        <w:adjustRightInd w:val="0"/>
        <w:spacing w:after="0" w:line="360" w:lineRule="auto"/>
        <w:rPr>
          <w:rFonts w:ascii="Times-Roman" w:hAnsi="Times-Roman" w:cs="Times-Roman"/>
          <w:b/>
          <w:i/>
          <w:sz w:val="24"/>
          <w:szCs w:val="24"/>
        </w:rPr>
      </w:pPr>
      <w:r>
        <w:rPr>
          <w:rFonts w:ascii="Times-Roman" w:hAnsi="Times-Roman" w:cs="Times-Roman"/>
          <w:b/>
          <w:i/>
          <w:sz w:val="24"/>
          <w:szCs w:val="24"/>
        </w:rPr>
        <w:t>3</w:t>
      </w:r>
      <w:r w:rsidR="003A6E3C" w:rsidRPr="009B5CC1">
        <w:rPr>
          <w:rFonts w:ascii="Times-Roman" w:hAnsi="Times-Roman" w:cs="Times-Roman"/>
          <w:b/>
          <w:i/>
          <w:sz w:val="24"/>
          <w:szCs w:val="24"/>
        </w:rPr>
        <w:t>.4. X-Ray Diffraction</w:t>
      </w:r>
    </w:p>
    <w:p w:rsidR="00260749" w:rsidRDefault="003A6E3C" w:rsidP="00260749">
      <w:pPr>
        <w:autoSpaceDE w:val="0"/>
        <w:autoSpaceDN w:val="0"/>
        <w:adjustRightInd w:val="0"/>
        <w:spacing w:after="0" w:line="360" w:lineRule="auto"/>
        <w:jc w:val="both"/>
        <w:rPr>
          <w:rFonts w:ascii="Times-Roman" w:hAnsi="Times-Roman" w:cs="Times-Roman"/>
          <w:sz w:val="24"/>
          <w:szCs w:val="24"/>
        </w:rPr>
      </w:pPr>
      <w:r w:rsidRPr="009B5CC1">
        <w:rPr>
          <w:rFonts w:ascii="Times-Roman" w:hAnsi="Times-Roman" w:cs="Times-Roman"/>
          <w:sz w:val="24"/>
          <w:szCs w:val="24"/>
        </w:rPr>
        <w:t>The structure resolved from powder XRD analysis is a successful process that leads to evaluation of an exact crystal structure depending on the cautious handling of each step. Microcrystalline materials mainly organic based metal complexes can easily be resolved by XRD powder diffraction</w:t>
      </w:r>
      <w:r w:rsidR="00B72588">
        <w:rPr>
          <w:rFonts w:ascii="Times-Roman" w:hAnsi="Times-Roman" w:cs="Times-Roman"/>
          <w:sz w:val="24"/>
          <w:szCs w:val="24"/>
        </w:rPr>
        <w:t>.</w:t>
      </w:r>
      <w:r w:rsidRPr="009B5CC1">
        <w:rPr>
          <w:rFonts w:ascii="Times-Roman" w:hAnsi="Times-Roman" w:cs="Times-Roman"/>
          <w:sz w:val="24"/>
          <w:szCs w:val="24"/>
        </w:rPr>
        <w:fldChar w:fldCharType="begin" w:fldLock="1"/>
      </w:r>
      <w:r w:rsidR="00276B78">
        <w:rPr>
          <w:rFonts w:ascii="Times-Roman" w:hAnsi="Times-Roman" w:cs="Times-Roman"/>
          <w:sz w:val="24"/>
          <w:szCs w:val="24"/>
        </w:rPr>
        <w:instrText>ADDIN CSL_CITATION {"citationItems":[{"id":"ITEM-1","itemData":{"DOI":"10.1016/j.bioorg.2018.03.004","ISSN":"10902120","PMID":"29529518","abstract":"The wide variety of potent biological activities of Morita-Baylis-Hillman adducts (MBH) encouraged us to synthesize new series of products belonging to this class of compounds, possessing different functionalities and exhibiting potential antioxidant activity. As part of our on-going program on targeting molecules with antioxidant activity, we describe herein different DPPH (2,2-diphenyl-1-picrylhydrazyl) scavenging activities of MBH alcohols and their derivatives including acetates, phosphonates and hydrazonophosphonates. The obtained results showed that the strongest DPPH radical scavenging activity was observed in the case of hydrazonophosphonates in comparison to the other MBH derivatives.","author":[{"dropping-particle":"","family":"Elleuch","given":"Haitham","non-dropping-particle":"","parse-names":false,"suffix":""},{"dropping-particle":"","family":"Mihoubi","given":"Wafa","non-dropping-particle":"","parse-names":false,"suffix":""},{"dropping-particle":"","family":"Mihoubi","given":"Mohamed","non-dropping-particle":"","parse-names":false,"suffix":""},{"dropping-particle":"","family":"Ketata","given":"Emna","non-dropping-particle":"","parse-names":false,"suffix":""},{"dropping-particle":"","family":"Gargouri","given":"Ali","non-dropping-particle":"","parse-names":false,"suffix":""},{"dropping-particle":"","family":"Rezgui","given":"Farhat","non-dropping-particle":"","parse-names":false,"suffix":""}],"container-title":"Bioorganic Chemistry","id":"ITEM-1","issued":{"date-parts":[["2018"]]},"page":"24-28","publisher":"Elsevier Inc.","title":"Potential antioxidant activity of Morita-Baylis-Hillman adducts","type":"article-journal","volume":"78"},"uris":["http://www.mendeley.com/documents/?uuid=a8f53c1e-5c21-4c29-80eb-20e5d0705575"]},{"id":"ITEM-2","itemData":{"DOI":"10.1016/j.cbpa.2007.11.013","ISSN":"13675931","PMID":"18155674","abstract":"Medicinal inorganic chemistry can exploit the unique properties of metal ions for the design of new drugs. This has, for instance, led to the clinical application of chemotherapeutic agents for cancer treatment, such as cisplatin. The use of cisplatin is, however, severely limited by its toxic side-effects. This has spurred chemists to employ different strategies in the development of new metal-based anticancer agents with different mechanisms of action. Recent trends in the field are discussed in this review. These include the more selective delivery and/or activation of cisplatin-related prodrugs and the discovery of new non-covalent interactions with the classical target, DNA. The use of the metal as scaffold rather than reactive centre and the departure from the cisplatin paradigm of activity towards a more targeted, cancer cell-specific approach, a major trend, are discussed as well. All this, together with the observation that some of the new drugs are organometallic complexes, illustrates that exciting times lie ahead for those interested in 'metals in medicine'. © 2007 Elsevier Ltd. All rights reserved.","author":[{"dropping-particle":"","family":"Bruijnincx","given":"Pieter CA","non-dropping-particle":"","parse-names":false,"suffix":""},{"dropping-particle":"","family":"Sadler","given":"Peter J.","non-dropping-particle":"","parse-names":false,"suffix":""}],"container-title":"Current Opinion in Chemical Biology","id":"ITEM-2","issue":"2","issued":{"date-parts":[["2008"]]},"page":"197-206","title":"New trends for metal complexes with anticancer activity","type":"article-journal","volume":"12"},"uris":["http://www.mendeley.com/documents/?uuid=cd30ddff-0170-4e60-993b-1e104bfbe27c"]}],"mendeley":{"formattedCitation":"&lt;sup&gt;13,25&lt;/sup&gt;","plainTextFormattedCitation":"13,25","previouslyFormattedCitation":"&lt;sup&gt;13,25&lt;/sup&gt;"},"properties":{"noteIndex":0},"schema":"https://github.com/citation-style-language/schema/raw/master/csl-citation.json"}</w:instrText>
      </w:r>
      <w:r w:rsidRPr="009B5CC1">
        <w:rPr>
          <w:rFonts w:ascii="Times-Roman" w:hAnsi="Times-Roman" w:cs="Times-Roman"/>
          <w:sz w:val="24"/>
          <w:szCs w:val="24"/>
        </w:rPr>
        <w:fldChar w:fldCharType="separate"/>
      </w:r>
      <w:r w:rsidR="00276B78" w:rsidRPr="00276B78">
        <w:rPr>
          <w:rFonts w:ascii="Times-Roman" w:hAnsi="Times-Roman" w:cs="Times-Roman"/>
          <w:noProof/>
          <w:sz w:val="24"/>
          <w:szCs w:val="24"/>
          <w:vertAlign w:val="superscript"/>
        </w:rPr>
        <w:t>13,25</w:t>
      </w:r>
      <w:r w:rsidRPr="009B5CC1">
        <w:rPr>
          <w:rFonts w:ascii="Times-Roman" w:hAnsi="Times-Roman" w:cs="Times-Roman"/>
          <w:sz w:val="24"/>
          <w:szCs w:val="24"/>
        </w:rPr>
        <w:fldChar w:fldCharType="end"/>
      </w:r>
      <w:r w:rsidRPr="009B5CC1">
        <w:rPr>
          <w:rFonts w:ascii="Times-Roman" w:hAnsi="Times-Roman" w:cs="Times-Roman"/>
          <w:sz w:val="24"/>
          <w:szCs w:val="24"/>
        </w:rPr>
        <w:t xml:space="preserve"> </w:t>
      </w:r>
      <w:proofErr w:type="gramStart"/>
      <w:r w:rsidRPr="009B5CC1">
        <w:rPr>
          <w:rFonts w:ascii="Times-Roman" w:hAnsi="Times-Roman" w:cs="Times-Roman"/>
          <w:sz w:val="24"/>
          <w:szCs w:val="24"/>
        </w:rPr>
        <w:t>The</w:t>
      </w:r>
      <w:proofErr w:type="gramEnd"/>
      <w:r w:rsidRPr="009B5CC1">
        <w:rPr>
          <w:rFonts w:ascii="Times-Roman" w:hAnsi="Times-Roman" w:cs="Times-Roman"/>
          <w:sz w:val="24"/>
          <w:szCs w:val="24"/>
        </w:rPr>
        <w:t xml:space="preserve"> accuracy of a material whose structure is to be determined depends on the quality of the powder diffraction data. Besides, nature of the asymmetric unit such as the number, type of atoms, atomic arrangement and molecular geometry involves to prove the quality of the complex. However, for successful structure determination, monophasic powder sample of good crystallinity should be available for the material of interest</w:t>
      </w:r>
      <w:r w:rsidR="00B72588">
        <w:rPr>
          <w:rFonts w:ascii="Times-Roman" w:hAnsi="Times-Roman" w:cs="Times-Roman"/>
          <w:sz w:val="24"/>
          <w:szCs w:val="24"/>
        </w:rPr>
        <w:t>.</w:t>
      </w:r>
      <w:r w:rsidRPr="009B5CC1">
        <w:rPr>
          <w:rFonts w:ascii="Times-Roman" w:hAnsi="Times-Roman" w:cs="Times-Roman"/>
          <w:sz w:val="24"/>
          <w:szCs w:val="24"/>
        </w:rPr>
        <w:fldChar w:fldCharType="begin" w:fldLock="1"/>
      </w:r>
      <w:r w:rsidR="00276B78">
        <w:rPr>
          <w:rFonts w:ascii="Times-Roman" w:hAnsi="Times-Roman" w:cs="Times-Roman"/>
          <w:sz w:val="24"/>
          <w:szCs w:val="24"/>
        </w:rPr>
        <w:instrText>ADDIN CSL_CITATION {"citationItems":[{"id":"ITEM-1","itemData":{"DOI":"10.1016/j.ica.2017.10.018","ISSN":"00201693","abstract":"Two bis-terdentate cyclometalated Ir(III) complexes with polypyridyl (N^N^N) and cyclometalated (C^N^C) ligands [Ir-Py]+ and [Ir-Py-Me]2+ have been synthesized and characterized. Their absorption and emission properties have been examined, more particularly in MeCN as a function of the addition of different acids. Depending on the acid strength and concentration, two distinct effects have been observed. For acetic acid at high concentration or trifluoroacetic acid (TFA) at low concentration, the pyridine moiety of [Ir-Py]+ is protonated; its spectroscopic behaviour is then similar to that of [Ir-Py-Me]2+. Moreover at higher concentration in TFA, the methoxy group of both complexes is protonated. The spectroscopic and electrochemical data as well as the DFT and TD-DFT calculations support contributions of charge-transfer excited states in absorption and emission from metal-ligand/ligand based HOMOs to ligand-based LUMOs, i.e. MLLCT.","author":[{"dropping-particle":"","family":"Jacques","given":"Alexandre","non-dropping-particle":"","parse-names":false,"suffix":""},{"dropping-particle":"","family":"Auvray","given":"Thomas","non-dropping-particle":"","parse-names":false,"suffix":""},{"dropping-particle":"","family":"Bevernaegie","given":"Robin","non-dropping-particle":"","parse-names":false,"suffix":""},{"dropping-particle":"","family":"Loiseau","given":"Frédérique","non-dropping-particle":"","parse-names":false,"suffix":""},{"dropping-particle":"","family":"Cibian","given":"Mihaela","non-dropping-particle":"","parse-names":false,"suffix":""},{"dropping-particle":"","family":"Hanan","given":"Garry S.","non-dropping-particle":"","parse-names":false,"suffix":""},{"dropping-particle":"","family":"Kirsch-De Mesmaeker","given":"Andrée","non-dropping-particle":"","parse-names":false,"suffix":""},{"dropping-particle":"","family":"Elias","given":"Benjamin","non-dropping-particle":"","parse-names":false,"suffix":""}],"container-title":"Inorganica Chimica Acta","id":"ITEM-1","issue":"Iii","issued":{"date-parts":[["2018"]]},"page":"8-16","title":"Proton sensitive charge-transfer excited states in bis-terdentate cyclometalated Ir(III) complexes: Spectroscopic and theoretical investigation","type":"article-journal","volume":"471"},"uris":["http://www.mendeley.com/documents/?uuid=b1784818-ffcb-410a-a9b3-5b9e000dece4"]}],"mendeley":{"formattedCitation":"&lt;sup&gt;37&lt;/sup&gt;","plainTextFormattedCitation":"37","previouslyFormattedCitation":"&lt;sup&gt;37&lt;/sup&gt;"},"properties":{"noteIndex":0},"schema":"https://github.com/citation-style-language/schema/raw/master/csl-citation.json"}</w:instrText>
      </w:r>
      <w:r w:rsidRPr="009B5CC1">
        <w:rPr>
          <w:rFonts w:ascii="Times-Roman" w:hAnsi="Times-Roman" w:cs="Times-Roman"/>
          <w:sz w:val="24"/>
          <w:szCs w:val="24"/>
        </w:rPr>
        <w:fldChar w:fldCharType="separate"/>
      </w:r>
      <w:r w:rsidR="00276B78" w:rsidRPr="00276B78">
        <w:rPr>
          <w:rFonts w:ascii="Times-Roman" w:hAnsi="Times-Roman" w:cs="Times-Roman"/>
          <w:noProof/>
          <w:sz w:val="24"/>
          <w:szCs w:val="24"/>
          <w:vertAlign w:val="superscript"/>
        </w:rPr>
        <w:t>37</w:t>
      </w:r>
      <w:r w:rsidRPr="009B5CC1">
        <w:rPr>
          <w:rFonts w:ascii="Times-Roman" w:hAnsi="Times-Roman" w:cs="Times-Roman"/>
          <w:sz w:val="24"/>
          <w:szCs w:val="24"/>
        </w:rPr>
        <w:fldChar w:fldCharType="end"/>
      </w:r>
      <w:r w:rsidR="00494598">
        <w:rPr>
          <w:rFonts w:ascii="Times-Roman" w:hAnsi="Times-Roman" w:cs="Times-Roman"/>
          <w:sz w:val="24"/>
          <w:szCs w:val="24"/>
        </w:rPr>
        <w:t xml:space="preserve"> The recorded </w:t>
      </w:r>
      <w:r w:rsidR="00FC3434">
        <w:rPr>
          <w:rFonts w:ascii="Times-Roman" w:hAnsi="Times-Roman" w:cs="Times-Roman"/>
          <w:sz w:val="24"/>
          <w:szCs w:val="24"/>
        </w:rPr>
        <w:t>result was summarized in Table 2</w:t>
      </w:r>
      <w:r w:rsidR="00987A05">
        <w:rPr>
          <w:rFonts w:ascii="Times-Roman" w:hAnsi="Times-Roman" w:cs="Times-Roman"/>
          <w:sz w:val="24"/>
          <w:szCs w:val="24"/>
        </w:rPr>
        <w:t>. &amp; Table 3</w:t>
      </w:r>
      <w:r w:rsidR="00494598">
        <w:rPr>
          <w:rFonts w:ascii="Times-Roman" w:hAnsi="Times-Roman" w:cs="Times-Roman"/>
          <w:sz w:val="24"/>
          <w:szCs w:val="24"/>
        </w:rPr>
        <w:t>.</w:t>
      </w:r>
    </w:p>
    <w:p w:rsidR="00260749" w:rsidRDefault="00260749" w:rsidP="00260749">
      <w:pPr>
        <w:autoSpaceDE w:val="0"/>
        <w:autoSpaceDN w:val="0"/>
        <w:adjustRightInd w:val="0"/>
        <w:spacing w:after="0" w:line="360" w:lineRule="auto"/>
        <w:jc w:val="both"/>
        <w:rPr>
          <w:rFonts w:ascii="Times-Roman" w:hAnsi="Times-Roman" w:cs="Times-Roman"/>
          <w:sz w:val="24"/>
          <w:szCs w:val="24"/>
        </w:rPr>
      </w:pPr>
    </w:p>
    <w:p w:rsidR="00434D0E" w:rsidRDefault="00434D0E" w:rsidP="00260749">
      <w:pPr>
        <w:autoSpaceDE w:val="0"/>
        <w:autoSpaceDN w:val="0"/>
        <w:adjustRightInd w:val="0"/>
        <w:spacing w:after="0" w:line="360" w:lineRule="auto"/>
        <w:jc w:val="both"/>
        <w:rPr>
          <w:rFonts w:ascii="Times New Roman" w:hAnsi="Times New Roman" w:cs="Times New Roman"/>
          <w:b/>
          <w:sz w:val="24"/>
          <w:szCs w:val="24"/>
        </w:rPr>
      </w:pPr>
    </w:p>
    <w:p w:rsidR="00434D0E" w:rsidRDefault="00434D0E" w:rsidP="00260749">
      <w:pPr>
        <w:autoSpaceDE w:val="0"/>
        <w:autoSpaceDN w:val="0"/>
        <w:adjustRightInd w:val="0"/>
        <w:spacing w:after="0" w:line="360" w:lineRule="auto"/>
        <w:jc w:val="both"/>
        <w:rPr>
          <w:rFonts w:ascii="Times New Roman" w:hAnsi="Times New Roman" w:cs="Times New Roman"/>
          <w:b/>
          <w:sz w:val="24"/>
          <w:szCs w:val="24"/>
        </w:rPr>
      </w:pPr>
    </w:p>
    <w:p w:rsidR="00947764" w:rsidRDefault="00947764" w:rsidP="00947764">
      <w:pPr>
        <w:autoSpaceDE w:val="0"/>
        <w:autoSpaceDN w:val="0"/>
        <w:adjustRightInd w:val="0"/>
        <w:spacing w:after="0" w:line="360" w:lineRule="auto"/>
        <w:jc w:val="both"/>
        <w:rPr>
          <w:rFonts w:ascii="Times New Roman" w:hAnsi="Times New Roman" w:cs="Times New Roman"/>
          <w:b/>
          <w:sz w:val="24"/>
          <w:szCs w:val="24"/>
        </w:rPr>
      </w:pPr>
    </w:p>
    <w:p w:rsidR="00947764" w:rsidRDefault="00947764" w:rsidP="00947764">
      <w:pPr>
        <w:autoSpaceDE w:val="0"/>
        <w:autoSpaceDN w:val="0"/>
        <w:adjustRightInd w:val="0"/>
        <w:spacing w:after="0" w:line="360" w:lineRule="auto"/>
        <w:jc w:val="both"/>
        <w:rPr>
          <w:rFonts w:ascii="Times New Roman" w:hAnsi="Times New Roman" w:cs="Times New Roman"/>
          <w:b/>
          <w:sz w:val="24"/>
          <w:szCs w:val="24"/>
        </w:rPr>
      </w:pPr>
    </w:p>
    <w:p w:rsidR="00BE1C45" w:rsidRDefault="00BE1C45" w:rsidP="00947764">
      <w:pPr>
        <w:autoSpaceDE w:val="0"/>
        <w:autoSpaceDN w:val="0"/>
        <w:adjustRightInd w:val="0"/>
        <w:spacing w:after="0" w:line="360" w:lineRule="auto"/>
        <w:jc w:val="both"/>
        <w:rPr>
          <w:rFonts w:ascii="Times New Roman" w:hAnsi="Times New Roman" w:cs="Times New Roman"/>
          <w:b/>
          <w:sz w:val="24"/>
          <w:szCs w:val="24"/>
        </w:rPr>
      </w:pPr>
    </w:p>
    <w:p w:rsidR="00BE1C45" w:rsidRDefault="00BE1C45" w:rsidP="00947764">
      <w:pPr>
        <w:autoSpaceDE w:val="0"/>
        <w:autoSpaceDN w:val="0"/>
        <w:adjustRightInd w:val="0"/>
        <w:spacing w:after="0" w:line="360" w:lineRule="auto"/>
        <w:jc w:val="both"/>
        <w:rPr>
          <w:rFonts w:ascii="Times New Roman" w:hAnsi="Times New Roman" w:cs="Times New Roman"/>
          <w:b/>
          <w:sz w:val="24"/>
          <w:szCs w:val="24"/>
        </w:rPr>
      </w:pPr>
    </w:p>
    <w:p w:rsidR="00947764" w:rsidRPr="00260749" w:rsidRDefault="00947764" w:rsidP="00947764">
      <w:pPr>
        <w:autoSpaceDE w:val="0"/>
        <w:autoSpaceDN w:val="0"/>
        <w:adjustRightInd w:val="0"/>
        <w:spacing w:after="0" w:line="360" w:lineRule="auto"/>
        <w:jc w:val="both"/>
        <w:rPr>
          <w:rFonts w:ascii="Times-Roman" w:hAnsi="Times-Roman" w:cs="Times-Roman"/>
          <w:sz w:val="24"/>
          <w:szCs w:val="24"/>
        </w:rPr>
      </w:pPr>
      <w:r>
        <w:rPr>
          <w:rFonts w:ascii="Times New Roman" w:hAnsi="Times New Roman" w:cs="Times New Roman"/>
          <w:b/>
          <w:sz w:val="24"/>
          <w:szCs w:val="24"/>
        </w:rPr>
        <w:t>Table 2</w:t>
      </w:r>
      <w:r w:rsidRPr="009B5CC1">
        <w:rPr>
          <w:rFonts w:ascii="Times New Roman" w:hAnsi="Times New Roman" w:cs="Times New Roman"/>
          <w:b/>
          <w:sz w:val="24"/>
          <w:szCs w:val="24"/>
        </w:rPr>
        <w:t xml:space="preserve">. </w:t>
      </w:r>
      <w:r w:rsidRPr="00B83246">
        <w:rPr>
          <w:rFonts w:ascii="Times New Roman" w:hAnsi="Times New Roman" w:cs="Times New Roman"/>
          <w:sz w:val="20"/>
          <w:szCs w:val="20"/>
        </w:rPr>
        <w:t>Crystallographic data and observed refinement parameters for complexes</w:t>
      </w:r>
      <w:r w:rsidRPr="00B83246">
        <w:rPr>
          <w:rFonts w:ascii="Times New Roman" w:hAnsi="Times New Roman" w:cs="Times New Roman"/>
          <w:b/>
          <w:sz w:val="20"/>
          <w:szCs w:val="20"/>
        </w:rPr>
        <w:t xml:space="preserve"> 4-8</w:t>
      </w:r>
    </w:p>
    <w:p w:rsidR="00434D0E" w:rsidRDefault="00434D0E" w:rsidP="00260749">
      <w:pPr>
        <w:autoSpaceDE w:val="0"/>
        <w:autoSpaceDN w:val="0"/>
        <w:adjustRightInd w:val="0"/>
        <w:spacing w:after="0" w:line="360" w:lineRule="auto"/>
        <w:jc w:val="both"/>
        <w:rPr>
          <w:rFonts w:ascii="Times New Roman" w:hAnsi="Times New Roman" w:cs="Times New Roman"/>
          <w:b/>
          <w:sz w:val="24"/>
          <w:szCs w:val="24"/>
        </w:rPr>
      </w:pPr>
    </w:p>
    <w:p w:rsidR="00434D0E" w:rsidRDefault="00434D0E" w:rsidP="00260749">
      <w:pPr>
        <w:autoSpaceDE w:val="0"/>
        <w:autoSpaceDN w:val="0"/>
        <w:adjustRightInd w:val="0"/>
        <w:spacing w:after="0" w:line="360" w:lineRule="auto"/>
        <w:jc w:val="both"/>
        <w:rPr>
          <w:rFonts w:ascii="Times New Roman" w:hAnsi="Times New Roman" w:cs="Times New Roman"/>
          <w:b/>
          <w:sz w:val="24"/>
          <w:szCs w:val="24"/>
        </w:rPr>
      </w:pPr>
    </w:p>
    <w:p w:rsidR="00947764" w:rsidRDefault="00947764" w:rsidP="00260749">
      <w:pPr>
        <w:autoSpaceDE w:val="0"/>
        <w:autoSpaceDN w:val="0"/>
        <w:adjustRightInd w:val="0"/>
        <w:spacing w:after="0" w:line="360" w:lineRule="auto"/>
        <w:jc w:val="both"/>
        <w:rPr>
          <w:rFonts w:ascii="Times New Roman" w:hAnsi="Times New Roman" w:cs="Times New Roman"/>
          <w:b/>
          <w:sz w:val="24"/>
          <w:szCs w:val="24"/>
        </w:rPr>
      </w:pPr>
    </w:p>
    <w:p w:rsidR="00947764" w:rsidRDefault="00947764" w:rsidP="00260749">
      <w:pPr>
        <w:autoSpaceDE w:val="0"/>
        <w:autoSpaceDN w:val="0"/>
        <w:adjustRightInd w:val="0"/>
        <w:spacing w:after="0" w:line="360" w:lineRule="auto"/>
        <w:jc w:val="both"/>
        <w:rPr>
          <w:rFonts w:ascii="Times New Roman" w:hAnsi="Times New Roman" w:cs="Times New Roman"/>
          <w:b/>
          <w:sz w:val="24"/>
          <w:szCs w:val="24"/>
        </w:rPr>
      </w:pPr>
    </w:p>
    <w:p w:rsidR="00947764" w:rsidRDefault="00947764" w:rsidP="00260749">
      <w:pPr>
        <w:autoSpaceDE w:val="0"/>
        <w:autoSpaceDN w:val="0"/>
        <w:adjustRightInd w:val="0"/>
        <w:spacing w:after="0" w:line="360" w:lineRule="auto"/>
        <w:jc w:val="both"/>
        <w:rPr>
          <w:rFonts w:ascii="Times New Roman" w:hAnsi="Times New Roman" w:cs="Times New Roman"/>
          <w:b/>
          <w:sz w:val="24"/>
          <w:szCs w:val="24"/>
        </w:rPr>
      </w:pPr>
    </w:p>
    <w:p w:rsidR="00434D0E" w:rsidRDefault="00434D0E" w:rsidP="00260749">
      <w:pPr>
        <w:autoSpaceDE w:val="0"/>
        <w:autoSpaceDN w:val="0"/>
        <w:adjustRightInd w:val="0"/>
        <w:spacing w:after="0" w:line="360" w:lineRule="auto"/>
        <w:jc w:val="both"/>
        <w:rPr>
          <w:rFonts w:ascii="Times New Roman" w:hAnsi="Times New Roman" w:cs="Times New Roman"/>
          <w:b/>
          <w:sz w:val="24"/>
          <w:szCs w:val="24"/>
        </w:rPr>
      </w:pPr>
    </w:p>
    <w:tbl>
      <w:tblPr>
        <w:tblpPr w:leftFromText="180" w:rightFromText="180" w:vertAnchor="page" w:horzAnchor="margin" w:tblpY="2146"/>
        <w:tblW w:w="9356" w:type="dxa"/>
        <w:tblBorders>
          <w:top w:val="single" w:sz="4" w:space="0" w:color="auto"/>
          <w:bottom w:val="single" w:sz="4" w:space="0" w:color="auto"/>
        </w:tblBorders>
        <w:tblLayout w:type="fixed"/>
        <w:tblLook w:val="04A0" w:firstRow="1" w:lastRow="0" w:firstColumn="1" w:lastColumn="0" w:noHBand="0" w:noVBand="1"/>
      </w:tblPr>
      <w:tblGrid>
        <w:gridCol w:w="567"/>
        <w:gridCol w:w="1097"/>
        <w:gridCol w:w="1030"/>
        <w:gridCol w:w="992"/>
        <w:gridCol w:w="939"/>
        <w:gridCol w:w="1329"/>
        <w:gridCol w:w="1417"/>
        <w:gridCol w:w="851"/>
        <w:gridCol w:w="1134"/>
      </w:tblGrid>
      <w:tr w:rsidR="00434D0E" w:rsidRPr="00443F3C" w:rsidTr="00947764">
        <w:trPr>
          <w:trHeight w:val="596"/>
        </w:trPr>
        <w:tc>
          <w:tcPr>
            <w:tcW w:w="567" w:type="dxa"/>
            <w:tcBorders>
              <w:top w:val="single" w:sz="4" w:space="0" w:color="auto"/>
              <w:bottom w:val="single" w:sz="4" w:space="0" w:color="auto"/>
            </w:tcBorders>
            <w:shd w:val="clear" w:color="auto" w:fill="E7E6E6" w:themeFill="background2"/>
          </w:tcPr>
          <w:p w:rsidR="00434D0E" w:rsidRPr="00443F3C" w:rsidRDefault="00434D0E" w:rsidP="00947764">
            <w:pPr>
              <w:spacing w:line="240" w:lineRule="auto"/>
              <w:rPr>
                <w:rFonts w:ascii="Times New Roman" w:hAnsi="Times New Roman" w:cs="Times New Roman"/>
                <w:b/>
                <w:sz w:val="20"/>
                <w:szCs w:val="20"/>
              </w:rPr>
            </w:pPr>
            <w:r w:rsidRPr="00443F3C">
              <w:rPr>
                <w:rFonts w:ascii="Times New Roman" w:hAnsi="Times New Roman" w:cs="Times New Roman"/>
                <w:b/>
                <w:sz w:val="20"/>
                <w:szCs w:val="20"/>
              </w:rPr>
              <w:t>S. No.</w:t>
            </w:r>
          </w:p>
        </w:tc>
        <w:tc>
          <w:tcPr>
            <w:tcW w:w="1097" w:type="dxa"/>
            <w:tcBorders>
              <w:top w:val="single" w:sz="4" w:space="0" w:color="auto"/>
              <w:bottom w:val="single" w:sz="4" w:space="0" w:color="auto"/>
            </w:tcBorders>
            <w:shd w:val="clear" w:color="auto" w:fill="E7E6E6" w:themeFill="background2"/>
          </w:tcPr>
          <w:p w:rsidR="00434D0E" w:rsidRPr="00443F3C" w:rsidRDefault="00434D0E" w:rsidP="00947764">
            <w:pPr>
              <w:spacing w:line="240" w:lineRule="auto"/>
              <w:jc w:val="center"/>
              <w:rPr>
                <w:rFonts w:ascii="Times New Roman" w:hAnsi="Times New Roman" w:cs="Times New Roman"/>
                <w:b/>
                <w:sz w:val="20"/>
                <w:szCs w:val="20"/>
              </w:rPr>
            </w:pPr>
            <w:r w:rsidRPr="00443F3C">
              <w:rPr>
                <w:rFonts w:ascii="Times New Roman" w:hAnsi="Times New Roman" w:cs="Times New Roman"/>
                <w:b/>
                <w:sz w:val="20"/>
                <w:szCs w:val="20"/>
              </w:rPr>
              <w:t>Sample complexes</w:t>
            </w:r>
          </w:p>
        </w:tc>
        <w:tc>
          <w:tcPr>
            <w:tcW w:w="1030" w:type="dxa"/>
            <w:tcBorders>
              <w:top w:val="single" w:sz="4" w:space="0" w:color="auto"/>
              <w:bottom w:val="single" w:sz="4" w:space="0" w:color="auto"/>
            </w:tcBorders>
            <w:shd w:val="clear" w:color="auto" w:fill="E7E6E6" w:themeFill="background2"/>
          </w:tcPr>
          <w:p w:rsidR="00434D0E" w:rsidRPr="00443F3C" w:rsidRDefault="00434D0E" w:rsidP="00947764">
            <w:pPr>
              <w:spacing w:line="240" w:lineRule="auto"/>
              <w:rPr>
                <w:rFonts w:ascii="Times New Roman" w:hAnsi="Times New Roman" w:cs="Times New Roman"/>
                <w:b/>
                <w:sz w:val="20"/>
                <w:szCs w:val="20"/>
              </w:rPr>
            </w:pPr>
            <w:r w:rsidRPr="00443F3C">
              <w:rPr>
                <w:rFonts w:ascii="Times New Roman" w:hAnsi="Times New Roman" w:cs="Times New Roman"/>
                <w:b/>
                <w:sz w:val="20"/>
                <w:szCs w:val="20"/>
              </w:rPr>
              <w:t>S. Group</w:t>
            </w:r>
          </w:p>
          <w:p w:rsidR="00434D0E" w:rsidRPr="00443F3C" w:rsidRDefault="00434D0E" w:rsidP="00947764">
            <w:pPr>
              <w:spacing w:line="240" w:lineRule="auto"/>
              <w:rPr>
                <w:rFonts w:ascii="Times New Roman" w:hAnsi="Times New Roman" w:cs="Times New Roman"/>
                <w:b/>
                <w:sz w:val="20"/>
                <w:szCs w:val="20"/>
              </w:rPr>
            </w:pPr>
            <w:r w:rsidRPr="00443F3C">
              <w:rPr>
                <w:rFonts w:ascii="Times New Roman" w:hAnsi="Times New Roman" w:cs="Times New Roman"/>
                <w:b/>
                <w:sz w:val="20"/>
                <w:szCs w:val="20"/>
              </w:rPr>
              <w:t>(G. No.)</w:t>
            </w:r>
          </w:p>
        </w:tc>
        <w:tc>
          <w:tcPr>
            <w:tcW w:w="992" w:type="dxa"/>
            <w:tcBorders>
              <w:top w:val="single" w:sz="4" w:space="0" w:color="auto"/>
              <w:bottom w:val="single" w:sz="4" w:space="0" w:color="auto"/>
            </w:tcBorders>
            <w:shd w:val="clear" w:color="auto" w:fill="E7E6E6" w:themeFill="background2"/>
          </w:tcPr>
          <w:p w:rsidR="00434D0E" w:rsidRPr="00443F3C" w:rsidRDefault="00434D0E" w:rsidP="00947764">
            <w:pPr>
              <w:spacing w:line="240" w:lineRule="auto"/>
              <w:jc w:val="center"/>
              <w:rPr>
                <w:rFonts w:ascii="Times New Roman" w:hAnsi="Times New Roman" w:cs="Times New Roman"/>
                <w:b/>
                <w:sz w:val="20"/>
                <w:szCs w:val="20"/>
              </w:rPr>
            </w:pPr>
            <w:r w:rsidRPr="00443F3C">
              <w:rPr>
                <w:rFonts w:ascii="Times New Roman" w:hAnsi="Times New Roman" w:cs="Times New Roman"/>
                <w:b/>
                <w:sz w:val="20"/>
                <w:szCs w:val="20"/>
              </w:rPr>
              <w:t>Volume</w:t>
            </w:r>
          </w:p>
          <w:p w:rsidR="00434D0E" w:rsidRPr="00443F3C" w:rsidRDefault="00434D0E" w:rsidP="00947764">
            <w:pPr>
              <w:spacing w:line="240" w:lineRule="auto"/>
              <w:jc w:val="center"/>
              <w:rPr>
                <w:rFonts w:ascii="Times New Roman" w:hAnsi="Times New Roman" w:cs="Times New Roman"/>
                <w:b/>
                <w:sz w:val="20"/>
                <w:szCs w:val="20"/>
              </w:rPr>
            </w:pPr>
            <w:r w:rsidRPr="00443F3C">
              <w:rPr>
                <w:rFonts w:ascii="Times New Roman" w:hAnsi="Times New Roman" w:cs="Times New Roman"/>
                <w:b/>
                <w:sz w:val="20"/>
                <w:szCs w:val="20"/>
              </w:rPr>
              <w:t>(10</w:t>
            </w:r>
            <w:r w:rsidRPr="00443F3C">
              <w:rPr>
                <w:rFonts w:ascii="Times New Roman" w:hAnsi="Times New Roman" w:cs="Times New Roman"/>
                <w:b/>
                <w:sz w:val="20"/>
                <w:szCs w:val="20"/>
                <w:vertAlign w:val="superscript"/>
              </w:rPr>
              <w:t>6</w:t>
            </w:r>
            <w:r w:rsidRPr="00443F3C">
              <w:rPr>
                <w:rFonts w:ascii="Times New Roman" w:hAnsi="Times New Roman" w:cs="Times New Roman"/>
                <w:b/>
                <w:sz w:val="20"/>
                <w:szCs w:val="20"/>
              </w:rPr>
              <w:t>pm</w:t>
            </w:r>
            <w:r w:rsidRPr="00443F3C">
              <w:rPr>
                <w:rFonts w:ascii="Times New Roman" w:hAnsi="Times New Roman" w:cs="Times New Roman"/>
                <w:b/>
                <w:sz w:val="20"/>
                <w:szCs w:val="20"/>
                <w:vertAlign w:val="superscript"/>
              </w:rPr>
              <w:t>3</w:t>
            </w:r>
            <w:r w:rsidRPr="00443F3C">
              <w:rPr>
                <w:rFonts w:ascii="Times New Roman" w:hAnsi="Times New Roman" w:cs="Times New Roman"/>
                <w:b/>
                <w:sz w:val="20"/>
                <w:szCs w:val="20"/>
              </w:rPr>
              <w:t>)</w:t>
            </w:r>
          </w:p>
        </w:tc>
        <w:tc>
          <w:tcPr>
            <w:tcW w:w="939" w:type="dxa"/>
            <w:tcBorders>
              <w:top w:val="single" w:sz="4" w:space="0" w:color="auto"/>
              <w:bottom w:val="single" w:sz="4" w:space="0" w:color="auto"/>
            </w:tcBorders>
            <w:shd w:val="clear" w:color="auto" w:fill="E7E6E6" w:themeFill="background2"/>
          </w:tcPr>
          <w:p w:rsidR="00434D0E" w:rsidRPr="00443F3C" w:rsidRDefault="00434D0E" w:rsidP="00947764">
            <w:pPr>
              <w:spacing w:line="240" w:lineRule="auto"/>
              <w:jc w:val="center"/>
              <w:rPr>
                <w:rFonts w:ascii="Times New Roman" w:hAnsi="Times New Roman" w:cs="Times New Roman"/>
                <w:b/>
                <w:sz w:val="20"/>
                <w:szCs w:val="20"/>
              </w:rPr>
            </w:pPr>
            <w:r w:rsidRPr="00443F3C">
              <w:rPr>
                <w:rFonts w:ascii="Times New Roman" w:hAnsi="Times New Roman" w:cs="Times New Roman"/>
                <w:b/>
                <w:sz w:val="20"/>
                <w:szCs w:val="20"/>
              </w:rPr>
              <w:t>Density</w:t>
            </w:r>
          </w:p>
          <w:p w:rsidR="00434D0E" w:rsidRPr="00443F3C" w:rsidRDefault="00434D0E" w:rsidP="00947764">
            <w:pPr>
              <w:spacing w:line="240" w:lineRule="auto"/>
              <w:jc w:val="center"/>
              <w:rPr>
                <w:rFonts w:ascii="Times New Roman" w:hAnsi="Times New Roman" w:cs="Times New Roman"/>
                <w:b/>
                <w:sz w:val="20"/>
                <w:szCs w:val="20"/>
              </w:rPr>
            </w:pPr>
            <w:r w:rsidRPr="00443F3C">
              <w:rPr>
                <w:rFonts w:ascii="Times New Roman" w:hAnsi="Times New Roman" w:cs="Times New Roman"/>
                <w:b/>
                <w:sz w:val="20"/>
                <w:szCs w:val="20"/>
              </w:rPr>
              <w:t>(g/cm)</w:t>
            </w:r>
          </w:p>
        </w:tc>
        <w:tc>
          <w:tcPr>
            <w:tcW w:w="1329" w:type="dxa"/>
            <w:tcBorders>
              <w:top w:val="single" w:sz="4" w:space="0" w:color="auto"/>
              <w:bottom w:val="single" w:sz="4" w:space="0" w:color="auto"/>
            </w:tcBorders>
            <w:shd w:val="clear" w:color="auto" w:fill="E7E6E6" w:themeFill="background2"/>
          </w:tcPr>
          <w:p w:rsidR="00434D0E" w:rsidRPr="00443F3C" w:rsidRDefault="00434D0E" w:rsidP="00947764">
            <w:pPr>
              <w:spacing w:line="240" w:lineRule="auto"/>
              <w:jc w:val="center"/>
              <w:rPr>
                <w:rFonts w:ascii="Times New Roman" w:hAnsi="Times New Roman" w:cs="Times New Roman"/>
                <w:b/>
                <w:sz w:val="20"/>
                <w:szCs w:val="20"/>
              </w:rPr>
            </w:pPr>
            <w:r w:rsidRPr="00443F3C">
              <w:rPr>
                <w:rFonts w:ascii="Times New Roman" w:hAnsi="Times New Roman" w:cs="Times New Roman"/>
                <w:b/>
                <w:sz w:val="20"/>
                <w:szCs w:val="20"/>
              </w:rPr>
              <w:t>Unit Cell Dimensions</w:t>
            </w:r>
          </w:p>
          <w:p w:rsidR="00434D0E" w:rsidRPr="00443F3C" w:rsidRDefault="00434D0E" w:rsidP="00947764">
            <w:pPr>
              <w:spacing w:line="240" w:lineRule="auto"/>
              <w:jc w:val="center"/>
              <w:rPr>
                <w:rFonts w:ascii="Times New Roman" w:hAnsi="Times New Roman" w:cs="Times New Roman"/>
                <w:b/>
                <w:sz w:val="20"/>
                <w:szCs w:val="20"/>
              </w:rPr>
            </w:pPr>
            <w:r w:rsidRPr="00443F3C">
              <w:rPr>
                <w:rFonts w:ascii="Times New Roman" w:hAnsi="Times New Roman" w:cs="Times New Roman"/>
                <w:b/>
                <w:sz w:val="20"/>
                <w:szCs w:val="20"/>
              </w:rPr>
              <w:t>(Å)</w:t>
            </w:r>
          </w:p>
        </w:tc>
        <w:tc>
          <w:tcPr>
            <w:tcW w:w="1417" w:type="dxa"/>
            <w:tcBorders>
              <w:top w:val="single" w:sz="4" w:space="0" w:color="auto"/>
              <w:bottom w:val="single" w:sz="4" w:space="0" w:color="auto"/>
            </w:tcBorders>
            <w:shd w:val="clear" w:color="auto" w:fill="E7E6E6" w:themeFill="background2"/>
          </w:tcPr>
          <w:p w:rsidR="00434D0E" w:rsidRPr="00443F3C" w:rsidRDefault="00434D0E" w:rsidP="00947764">
            <w:pPr>
              <w:spacing w:line="240" w:lineRule="auto"/>
              <w:rPr>
                <w:rFonts w:ascii="Times New Roman" w:hAnsi="Times New Roman" w:cs="Times New Roman"/>
                <w:b/>
                <w:sz w:val="20"/>
                <w:szCs w:val="20"/>
              </w:rPr>
            </w:pPr>
            <w:r w:rsidRPr="00443F3C">
              <w:rPr>
                <w:rFonts w:ascii="Times New Roman" w:hAnsi="Times New Roman" w:cs="Times New Roman"/>
                <w:b/>
                <w:sz w:val="20"/>
                <w:szCs w:val="20"/>
              </w:rPr>
              <w:t>Crystal Class</w:t>
            </w:r>
          </w:p>
        </w:tc>
        <w:tc>
          <w:tcPr>
            <w:tcW w:w="851" w:type="dxa"/>
            <w:tcBorders>
              <w:top w:val="single" w:sz="4" w:space="0" w:color="auto"/>
              <w:bottom w:val="single" w:sz="4" w:space="0" w:color="auto"/>
            </w:tcBorders>
            <w:shd w:val="clear" w:color="auto" w:fill="E7E6E6" w:themeFill="background2"/>
          </w:tcPr>
          <w:p w:rsidR="00434D0E" w:rsidRPr="00443F3C" w:rsidRDefault="00434D0E" w:rsidP="00947764">
            <w:pPr>
              <w:spacing w:line="240" w:lineRule="auto"/>
              <w:jc w:val="center"/>
              <w:rPr>
                <w:rFonts w:ascii="Times New Roman" w:hAnsi="Times New Roman" w:cs="Times New Roman"/>
                <w:b/>
                <w:sz w:val="20"/>
                <w:szCs w:val="20"/>
              </w:rPr>
            </w:pPr>
            <w:r w:rsidRPr="00443F3C">
              <w:rPr>
                <w:rFonts w:ascii="Times New Roman" w:hAnsi="Times New Roman" w:cs="Times New Roman"/>
                <w:b/>
                <w:sz w:val="20"/>
                <w:szCs w:val="20"/>
              </w:rPr>
              <w:t>No. of unit cells</w:t>
            </w:r>
          </w:p>
          <w:p w:rsidR="00434D0E" w:rsidRPr="00443F3C" w:rsidRDefault="00434D0E" w:rsidP="00947764">
            <w:pPr>
              <w:spacing w:line="240" w:lineRule="auto"/>
              <w:jc w:val="center"/>
              <w:rPr>
                <w:rFonts w:ascii="Times New Roman" w:hAnsi="Times New Roman" w:cs="Times New Roman"/>
                <w:b/>
                <w:sz w:val="20"/>
                <w:szCs w:val="20"/>
              </w:rPr>
            </w:pPr>
            <w:r w:rsidRPr="00443F3C">
              <w:rPr>
                <w:rFonts w:ascii="Times New Roman" w:hAnsi="Times New Roman" w:cs="Times New Roman"/>
                <w:b/>
                <w:sz w:val="20"/>
                <w:szCs w:val="20"/>
              </w:rPr>
              <w:t>(Z)</w:t>
            </w:r>
          </w:p>
        </w:tc>
        <w:tc>
          <w:tcPr>
            <w:tcW w:w="1134" w:type="dxa"/>
            <w:tcBorders>
              <w:top w:val="single" w:sz="4" w:space="0" w:color="auto"/>
              <w:bottom w:val="single" w:sz="4" w:space="0" w:color="auto"/>
            </w:tcBorders>
            <w:shd w:val="clear" w:color="auto" w:fill="E7E6E6" w:themeFill="background2"/>
          </w:tcPr>
          <w:p w:rsidR="00434D0E" w:rsidRPr="00443F3C" w:rsidRDefault="00434D0E" w:rsidP="00947764">
            <w:pPr>
              <w:spacing w:line="240" w:lineRule="auto"/>
              <w:jc w:val="center"/>
              <w:rPr>
                <w:rFonts w:ascii="Times New Roman" w:hAnsi="Times New Roman" w:cs="Times New Roman"/>
                <w:b/>
                <w:sz w:val="20"/>
                <w:szCs w:val="20"/>
              </w:rPr>
            </w:pPr>
            <w:r w:rsidRPr="00443F3C">
              <w:rPr>
                <w:rFonts w:ascii="Times New Roman" w:hAnsi="Times New Roman" w:cs="Times New Roman"/>
                <w:b/>
                <w:sz w:val="20"/>
                <w:szCs w:val="20"/>
              </w:rPr>
              <w:t>Reference Intensity Ratio         (RIR)</w:t>
            </w:r>
          </w:p>
        </w:tc>
      </w:tr>
      <w:tr w:rsidR="00434D0E" w:rsidRPr="00443F3C" w:rsidTr="00947764">
        <w:trPr>
          <w:trHeight w:val="582"/>
        </w:trPr>
        <w:tc>
          <w:tcPr>
            <w:tcW w:w="567" w:type="dxa"/>
            <w:tcBorders>
              <w:top w:val="single" w:sz="4" w:space="0" w:color="auto"/>
            </w:tcBorders>
          </w:tcPr>
          <w:p w:rsidR="00434D0E" w:rsidRPr="00443F3C" w:rsidRDefault="00434D0E" w:rsidP="00947764">
            <w:pPr>
              <w:spacing w:line="240" w:lineRule="auto"/>
              <w:rPr>
                <w:rFonts w:ascii="Times New Roman" w:hAnsi="Times New Roman" w:cs="Times New Roman"/>
                <w:sz w:val="20"/>
                <w:szCs w:val="20"/>
              </w:rPr>
            </w:pPr>
            <w:r w:rsidRPr="00443F3C">
              <w:rPr>
                <w:rFonts w:ascii="Times New Roman" w:hAnsi="Times New Roman" w:cs="Times New Roman"/>
                <w:sz w:val="20"/>
                <w:szCs w:val="20"/>
              </w:rPr>
              <w:t>1</w:t>
            </w:r>
          </w:p>
        </w:tc>
        <w:tc>
          <w:tcPr>
            <w:tcW w:w="1097" w:type="dxa"/>
            <w:tcBorders>
              <w:top w:val="single" w:sz="4" w:space="0" w:color="auto"/>
            </w:tcBorders>
          </w:tcPr>
          <w:p w:rsidR="00434D0E" w:rsidRPr="00443F3C" w:rsidRDefault="00434D0E" w:rsidP="00947764">
            <w:pPr>
              <w:spacing w:line="240" w:lineRule="auto"/>
              <w:jc w:val="center"/>
              <w:rPr>
                <w:rFonts w:ascii="Times New Roman" w:hAnsi="Times New Roman" w:cs="Times New Roman"/>
                <w:b/>
                <w:sz w:val="20"/>
                <w:szCs w:val="20"/>
              </w:rPr>
            </w:pPr>
            <w:r w:rsidRPr="00443F3C">
              <w:rPr>
                <w:rFonts w:ascii="Times New Roman" w:hAnsi="Times New Roman" w:cs="Times New Roman"/>
                <w:b/>
                <w:sz w:val="20"/>
                <w:szCs w:val="20"/>
              </w:rPr>
              <w:t>CrL1</w:t>
            </w:r>
          </w:p>
          <w:p w:rsidR="00434D0E" w:rsidRPr="00443F3C" w:rsidRDefault="00434D0E" w:rsidP="00947764">
            <w:pPr>
              <w:spacing w:line="240" w:lineRule="auto"/>
              <w:jc w:val="center"/>
              <w:rPr>
                <w:rFonts w:ascii="Times New Roman" w:hAnsi="Times New Roman" w:cs="Times New Roman"/>
                <w:b/>
                <w:sz w:val="20"/>
                <w:szCs w:val="20"/>
              </w:rPr>
            </w:pPr>
          </w:p>
        </w:tc>
        <w:tc>
          <w:tcPr>
            <w:tcW w:w="1030" w:type="dxa"/>
            <w:tcBorders>
              <w:top w:val="single" w:sz="4" w:space="0" w:color="auto"/>
            </w:tcBorders>
          </w:tcPr>
          <w:p w:rsidR="00434D0E" w:rsidRPr="00443F3C" w:rsidRDefault="00434D0E" w:rsidP="00947764">
            <w:pPr>
              <w:spacing w:line="240" w:lineRule="auto"/>
              <w:rPr>
                <w:rFonts w:ascii="Times New Roman" w:hAnsi="Times New Roman" w:cs="Times New Roman"/>
                <w:sz w:val="20"/>
                <w:szCs w:val="20"/>
              </w:rPr>
            </w:pPr>
            <w:proofErr w:type="spellStart"/>
            <w:r w:rsidRPr="00443F3C">
              <w:rPr>
                <w:rFonts w:ascii="Times New Roman" w:hAnsi="Times New Roman" w:cs="Times New Roman"/>
                <w:sz w:val="20"/>
                <w:szCs w:val="20"/>
              </w:rPr>
              <w:t>Pmmn</w:t>
            </w:r>
            <w:proofErr w:type="spellEnd"/>
          </w:p>
          <w:p w:rsidR="00434D0E" w:rsidRPr="00443F3C" w:rsidRDefault="00434D0E" w:rsidP="00947764">
            <w:pPr>
              <w:spacing w:line="240" w:lineRule="auto"/>
              <w:rPr>
                <w:rFonts w:ascii="Times New Roman" w:hAnsi="Times New Roman" w:cs="Times New Roman"/>
                <w:sz w:val="20"/>
                <w:szCs w:val="20"/>
              </w:rPr>
            </w:pPr>
            <w:r w:rsidRPr="00443F3C">
              <w:rPr>
                <w:rFonts w:ascii="Times New Roman" w:hAnsi="Times New Roman" w:cs="Times New Roman"/>
                <w:sz w:val="20"/>
                <w:szCs w:val="20"/>
              </w:rPr>
              <w:t>(59)</w:t>
            </w:r>
          </w:p>
        </w:tc>
        <w:tc>
          <w:tcPr>
            <w:tcW w:w="992" w:type="dxa"/>
            <w:tcBorders>
              <w:top w:val="single" w:sz="4" w:space="0" w:color="auto"/>
            </w:tcBorders>
          </w:tcPr>
          <w:p w:rsidR="00434D0E" w:rsidRPr="00443F3C" w:rsidRDefault="00434D0E" w:rsidP="00947764">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94.58</w:t>
            </w:r>
          </w:p>
        </w:tc>
        <w:tc>
          <w:tcPr>
            <w:tcW w:w="939" w:type="dxa"/>
            <w:tcBorders>
              <w:top w:val="single" w:sz="4" w:space="0" w:color="auto"/>
            </w:tcBorders>
          </w:tcPr>
          <w:p w:rsidR="00434D0E" w:rsidRPr="00443F3C" w:rsidRDefault="00434D0E" w:rsidP="00947764">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3.63</w:t>
            </w:r>
          </w:p>
        </w:tc>
        <w:tc>
          <w:tcPr>
            <w:tcW w:w="1329" w:type="dxa"/>
            <w:tcBorders>
              <w:top w:val="single" w:sz="4" w:space="0" w:color="auto"/>
            </w:tcBorders>
          </w:tcPr>
          <w:p w:rsidR="00434D0E" w:rsidRPr="00443F3C" w:rsidRDefault="00434D0E" w:rsidP="00947764">
            <w:pPr>
              <w:spacing w:line="240" w:lineRule="auto"/>
              <w:jc w:val="center"/>
              <w:rPr>
                <w:rFonts w:ascii="Times New Roman" w:hAnsi="Times New Roman" w:cs="Times New Roman"/>
                <w:sz w:val="20"/>
                <w:szCs w:val="20"/>
              </w:rPr>
            </w:pPr>
            <w:proofErr w:type="spellStart"/>
            <w:r w:rsidRPr="00443F3C">
              <w:rPr>
                <w:rFonts w:ascii="Times New Roman" w:hAnsi="Times New Roman" w:cs="Times New Roman"/>
                <w:sz w:val="20"/>
                <w:szCs w:val="20"/>
              </w:rPr>
              <w:t>a≠b≠c</w:t>
            </w:r>
            <w:proofErr w:type="spellEnd"/>
          </w:p>
          <w:p w:rsidR="00434D0E" w:rsidRPr="00443F3C" w:rsidRDefault="00434D0E" w:rsidP="00947764">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α=β=γ=90°</w:t>
            </w:r>
          </w:p>
          <w:p w:rsidR="00434D0E" w:rsidRPr="00443F3C" w:rsidRDefault="00434D0E" w:rsidP="00947764">
            <w:pPr>
              <w:spacing w:line="240" w:lineRule="auto"/>
              <w:jc w:val="center"/>
              <w:rPr>
                <w:rFonts w:ascii="Times New Roman" w:hAnsi="Times New Roman" w:cs="Times New Roman"/>
                <w:sz w:val="20"/>
                <w:szCs w:val="20"/>
              </w:rPr>
            </w:pPr>
          </w:p>
        </w:tc>
        <w:tc>
          <w:tcPr>
            <w:tcW w:w="1417" w:type="dxa"/>
            <w:tcBorders>
              <w:top w:val="single" w:sz="4" w:space="0" w:color="auto"/>
            </w:tcBorders>
          </w:tcPr>
          <w:p w:rsidR="00434D0E" w:rsidRPr="00443F3C" w:rsidRDefault="00434D0E" w:rsidP="00947764">
            <w:pPr>
              <w:spacing w:line="240" w:lineRule="auto"/>
              <w:rPr>
                <w:rFonts w:ascii="Times New Roman" w:hAnsi="Times New Roman" w:cs="Times New Roman"/>
                <w:sz w:val="20"/>
                <w:szCs w:val="20"/>
              </w:rPr>
            </w:pPr>
            <w:r w:rsidRPr="00443F3C">
              <w:rPr>
                <w:rFonts w:ascii="Times New Roman" w:hAnsi="Times New Roman" w:cs="Times New Roman"/>
                <w:sz w:val="20"/>
                <w:szCs w:val="20"/>
              </w:rPr>
              <w:t>Orthorhombic</w:t>
            </w:r>
          </w:p>
        </w:tc>
        <w:tc>
          <w:tcPr>
            <w:tcW w:w="851" w:type="dxa"/>
            <w:tcBorders>
              <w:top w:val="single" w:sz="4" w:space="0" w:color="auto"/>
            </w:tcBorders>
          </w:tcPr>
          <w:p w:rsidR="00434D0E" w:rsidRPr="00443F3C" w:rsidRDefault="00434D0E" w:rsidP="00947764">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2</w:t>
            </w:r>
          </w:p>
        </w:tc>
        <w:tc>
          <w:tcPr>
            <w:tcW w:w="1134" w:type="dxa"/>
            <w:tcBorders>
              <w:top w:val="single" w:sz="4" w:space="0" w:color="auto"/>
            </w:tcBorders>
          </w:tcPr>
          <w:p w:rsidR="00434D0E" w:rsidRPr="00443F3C" w:rsidRDefault="00434D0E" w:rsidP="00947764">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4.60</w:t>
            </w:r>
          </w:p>
        </w:tc>
      </w:tr>
      <w:tr w:rsidR="00434D0E" w:rsidRPr="00443F3C" w:rsidTr="00947764">
        <w:trPr>
          <w:trHeight w:val="582"/>
        </w:trPr>
        <w:tc>
          <w:tcPr>
            <w:tcW w:w="567" w:type="dxa"/>
          </w:tcPr>
          <w:p w:rsidR="00434D0E" w:rsidRPr="00443F3C" w:rsidRDefault="00434D0E" w:rsidP="00947764">
            <w:pPr>
              <w:spacing w:line="240" w:lineRule="auto"/>
              <w:rPr>
                <w:rFonts w:ascii="Times New Roman" w:hAnsi="Times New Roman" w:cs="Times New Roman"/>
                <w:sz w:val="20"/>
                <w:szCs w:val="20"/>
              </w:rPr>
            </w:pPr>
            <w:r w:rsidRPr="00443F3C">
              <w:rPr>
                <w:rFonts w:ascii="Times New Roman" w:hAnsi="Times New Roman" w:cs="Times New Roman"/>
                <w:sz w:val="20"/>
                <w:szCs w:val="20"/>
              </w:rPr>
              <w:t>2</w:t>
            </w:r>
          </w:p>
        </w:tc>
        <w:tc>
          <w:tcPr>
            <w:tcW w:w="1097" w:type="dxa"/>
          </w:tcPr>
          <w:p w:rsidR="00434D0E" w:rsidRPr="00443F3C" w:rsidRDefault="00434D0E" w:rsidP="00947764">
            <w:pPr>
              <w:spacing w:line="240" w:lineRule="auto"/>
              <w:jc w:val="center"/>
              <w:rPr>
                <w:rFonts w:ascii="Times New Roman" w:hAnsi="Times New Roman" w:cs="Times New Roman"/>
                <w:b/>
                <w:sz w:val="20"/>
                <w:szCs w:val="20"/>
              </w:rPr>
            </w:pPr>
            <w:r w:rsidRPr="00443F3C">
              <w:rPr>
                <w:rFonts w:ascii="Times New Roman" w:hAnsi="Times New Roman" w:cs="Times New Roman"/>
                <w:b/>
                <w:sz w:val="20"/>
                <w:szCs w:val="20"/>
              </w:rPr>
              <w:t>CoL1</w:t>
            </w:r>
          </w:p>
          <w:p w:rsidR="00434D0E" w:rsidRPr="00443F3C" w:rsidRDefault="00434D0E" w:rsidP="00947764">
            <w:pPr>
              <w:spacing w:line="240" w:lineRule="auto"/>
              <w:jc w:val="center"/>
              <w:rPr>
                <w:rFonts w:ascii="Times New Roman" w:hAnsi="Times New Roman" w:cs="Times New Roman"/>
                <w:b/>
                <w:sz w:val="20"/>
                <w:szCs w:val="20"/>
              </w:rPr>
            </w:pPr>
          </w:p>
        </w:tc>
        <w:tc>
          <w:tcPr>
            <w:tcW w:w="1030" w:type="dxa"/>
          </w:tcPr>
          <w:p w:rsidR="00434D0E" w:rsidRPr="00443F3C" w:rsidRDefault="00434D0E" w:rsidP="00947764">
            <w:pPr>
              <w:spacing w:line="240" w:lineRule="auto"/>
              <w:rPr>
                <w:rFonts w:ascii="Times New Roman" w:hAnsi="Times New Roman" w:cs="Times New Roman"/>
                <w:sz w:val="20"/>
                <w:szCs w:val="20"/>
              </w:rPr>
            </w:pPr>
            <w:r w:rsidRPr="00443F3C">
              <w:rPr>
                <w:rFonts w:ascii="Times New Roman" w:hAnsi="Times New Roman" w:cs="Times New Roman"/>
                <w:sz w:val="20"/>
                <w:szCs w:val="20"/>
              </w:rPr>
              <w:t xml:space="preserve">Fd-3m </w:t>
            </w:r>
          </w:p>
          <w:p w:rsidR="00434D0E" w:rsidRPr="00443F3C" w:rsidRDefault="00434D0E" w:rsidP="00947764">
            <w:pPr>
              <w:spacing w:line="240" w:lineRule="auto"/>
              <w:rPr>
                <w:rFonts w:ascii="Times New Roman" w:hAnsi="Times New Roman" w:cs="Times New Roman"/>
                <w:sz w:val="20"/>
                <w:szCs w:val="20"/>
              </w:rPr>
            </w:pPr>
            <w:r w:rsidRPr="00443F3C">
              <w:rPr>
                <w:rFonts w:ascii="Times New Roman" w:hAnsi="Times New Roman" w:cs="Times New Roman"/>
                <w:sz w:val="20"/>
                <w:szCs w:val="20"/>
              </w:rPr>
              <w:t>(223)</w:t>
            </w:r>
          </w:p>
        </w:tc>
        <w:tc>
          <w:tcPr>
            <w:tcW w:w="992" w:type="dxa"/>
          </w:tcPr>
          <w:p w:rsidR="00434D0E" w:rsidRPr="00443F3C" w:rsidRDefault="00434D0E" w:rsidP="00947764">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93.82</w:t>
            </w:r>
          </w:p>
        </w:tc>
        <w:tc>
          <w:tcPr>
            <w:tcW w:w="939" w:type="dxa"/>
          </w:tcPr>
          <w:p w:rsidR="00434D0E" w:rsidRPr="00443F3C" w:rsidRDefault="00434D0E" w:rsidP="00947764">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6.09</w:t>
            </w:r>
          </w:p>
        </w:tc>
        <w:tc>
          <w:tcPr>
            <w:tcW w:w="1329" w:type="dxa"/>
          </w:tcPr>
          <w:p w:rsidR="00434D0E" w:rsidRPr="00443F3C" w:rsidRDefault="00434D0E" w:rsidP="00947764">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a=b=c</w:t>
            </w:r>
          </w:p>
          <w:p w:rsidR="00434D0E" w:rsidRPr="00443F3C" w:rsidRDefault="00434D0E" w:rsidP="00947764">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α=β=γ=90°</w:t>
            </w:r>
          </w:p>
          <w:p w:rsidR="00434D0E" w:rsidRPr="00443F3C" w:rsidRDefault="00434D0E" w:rsidP="00947764">
            <w:pPr>
              <w:spacing w:line="240" w:lineRule="auto"/>
              <w:jc w:val="center"/>
              <w:rPr>
                <w:rFonts w:ascii="Times New Roman" w:hAnsi="Times New Roman" w:cs="Times New Roman"/>
                <w:sz w:val="20"/>
                <w:szCs w:val="20"/>
              </w:rPr>
            </w:pPr>
          </w:p>
        </w:tc>
        <w:tc>
          <w:tcPr>
            <w:tcW w:w="1417" w:type="dxa"/>
          </w:tcPr>
          <w:p w:rsidR="00434D0E" w:rsidRPr="00443F3C" w:rsidRDefault="00434D0E" w:rsidP="00947764">
            <w:pPr>
              <w:spacing w:line="240" w:lineRule="auto"/>
              <w:rPr>
                <w:rFonts w:ascii="Times New Roman" w:hAnsi="Times New Roman" w:cs="Times New Roman"/>
                <w:sz w:val="20"/>
                <w:szCs w:val="20"/>
              </w:rPr>
            </w:pPr>
            <w:r w:rsidRPr="00443F3C">
              <w:rPr>
                <w:rFonts w:ascii="Times New Roman" w:hAnsi="Times New Roman" w:cs="Times New Roman"/>
                <w:sz w:val="20"/>
                <w:szCs w:val="20"/>
              </w:rPr>
              <w:t>Cubic</w:t>
            </w:r>
          </w:p>
        </w:tc>
        <w:tc>
          <w:tcPr>
            <w:tcW w:w="851" w:type="dxa"/>
          </w:tcPr>
          <w:p w:rsidR="00434D0E" w:rsidRPr="00443F3C" w:rsidRDefault="00434D0E" w:rsidP="00947764">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2</w:t>
            </w:r>
          </w:p>
        </w:tc>
        <w:tc>
          <w:tcPr>
            <w:tcW w:w="1134" w:type="dxa"/>
          </w:tcPr>
          <w:p w:rsidR="00434D0E" w:rsidRPr="00443F3C" w:rsidRDefault="00434D0E" w:rsidP="00947764">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6.39</w:t>
            </w:r>
          </w:p>
        </w:tc>
      </w:tr>
      <w:tr w:rsidR="00434D0E" w:rsidRPr="00443F3C" w:rsidTr="00947764">
        <w:trPr>
          <w:trHeight w:val="582"/>
        </w:trPr>
        <w:tc>
          <w:tcPr>
            <w:tcW w:w="567" w:type="dxa"/>
          </w:tcPr>
          <w:p w:rsidR="00434D0E" w:rsidRPr="00443F3C" w:rsidRDefault="00434D0E" w:rsidP="00947764">
            <w:pPr>
              <w:spacing w:line="240" w:lineRule="auto"/>
              <w:rPr>
                <w:rFonts w:ascii="Times New Roman" w:hAnsi="Times New Roman" w:cs="Times New Roman"/>
                <w:sz w:val="20"/>
                <w:szCs w:val="20"/>
              </w:rPr>
            </w:pPr>
            <w:r w:rsidRPr="00443F3C">
              <w:rPr>
                <w:rFonts w:ascii="Times New Roman" w:hAnsi="Times New Roman" w:cs="Times New Roman"/>
                <w:sz w:val="20"/>
                <w:szCs w:val="20"/>
              </w:rPr>
              <w:t>3</w:t>
            </w:r>
          </w:p>
        </w:tc>
        <w:tc>
          <w:tcPr>
            <w:tcW w:w="1097" w:type="dxa"/>
          </w:tcPr>
          <w:p w:rsidR="00434D0E" w:rsidRPr="00443F3C" w:rsidRDefault="00434D0E" w:rsidP="00947764">
            <w:pPr>
              <w:spacing w:line="240" w:lineRule="auto"/>
              <w:jc w:val="center"/>
              <w:rPr>
                <w:rFonts w:ascii="Times New Roman" w:hAnsi="Times New Roman" w:cs="Times New Roman"/>
                <w:b/>
                <w:sz w:val="20"/>
                <w:szCs w:val="20"/>
              </w:rPr>
            </w:pPr>
            <w:r w:rsidRPr="00443F3C">
              <w:rPr>
                <w:rFonts w:ascii="Times New Roman" w:hAnsi="Times New Roman" w:cs="Times New Roman"/>
                <w:b/>
                <w:sz w:val="20"/>
                <w:szCs w:val="20"/>
              </w:rPr>
              <w:t>NiL1</w:t>
            </w:r>
          </w:p>
          <w:p w:rsidR="00434D0E" w:rsidRPr="00443F3C" w:rsidRDefault="00434D0E" w:rsidP="00947764">
            <w:pPr>
              <w:spacing w:line="240" w:lineRule="auto"/>
              <w:jc w:val="center"/>
              <w:rPr>
                <w:rFonts w:ascii="Times New Roman" w:hAnsi="Times New Roman" w:cs="Times New Roman"/>
                <w:b/>
                <w:sz w:val="20"/>
                <w:szCs w:val="20"/>
              </w:rPr>
            </w:pPr>
          </w:p>
        </w:tc>
        <w:tc>
          <w:tcPr>
            <w:tcW w:w="1030" w:type="dxa"/>
          </w:tcPr>
          <w:p w:rsidR="00434D0E" w:rsidRPr="00443F3C" w:rsidRDefault="00434D0E" w:rsidP="00947764">
            <w:pPr>
              <w:spacing w:line="240" w:lineRule="auto"/>
              <w:rPr>
                <w:rFonts w:ascii="Times New Roman" w:hAnsi="Times New Roman" w:cs="Times New Roman"/>
                <w:sz w:val="20"/>
                <w:szCs w:val="20"/>
              </w:rPr>
            </w:pPr>
            <w:r w:rsidRPr="00443F3C">
              <w:rPr>
                <w:rFonts w:ascii="Times New Roman" w:hAnsi="Times New Roman" w:cs="Times New Roman"/>
                <w:sz w:val="20"/>
                <w:szCs w:val="20"/>
              </w:rPr>
              <w:t xml:space="preserve">R-3m </w:t>
            </w:r>
          </w:p>
          <w:p w:rsidR="00434D0E" w:rsidRPr="00443F3C" w:rsidRDefault="00434D0E" w:rsidP="00947764">
            <w:pPr>
              <w:spacing w:line="240" w:lineRule="auto"/>
              <w:rPr>
                <w:rFonts w:ascii="Times New Roman" w:hAnsi="Times New Roman" w:cs="Times New Roman"/>
                <w:sz w:val="20"/>
                <w:szCs w:val="20"/>
              </w:rPr>
            </w:pPr>
            <w:r w:rsidRPr="00443F3C">
              <w:rPr>
                <w:rFonts w:ascii="Times New Roman" w:hAnsi="Times New Roman" w:cs="Times New Roman"/>
                <w:sz w:val="20"/>
                <w:szCs w:val="20"/>
              </w:rPr>
              <w:t>(166)</w:t>
            </w:r>
          </w:p>
        </w:tc>
        <w:tc>
          <w:tcPr>
            <w:tcW w:w="992" w:type="dxa"/>
          </w:tcPr>
          <w:p w:rsidR="00434D0E" w:rsidRPr="00443F3C" w:rsidRDefault="00434D0E" w:rsidP="00947764">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99.78</w:t>
            </w:r>
          </w:p>
        </w:tc>
        <w:tc>
          <w:tcPr>
            <w:tcW w:w="939" w:type="dxa"/>
          </w:tcPr>
          <w:p w:rsidR="00434D0E" w:rsidRPr="00443F3C" w:rsidRDefault="00434D0E" w:rsidP="00947764">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4.53</w:t>
            </w:r>
          </w:p>
        </w:tc>
        <w:tc>
          <w:tcPr>
            <w:tcW w:w="1329" w:type="dxa"/>
          </w:tcPr>
          <w:p w:rsidR="00434D0E" w:rsidRPr="00443F3C" w:rsidRDefault="00434D0E" w:rsidP="00947764">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a=</w:t>
            </w:r>
            <w:proofErr w:type="spellStart"/>
            <w:r w:rsidRPr="00443F3C">
              <w:rPr>
                <w:rFonts w:ascii="Times New Roman" w:hAnsi="Times New Roman" w:cs="Times New Roman"/>
                <w:sz w:val="20"/>
                <w:szCs w:val="20"/>
              </w:rPr>
              <w:t>b≠c</w:t>
            </w:r>
            <w:proofErr w:type="spellEnd"/>
            <w:r w:rsidRPr="00443F3C">
              <w:rPr>
                <w:rFonts w:ascii="Times New Roman" w:hAnsi="Times New Roman" w:cs="Times New Roman"/>
                <w:sz w:val="20"/>
                <w:szCs w:val="20"/>
              </w:rPr>
              <w:t xml:space="preserve"> </w:t>
            </w:r>
          </w:p>
          <w:p w:rsidR="00434D0E" w:rsidRPr="00443F3C" w:rsidRDefault="00434D0E" w:rsidP="00947764">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α=β=90°</w:t>
            </w:r>
          </w:p>
          <w:p w:rsidR="00434D0E" w:rsidRPr="00443F3C" w:rsidRDefault="00434D0E" w:rsidP="00947764">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γ=120°</w:t>
            </w:r>
          </w:p>
        </w:tc>
        <w:tc>
          <w:tcPr>
            <w:tcW w:w="1417" w:type="dxa"/>
          </w:tcPr>
          <w:p w:rsidR="00434D0E" w:rsidRPr="00443F3C" w:rsidRDefault="00434D0E" w:rsidP="00947764">
            <w:pPr>
              <w:spacing w:line="240" w:lineRule="auto"/>
              <w:rPr>
                <w:rFonts w:ascii="Times New Roman" w:hAnsi="Times New Roman" w:cs="Times New Roman"/>
                <w:sz w:val="20"/>
                <w:szCs w:val="20"/>
              </w:rPr>
            </w:pPr>
            <w:r w:rsidRPr="00443F3C">
              <w:rPr>
                <w:rFonts w:ascii="Times New Roman" w:hAnsi="Times New Roman" w:cs="Times New Roman"/>
                <w:sz w:val="20"/>
                <w:szCs w:val="20"/>
              </w:rPr>
              <w:t>Hexagonal</w:t>
            </w:r>
          </w:p>
        </w:tc>
        <w:tc>
          <w:tcPr>
            <w:tcW w:w="851" w:type="dxa"/>
          </w:tcPr>
          <w:p w:rsidR="00434D0E" w:rsidRPr="00443F3C" w:rsidRDefault="00434D0E" w:rsidP="00947764">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3</w:t>
            </w:r>
          </w:p>
        </w:tc>
        <w:tc>
          <w:tcPr>
            <w:tcW w:w="1134" w:type="dxa"/>
          </w:tcPr>
          <w:p w:rsidR="00434D0E" w:rsidRPr="00443F3C" w:rsidRDefault="00434D0E" w:rsidP="00947764">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6.38</w:t>
            </w:r>
          </w:p>
        </w:tc>
      </w:tr>
      <w:tr w:rsidR="00434D0E" w:rsidRPr="00443F3C" w:rsidTr="00947764">
        <w:trPr>
          <w:trHeight w:val="582"/>
        </w:trPr>
        <w:tc>
          <w:tcPr>
            <w:tcW w:w="567" w:type="dxa"/>
          </w:tcPr>
          <w:p w:rsidR="00434D0E" w:rsidRPr="00443F3C" w:rsidRDefault="00434D0E" w:rsidP="00947764">
            <w:pPr>
              <w:spacing w:line="240" w:lineRule="auto"/>
              <w:rPr>
                <w:rFonts w:ascii="Times New Roman" w:hAnsi="Times New Roman" w:cs="Times New Roman"/>
                <w:sz w:val="20"/>
                <w:szCs w:val="20"/>
              </w:rPr>
            </w:pPr>
            <w:r w:rsidRPr="00443F3C">
              <w:rPr>
                <w:rFonts w:ascii="Times New Roman" w:hAnsi="Times New Roman" w:cs="Times New Roman"/>
                <w:sz w:val="20"/>
                <w:szCs w:val="20"/>
              </w:rPr>
              <w:t>4</w:t>
            </w:r>
          </w:p>
        </w:tc>
        <w:tc>
          <w:tcPr>
            <w:tcW w:w="1097" w:type="dxa"/>
          </w:tcPr>
          <w:p w:rsidR="00434D0E" w:rsidRPr="00443F3C" w:rsidRDefault="00434D0E" w:rsidP="00947764">
            <w:pPr>
              <w:spacing w:line="240" w:lineRule="auto"/>
              <w:jc w:val="center"/>
              <w:rPr>
                <w:rFonts w:ascii="Times New Roman" w:hAnsi="Times New Roman" w:cs="Times New Roman"/>
                <w:b/>
                <w:sz w:val="20"/>
                <w:szCs w:val="20"/>
              </w:rPr>
            </w:pPr>
            <w:r w:rsidRPr="00443F3C">
              <w:rPr>
                <w:rFonts w:ascii="Times New Roman" w:hAnsi="Times New Roman" w:cs="Times New Roman"/>
                <w:b/>
                <w:sz w:val="20"/>
                <w:szCs w:val="20"/>
              </w:rPr>
              <w:t>MnL1</w:t>
            </w:r>
          </w:p>
          <w:p w:rsidR="00434D0E" w:rsidRPr="00443F3C" w:rsidRDefault="00434D0E" w:rsidP="00947764">
            <w:pPr>
              <w:spacing w:line="240" w:lineRule="auto"/>
              <w:jc w:val="center"/>
              <w:rPr>
                <w:rFonts w:ascii="Times New Roman" w:hAnsi="Times New Roman" w:cs="Times New Roman"/>
                <w:b/>
                <w:sz w:val="20"/>
                <w:szCs w:val="20"/>
              </w:rPr>
            </w:pPr>
          </w:p>
        </w:tc>
        <w:tc>
          <w:tcPr>
            <w:tcW w:w="1030" w:type="dxa"/>
          </w:tcPr>
          <w:p w:rsidR="00434D0E" w:rsidRPr="00443F3C" w:rsidRDefault="00434D0E" w:rsidP="00947764">
            <w:pPr>
              <w:spacing w:line="240" w:lineRule="auto"/>
              <w:rPr>
                <w:rFonts w:ascii="Times New Roman" w:hAnsi="Times New Roman" w:cs="Times New Roman"/>
                <w:sz w:val="20"/>
                <w:szCs w:val="20"/>
              </w:rPr>
            </w:pPr>
            <w:r w:rsidRPr="00443F3C">
              <w:rPr>
                <w:rFonts w:ascii="Times New Roman" w:hAnsi="Times New Roman" w:cs="Times New Roman"/>
                <w:sz w:val="20"/>
                <w:szCs w:val="20"/>
              </w:rPr>
              <w:t>141/</w:t>
            </w:r>
            <w:proofErr w:type="spellStart"/>
            <w:r w:rsidRPr="00443F3C">
              <w:rPr>
                <w:rFonts w:ascii="Times New Roman" w:hAnsi="Times New Roman" w:cs="Times New Roman"/>
                <w:sz w:val="20"/>
                <w:szCs w:val="20"/>
              </w:rPr>
              <w:t>amd</w:t>
            </w:r>
            <w:proofErr w:type="spellEnd"/>
          </w:p>
          <w:p w:rsidR="00434D0E" w:rsidRPr="00443F3C" w:rsidRDefault="00434D0E" w:rsidP="00947764">
            <w:pPr>
              <w:spacing w:line="240" w:lineRule="auto"/>
              <w:rPr>
                <w:rFonts w:ascii="Times New Roman" w:hAnsi="Times New Roman" w:cs="Times New Roman"/>
                <w:sz w:val="20"/>
                <w:szCs w:val="20"/>
              </w:rPr>
            </w:pPr>
            <w:r w:rsidRPr="00443F3C">
              <w:rPr>
                <w:rFonts w:ascii="Times New Roman" w:hAnsi="Times New Roman" w:cs="Times New Roman"/>
                <w:sz w:val="20"/>
                <w:szCs w:val="20"/>
              </w:rPr>
              <w:t xml:space="preserve"> (141)</w:t>
            </w:r>
          </w:p>
        </w:tc>
        <w:tc>
          <w:tcPr>
            <w:tcW w:w="992" w:type="dxa"/>
          </w:tcPr>
          <w:p w:rsidR="00434D0E" w:rsidRPr="00443F3C" w:rsidRDefault="00434D0E" w:rsidP="00947764">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518.94</w:t>
            </w:r>
          </w:p>
        </w:tc>
        <w:tc>
          <w:tcPr>
            <w:tcW w:w="939" w:type="dxa"/>
          </w:tcPr>
          <w:p w:rsidR="00434D0E" w:rsidRPr="00443F3C" w:rsidRDefault="00434D0E" w:rsidP="00947764">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w:t>
            </w:r>
          </w:p>
        </w:tc>
        <w:tc>
          <w:tcPr>
            <w:tcW w:w="1329" w:type="dxa"/>
          </w:tcPr>
          <w:p w:rsidR="00434D0E" w:rsidRPr="00443F3C" w:rsidRDefault="00434D0E" w:rsidP="00947764">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a=b=c</w:t>
            </w:r>
          </w:p>
          <w:p w:rsidR="00434D0E" w:rsidRPr="00443F3C" w:rsidRDefault="00434D0E" w:rsidP="00947764">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α=β=γ=90°</w:t>
            </w:r>
          </w:p>
          <w:p w:rsidR="00434D0E" w:rsidRPr="00443F3C" w:rsidRDefault="00434D0E" w:rsidP="00947764">
            <w:pPr>
              <w:spacing w:line="240" w:lineRule="auto"/>
              <w:jc w:val="center"/>
              <w:rPr>
                <w:rFonts w:ascii="Times New Roman" w:hAnsi="Times New Roman" w:cs="Times New Roman"/>
                <w:sz w:val="20"/>
                <w:szCs w:val="20"/>
              </w:rPr>
            </w:pPr>
          </w:p>
        </w:tc>
        <w:tc>
          <w:tcPr>
            <w:tcW w:w="1417" w:type="dxa"/>
          </w:tcPr>
          <w:p w:rsidR="00434D0E" w:rsidRPr="00443F3C" w:rsidRDefault="00434D0E" w:rsidP="00947764">
            <w:pPr>
              <w:spacing w:line="240" w:lineRule="auto"/>
              <w:rPr>
                <w:rFonts w:ascii="Times New Roman" w:hAnsi="Times New Roman" w:cs="Times New Roman"/>
                <w:sz w:val="20"/>
                <w:szCs w:val="20"/>
              </w:rPr>
            </w:pPr>
            <w:r w:rsidRPr="00443F3C">
              <w:rPr>
                <w:rFonts w:ascii="Times New Roman" w:hAnsi="Times New Roman" w:cs="Times New Roman"/>
                <w:sz w:val="20"/>
                <w:szCs w:val="20"/>
              </w:rPr>
              <w:t>Cubic</w:t>
            </w:r>
          </w:p>
        </w:tc>
        <w:tc>
          <w:tcPr>
            <w:tcW w:w="851" w:type="dxa"/>
          </w:tcPr>
          <w:p w:rsidR="00434D0E" w:rsidRPr="00443F3C" w:rsidRDefault="00434D0E" w:rsidP="00947764">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4</w:t>
            </w:r>
          </w:p>
        </w:tc>
        <w:tc>
          <w:tcPr>
            <w:tcW w:w="1134" w:type="dxa"/>
          </w:tcPr>
          <w:p w:rsidR="00434D0E" w:rsidRPr="00443F3C" w:rsidRDefault="00434D0E" w:rsidP="00947764">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4.21</w:t>
            </w:r>
          </w:p>
        </w:tc>
      </w:tr>
      <w:tr w:rsidR="00434D0E" w:rsidRPr="00443F3C" w:rsidTr="00947764">
        <w:trPr>
          <w:trHeight w:val="582"/>
        </w:trPr>
        <w:tc>
          <w:tcPr>
            <w:tcW w:w="567" w:type="dxa"/>
          </w:tcPr>
          <w:p w:rsidR="00434D0E" w:rsidRPr="00443F3C" w:rsidRDefault="00434D0E" w:rsidP="00947764">
            <w:pPr>
              <w:spacing w:line="240" w:lineRule="auto"/>
              <w:rPr>
                <w:rFonts w:ascii="Times New Roman" w:hAnsi="Times New Roman" w:cs="Times New Roman"/>
                <w:sz w:val="20"/>
                <w:szCs w:val="20"/>
              </w:rPr>
            </w:pPr>
            <w:r w:rsidRPr="00443F3C">
              <w:rPr>
                <w:rFonts w:ascii="Times New Roman" w:hAnsi="Times New Roman" w:cs="Times New Roman"/>
                <w:sz w:val="20"/>
                <w:szCs w:val="20"/>
              </w:rPr>
              <w:t>5</w:t>
            </w:r>
          </w:p>
        </w:tc>
        <w:tc>
          <w:tcPr>
            <w:tcW w:w="1097" w:type="dxa"/>
          </w:tcPr>
          <w:p w:rsidR="00434D0E" w:rsidRPr="00443F3C" w:rsidRDefault="00434D0E" w:rsidP="00947764">
            <w:pPr>
              <w:spacing w:line="240" w:lineRule="auto"/>
              <w:jc w:val="center"/>
              <w:rPr>
                <w:rFonts w:ascii="Times New Roman" w:hAnsi="Times New Roman" w:cs="Times New Roman"/>
                <w:b/>
                <w:sz w:val="20"/>
                <w:szCs w:val="20"/>
              </w:rPr>
            </w:pPr>
            <w:r w:rsidRPr="00443F3C">
              <w:rPr>
                <w:rFonts w:ascii="Times New Roman" w:hAnsi="Times New Roman" w:cs="Times New Roman"/>
                <w:b/>
                <w:sz w:val="20"/>
                <w:szCs w:val="20"/>
              </w:rPr>
              <w:t>CuL1</w:t>
            </w:r>
          </w:p>
        </w:tc>
        <w:tc>
          <w:tcPr>
            <w:tcW w:w="1030" w:type="dxa"/>
          </w:tcPr>
          <w:p w:rsidR="00434D0E" w:rsidRPr="00443F3C" w:rsidRDefault="00434D0E" w:rsidP="00947764">
            <w:pPr>
              <w:spacing w:line="240" w:lineRule="auto"/>
              <w:rPr>
                <w:rFonts w:ascii="Times New Roman" w:hAnsi="Times New Roman" w:cs="Times New Roman"/>
                <w:sz w:val="20"/>
                <w:szCs w:val="20"/>
              </w:rPr>
            </w:pPr>
            <w:r w:rsidRPr="00443F3C">
              <w:rPr>
                <w:rFonts w:ascii="Times New Roman" w:hAnsi="Times New Roman" w:cs="Times New Roman"/>
                <w:sz w:val="20"/>
                <w:szCs w:val="20"/>
              </w:rPr>
              <w:t xml:space="preserve">Cc </w:t>
            </w:r>
          </w:p>
          <w:p w:rsidR="00434D0E" w:rsidRPr="00443F3C" w:rsidRDefault="00434D0E" w:rsidP="00947764">
            <w:pPr>
              <w:spacing w:line="240" w:lineRule="auto"/>
              <w:rPr>
                <w:rFonts w:ascii="Times New Roman" w:hAnsi="Times New Roman" w:cs="Times New Roman"/>
                <w:sz w:val="20"/>
                <w:szCs w:val="20"/>
              </w:rPr>
            </w:pPr>
            <w:r w:rsidRPr="00443F3C">
              <w:rPr>
                <w:rFonts w:ascii="Times New Roman" w:hAnsi="Times New Roman" w:cs="Times New Roman"/>
                <w:sz w:val="20"/>
                <w:szCs w:val="20"/>
              </w:rPr>
              <w:t>(9)</w:t>
            </w:r>
          </w:p>
        </w:tc>
        <w:tc>
          <w:tcPr>
            <w:tcW w:w="992" w:type="dxa"/>
          </w:tcPr>
          <w:p w:rsidR="00434D0E" w:rsidRPr="00443F3C" w:rsidRDefault="00434D0E" w:rsidP="00947764">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81.12</w:t>
            </w:r>
          </w:p>
        </w:tc>
        <w:tc>
          <w:tcPr>
            <w:tcW w:w="939" w:type="dxa"/>
          </w:tcPr>
          <w:p w:rsidR="00434D0E" w:rsidRPr="00443F3C" w:rsidRDefault="00434D0E" w:rsidP="00947764">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6.51</w:t>
            </w:r>
          </w:p>
        </w:tc>
        <w:tc>
          <w:tcPr>
            <w:tcW w:w="1329" w:type="dxa"/>
          </w:tcPr>
          <w:p w:rsidR="00434D0E" w:rsidRPr="00443F3C" w:rsidRDefault="00434D0E" w:rsidP="00947764">
            <w:pPr>
              <w:spacing w:line="240" w:lineRule="auto"/>
              <w:jc w:val="center"/>
              <w:rPr>
                <w:rFonts w:ascii="Times New Roman" w:hAnsi="Times New Roman" w:cs="Times New Roman"/>
                <w:sz w:val="20"/>
                <w:szCs w:val="20"/>
              </w:rPr>
            </w:pPr>
            <w:proofErr w:type="spellStart"/>
            <w:r w:rsidRPr="00443F3C">
              <w:rPr>
                <w:rFonts w:ascii="Times New Roman" w:hAnsi="Times New Roman" w:cs="Times New Roman"/>
                <w:sz w:val="20"/>
                <w:szCs w:val="20"/>
              </w:rPr>
              <w:t>a≠b≠c</w:t>
            </w:r>
            <w:proofErr w:type="spellEnd"/>
          </w:p>
          <w:p w:rsidR="00434D0E" w:rsidRPr="00443F3C" w:rsidRDefault="00434D0E" w:rsidP="00947764">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α=γ=90°</w:t>
            </w:r>
          </w:p>
          <w:p w:rsidR="00434D0E" w:rsidRPr="00443F3C" w:rsidRDefault="00434D0E" w:rsidP="00947764">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β≠90°</w:t>
            </w:r>
          </w:p>
        </w:tc>
        <w:tc>
          <w:tcPr>
            <w:tcW w:w="1417" w:type="dxa"/>
          </w:tcPr>
          <w:p w:rsidR="00434D0E" w:rsidRPr="00443F3C" w:rsidRDefault="00434D0E" w:rsidP="00947764">
            <w:pPr>
              <w:spacing w:line="240" w:lineRule="auto"/>
              <w:rPr>
                <w:rFonts w:ascii="Times New Roman" w:hAnsi="Times New Roman" w:cs="Times New Roman"/>
                <w:sz w:val="20"/>
                <w:szCs w:val="20"/>
              </w:rPr>
            </w:pPr>
            <w:r w:rsidRPr="00443F3C">
              <w:rPr>
                <w:rFonts w:ascii="Times New Roman" w:hAnsi="Times New Roman" w:cs="Times New Roman"/>
                <w:sz w:val="20"/>
                <w:szCs w:val="20"/>
              </w:rPr>
              <w:t>Monoclinic</w:t>
            </w:r>
          </w:p>
        </w:tc>
        <w:tc>
          <w:tcPr>
            <w:tcW w:w="851" w:type="dxa"/>
          </w:tcPr>
          <w:p w:rsidR="00434D0E" w:rsidRPr="00443F3C" w:rsidRDefault="00434D0E" w:rsidP="00947764">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4</w:t>
            </w:r>
          </w:p>
        </w:tc>
        <w:tc>
          <w:tcPr>
            <w:tcW w:w="1134" w:type="dxa"/>
          </w:tcPr>
          <w:p w:rsidR="00434D0E" w:rsidRPr="00443F3C" w:rsidRDefault="00434D0E" w:rsidP="00947764">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3.72</w:t>
            </w:r>
          </w:p>
        </w:tc>
      </w:tr>
    </w:tbl>
    <w:p w:rsidR="00114556" w:rsidRDefault="00114556" w:rsidP="00443F3C">
      <w:pPr>
        <w:spacing w:after="0" w:line="240" w:lineRule="auto"/>
        <w:contextualSpacing/>
        <w:jc w:val="both"/>
        <w:rPr>
          <w:rFonts w:ascii="Times New Roman" w:hAnsi="Times New Roman" w:cs="Times New Roman"/>
          <w:b/>
          <w:sz w:val="24"/>
          <w:szCs w:val="24"/>
        </w:rPr>
      </w:pPr>
    </w:p>
    <w:p w:rsidR="00114556" w:rsidRDefault="00114556" w:rsidP="00443F3C">
      <w:pPr>
        <w:spacing w:after="0" w:line="240" w:lineRule="auto"/>
        <w:contextualSpacing/>
        <w:jc w:val="both"/>
        <w:rPr>
          <w:rFonts w:ascii="Times New Roman" w:hAnsi="Times New Roman" w:cs="Times New Roman"/>
          <w:b/>
          <w:sz w:val="24"/>
          <w:szCs w:val="24"/>
        </w:rPr>
      </w:pPr>
    </w:p>
    <w:p w:rsidR="00114556" w:rsidRDefault="00114556" w:rsidP="00443F3C">
      <w:pPr>
        <w:spacing w:after="0" w:line="240" w:lineRule="auto"/>
        <w:contextualSpacing/>
        <w:jc w:val="both"/>
        <w:rPr>
          <w:rFonts w:ascii="Times New Roman" w:hAnsi="Times New Roman" w:cs="Times New Roman"/>
          <w:b/>
          <w:sz w:val="24"/>
          <w:szCs w:val="24"/>
        </w:rPr>
      </w:pPr>
    </w:p>
    <w:p w:rsidR="00114556" w:rsidRDefault="00114556" w:rsidP="00443F3C">
      <w:pPr>
        <w:spacing w:after="0" w:line="240" w:lineRule="auto"/>
        <w:contextualSpacing/>
        <w:jc w:val="both"/>
        <w:rPr>
          <w:rFonts w:ascii="Times New Roman" w:hAnsi="Times New Roman" w:cs="Times New Roman"/>
          <w:b/>
          <w:sz w:val="24"/>
          <w:szCs w:val="24"/>
        </w:rPr>
      </w:pPr>
    </w:p>
    <w:p w:rsidR="00114556" w:rsidRDefault="00114556" w:rsidP="00443F3C">
      <w:pPr>
        <w:spacing w:after="0" w:line="240" w:lineRule="auto"/>
        <w:contextualSpacing/>
        <w:jc w:val="both"/>
        <w:rPr>
          <w:rFonts w:ascii="Times New Roman" w:hAnsi="Times New Roman" w:cs="Times New Roman"/>
          <w:b/>
          <w:sz w:val="24"/>
          <w:szCs w:val="24"/>
        </w:rPr>
      </w:pPr>
    </w:p>
    <w:p w:rsidR="00114556" w:rsidRDefault="00114556" w:rsidP="00443F3C">
      <w:pPr>
        <w:spacing w:after="0" w:line="240" w:lineRule="auto"/>
        <w:contextualSpacing/>
        <w:jc w:val="both"/>
        <w:rPr>
          <w:rFonts w:ascii="Times New Roman" w:hAnsi="Times New Roman" w:cs="Times New Roman"/>
          <w:b/>
          <w:sz w:val="24"/>
          <w:szCs w:val="24"/>
        </w:rPr>
      </w:pPr>
    </w:p>
    <w:p w:rsidR="00114556" w:rsidRDefault="00114556" w:rsidP="00443F3C">
      <w:pPr>
        <w:spacing w:after="0" w:line="240" w:lineRule="auto"/>
        <w:contextualSpacing/>
        <w:jc w:val="both"/>
        <w:rPr>
          <w:rFonts w:ascii="Times New Roman" w:hAnsi="Times New Roman" w:cs="Times New Roman"/>
          <w:b/>
          <w:sz w:val="24"/>
          <w:szCs w:val="24"/>
        </w:rPr>
      </w:pPr>
    </w:p>
    <w:p w:rsidR="00114556" w:rsidRDefault="00114556" w:rsidP="00443F3C">
      <w:pPr>
        <w:spacing w:after="0" w:line="240" w:lineRule="auto"/>
        <w:contextualSpacing/>
        <w:jc w:val="both"/>
        <w:rPr>
          <w:rFonts w:ascii="Times New Roman" w:hAnsi="Times New Roman" w:cs="Times New Roman"/>
          <w:b/>
          <w:sz w:val="24"/>
          <w:szCs w:val="24"/>
        </w:rPr>
      </w:pPr>
    </w:p>
    <w:p w:rsidR="00114556" w:rsidRDefault="00114556" w:rsidP="00443F3C">
      <w:pPr>
        <w:spacing w:after="0" w:line="240" w:lineRule="auto"/>
        <w:contextualSpacing/>
        <w:jc w:val="both"/>
        <w:rPr>
          <w:rFonts w:ascii="Times New Roman" w:hAnsi="Times New Roman" w:cs="Times New Roman"/>
          <w:b/>
          <w:sz w:val="24"/>
          <w:szCs w:val="24"/>
        </w:rPr>
      </w:pPr>
    </w:p>
    <w:p w:rsidR="00BB5681" w:rsidRDefault="00BB5681" w:rsidP="00494598">
      <w:pPr>
        <w:spacing w:after="0"/>
        <w:contextualSpacing/>
        <w:jc w:val="both"/>
        <w:rPr>
          <w:rFonts w:ascii="Times New Roman" w:hAnsi="Times New Roman" w:cs="Times New Roman"/>
          <w:b/>
          <w:sz w:val="24"/>
          <w:szCs w:val="24"/>
        </w:rPr>
      </w:pPr>
    </w:p>
    <w:p w:rsidR="00260749" w:rsidRDefault="00260749" w:rsidP="00494598">
      <w:pPr>
        <w:spacing w:after="0"/>
        <w:contextualSpacing/>
        <w:jc w:val="both"/>
        <w:rPr>
          <w:rFonts w:ascii="Times New Roman" w:hAnsi="Times New Roman" w:cs="Times New Roman"/>
          <w:b/>
          <w:sz w:val="24"/>
          <w:szCs w:val="24"/>
        </w:rPr>
      </w:pPr>
    </w:p>
    <w:p w:rsidR="003462F6" w:rsidRDefault="003462F6" w:rsidP="00494598">
      <w:pPr>
        <w:spacing w:after="0"/>
        <w:contextualSpacing/>
        <w:jc w:val="both"/>
        <w:rPr>
          <w:rFonts w:ascii="Times New Roman" w:hAnsi="Times New Roman" w:cs="Times New Roman"/>
          <w:b/>
          <w:sz w:val="24"/>
          <w:szCs w:val="24"/>
        </w:rPr>
      </w:pPr>
    </w:p>
    <w:p w:rsidR="00494598" w:rsidRPr="00B83246" w:rsidRDefault="00987A05" w:rsidP="00494598">
      <w:pPr>
        <w:spacing w:after="0"/>
        <w:contextualSpacing/>
        <w:jc w:val="both"/>
        <w:rPr>
          <w:rFonts w:ascii="Times New Roman" w:hAnsi="Times New Roman" w:cs="Times New Roman"/>
          <w:sz w:val="20"/>
          <w:szCs w:val="20"/>
        </w:rPr>
      </w:pPr>
      <w:r>
        <w:rPr>
          <w:rFonts w:ascii="Times New Roman" w:hAnsi="Times New Roman" w:cs="Times New Roman"/>
          <w:b/>
          <w:sz w:val="24"/>
          <w:szCs w:val="24"/>
        </w:rPr>
        <w:lastRenderedPageBreak/>
        <w:t>Table 3</w:t>
      </w:r>
      <w:r w:rsidR="00494598" w:rsidRPr="009B5CC1">
        <w:rPr>
          <w:rFonts w:ascii="Times New Roman" w:hAnsi="Times New Roman" w:cs="Times New Roman"/>
          <w:b/>
          <w:sz w:val="24"/>
          <w:szCs w:val="24"/>
        </w:rPr>
        <w:t xml:space="preserve">. </w:t>
      </w:r>
      <w:r w:rsidR="00494598" w:rsidRPr="00B83246">
        <w:rPr>
          <w:rFonts w:ascii="Times New Roman" w:hAnsi="Times New Roman" w:cs="Times New Roman"/>
          <w:sz w:val="20"/>
          <w:szCs w:val="20"/>
        </w:rPr>
        <w:t>Crystal lattice Data and Summary of Data Collection and Refinement for complexes</w:t>
      </w:r>
      <w:r w:rsidR="00494598" w:rsidRPr="00B83246">
        <w:rPr>
          <w:rFonts w:ascii="Times New Roman" w:hAnsi="Times New Roman" w:cs="Times New Roman"/>
          <w:b/>
          <w:sz w:val="20"/>
          <w:szCs w:val="20"/>
        </w:rPr>
        <w:t xml:space="preserve"> 4-8</w:t>
      </w:r>
    </w:p>
    <w:tbl>
      <w:tblPr>
        <w:tblW w:w="9356" w:type="dxa"/>
        <w:tblBorders>
          <w:top w:val="single" w:sz="4" w:space="0" w:color="auto"/>
          <w:bottom w:val="single" w:sz="4" w:space="0" w:color="auto"/>
        </w:tblBorders>
        <w:tblLayout w:type="fixed"/>
        <w:tblLook w:val="04A0" w:firstRow="1" w:lastRow="0" w:firstColumn="1" w:lastColumn="0" w:noHBand="0" w:noVBand="1"/>
      </w:tblPr>
      <w:tblGrid>
        <w:gridCol w:w="964"/>
        <w:gridCol w:w="2582"/>
        <w:gridCol w:w="813"/>
        <w:gridCol w:w="800"/>
        <w:gridCol w:w="646"/>
        <w:gridCol w:w="1136"/>
        <w:gridCol w:w="1124"/>
        <w:gridCol w:w="1291"/>
      </w:tblGrid>
      <w:tr w:rsidR="00494598" w:rsidRPr="00443F3C" w:rsidTr="00BB5681">
        <w:trPr>
          <w:trHeight w:val="64"/>
        </w:trPr>
        <w:tc>
          <w:tcPr>
            <w:tcW w:w="846" w:type="dxa"/>
            <w:vMerge w:val="restart"/>
            <w:tcBorders>
              <w:top w:val="single" w:sz="4" w:space="0" w:color="auto"/>
              <w:bottom w:val="nil"/>
            </w:tcBorders>
            <w:shd w:val="clear" w:color="auto" w:fill="E7E6E6" w:themeFill="background2"/>
          </w:tcPr>
          <w:p w:rsidR="00494598" w:rsidRPr="00443F3C" w:rsidRDefault="00494598" w:rsidP="00443F3C">
            <w:pPr>
              <w:spacing w:line="240" w:lineRule="auto"/>
              <w:jc w:val="center"/>
              <w:rPr>
                <w:rFonts w:ascii="Times New Roman" w:hAnsi="Times New Roman" w:cs="Times New Roman"/>
                <w:b/>
                <w:sz w:val="20"/>
                <w:szCs w:val="20"/>
              </w:rPr>
            </w:pPr>
            <w:r w:rsidRPr="00443F3C">
              <w:rPr>
                <w:rFonts w:ascii="Times New Roman" w:hAnsi="Times New Roman" w:cs="Times New Roman"/>
                <w:b/>
                <w:sz w:val="20"/>
                <w:szCs w:val="20"/>
              </w:rPr>
              <w:t>S.NO.</w:t>
            </w:r>
          </w:p>
        </w:tc>
        <w:tc>
          <w:tcPr>
            <w:tcW w:w="2268" w:type="dxa"/>
            <w:vMerge w:val="restart"/>
            <w:tcBorders>
              <w:top w:val="single" w:sz="4" w:space="0" w:color="auto"/>
              <w:bottom w:val="nil"/>
            </w:tcBorders>
            <w:shd w:val="clear" w:color="auto" w:fill="E7E6E6" w:themeFill="background2"/>
          </w:tcPr>
          <w:p w:rsidR="00494598" w:rsidRPr="00443F3C" w:rsidRDefault="00494598" w:rsidP="00443F3C">
            <w:pPr>
              <w:spacing w:line="240" w:lineRule="auto"/>
              <w:jc w:val="center"/>
              <w:rPr>
                <w:rFonts w:ascii="Times New Roman" w:hAnsi="Times New Roman" w:cs="Times New Roman"/>
                <w:b/>
                <w:sz w:val="20"/>
                <w:szCs w:val="20"/>
              </w:rPr>
            </w:pPr>
            <w:r w:rsidRPr="00443F3C">
              <w:rPr>
                <w:rFonts w:ascii="Times New Roman" w:hAnsi="Times New Roman" w:cs="Times New Roman"/>
                <w:b/>
                <w:sz w:val="20"/>
                <w:szCs w:val="20"/>
              </w:rPr>
              <w:t>Complex Compound</w:t>
            </w:r>
          </w:p>
        </w:tc>
        <w:tc>
          <w:tcPr>
            <w:tcW w:w="1984" w:type="dxa"/>
            <w:gridSpan w:val="3"/>
            <w:tcBorders>
              <w:top w:val="single" w:sz="4" w:space="0" w:color="auto"/>
              <w:bottom w:val="nil"/>
            </w:tcBorders>
            <w:shd w:val="clear" w:color="auto" w:fill="E7E6E6" w:themeFill="background2"/>
          </w:tcPr>
          <w:p w:rsidR="00494598" w:rsidRPr="00443F3C" w:rsidRDefault="00494598" w:rsidP="00443F3C">
            <w:pPr>
              <w:spacing w:line="240" w:lineRule="auto"/>
              <w:jc w:val="center"/>
              <w:rPr>
                <w:rFonts w:ascii="Times New Roman" w:hAnsi="Times New Roman" w:cs="Times New Roman"/>
                <w:b/>
                <w:sz w:val="20"/>
                <w:szCs w:val="20"/>
              </w:rPr>
            </w:pPr>
            <w:r w:rsidRPr="00443F3C">
              <w:rPr>
                <w:rFonts w:ascii="Times New Roman" w:hAnsi="Times New Roman" w:cs="Times New Roman"/>
                <w:b/>
                <w:sz w:val="20"/>
                <w:szCs w:val="20"/>
              </w:rPr>
              <w:t>Miller Indices</w:t>
            </w:r>
          </w:p>
        </w:tc>
        <w:tc>
          <w:tcPr>
            <w:tcW w:w="998" w:type="dxa"/>
            <w:vMerge w:val="restart"/>
            <w:tcBorders>
              <w:top w:val="single" w:sz="4" w:space="0" w:color="auto"/>
              <w:bottom w:val="nil"/>
            </w:tcBorders>
            <w:shd w:val="clear" w:color="auto" w:fill="E7E6E6" w:themeFill="background2"/>
          </w:tcPr>
          <w:p w:rsidR="00494598" w:rsidRPr="00443F3C" w:rsidRDefault="00494598" w:rsidP="00443F3C">
            <w:pPr>
              <w:spacing w:line="240" w:lineRule="auto"/>
              <w:jc w:val="center"/>
              <w:rPr>
                <w:rFonts w:ascii="Times New Roman" w:hAnsi="Times New Roman" w:cs="Times New Roman"/>
                <w:b/>
                <w:sz w:val="20"/>
                <w:szCs w:val="20"/>
              </w:rPr>
            </w:pPr>
            <w:r w:rsidRPr="00443F3C">
              <w:rPr>
                <w:rFonts w:ascii="Times New Roman" w:hAnsi="Times New Roman" w:cs="Times New Roman"/>
                <w:b/>
                <w:sz w:val="20"/>
                <w:szCs w:val="20"/>
              </w:rPr>
              <w:t>d [Å]</w:t>
            </w:r>
          </w:p>
        </w:tc>
        <w:tc>
          <w:tcPr>
            <w:tcW w:w="987" w:type="dxa"/>
            <w:vMerge w:val="restart"/>
            <w:tcBorders>
              <w:top w:val="single" w:sz="4" w:space="0" w:color="auto"/>
              <w:bottom w:val="nil"/>
            </w:tcBorders>
            <w:shd w:val="clear" w:color="auto" w:fill="E7E6E6" w:themeFill="background2"/>
          </w:tcPr>
          <w:p w:rsidR="00494598" w:rsidRPr="00443F3C" w:rsidRDefault="00494598" w:rsidP="00443F3C">
            <w:pPr>
              <w:spacing w:line="240" w:lineRule="auto"/>
              <w:jc w:val="center"/>
              <w:rPr>
                <w:rFonts w:ascii="Times New Roman" w:eastAsia="MinionPro-Regular" w:hAnsi="Times New Roman" w:cs="Times New Roman"/>
                <w:b/>
                <w:sz w:val="20"/>
                <w:szCs w:val="20"/>
              </w:rPr>
            </w:pPr>
            <w:r w:rsidRPr="00443F3C">
              <w:rPr>
                <w:rFonts w:ascii="Times New Roman" w:eastAsia="MinionPro-Regular" w:hAnsi="Times New Roman" w:cs="Times New Roman"/>
                <w:b/>
                <w:sz w:val="20"/>
                <w:szCs w:val="20"/>
              </w:rPr>
              <w:t>2̊</w:t>
            </w:r>
            <w:r w:rsidRPr="00443F3C">
              <w:rPr>
                <w:rFonts w:ascii="Cambria Math" w:eastAsia="MinionMath-Regular" w:hAnsi="Cambria Math" w:cs="Cambria Math"/>
                <w:b/>
                <w:sz w:val="20"/>
                <w:szCs w:val="20"/>
              </w:rPr>
              <w:t>𝜃</w:t>
            </w:r>
          </w:p>
        </w:tc>
        <w:tc>
          <w:tcPr>
            <w:tcW w:w="1134" w:type="dxa"/>
            <w:vMerge w:val="restart"/>
            <w:tcBorders>
              <w:top w:val="single" w:sz="4" w:space="0" w:color="auto"/>
              <w:bottom w:val="nil"/>
            </w:tcBorders>
            <w:shd w:val="clear" w:color="auto" w:fill="E7E6E6" w:themeFill="background2"/>
          </w:tcPr>
          <w:p w:rsidR="00494598" w:rsidRPr="00443F3C" w:rsidRDefault="00494598" w:rsidP="00443F3C">
            <w:pPr>
              <w:spacing w:line="240" w:lineRule="auto"/>
              <w:jc w:val="center"/>
              <w:rPr>
                <w:rFonts w:ascii="Times New Roman" w:hAnsi="Times New Roman" w:cs="Times New Roman"/>
                <w:b/>
                <w:sz w:val="20"/>
                <w:szCs w:val="20"/>
              </w:rPr>
            </w:pPr>
            <w:r w:rsidRPr="00443F3C">
              <w:rPr>
                <w:rFonts w:ascii="Times New Roman" w:hAnsi="Times New Roman" w:cs="Times New Roman"/>
                <w:b/>
                <w:sz w:val="20"/>
                <w:szCs w:val="20"/>
              </w:rPr>
              <w:t>Intensity (%)</w:t>
            </w:r>
          </w:p>
        </w:tc>
      </w:tr>
      <w:tr w:rsidR="00494598" w:rsidRPr="00443F3C" w:rsidTr="00BB5681">
        <w:trPr>
          <w:trHeight w:val="301"/>
        </w:trPr>
        <w:tc>
          <w:tcPr>
            <w:tcW w:w="846" w:type="dxa"/>
            <w:vMerge/>
            <w:tcBorders>
              <w:top w:val="nil"/>
              <w:bottom w:val="single" w:sz="4" w:space="0" w:color="auto"/>
            </w:tcBorders>
            <w:shd w:val="clear" w:color="auto" w:fill="E7E6E6" w:themeFill="background2"/>
          </w:tcPr>
          <w:p w:rsidR="00494598" w:rsidRPr="00443F3C" w:rsidRDefault="00494598" w:rsidP="00443F3C">
            <w:pPr>
              <w:spacing w:line="240" w:lineRule="auto"/>
              <w:jc w:val="center"/>
              <w:rPr>
                <w:rFonts w:ascii="Times New Roman" w:hAnsi="Times New Roman" w:cs="Times New Roman"/>
                <w:sz w:val="20"/>
                <w:szCs w:val="20"/>
              </w:rPr>
            </w:pPr>
          </w:p>
        </w:tc>
        <w:tc>
          <w:tcPr>
            <w:tcW w:w="2268" w:type="dxa"/>
            <w:vMerge/>
            <w:tcBorders>
              <w:top w:val="nil"/>
              <w:bottom w:val="single" w:sz="4" w:space="0" w:color="auto"/>
            </w:tcBorders>
            <w:shd w:val="clear" w:color="auto" w:fill="E7E6E6" w:themeFill="background2"/>
          </w:tcPr>
          <w:p w:rsidR="00494598" w:rsidRPr="00443F3C" w:rsidRDefault="00494598" w:rsidP="00443F3C">
            <w:pPr>
              <w:spacing w:line="240" w:lineRule="auto"/>
              <w:jc w:val="center"/>
              <w:rPr>
                <w:rFonts w:ascii="Times New Roman" w:hAnsi="Times New Roman" w:cs="Times New Roman"/>
                <w:sz w:val="20"/>
                <w:szCs w:val="20"/>
              </w:rPr>
            </w:pPr>
          </w:p>
        </w:tc>
        <w:tc>
          <w:tcPr>
            <w:tcW w:w="714" w:type="dxa"/>
            <w:tcBorders>
              <w:top w:val="nil"/>
              <w:bottom w:val="single" w:sz="4" w:space="0" w:color="auto"/>
            </w:tcBorders>
            <w:shd w:val="clear" w:color="auto" w:fill="E7E6E6" w:themeFill="background2"/>
          </w:tcPr>
          <w:p w:rsidR="00494598" w:rsidRPr="00443F3C" w:rsidRDefault="00494598" w:rsidP="00443F3C">
            <w:pPr>
              <w:spacing w:line="240" w:lineRule="auto"/>
              <w:jc w:val="center"/>
              <w:rPr>
                <w:rFonts w:ascii="Times New Roman" w:hAnsi="Times New Roman" w:cs="Times New Roman"/>
                <w:b/>
                <w:sz w:val="20"/>
                <w:szCs w:val="20"/>
              </w:rPr>
            </w:pPr>
            <w:r w:rsidRPr="00443F3C">
              <w:rPr>
                <w:rFonts w:ascii="Times New Roman" w:hAnsi="Times New Roman" w:cs="Times New Roman"/>
                <w:b/>
                <w:sz w:val="20"/>
                <w:szCs w:val="20"/>
              </w:rPr>
              <w:t>h</w:t>
            </w:r>
          </w:p>
        </w:tc>
        <w:tc>
          <w:tcPr>
            <w:tcW w:w="703" w:type="dxa"/>
            <w:tcBorders>
              <w:top w:val="nil"/>
              <w:bottom w:val="single" w:sz="4" w:space="0" w:color="auto"/>
            </w:tcBorders>
            <w:shd w:val="clear" w:color="auto" w:fill="E7E6E6" w:themeFill="background2"/>
          </w:tcPr>
          <w:p w:rsidR="00494598" w:rsidRPr="00443F3C" w:rsidRDefault="00494598" w:rsidP="00443F3C">
            <w:pPr>
              <w:spacing w:line="240" w:lineRule="auto"/>
              <w:jc w:val="center"/>
              <w:rPr>
                <w:rFonts w:ascii="Times New Roman" w:hAnsi="Times New Roman" w:cs="Times New Roman"/>
                <w:b/>
                <w:sz w:val="20"/>
                <w:szCs w:val="20"/>
              </w:rPr>
            </w:pPr>
            <w:r w:rsidRPr="00443F3C">
              <w:rPr>
                <w:rFonts w:ascii="Times New Roman" w:hAnsi="Times New Roman" w:cs="Times New Roman"/>
                <w:b/>
                <w:sz w:val="20"/>
                <w:szCs w:val="20"/>
              </w:rPr>
              <w:t>k</w:t>
            </w:r>
          </w:p>
        </w:tc>
        <w:tc>
          <w:tcPr>
            <w:tcW w:w="567" w:type="dxa"/>
            <w:tcBorders>
              <w:top w:val="nil"/>
              <w:bottom w:val="single" w:sz="4" w:space="0" w:color="auto"/>
            </w:tcBorders>
            <w:shd w:val="clear" w:color="auto" w:fill="E7E6E6" w:themeFill="background2"/>
          </w:tcPr>
          <w:p w:rsidR="00494598" w:rsidRPr="00443F3C" w:rsidRDefault="00494598" w:rsidP="00443F3C">
            <w:pPr>
              <w:spacing w:line="240" w:lineRule="auto"/>
              <w:jc w:val="center"/>
              <w:rPr>
                <w:rFonts w:ascii="Times New Roman" w:hAnsi="Times New Roman" w:cs="Times New Roman"/>
                <w:b/>
                <w:sz w:val="20"/>
                <w:szCs w:val="20"/>
              </w:rPr>
            </w:pPr>
            <w:r w:rsidRPr="00443F3C">
              <w:rPr>
                <w:rFonts w:ascii="Times New Roman" w:hAnsi="Times New Roman" w:cs="Times New Roman"/>
                <w:b/>
                <w:sz w:val="20"/>
                <w:szCs w:val="20"/>
              </w:rPr>
              <w:t>l</w:t>
            </w:r>
          </w:p>
        </w:tc>
        <w:tc>
          <w:tcPr>
            <w:tcW w:w="998" w:type="dxa"/>
            <w:vMerge/>
            <w:tcBorders>
              <w:top w:val="nil"/>
              <w:bottom w:val="single" w:sz="4" w:space="0" w:color="auto"/>
            </w:tcBorders>
            <w:shd w:val="clear" w:color="auto" w:fill="E7E6E6" w:themeFill="background2"/>
          </w:tcPr>
          <w:p w:rsidR="00494598" w:rsidRPr="00443F3C" w:rsidRDefault="00494598" w:rsidP="00443F3C">
            <w:pPr>
              <w:spacing w:line="240" w:lineRule="auto"/>
              <w:jc w:val="center"/>
              <w:rPr>
                <w:rFonts w:ascii="Times New Roman" w:hAnsi="Times New Roman" w:cs="Times New Roman"/>
                <w:sz w:val="20"/>
                <w:szCs w:val="20"/>
              </w:rPr>
            </w:pPr>
          </w:p>
        </w:tc>
        <w:tc>
          <w:tcPr>
            <w:tcW w:w="987" w:type="dxa"/>
            <w:vMerge/>
            <w:tcBorders>
              <w:top w:val="nil"/>
              <w:bottom w:val="single" w:sz="4" w:space="0" w:color="auto"/>
            </w:tcBorders>
            <w:shd w:val="clear" w:color="auto" w:fill="E7E6E6" w:themeFill="background2"/>
          </w:tcPr>
          <w:p w:rsidR="00494598" w:rsidRPr="00443F3C" w:rsidRDefault="00494598" w:rsidP="00443F3C">
            <w:pPr>
              <w:spacing w:line="240" w:lineRule="auto"/>
              <w:jc w:val="center"/>
              <w:rPr>
                <w:rFonts w:ascii="Times New Roman" w:hAnsi="Times New Roman" w:cs="Times New Roman"/>
                <w:sz w:val="20"/>
                <w:szCs w:val="20"/>
              </w:rPr>
            </w:pPr>
          </w:p>
        </w:tc>
        <w:tc>
          <w:tcPr>
            <w:tcW w:w="1134" w:type="dxa"/>
            <w:vMerge/>
            <w:tcBorders>
              <w:top w:val="nil"/>
              <w:bottom w:val="single" w:sz="4" w:space="0" w:color="auto"/>
            </w:tcBorders>
            <w:shd w:val="clear" w:color="auto" w:fill="E7E6E6" w:themeFill="background2"/>
          </w:tcPr>
          <w:p w:rsidR="00494598" w:rsidRPr="00443F3C" w:rsidRDefault="00494598" w:rsidP="00443F3C">
            <w:pPr>
              <w:spacing w:line="240" w:lineRule="auto"/>
              <w:jc w:val="center"/>
              <w:rPr>
                <w:rFonts w:ascii="Times New Roman" w:hAnsi="Times New Roman" w:cs="Times New Roman"/>
                <w:sz w:val="20"/>
                <w:szCs w:val="20"/>
              </w:rPr>
            </w:pPr>
          </w:p>
        </w:tc>
      </w:tr>
      <w:tr w:rsidR="00494598" w:rsidRPr="00443F3C" w:rsidTr="00BB5681">
        <w:tc>
          <w:tcPr>
            <w:tcW w:w="846" w:type="dxa"/>
            <w:tcBorders>
              <w:top w:val="single" w:sz="4" w:space="0" w:color="auto"/>
            </w:tcBorders>
            <w:shd w:val="clear" w:color="auto" w:fill="auto"/>
          </w:tcPr>
          <w:p w:rsidR="00494598" w:rsidRPr="00443F3C" w:rsidRDefault="00494598" w:rsidP="00443F3C">
            <w:pPr>
              <w:spacing w:line="240" w:lineRule="auto"/>
              <w:jc w:val="center"/>
              <w:rPr>
                <w:rFonts w:ascii="Times New Roman" w:hAnsi="Times New Roman" w:cs="Times New Roman"/>
                <w:sz w:val="20"/>
                <w:szCs w:val="20"/>
              </w:rPr>
            </w:pP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1</w:t>
            </w:r>
          </w:p>
        </w:tc>
        <w:tc>
          <w:tcPr>
            <w:tcW w:w="2268" w:type="dxa"/>
            <w:tcBorders>
              <w:top w:val="single" w:sz="4" w:space="0" w:color="auto"/>
            </w:tcBorders>
            <w:shd w:val="clear" w:color="auto" w:fill="auto"/>
          </w:tcPr>
          <w:p w:rsidR="00494598" w:rsidRPr="00443F3C" w:rsidRDefault="00494598" w:rsidP="00443F3C">
            <w:pPr>
              <w:spacing w:line="240" w:lineRule="auto"/>
              <w:jc w:val="center"/>
              <w:rPr>
                <w:rFonts w:ascii="Times New Roman" w:hAnsi="Times New Roman" w:cs="Times New Roman"/>
                <w:b/>
                <w:sz w:val="20"/>
                <w:szCs w:val="20"/>
              </w:rPr>
            </w:pPr>
          </w:p>
          <w:p w:rsidR="00494598" w:rsidRPr="00443F3C" w:rsidRDefault="00494598" w:rsidP="00443F3C">
            <w:pPr>
              <w:spacing w:line="240" w:lineRule="auto"/>
              <w:jc w:val="center"/>
              <w:rPr>
                <w:rFonts w:ascii="Times New Roman" w:hAnsi="Times New Roman" w:cs="Times New Roman"/>
                <w:b/>
                <w:sz w:val="20"/>
                <w:szCs w:val="20"/>
              </w:rPr>
            </w:pPr>
            <w:r w:rsidRPr="00443F3C">
              <w:rPr>
                <w:rFonts w:ascii="Times New Roman" w:hAnsi="Times New Roman" w:cs="Times New Roman"/>
                <w:b/>
                <w:sz w:val="20"/>
                <w:szCs w:val="20"/>
              </w:rPr>
              <w:t>[Cr(L1)</w:t>
            </w:r>
            <w:r w:rsidRPr="00443F3C">
              <w:rPr>
                <w:rFonts w:ascii="Times New Roman" w:hAnsi="Times New Roman" w:cs="Times New Roman"/>
                <w:b/>
                <w:sz w:val="20"/>
                <w:szCs w:val="20"/>
                <w:vertAlign w:val="subscript"/>
              </w:rPr>
              <w:t>2</w:t>
            </w:r>
            <w:r w:rsidRPr="00443F3C">
              <w:rPr>
                <w:rFonts w:ascii="Times New Roman" w:hAnsi="Times New Roman" w:cs="Times New Roman"/>
                <w:b/>
                <w:sz w:val="20"/>
                <w:szCs w:val="20"/>
              </w:rPr>
              <w:t>(H</w:t>
            </w:r>
            <w:r w:rsidRPr="00443F3C">
              <w:rPr>
                <w:rFonts w:ascii="Times New Roman" w:hAnsi="Times New Roman" w:cs="Times New Roman"/>
                <w:b/>
                <w:sz w:val="20"/>
                <w:szCs w:val="20"/>
                <w:vertAlign w:val="subscript"/>
              </w:rPr>
              <w:t>2</w:t>
            </w:r>
            <w:r w:rsidRPr="00443F3C">
              <w:rPr>
                <w:rFonts w:ascii="Times New Roman" w:hAnsi="Times New Roman" w:cs="Times New Roman"/>
                <w:b/>
                <w:sz w:val="20"/>
                <w:szCs w:val="20"/>
              </w:rPr>
              <w:t>O)</w:t>
            </w:r>
            <w:r w:rsidRPr="00443F3C">
              <w:rPr>
                <w:rFonts w:ascii="Times New Roman" w:hAnsi="Times New Roman" w:cs="Times New Roman"/>
                <w:b/>
                <w:sz w:val="20"/>
                <w:szCs w:val="20"/>
                <w:vertAlign w:val="subscript"/>
              </w:rPr>
              <w:t>4</w:t>
            </w:r>
            <w:r w:rsidRPr="00443F3C">
              <w:rPr>
                <w:rFonts w:ascii="Times New Roman" w:hAnsi="Times New Roman" w:cs="Times New Roman"/>
                <w:b/>
                <w:sz w:val="20"/>
                <w:szCs w:val="20"/>
              </w:rPr>
              <w:t>]</w:t>
            </w:r>
            <w:r w:rsidRPr="00443F3C">
              <w:rPr>
                <w:rFonts w:ascii="Times New Roman" w:hAnsi="Times New Roman" w:cs="Times New Roman"/>
                <w:b/>
                <w:sz w:val="20"/>
                <w:szCs w:val="20"/>
                <w:vertAlign w:val="superscript"/>
              </w:rPr>
              <w:t>+3</w:t>
            </w:r>
          </w:p>
        </w:tc>
        <w:tc>
          <w:tcPr>
            <w:tcW w:w="714" w:type="dxa"/>
            <w:tcBorders>
              <w:top w:val="single" w:sz="4" w:space="0" w:color="auto"/>
            </w:tcBorders>
            <w:shd w:val="clear" w:color="auto" w:fill="auto"/>
          </w:tcPr>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0</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1</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1</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1</w:t>
            </w:r>
          </w:p>
        </w:tc>
        <w:tc>
          <w:tcPr>
            <w:tcW w:w="703" w:type="dxa"/>
            <w:tcBorders>
              <w:top w:val="single" w:sz="4" w:space="0" w:color="auto"/>
            </w:tcBorders>
            <w:shd w:val="clear" w:color="auto" w:fill="auto"/>
          </w:tcPr>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0</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0</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1</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1</w:t>
            </w:r>
          </w:p>
        </w:tc>
        <w:tc>
          <w:tcPr>
            <w:tcW w:w="567" w:type="dxa"/>
            <w:tcBorders>
              <w:top w:val="single" w:sz="4" w:space="0" w:color="auto"/>
            </w:tcBorders>
            <w:shd w:val="clear" w:color="auto" w:fill="auto"/>
          </w:tcPr>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1</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1</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0</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1</w:t>
            </w:r>
          </w:p>
        </w:tc>
        <w:tc>
          <w:tcPr>
            <w:tcW w:w="998" w:type="dxa"/>
            <w:tcBorders>
              <w:top w:val="single" w:sz="4" w:space="0" w:color="auto"/>
            </w:tcBorders>
            <w:shd w:val="clear" w:color="auto" w:fill="auto"/>
          </w:tcPr>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7.6940</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3.4523</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2.4519</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2.3397</w:t>
            </w:r>
          </w:p>
        </w:tc>
        <w:tc>
          <w:tcPr>
            <w:tcW w:w="987" w:type="dxa"/>
            <w:tcBorders>
              <w:top w:val="single" w:sz="4" w:space="0" w:color="auto"/>
            </w:tcBorders>
            <w:shd w:val="clear" w:color="auto" w:fill="auto"/>
          </w:tcPr>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11.492</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25.785</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36.620</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38.443</w:t>
            </w:r>
          </w:p>
        </w:tc>
        <w:tc>
          <w:tcPr>
            <w:tcW w:w="1134" w:type="dxa"/>
            <w:tcBorders>
              <w:top w:val="single" w:sz="4" w:space="0" w:color="auto"/>
            </w:tcBorders>
            <w:shd w:val="clear" w:color="auto" w:fill="auto"/>
          </w:tcPr>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100.0</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48.3</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37.2</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14.1</w:t>
            </w:r>
          </w:p>
          <w:p w:rsidR="00494598" w:rsidRPr="00443F3C" w:rsidRDefault="00494598" w:rsidP="00443F3C">
            <w:pPr>
              <w:spacing w:line="240" w:lineRule="auto"/>
              <w:jc w:val="center"/>
              <w:rPr>
                <w:rFonts w:ascii="Times New Roman" w:hAnsi="Times New Roman" w:cs="Times New Roman"/>
                <w:sz w:val="20"/>
                <w:szCs w:val="20"/>
              </w:rPr>
            </w:pPr>
          </w:p>
        </w:tc>
      </w:tr>
      <w:tr w:rsidR="00494598" w:rsidRPr="00443F3C" w:rsidTr="00BB5681">
        <w:tc>
          <w:tcPr>
            <w:tcW w:w="846" w:type="dxa"/>
            <w:shd w:val="clear" w:color="auto" w:fill="auto"/>
          </w:tcPr>
          <w:p w:rsidR="00494598" w:rsidRPr="00443F3C" w:rsidRDefault="00494598" w:rsidP="00443F3C">
            <w:pPr>
              <w:spacing w:line="240" w:lineRule="auto"/>
              <w:jc w:val="center"/>
              <w:rPr>
                <w:rFonts w:ascii="Times New Roman" w:hAnsi="Times New Roman" w:cs="Times New Roman"/>
                <w:sz w:val="20"/>
                <w:szCs w:val="20"/>
              </w:rPr>
            </w:pP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2</w:t>
            </w:r>
          </w:p>
        </w:tc>
        <w:tc>
          <w:tcPr>
            <w:tcW w:w="2268" w:type="dxa"/>
            <w:shd w:val="clear" w:color="auto" w:fill="auto"/>
          </w:tcPr>
          <w:p w:rsidR="00494598" w:rsidRPr="00443F3C" w:rsidRDefault="00494598" w:rsidP="00443F3C">
            <w:pPr>
              <w:spacing w:line="240" w:lineRule="auto"/>
              <w:jc w:val="center"/>
              <w:rPr>
                <w:rFonts w:ascii="Times New Roman" w:hAnsi="Times New Roman" w:cs="Times New Roman"/>
                <w:b/>
                <w:sz w:val="20"/>
                <w:szCs w:val="20"/>
              </w:rPr>
            </w:pPr>
          </w:p>
          <w:p w:rsidR="00494598" w:rsidRPr="00443F3C" w:rsidRDefault="00494598" w:rsidP="00443F3C">
            <w:pPr>
              <w:spacing w:line="240" w:lineRule="auto"/>
              <w:jc w:val="center"/>
              <w:rPr>
                <w:rFonts w:ascii="Times New Roman" w:hAnsi="Times New Roman" w:cs="Times New Roman"/>
                <w:b/>
                <w:sz w:val="20"/>
                <w:szCs w:val="20"/>
              </w:rPr>
            </w:pPr>
            <w:r w:rsidRPr="00443F3C">
              <w:rPr>
                <w:rFonts w:ascii="Times New Roman" w:hAnsi="Times New Roman" w:cs="Times New Roman"/>
                <w:b/>
                <w:sz w:val="20"/>
                <w:szCs w:val="20"/>
              </w:rPr>
              <w:t>[Co(L1)</w:t>
            </w:r>
            <w:r w:rsidRPr="00443F3C">
              <w:rPr>
                <w:rFonts w:ascii="Times New Roman" w:hAnsi="Times New Roman" w:cs="Times New Roman"/>
                <w:b/>
                <w:sz w:val="20"/>
                <w:szCs w:val="20"/>
                <w:vertAlign w:val="subscript"/>
              </w:rPr>
              <w:t>2</w:t>
            </w:r>
            <w:r w:rsidRPr="00443F3C">
              <w:rPr>
                <w:rFonts w:ascii="Times New Roman" w:hAnsi="Times New Roman" w:cs="Times New Roman"/>
                <w:b/>
                <w:sz w:val="20"/>
                <w:szCs w:val="20"/>
              </w:rPr>
              <w:t>(H</w:t>
            </w:r>
            <w:r w:rsidRPr="00443F3C">
              <w:rPr>
                <w:rFonts w:ascii="Times New Roman" w:hAnsi="Times New Roman" w:cs="Times New Roman"/>
                <w:b/>
                <w:sz w:val="20"/>
                <w:szCs w:val="20"/>
                <w:vertAlign w:val="subscript"/>
              </w:rPr>
              <w:t>2</w:t>
            </w:r>
            <w:r w:rsidRPr="00443F3C">
              <w:rPr>
                <w:rFonts w:ascii="Times New Roman" w:hAnsi="Times New Roman" w:cs="Times New Roman"/>
                <w:b/>
                <w:sz w:val="20"/>
                <w:szCs w:val="20"/>
              </w:rPr>
              <w:t>O)</w:t>
            </w:r>
            <w:r w:rsidRPr="00443F3C">
              <w:rPr>
                <w:rFonts w:ascii="Times New Roman" w:hAnsi="Times New Roman" w:cs="Times New Roman"/>
                <w:b/>
                <w:sz w:val="20"/>
                <w:szCs w:val="20"/>
                <w:vertAlign w:val="subscript"/>
              </w:rPr>
              <w:t>4</w:t>
            </w:r>
            <w:r w:rsidRPr="00443F3C">
              <w:rPr>
                <w:rFonts w:ascii="Times New Roman" w:hAnsi="Times New Roman" w:cs="Times New Roman"/>
                <w:b/>
                <w:sz w:val="20"/>
                <w:szCs w:val="20"/>
              </w:rPr>
              <w:t>]</w:t>
            </w:r>
            <w:r w:rsidRPr="00443F3C">
              <w:rPr>
                <w:rFonts w:ascii="Times New Roman" w:hAnsi="Times New Roman" w:cs="Times New Roman"/>
                <w:b/>
                <w:sz w:val="20"/>
                <w:szCs w:val="20"/>
                <w:vertAlign w:val="superscript"/>
              </w:rPr>
              <w:t>+3</w:t>
            </w:r>
          </w:p>
        </w:tc>
        <w:tc>
          <w:tcPr>
            <w:tcW w:w="714" w:type="dxa"/>
            <w:shd w:val="clear" w:color="auto" w:fill="auto"/>
          </w:tcPr>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2</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3</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5</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4</w:t>
            </w:r>
          </w:p>
        </w:tc>
        <w:tc>
          <w:tcPr>
            <w:tcW w:w="703" w:type="dxa"/>
            <w:shd w:val="clear" w:color="auto" w:fill="auto"/>
          </w:tcPr>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2</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1</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1</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4</w:t>
            </w:r>
          </w:p>
        </w:tc>
        <w:tc>
          <w:tcPr>
            <w:tcW w:w="567" w:type="dxa"/>
            <w:shd w:val="clear" w:color="auto" w:fill="auto"/>
          </w:tcPr>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0</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1</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1</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0</w:t>
            </w:r>
          </w:p>
        </w:tc>
        <w:tc>
          <w:tcPr>
            <w:tcW w:w="998" w:type="dxa"/>
            <w:shd w:val="clear" w:color="auto" w:fill="auto"/>
          </w:tcPr>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2.8600</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2.4380</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1.5559</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1.4293</w:t>
            </w:r>
          </w:p>
        </w:tc>
        <w:tc>
          <w:tcPr>
            <w:tcW w:w="987" w:type="dxa"/>
            <w:shd w:val="clear" w:color="auto" w:fill="auto"/>
          </w:tcPr>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31.249</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36.837</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59.350</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65.222</w:t>
            </w:r>
          </w:p>
          <w:p w:rsidR="00494598" w:rsidRPr="00443F3C" w:rsidRDefault="00494598" w:rsidP="00443F3C">
            <w:pPr>
              <w:spacing w:line="240" w:lineRule="auto"/>
              <w:jc w:val="center"/>
              <w:rPr>
                <w:rFonts w:ascii="Times New Roman" w:hAnsi="Times New Roman" w:cs="Times New Roman"/>
                <w:sz w:val="20"/>
                <w:szCs w:val="20"/>
              </w:rPr>
            </w:pPr>
          </w:p>
        </w:tc>
        <w:tc>
          <w:tcPr>
            <w:tcW w:w="1134" w:type="dxa"/>
            <w:shd w:val="clear" w:color="auto" w:fill="auto"/>
          </w:tcPr>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40.0</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100.0</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35.0</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45.0</w:t>
            </w:r>
          </w:p>
        </w:tc>
      </w:tr>
      <w:tr w:rsidR="00494598" w:rsidRPr="00443F3C" w:rsidTr="00BB5681">
        <w:tc>
          <w:tcPr>
            <w:tcW w:w="846" w:type="dxa"/>
            <w:shd w:val="clear" w:color="auto" w:fill="auto"/>
          </w:tcPr>
          <w:p w:rsidR="00494598" w:rsidRPr="00443F3C" w:rsidRDefault="00494598" w:rsidP="00443F3C">
            <w:pPr>
              <w:spacing w:line="240" w:lineRule="auto"/>
              <w:jc w:val="center"/>
              <w:rPr>
                <w:rFonts w:ascii="Times New Roman" w:hAnsi="Times New Roman" w:cs="Times New Roman"/>
                <w:sz w:val="20"/>
                <w:szCs w:val="20"/>
              </w:rPr>
            </w:pP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3</w:t>
            </w:r>
          </w:p>
        </w:tc>
        <w:tc>
          <w:tcPr>
            <w:tcW w:w="2268" w:type="dxa"/>
            <w:shd w:val="clear" w:color="auto" w:fill="auto"/>
          </w:tcPr>
          <w:p w:rsidR="00494598" w:rsidRPr="00443F3C" w:rsidRDefault="00494598" w:rsidP="00443F3C">
            <w:pPr>
              <w:tabs>
                <w:tab w:val="center" w:pos="1026"/>
              </w:tabs>
              <w:spacing w:line="240" w:lineRule="auto"/>
              <w:rPr>
                <w:rFonts w:ascii="Times New Roman" w:hAnsi="Times New Roman" w:cs="Times New Roman"/>
                <w:b/>
                <w:sz w:val="20"/>
                <w:szCs w:val="20"/>
              </w:rPr>
            </w:pPr>
            <w:r w:rsidRPr="00443F3C">
              <w:rPr>
                <w:rFonts w:ascii="Times New Roman" w:hAnsi="Times New Roman" w:cs="Times New Roman"/>
                <w:b/>
                <w:sz w:val="20"/>
                <w:szCs w:val="20"/>
              </w:rPr>
              <w:tab/>
            </w:r>
          </w:p>
          <w:p w:rsidR="00494598" w:rsidRPr="00443F3C" w:rsidRDefault="00494598" w:rsidP="00443F3C">
            <w:pPr>
              <w:tabs>
                <w:tab w:val="center" w:pos="1026"/>
              </w:tabs>
              <w:spacing w:line="240" w:lineRule="auto"/>
              <w:rPr>
                <w:rFonts w:ascii="Times New Roman" w:hAnsi="Times New Roman" w:cs="Times New Roman"/>
                <w:b/>
                <w:sz w:val="20"/>
                <w:szCs w:val="20"/>
              </w:rPr>
            </w:pPr>
            <w:r w:rsidRPr="00443F3C">
              <w:rPr>
                <w:rFonts w:ascii="Times New Roman" w:hAnsi="Times New Roman" w:cs="Times New Roman"/>
                <w:b/>
                <w:sz w:val="20"/>
                <w:szCs w:val="20"/>
              </w:rPr>
              <w:t xml:space="preserve">   [Ni(L1)</w:t>
            </w:r>
            <w:r w:rsidRPr="00443F3C">
              <w:rPr>
                <w:rFonts w:ascii="Times New Roman" w:hAnsi="Times New Roman" w:cs="Times New Roman"/>
                <w:b/>
                <w:sz w:val="20"/>
                <w:szCs w:val="20"/>
                <w:vertAlign w:val="subscript"/>
              </w:rPr>
              <w:t>2</w:t>
            </w:r>
            <w:r w:rsidRPr="00443F3C">
              <w:rPr>
                <w:rFonts w:ascii="Times New Roman" w:hAnsi="Times New Roman" w:cs="Times New Roman"/>
                <w:b/>
                <w:sz w:val="20"/>
                <w:szCs w:val="20"/>
              </w:rPr>
              <w:t>(H</w:t>
            </w:r>
            <w:r w:rsidRPr="00443F3C">
              <w:rPr>
                <w:rFonts w:ascii="Times New Roman" w:hAnsi="Times New Roman" w:cs="Times New Roman"/>
                <w:b/>
                <w:sz w:val="20"/>
                <w:szCs w:val="20"/>
                <w:vertAlign w:val="subscript"/>
              </w:rPr>
              <w:t>2</w:t>
            </w:r>
            <w:r w:rsidRPr="00443F3C">
              <w:rPr>
                <w:rFonts w:ascii="Times New Roman" w:hAnsi="Times New Roman" w:cs="Times New Roman"/>
                <w:b/>
                <w:sz w:val="20"/>
                <w:szCs w:val="20"/>
              </w:rPr>
              <w:t>O)</w:t>
            </w:r>
            <w:r w:rsidRPr="00443F3C">
              <w:rPr>
                <w:rFonts w:ascii="Times New Roman" w:hAnsi="Times New Roman" w:cs="Times New Roman"/>
                <w:b/>
                <w:sz w:val="20"/>
                <w:szCs w:val="20"/>
                <w:vertAlign w:val="subscript"/>
              </w:rPr>
              <w:t>2</w:t>
            </w:r>
            <w:r w:rsidRPr="00443F3C">
              <w:rPr>
                <w:rFonts w:ascii="Times New Roman" w:hAnsi="Times New Roman" w:cs="Times New Roman"/>
                <w:b/>
                <w:sz w:val="20"/>
                <w:szCs w:val="20"/>
              </w:rPr>
              <w:t>]</w:t>
            </w:r>
            <w:r w:rsidRPr="00443F3C">
              <w:rPr>
                <w:rFonts w:ascii="Times New Roman" w:hAnsi="Times New Roman" w:cs="Times New Roman"/>
                <w:b/>
                <w:sz w:val="20"/>
                <w:szCs w:val="20"/>
                <w:vertAlign w:val="superscript"/>
              </w:rPr>
              <w:t>+2</w:t>
            </w:r>
          </w:p>
        </w:tc>
        <w:tc>
          <w:tcPr>
            <w:tcW w:w="714" w:type="dxa"/>
            <w:shd w:val="clear" w:color="auto" w:fill="auto"/>
          </w:tcPr>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1</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1</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1</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1</w:t>
            </w:r>
          </w:p>
        </w:tc>
        <w:tc>
          <w:tcPr>
            <w:tcW w:w="703" w:type="dxa"/>
            <w:shd w:val="clear" w:color="auto" w:fill="auto"/>
          </w:tcPr>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1</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0</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0</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0</w:t>
            </w:r>
          </w:p>
        </w:tc>
        <w:tc>
          <w:tcPr>
            <w:tcW w:w="567" w:type="dxa"/>
            <w:shd w:val="clear" w:color="auto" w:fill="auto"/>
          </w:tcPr>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0</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1</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4</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7</w:t>
            </w:r>
          </w:p>
        </w:tc>
        <w:tc>
          <w:tcPr>
            <w:tcW w:w="998" w:type="dxa"/>
            <w:shd w:val="clear" w:color="auto" w:fill="auto"/>
          </w:tcPr>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4.7773</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2.4201</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2.0254</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1.5724</w:t>
            </w:r>
          </w:p>
        </w:tc>
        <w:tc>
          <w:tcPr>
            <w:tcW w:w="987" w:type="dxa"/>
            <w:shd w:val="clear" w:color="auto" w:fill="auto"/>
          </w:tcPr>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18.558</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37.119</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44.706</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58.663</w:t>
            </w:r>
          </w:p>
        </w:tc>
        <w:tc>
          <w:tcPr>
            <w:tcW w:w="1134" w:type="dxa"/>
            <w:shd w:val="clear" w:color="auto" w:fill="auto"/>
          </w:tcPr>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100.0</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26.9</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36.9</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9.4</w:t>
            </w:r>
          </w:p>
          <w:p w:rsidR="00494598" w:rsidRPr="00443F3C" w:rsidRDefault="00494598" w:rsidP="00443F3C">
            <w:pPr>
              <w:spacing w:line="240" w:lineRule="auto"/>
              <w:jc w:val="center"/>
              <w:rPr>
                <w:rFonts w:ascii="Times New Roman" w:hAnsi="Times New Roman" w:cs="Times New Roman"/>
                <w:sz w:val="20"/>
                <w:szCs w:val="20"/>
              </w:rPr>
            </w:pPr>
          </w:p>
        </w:tc>
      </w:tr>
      <w:tr w:rsidR="00494598" w:rsidRPr="00443F3C" w:rsidTr="00BB5681">
        <w:tc>
          <w:tcPr>
            <w:tcW w:w="846" w:type="dxa"/>
            <w:shd w:val="clear" w:color="auto" w:fill="auto"/>
          </w:tcPr>
          <w:p w:rsidR="00494598" w:rsidRPr="00443F3C" w:rsidRDefault="00494598" w:rsidP="00443F3C">
            <w:pPr>
              <w:spacing w:line="240" w:lineRule="auto"/>
              <w:jc w:val="center"/>
              <w:rPr>
                <w:rFonts w:ascii="Times New Roman" w:hAnsi="Times New Roman" w:cs="Times New Roman"/>
                <w:sz w:val="20"/>
                <w:szCs w:val="20"/>
              </w:rPr>
            </w:pP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4</w:t>
            </w:r>
          </w:p>
        </w:tc>
        <w:tc>
          <w:tcPr>
            <w:tcW w:w="2268" w:type="dxa"/>
            <w:shd w:val="clear" w:color="auto" w:fill="auto"/>
          </w:tcPr>
          <w:p w:rsidR="00494598" w:rsidRPr="00443F3C" w:rsidRDefault="00494598" w:rsidP="00443F3C">
            <w:pPr>
              <w:spacing w:line="240" w:lineRule="auto"/>
              <w:jc w:val="center"/>
              <w:rPr>
                <w:rFonts w:ascii="Times New Roman" w:hAnsi="Times New Roman" w:cs="Times New Roman"/>
                <w:b/>
                <w:sz w:val="20"/>
                <w:szCs w:val="20"/>
              </w:rPr>
            </w:pPr>
          </w:p>
          <w:p w:rsidR="00494598" w:rsidRPr="00443F3C" w:rsidRDefault="00494598" w:rsidP="00443F3C">
            <w:pPr>
              <w:spacing w:line="240" w:lineRule="auto"/>
              <w:jc w:val="center"/>
              <w:rPr>
                <w:rFonts w:ascii="Times New Roman" w:hAnsi="Times New Roman" w:cs="Times New Roman"/>
                <w:b/>
                <w:sz w:val="20"/>
                <w:szCs w:val="20"/>
              </w:rPr>
            </w:pPr>
            <w:r w:rsidRPr="00443F3C">
              <w:rPr>
                <w:rFonts w:ascii="Times New Roman" w:hAnsi="Times New Roman" w:cs="Times New Roman"/>
                <w:b/>
                <w:sz w:val="20"/>
                <w:szCs w:val="20"/>
              </w:rPr>
              <w:t>[</w:t>
            </w:r>
            <w:proofErr w:type="spellStart"/>
            <w:r w:rsidRPr="00443F3C">
              <w:rPr>
                <w:rFonts w:ascii="Times New Roman" w:hAnsi="Times New Roman" w:cs="Times New Roman"/>
                <w:b/>
                <w:sz w:val="20"/>
                <w:szCs w:val="20"/>
              </w:rPr>
              <w:t>Mn</w:t>
            </w:r>
            <w:proofErr w:type="spellEnd"/>
            <w:r w:rsidRPr="00443F3C">
              <w:rPr>
                <w:rFonts w:ascii="Times New Roman" w:hAnsi="Times New Roman" w:cs="Times New Roman"/>
                <w:b/>
                <w:sz w:val="20"/>
                <w:szCs w:val="20"/>
              </w:rPr>
              <w:t>(L1)</w:t>
            </w:r>
            <w:r w:rsidRPr="00443F3C">
              <w:rPr>
                <w:rFonts w:ascii="Times New Roman" w:hAnsi="Times New Roman" w:cs="Times New Roman"/>
                <w:b/>
                <w:sz w:val="20"/>
                <w:szCs w:val="20"/>
                <w:vertAlign w:val="subscript"/>
              </w:rPr>
              <w:t>2</w:t>
            </w:r>
            <w:r w:rsidRPr="00443F3C">
              <w:rPr>
                <w:rFonts w:ascii="Times New Roman" w:hAnsi="Times New Roman" w:cs="Times New Roman"/>
                <w:b/>
                <w:sz w:val="20"/>
                <w:szCs w:val="20"/>
              </w:rPr>
              <w:t>(H</w:t>
            </w:r>
            <w:r w:rsidRPr="00443F3C">
              <w:rPr>
                <w:rFonts w:ascii="Times New Roman" w:hAnsi="Times New Roman" w:cs="Times New Roman"/>
                <w:b/>
                <w:sz w:val="20"/>
                <w:szCs w:val="20"/>
                <w:vertAlign w:val="subscript"/>
              </w:rPr>
              <w:t>2</w:t>
            </w:r>
            <w:r w:rsidRPr="00443F3C">
              <w:rPr>
                <w:rFonts w:ascii="Times New Roman" w:hAnsi="Times New Roman" w:cs="Times New Roman"/>
                <w:b/>
                <w:sz w:val="20"/>
                <w:szCs w:val="20"/>
              </w:rPr>
              <w:t>O)</w:t>
            </w:r>
            <w:r w:rsidRPr="00443F3C">
              <w:rPr>
                <w:rFonts w:ascii="Times New Roman" w:hAnsi="Times New Roman" w:cs="Times New Roman"/>
                <w:b/>
                <w:sz w:val="20"/>
                <w:szCs w:val="20"/>
                <w:vertAlign w:val="subscript"/>
              </w:rPr>
              <w:t>2</w:t>
            </w:r>
            <w:r w:rsidRPr="00443F3C">
              <w:rPr>
                <w:rFonts w:ascii="Times New Roman" w:hAnsi="Times New Roman" w:cs="Times New Roman"/>
                <w:b/>
                <w:sz w:val="20"/>
                <w:szCs w:val="20"/>
              </w:rPr>
              <w:t>]</w:t>
            </w:r>
            <w:r w:rsidRPr="00443F3C">
              <w:rPr>
                <w:rFonts w:ascii="Times New Roman" w:hAnsi="Times New Roman" w:cs="Times New Roman"/>
                <w:b/>
                <w:sz w:val="20"/>
                <w:szCs w:val="20"/>
                <w:vertAlign w:val="superscript"/>
              </w:rPr>
              <w:t>+2</w:t>
            </w:r>
          </w:p>
        </w:tc>
        <w:tc>
          <w:tcPr>
            <w:tcW w:w="714" w:type="dxa"/>
            <w:shd w:val="clear" w:color="auto" w:fill="auto"/>
          </w:tcPr>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2</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1</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2</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2</w:t>
            </w:r>
          </w:p>
        </w:tc>
        <w:tc>
          <w:tcPr>
            <w:tcW w:w="703" w:type="dxa"/>
            <w:shd w:val="clear" w:color="auto" w:fill="auto"/>
          </w:tcPr>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1</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0</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2</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2</w:t>
            </w:r>
          </w:p>
        </w:tc>
        <w:tc>
          <w:tcPr>
            <w:tcW w:w="567" w:type="dxa"/>
            <w:shd w:val="clear" w:color="auto" w:fill="auto"/>
          </w:tcPr>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1</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3</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0</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4</w:t>
            </w:r>
          </w:p>
        </w:tc>
        <w:tc>
          <w:tcPr>
            <w:tcW w:w="998" w:type="dxa"/>
            <w:shd w:val="clear" w:color="auto" w:fill="auto"/>
          </w:tcPr>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3.4037</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2.9359</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2.8850</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1.8266</w:t>
            </w:r>
          </w:p>
        </w:tc>
        <w:tc>
          <w:tcPr>
            <w:tcW w:w="987" w:type="dxa"/>
            <w:shd w:val="clear" w:color="auto" w:fill="auto"/>
          </w:tcPr>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26.160</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30.421</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30.97249.883</w:t>
            </w:r>
          </w:p>
          <w:p w:rsidR="00494598" w:rsidRPr="00443F3C" w:rsidRDefault="00494598" w:rsidP="00443F3C">
            <w:pPr>
              <w:spacing w:line="240" w:lineRule="auto"/>
              <w:jc w:val="center"/>
              <w:rPr>
                <w:rFonts w:ascii="Times New Roman" w:hAnsi="Times New Roman" w:cs="Times New Roman"/>
                <w:sz w:val="20"/>
                <w:szCs w:val="20"/>
              </w:rPr>
            </w:pPr>
          </w:p>
        </w:tc>
        <w:tc>
          <w:tcPr>
            <w:tcW w:w="1134" w:type="dxa"/>
            <w:shd w:val="clear" w:color="auto" w:fill="auto"/>
          </w:tcPr>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100.0</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20.8</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22.1</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30.9</w:t>
            </w:r>
          </w:p>
        </w:tc>
      </w:tr>
      <w:tr w:rsidR="00494598" w:rsidRPr="00443F3C" w:rsidTr="00BB5681">
        <w:trPr>
          <w:trHeight w:val="64"/>
        </w:trPr>
        <w:tc>
          <w:tcPr>
            <w:tcW w:w="846" w:type="dxa"/>
            <w:shd w:val="clear" w:color="auto" w:fill="auto"/>
          </w:tcPr>
          <w:p w:rsidR="00494598" w:rsidRPr="00443F3C" w:rsidRDefault="00494598" w:rsidP="00443F3C">
            <w:pPr>
              <w:spacing w:line="240" w:lineRule="auto"/>
              <w:jc w:val="center"/>
              <w:rPr>
                <w:rFonts w:ascii="Times New Roman" w:hAnsi="Times New Roman" w:cs="Times New Roman"/>
                <w:sz w:val="20"/>
                <w:szCs w:val="20"/>
              </w:rPr>
            </w:pP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5</w:t>
            </w:r>
          </w:p>
        </w:tc>
        <w:tc>
          <w:tcPr>
            <w:tcW w:w="2268" w:type="dxa"/>
            <w:shd w:val="clear" w:color="auto" w:fill="auto"/>
          </w:tcPr>
          <w:p w:rsidR="00494598" w:rsidRPr="00443F3C" w:rsidRDefault="00494598" w:rsidP="00443F3C">
            <w:pPr>
              <w:spacing w:line="240" w:lineRule="auto"/>
              <w:jc w:val="center"/>
              <w:rPr>
                <w:rFonts w:ascii="Times New Roman" w:hAnsi="Times New Roman" w:cs="Times New Roman"/>
                <w:b/>
                <w:sz w:val="20"/>
                <w:szCs w:val="20"/>
              </w:rPr>
            </w:pPr>
          </w:p>
          <w:p w:rsidR="00494598" w:rsidRPr="00443F3C" w:rsidRDefault="00494598" w:rsidP="00443F3C">
            <w:pPr>
              <w:spacing w:line="240" w:lineRule="auto"/>
              <w:jc w:val="center"/>
              <w:rPr>
                <w:rFonts w:ascii="Times New Roman" w:hAnsi="Times New Roman" w:cs="Times New Roman"/>
                <w:b/>
                <w:sz w:val="20"/>
                <w:szCs w:val="20"/>
              </w:rPr>
            </w:pPr>
            <w:r w:rsidRPr="00443F3C">
              <w:rPr>
                <w:rFonts w:ascii="Times New Roman" w:hAnsi="Times New Roman" w:cs="Times New Roman"/>
                <w:b/>
                <w:sz w:val="20"/>
                <w:szCs w:val="20"/>
              </w:rPr>
              <w:t>[Cu(L1)</w:t>
            </w:r>
            <w:r w:rsidRPr="00443F3C">
              <w:rPr>
                <w:rFonts w:ascii="Times New Roman" w:hAnsi="Times New Roman" w:cs="Times New Roman"/>
                <w:b/>
                <w:sz w:val="20"/>
                <w:szCs w:val="20"/>
                <w:vertAlign w:val="subscript"/>
              </w:rPr>
              <w:t>2</w:t>
            </w:r>
            <w:r w:rsidRPr="00443F3C">
              <w:rPr>
                <w:rFonts w:ascii="Times New Roman" w:hAnsi="Times New Roman" w:cs="Times New Roman"/>
                <w:b/>
                <w:sz w:val="20"/>
                <w:szCs w:val="20"/>
              </w:rPr>
              <w:t>(H</w:t>
            </w:r>
            <w:r w:rsidRPr="00443F3C">
              <w:rPr>
                <w:rFonts w:ascii="Times New Roman" w:hAnsi="Times New Roman" w:cs="Times New Roman"/>
                <w:b/>
                <w:sz w:val="20"/>
                <w:szCs w:val="20"/>
                <w:vertAlign w:val="subscript"/>
              </w:rPr>
              <w:t>2</w:t>
            </w:r>
            <w:r w:rsidRPr="00443F3C">
              <w:rPr>
                <w:rFonts w:ascii="Times New Roman" w:hAnsi="Times New Roman" w:cs="Times New Roman"/>
                <w:b/>
                <w:sz w:val="20"/>
                <w:szCs w:val="20"/>
              </w:rPr>
              <w:t>O)</w:t>
            </w:r>
            <w:r w:rsidRPr="00443F3C">
              <w:rPr>
                <w:rFonts w:ascii="Times New Roman" w:hAnsi="Times New Roman" w:cs="Times New Roman"/>
                <w:b/>
                <w:sz w:val="20"/>
                <w:szCs w:val="20"/>
                <w:vertAlign w:val="subscript"/>
              </w:rPr>
              <w:t>2</w:t>
            </w:r>
            <w:r w:rsidRPr="00443F3C">
              <w:rPr>
                <w:rFonts w:ascii="Times New Roman" w:hAnsi="Times New Roman" w:cs="Times New Roman"/>
                <w:b/>
                <w:sz w:val="20"/>
                <w:szCs w:val="20"/>
              </w:rPr>
              <w:t>]</w:t>
            </w:r>
            <w:r w:rsidRPr="00443F3C">
              <w:rPr>
                <w:rFonts w:ascii="Times New Roman" w:hAnsi="Times New Roman" w:cs="Times New Roman"/>
                <w:b/>
                <w:sz w:val="20"/>
                <w:szCs w:val="20"/>
                <w:vertAlign w:val="superscript"/>
              </w:rPr>
              <w:t>+2</w:t>
            </w:r>
          </w:p>
        </w:tc>
        <w:tc>
          <w:tcPr>
            <w:tcW w:w="714" w:type="dxa"/>
            <w:shd w:val="clear" w:color="auto" w:fill="auto"/>
          </w:tcPr>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0</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2</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0</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2</w:t>
            </w:r>
          </w:p>
        </w:tc>
        <w:tc>
          <w:tcPr>
            <w:tcW w:w="703" w:type="dxa"/>
            <w:shd w:val="clear" w:color="auto" w:fill="auto"/>
          </w:tcPr>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2</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0</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0</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2</w:t>
            </w:r>
          </w:p>
        </w:tc>
        <w:tc>
          <w:tcPr>
            <w:tcW w:w="567" w:type="dxa"/>
            <w:shd w:val="clear" w:color="auto" w:fill="auto"/>
          </w:tcPr>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2</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2</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4</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0</w:t>
            </w:r>
          </w:p>
        </w:tc>
        <w:tc>
          <w:tcPr>
            <w:tcW w:w="998" w:type="dxa"/>
            <w:shd w:val="clear" w:color="auto" w:fill="auto"/>
          </w:tcPr>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2.5300</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2.3600</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2.3350</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2.0241</w:t>
            </w:r>
          </w:p>
        </w:tc>
        <w:tc>
          <w:tcPr>
            <w:tcW w:w="987" w:type="dxa"/>
            <w:shd w:val="clear" w:color="auto" w:fill="auto"/>
          </w:tcPr>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35.452</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38.100</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38.525</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44.735</w:t>
            </w:r>
          </w:p>
        </w:tc>
        <w:tc>
          <w:tcPr>
            <w:tcW w:w="1134" w:type="dxa"/>
            <w:shd w:val="clear" w:color="auto" w:fill="auto"/>
          </w:tcPr>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100.0</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79.7</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36.2</w:t>
            </w:r>
          </w:p>
          <w:p w:rsidR="00494598" w:rsidRPr="00443F3C" w:rsidRDefault="00494598" w:rsidP="00443F3C">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42.2</w:t>
            </w:r>
          </w:p>
        </w:tc>
      </w:tr>
    </w:tbl>
    <w:p w:rsidR="006813A4" w:rsidRPr="00BC794B" w:rsidRDefault="00494598" w:rsidP="00443F3C">
      <w:pPr>
        <w:spacing w:line="360" w:lineRule="auto"/>
        <w:rPr>
          <w:rFonts w:ascii="Times New Roman" w:hAnsi="Times New Roman" w:cs="Times New Roman"/>
          <w:sz w:val="20"/>
          <w:szCs w:val="20"/>
        </w:rPr>
      </w:pPr>
      <w:r w:rsidRPr="00B83246">
        <w:rPr>
          <w:rFonts w:ascii="Times New Roman" w:hAnsi="Times New Roman" w:cs="Times New Roman"/>
          <w:sz w:val="20"/>
          <w:szCs w:val="20"/>
        </w:rPr>
        <w:t>Each set of indices was chosen on the basis of high</w:t>
      </w:r>
      <w:r w:rsidR="00BC794B">
        <w:rPr>
          <w:rFonts w:ascii="Times New Roman" w:hAnsi="Times New Roman" w:cs="Times New Roman"/>
          <w:sz w:val="20"/>
          <w:szCs w:val="20"/>
        </w:rPr>
        <w:t>est intensity (%) of sharp peak</w:t>
      </w:r>
    </w:p>
    <w:p w:rsidR="003A6E3C" w:rsidRPr="009B5CC1" w:rsidRDefault="003A6E3C" w:rsidP="009B5CC1">
      <w:pPr>
        <w:autoSpaceDE w:val="0"/>
        <w:autoSpaceDN w:val="0"/>
        <w:adjustRightInd w:val="0"/>
        <w:spacing w:after="0" w:line="360" w:lineRule="auto"/>
        <w:jc w:val="both"/>
        <w:rPr>
          <w:rFonts w:ascii="Times-Roman" w:hAnsi="Times-Roman" w:cs="Times-Roman"/>
          <w:sz w:val="24"/>
          <w:szCs w:val="24"/>
        </w:rPr>
      </w:pPr>
      <w:r w:rsidRPr="009B5CC1">
        <w:rPr>
          <w:rFonts w:ascii="Times-Roman" w:hAnsi="Times-Roman" w:cs="Times-Roman"/>
          <w:sz w:val="24"/>
          <w:szCs w:val="24"/>
        </w:rPr>
        <w:t xml:space="preserve">X-ray diffraction was performed for further confirmation of the structure of transition metal complexes. The patterns of </w:t>
      </w:r>
      <w:proofErr w:type="spellStart"/>
      <w:r w:rsidRPr="009B5CC1">
        <w:rPr>
          <w:rFonts w:ascii="Times-Roman" w:hAnsi="Times-Roman" w:cs="Times-Roman"/>
          <w:sz w:val="24"/>
          <w:szCs w:val="24"/>
        </w:rPr>
        <w:t>diffracto</w:t>
      </w:r>
      <w:proofErr w:type="spellEnd"/>
      <w:r w:rsidRPr="009B5CC1">
        <w:rPr>
          <w:rFonts w:ascii="Times-Roman" w:hAnsi="Times-Roman" w:cs="Times-Roman"/>
          <w:sz w:val="24"/>
          <w:szCs w:val="24"/>
        </w:rPr>
        <w:t xml:space="preserve">-grams obtained for complexes are given in Fig. 4.  Each metal complex pattern has one sharp peak of metal oxide (Fig. 4). This clearly gives an idea of the coordination of one oxygen atom from the ligand to the metal ions. Hence, the idea of coordination of ligand with the metal ions through the same site has been confirmed. Moreover, these patterns indicate crystalline nature of all the complexes. It can be observed that the rest of the pattern of metal complexes is almost dissimilar from each other owing to the formation </w:t>
      </w:r>
      <w:r w:rsidRPr="009B5CC1">
        <w:rPr>
          <w:rFonts w:ascii="Times-Roman" w:hAnsi="Times-Roman" w:cs="Times-Roman"/>
          <w:sz w:val="24"/>
          <w:szCs w:val="24"/>
        </w:rPr>
        <w:lastRenderedPageBreak/>
        <w:t>of a distinct distorted crystalline structure. Most probably, this difference is due to the coordination of water molecules into the coordination sphere</w:t>
      </w:r>
      <w:r w:rsidR="00B72588">
        <w:rPr>
          <w:rFonts w:ascii="Times-Roman" w:hAnsi="Times-Roman" w:cs="Times-Roman"/>
          <w:sz w:val="24"/>
          <w:szCs w:val="24"/>
        </w:rPr>
        <w:t>.</w:t>
      </w:r>
      <w:r w:rsidRPr="009B5CC1">
        <w:rPr>
          <w:rFonts w:ascii="Times-Roman" w:hAnsi="Times-Roman" w:cs="Times-Roman"/>
          <w:sz w:val="24"/>
          <w:szCs w:val="24"/>
        </w:rPr>
        <w:fldChar w:fldCharType="begin" w:fldLock="1"/>
      </w:r>
      <w:r w:rsidR="00276B78">
        <w:rPr>
          <w:rFonts w:ascii="Times-Roman" w:hAnsi="Times-Roman" w:cs="Times-Roman"/>
          <w:sz w:val="24"/>
          <w:szCs w:val="24"/>
        </w:rPr>
        <w:instrText>ADDIN CSL_CITATION {"citationItems":[{"id":"ITEM-1","itemData":{"DOI":"10.1021/om020533b","ISSN":"02767333","author":[{"dropping-particle":"","family":"Liu","given":"Shih Yuan","non-dropping-particle":"","parse-names":false,"suffix":""},{"dropping-particle":"","family":"Hills","given":"Ivory D.","non-dropping-particle":"","parse-names":false,"suffix":""},{"dropping-particle":"","family":"Fu","given":"Gregory C.","non-dropping-particle":"","parse-names":false,"suffix":""}],"container-title":"Organometallics","id":"ITEM-1","issue":"21","issued":{"date-parts":[["2002"]]},"page":"4323-4325","title":"The first general method for the synthesis of transition-metal π complexes of an electronically diverse family of 1,2-azaborolyls","type":"article-journal","volume":"21"},"uris":["http://www.mendeley.com/documents/?uuid=cd2d06d7-2b13-40d9-85ca-56ca10436fd1"]},{"id":"ITEM-2","itemData":{"DOI":"10.1007/s11030-019-09950-7","ISBN":"0123456789","ISSN":"1573501X","PMID":"30955150","abstract":"Abstract: Quaternary or spirocyclic 3-substituted-3-hydroxy-2-oxindole is considered a privileged scaffold. In other words, it is a molecular core present on several compounds with a wide spectrum of biological activities. Among its precursors, activated ketones (isatin nucleus) can be used as interesting starting points to Morita–Baylis–Hillman adducts derivatives, a class of compounds with good cytotoxic potential. In this paper, we present the synthesis, anti-proliferative activity against lung cancer cell line and a theoretical conformational study of 21 of Morita–Baylis–Hillman adducts from isatin derivatives, by DFT quantum chemical calculations, followed by a SAR and QSAR analysis. Besides, an efficient synthetic protocol and good biological activity profile were highlighted interesting observations about 1H NMR experimental spectra, molecular modeling results and crystallographic data available. Graphical abstract: [Figure not available: see fulltext.]","author":[{"dropping-particle":"","family":"Brito","given":"Vinicius B.M.","non-dropping-particle":"","parse-names":false,"suffix":""},{"dropping-particle":"","family":"Santos","given":"Gilmar F.","non-dropping-particle":"","parse-names":false,"suffix":""},{"dropping-particle":"","family":"Silva","given":"Thiago D.S.","non-dropping-particle":"","parse-names":false,"suffix":""},{"dropping-particle":"","family":"Souza","given":"Júlia L.C.","non-dropping-particle":"","parse-names":false,"suffix":""},{"dropping-particle":"","family":"Militão","given":"Gardenia C.G.","non-dropping-particle":"","parse-names":false,"suffix":""},{"dropping-particle":"","family":"Martins","given":"Felipe T.","non-dropping-particle":"","parse-names":false,"suffix":""},{"dropping-particle":"","family":"Silva","given":"Fábio P.L.","non-dropping-particle":"","parse-names":false,"suffix":""},{"dropping-particle":"","family":"Oliveira","given":"Boaz G.","non-dropping-particle":"","parse-names":false,"suffix":""},{"dropping-particle":"","family":"Araújo","given":"Edigenia C.C.","non-dropping-particle":"","parse-names":false,"suffix":""},{"dropping-particle":"","family":"Vasconcellos","given":"Mário L.A.A.","non-dropping-particle":"","parse-names":false,"suffix":""},{"dropping-particle":"","family":"Lima-Júnior","given":"Claudio G.","non-dropping-particle":"","parse-names":false,"suffix":""},{"dropping-particle":"","family":"Alencar-Filho","given":"Edilson B.","non-dropping-particle":"","parse-names":false,"suffix":""}],"container-title":"Molecular Diversity","id":"ITEM-2","issue":"1","issued":{"date-parts":[["2020"]]},"page":"265-281","publisher":"Springer International Publishing","title":"Synthesis, anti-proliferative activity, theoretical and 1H NMR experimental studies of Morita–Baylis–Hillman adducts from isatin derivatives","type":"article-journal","volume":"24"},"uris":["http://www.mendeley.com/documents/?uuid=1bd7385c-5227-40f7-994c-c2fe9884aca5"]}],"mendeley":{"formattedCitation":"&lt;sup&gt;15,16&lt;/sup&gt;","plainTextFormattedCitation":"15,16","previouslyFormattedCitation":"&lt;sup&gt;15,16&lt;/sup&gt;"},"properties":{"noteIndex":0},"schema":"https://github.com/citation-style-language/schema/raw/master/csl-citation.json"}</w:instrText>
      </w:r>
      <w:r w:rsidRPr="009B5CC1">
        <w:rPr>
          <w:rFonts w:ascii="Times-Roman" w:hAnsi="Times-Roman" w:cs="Times-Roman"/>
          <w:sz w:val="24"/>
          <w:szCs w:val="24"/>
        </w:rPr>
        <w:fldChar w:fldCharType="separate"/>
      </w:r>
      <w:r w:rsidR="00276B78" w:rsidRPr="00276B78">
        <w:rPr>
          <w:rFonts w:ascii="Times-Roman" w:hAnsi="Times-Roman" w:cs="Times-Roman"/>
          <w:noProof/>
          <w:sz w:val="24"/>
          <w:szCs w:val="24"/>
          <w:vertAlign w:val="superscript"/>
        </w:rPr>
        <w:t>15,16</w:t>
      </w:r>
      <w:r w:rsidRPr="009B5CC1">
        <w:rPr>
          <w:rFonts w:ascii="Times-Roman" w:hAnsi="Times-Roman" w:cs="Times-Roman"/>
          <w:sz w:val="24"/>
          <w:szCs w:val="24"/>
        </w:rPr>
        <w:fldChar w:fldCharType="end"/>
      </w:r>
      <w:r w:rsidRPr="009B5CC1">
        <w:rPr>
          <w:rFonts w:ascii="Times-Roman" w:hAnsi="Times-Roman" w:cs="Times-Roman"/>
          <w:sz w:val="24"/>
          <w:szCs w:val="24"/>
        </w:rPr>
        <w:t xml:space="preserve"> </w:t>
      </w:r>
      <w:proofErr w:type="gramStart"/>
      <w:r w:rsidRPr="009B5CC1">
        <w:rPr>
          <w:rFonts w:ascii="Times-Roman" w:hAnsi="Times-Roman" w:cs="Times-Roman"/>
          <w:sz w:val="24"/>
          <w:szCs w:val="24"/>
        </w:rPr>
        <w:t>Besides</w:t>
      </w:r>
      <w:proofErr w:type="gramEnd"/>
      <w:r w:rsidRPr="009B5CC1">
        <w:rPr>
          <w:rFonts w:ascii="Times-Roman" w:hAnsi="Times-Roman" w:cs="Times-Roman"/>
          <w:sz w:val="24"/>
          <w:szCs w:val="24"/>
        </w:rPr>
        <w:t>, they have different unit cell number and radius intensity ratio, because of this they belong to non-identical but unique crystal class. The resultant XRD output such as density, volume, radius intensity ratio, lattice parameters (a, b, c, α, β, γ) and probable crystal cla</w:t>
      </w:r>
      <w:r w:rsidR="008B7DB0">
        <w:rPr>
          <w:rFonts w:ascii="Times-Roman" w:hAnsi="Times-Roman" w:cs="Times-Roman"/>
          <w:sz w:val="24"/>
          <w:szCs w:val="24"/>
        </w:rPr>
        <w:t xml:space="preserve">ss have been given in the Table </w:t>
      </w:r>
      <w:r w:rsidR="00FC3434">
        <w:rPr>
          <w:rFonts w:ascii="Times-Roman" w:hAnsi="Times-Roman" w:cs="Times-Roman"/>
          <w:sz w:val="24"/>
          <w:szCs w:val="24"/>
        </w:rPr>
        <w:t>2</w:t>
      </w:r>
      <w:r w:rsidRPr="009B5CC1">
        <w:rPr>
          <w:rFonts w:ascii="Times-Roman" w:hAnsi="Times-Roman" w:cs="Times-Roman"/>
          <w:sz w:val="24"/>
          <w:szCs w:val="24"/>
        </w:rPr>
        <w:t xml:space="preserve">. The chromium complex (compound </w:t>
      </w:r>
      <w:r w:rsidRPr="009B5CC1">
        <w:rPr>
          <w:rFonts w:ascii="Times-Roman" w:hAnsi="Times-Roman" w:cs="Times-Roman"/>
          <w:b/>
          <w:sz w:val="24"/>
          <w:szCs w:val="24"/>
        </w:rPr>
        <w:t>4</w:t>
      </w:r>
      <w:r w:rsidRPr="009B5CC1">
        <w:rPr>
          <w:rFonts w:ascii="Times-Roman" w:hAnsi="Times-Roman" w:cs="Times-Roman"/>
          <w:sz w:val="24"/>
          <w:szCs w:val="24"/>
        </w:rPr>
        <w:t xml:space="preserve">) was isolated, and crystallized in the </w:t>
      </w:r>
      <w:r w:rsidRPr="009B5CC1">
        <w:rPr>
          <w:rFonts w:ascii="Times New Roman" w:hAnsi="Times New Roman" w:cs="Times New Roman"/>
          <w:sz w:val="24"/>
          <w:szCs w:val="24"/>
        </w:rPr>
        <w:t>orthorhombic</w:t>
      </w:r>
      <w:r w:rsidRPr="009B5CC1">
        <w:rPr>
          <w:rFonts w:ascii="Times-Roman" w:hAnsi="Times-Roman" w:cs="Times-Roman"/>
          <w:sz w:val="24"/>
          <w:szCs w:val="24"/>
        </w:rPr>
        <w:t xml:space="preserve"> system (space group </w:t>
      </w:r>
      <w:proofErr w:type="spellStart"/>
      <w:r w:rsidRPr="009B5CC1">
        <w:rPr>
          <w:rFonts w:ascii="Times-Roman" w:hAnsi="Times-Roman" w:cs="Times-Roman"/>
          <w:sz w:val="24"/>
          <w:szCs w:val="24"/>
        </w:rPr>
        <w:t>Pmmn</w:t>
      </w:r>
      <w:proofErr w:type="spellEnd"/>
      <w:r w:rsidRPr="009B5CC1">
        <w:rPr>
          <w:rFonts w:ascii="Times-Roman" w:hAnsi="Times-Roman" w:cs="Times-Roman"/>
          <w:sz w:val="24"/>
          <w:szCs w:val="24"/>
        </w:rPr>
        <w:t xml:space="preserve"> (59) with Z = 2). In the cobalt complex, the molecule contains one Cr</w:t>
      </w:r>
      <w:r w:rsidRPr="009B5CC1">
        <w:rPr>
          <w:rFonts w:ascii="Times-Roman" w:hAnsi="Times-Roman" w:cs="Times-Roman"/>
          <w:sz w:val="24"/>
          <w:szCs w:val="24"/>
          <w:vertAlign w:val="superscript"/>
        </w:rPr>
        <w:t>+3</w:t>
      </w:r>
      <w:r w:rsidRPr="009B5CC1">
        <w:rPr>
          <w:rFonts w:ascii="Times-Roman" w:hAnsi="Times-Roman" w:cs="Times-Roman"/>
          <w:sz w:val="24"/>
          <w:szCs w:val="24"/>
        </w:rPr>
        <w:t xml:space="preserve"> atom, two coordinated MBHA (L1) molecules at the two sites in a mononuclear complex. </w:t>
      </w:r>
    </w:p>
    <w:p w:rsidR="00941797" w:rsidRDefault="003A6E3C" w:rsidP="00947764">
      <w:pPr>
        <w:autoSpaceDE w:val="0"/>
        <w:autoSpaceDN w:val="0"/>
        <w:adjustRightInd w:val="0"/>
        <w:spacing w:after="0" w:line="360" w:lineRule="auto"/>
        <w:jc w:val="both"/>
        <w:rPr>
          <w:rFonts w:ascii="Times New Roman" w:hAnsi="Times New Roman" w:cs="Times New Roman"/>
          <w:sz w:val="24"/>
          <w:szCs w:val="24"/>
        </w:rPr>
      </w:pPr>
      <w:r w:rsidRPr="009B5CC1">
        <w:rPr>
          <w:rFonts w:ascii="Times-Roman" w:hAnsi="Times-Roman" w:cs="Times-Roman"/>
          <w:sz w:val="24"/>
          <w:szCs w:val="24"/>
        </w:rPr>
        <w:t xml:space="preserve">It is noteworthy that the complexes cobalt and manganese (compound </w:t>
      </w:r>
      <w:r w:rsidRPr="009B5CC1">
        <w:rPr>
          <w:rFonts w:ascii="Times-Roman" w:hAnsi="Times-Roman" w:cs="Times-Roman"/>
          <w:b/>
          <w:sz w:val="24"/>
          <w:szCs w:val="24"/>
        </w:rPr>
        <w:t>5</w:t>
      </w:r>
      <w:r w:rsidRPr="009B5CC1">
        <w:rPr>
          <w:rFonts w:ascii="Times-Roman" w:hAnsi="Times-Roman" w:cs="Times-Roman"/>
          <w:sz w:val="24"/>
          <w:szCs w:val="24"/>
        </w:rPr>
        <w:t xml:space="preserve"> and </w:t>
      </w:r>
      <w:r w:rsidRPr="009B5CC1">
        <w:rPr>
          <w:rFonts w:ascii="Times-Roman" w:hAnsi="Times-Roman" w:cs="Times-Roman"/>
          <w:b/>
          <w:sz w:val="24"/>
          <w:szCs w:val="24"/>
        </w:rPr>
        <w:t>7</w:t>
      </w:r>
      <w:r w:rsidRPr="009B5CC1">
        <w:rPr>
          <w:rFonts w:ascii="Times-Roman" w:hAnsi="Times-Roman" w:cs="Times-Roman"/>
          <w:sz w:val="24"/>
          <w:szCs w:val="24"/>
        </w:rPr>
        <w:t>) were found to have cubic crystalline nature, having space group Fd-3m (223) and 141/</w:t>
      </w:r>
      <w:proofErr w:type="spellStart"/>
      <w:r w:rsidRPr="009B5CC1">
        <w:rPr>
          <w:rFonts w:ascii="Times-Roman" w:hAnsi="Times-Roman" w:cs="Times-Roman"/>
          <w:sz w:val="24"/>
          <w:szCs w:val="24"/>
        </w:rPr>
        <w:t>amd</w:t>
      </w:r>
      <w:proofErr w:type="spellEnd"/>
      <w:r w:rsidRPr="009B5CC1">
        <w:rPr>
          <w:rFonts w:ascii="Times-Roman" w:hAnsi="Times-Roman" w:cs="Times-Roman"/>
          <w:sz w:val="24"/>
          <w:szCs w:val="24"/>
        </w:rPr>
        <w:t xml:space="preserve"> (141), whereas they have 2 and 4, Z values, respectively. The indexing related to their structure elucidation as well as peak intensities and diffraction angle (2</w:t>
      </w:r>
      <w:r w:rsidRPr="009B5CC1">
        <w:rPr>
          <w:rFonts w:ascii="Cambria Math" w:hAnsi="Cambria Math" w:cs="Cambria Math"/>
          <w:sz w:val="24"/>
          <w:szCs w:val="24"/>
        </w:rPr>
        <w:t>𝜃) is</w:t>
      </w:r>
      <w:r w:rsidR="00987A05">
        <w:rPr>
          <w:rFonts w:ascii="Times-Roman" w:hAnsi="Times-Roman" w:cs="Times-Roman"/>
          <w:sz w:val="24"/>
          <w:szCs w:val="24"/>
        </w:rPr>
        <w:t xml:space="preserve"> given in the Table 3</w:t>
      </w:r>
      <w:r w:rsidRPr="009B5CC1">
        <w:rPr>
          <w:rFonts w:ascii="Times-Roman" w:hAnsi="Times-Roman" w:cs="Times-Roman"/>
          <w:sz w:val="24"/>
          <w:szCs w:val="24"/>
        </w:rPr>
        <w:t xml:space="preserve">. </w:t>
      </w:r>
      <w:r w:rsidRPr="009B5CC1">
        <w:rPr>
          <w:rFonts w:ascii="Times New Roman" w:hAnsi="Times New Roman" w:cs="Times New Roman"/>
          <w:sz w:val="24"/>
          <w:szCs w:val="24"/>
        </w:rPr>
        <w:t xml:space="preserve">It is illustrated that the prepared complex of nickel (compound </w:t>
      </w:r>
      <w:r w:rsidRPr="009B5CC1">
        <w:rPr>
          <w:rFonts w:ascii="Times New Roman" w:hAnsi="Times New Roman" w:cs="Times New Roman"/>
          <w:b/>
          <w:sz w:val="24"/>
          <w:szCs w:val="24"/>
        </w:rPr>
        <w:t>6</w:t>
      </w:r>
      <w:r w:rsidRPr="009B5CC1">
        <w:rPr>
          <w:rFonts w:ascii="Times New Roman" w:hAnsi="Times New Roman" w:cs="Times New Roman"/>
          <w:sz w:val="24"/>
          <w:szCs w:val="24"/>
        </w:rPr>
        <w:t>)</w:t>
      </w:r>
      <w:r w:rsidRPr="009B5CC1">
        <w:rPr>
          <w:rFonts w:ascii="Times-Roman" w:hAnsi="Times-Roman" w:cs="Times-Roman"/>
          <w:sz w:val="24"/>
          <w:szCs w:val="24"/>
          <w:vertAlign w:val="superscript"/>
        </w:rPr>
        <w:t xml:space="preserve"> </w:t>
      </w:r>
      <w:r w:rsidRPr="009B5CC1">
        <w:rPr>
          <w:rFonts w:ascii="Times New Roman" w:hAnsi="Times New Roman" w:cs="Times New Roman"/>
          <w:sz w:val="24"/>
          <w:szCs w:val="24"/>
        </w:rPr>
        <w:t xml:space="preserve">has the space group R-3m (166), Z=3 and belongs to hexagonal crystal class. While, copper metal </w:t>
      </w:r>
      <w:r w:rsidRPr="009B5CC1">
        <w:rPr>
          <w:rFonts w:ascii="Times-Roman" w:hAnsi="Times-Roman" w:cs="Times-Roman"/>
          <w:sz w:val="24"/>
          <w:szCs w:val="24"/>
        </w:rPr>
        <w:t xml:space="preserve">(compound </w:t>
      </w:r>
      <w:r w:rsidRPr="009B5CC1">
        <w:rPr>
          <w:rFonts w:ascii="Times-Roman" w:hAnsi="Times-Roman" w:cs="Times-Roman"/>
          <w:b/>
          <w:sz w:val="24"/>
          <w:szCs w:val="24"/>
        </w:rPr>
        <w:t>8</w:t>
      </w:r>
      <w:r w:rsidRPr="009B5CC1">
        <w:rPr>
          <w:rFonts w:ascii="Times-Roman" w:hAnsi="Times-Roman" w:cs="Times-Roman"/>
          <w:sz w:val="24"/>
          <w:szCs w:val="24"/>
        </w:rPr>
        <w:t>)</w:t>
      </w:r>
      <w:r w:rsidRPr="009B5CC1">
        <w:rPr>
          <w:rFonts w:ascii="Times New Roman" w:hAnsi="Times New Roman" w:cs="Times New Roman"/>
          <w:sz w:val="24"/>
          <w:szCs w:val="24"/>
        </w:rPr>
        <w:t xml:space="preserve"> coordinated with MBHA has monoclinic crystalline nature. It has the space group Cc (9) and Z =4. Based on aforementioned analysis and to provide more strength in verdicts (energy balance and mass balance) the computational modeling was further performed.</w:t>
      </w:r>
    </w:p>
    <w:p w:rsidR="00FB5B27" w:rsidRPr="009B5CC1" w:rsidRDefault="00941797" w:rsidP="00BC794B">
      <w:pPr>
        <w:widowControl w:val="0"/>
        <w:autoSpaceDE w:val="0"/>
        <w:autoSpaceDN w:val="0"/>
        <w:adjustRightInd w:val="0"/>
        <w:spacing w:line="240" w:lineRule="auto"/>
        <w:jc w:val="center"/>
        <w:rPr>
          <w:rFonts w:ascii="Times New Roman" w:hAnsi="Times New Roman" w:cs="Times New Roman"/>
          <w:sz w:val="24"/>
          <w:szCs w:val="24"/>
        </w:rPr>
      </w:pPr>
      <w:r w:rsidRPr="00941797">
        <w:rPr>
          <w:rFonts w:ascii="Times New Roman" w:hAnsi="Times New Roman" w:cs="Times New Roman"/>
          <w:noProof/>
          <w:sz w:val="24"/>
          <w:szCs w:val="24"/>
        </w:rPr>
        <w:drawing>
          <wp:inline distT="0" distB="0" distL="0" distR="0">
            <wp:extent cx="5610225" cy="3629025"/>
            <wp:effectExtent l="0" t="0" r="9525" b="9525"/>
            <wp:docPr id="15" name="Picture 15" descr="C:\Users\USER\Downloads\5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5 copy.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182" b="15551"/>
                    <a:stretch/>
                  </pic:blipFill>
                  <pic:spPr bwMode="auto">
                    <a:xfrm>
                      <a:off x="0" y="0"/>
                      <a:ext cx="5610225" cy="3629025"/>
                    </a:xfrm>
                    <a:prstGeom prst="rect">
                      <a:avLst/>
                    </a:prstGeom>
                    <a:noFill/>
                    <a:ln>
                      <a:noFill/>
                    </a:ln>
                    <a:extLst>
                      <a:ext uri="{53640926-AAD7-44D8-BBD7-CCE9431645EC}">
                        <a14:shadowObscured xmlns:a14="http://schemas.microsoft.com/office/drawing/2010/main"/>
                      </a:ext>
                    </a:extLst>
                  </pic:spPr>
                </pic:pic>
              </a:graphicData>
            </a:graphic>
          </wp:inline>
        </w:drawing>
      </w:r>
    </w:p>
    <w:p w:rsidR="00163CBA" w:rsidRPr="00E83DDF" w:rsidRDefault="00FB5B27" w:rsidP="00E83DDF">
      <w:pPr>
        <w:widowControl w:val="0"/>
        <w:autoSpaceDE w:val="0"/>
        <w:autoSpaceDN w:val="0"/>
        <w:adjustRightInd w:val="0"/>
        <w:spacing w:line="240" w:lineRule="auto"/>
        <w:jc w:val="both"/>
        <w:rPr>
          <w:rFonts w:ascii="Arial" w:hAnsi="Arial" w:cs="Arial"/>
          <w:sz w:val="16"/>
          <w:szCs w:val="16"/>
        </w:rPr>
      </w:pPr>
      <w:r w:rsidRPr="00B83246">
        <w:rPr>
          <w:rFonts w:ascii="Arial" w:hAnsi="Arial" w:cs="Arial"/>
          <w:b/>
          <w:sz w:val="16"/>
          <w:szCs w:val="16"/>
        </w:rPr>
        <w:t>Fig. 4</w:t>
      </w:r>
      <w:r w:rsidRPr="00B83246">
        <w:rPr>
          <w:rFonts w:ascii="Arial" w:hAnsi="Arial" w:cs="Arial"/>
          <w:sz w:val="16"/>
          <w:szCs w:val="16"/>
        </w:rPr>
        <w:t>. X-ray diffraction patterns of complexes [</w:t>
      </w:r>
      <w:proofErr w:type="gramStart"/>
      <w:r w:rsidRPr="00B83246">
        <w:rPr>
          <w:rFonts w:ascii="Arial" w:hAnsi="Arial" w:cs="Arial"/>
          <w:sz w:val="16"/>
          <w:szCs w:val="16"/>
        </w:rPr>
        <w:t>M(</w:t>
      </w:r>
      <w:proofErr w:type="gramEnd"/>
      <w:r w:rsidRPr="00B83246">
        <w:rPr>
          <w:rFonts w:ascii="Arial" w:hAnsi="Arial" w:cs="Arial"/>
          <w:sz w:val="16"/>
          <w:szCs w:val="16"/>
        </w:rPr>
        <w:t>L1)</w:t>
      </w:r>
      <w:r w:rsidRPr="00B83246">
        <w:rPr>
          <w:rFonts w:ascii="Arial" w:hAnsi="Arial" w:cs="Arial"/>
          <w:sz w:val="16"/>
          <w:szCs w:val="16"/>
          <w:vertAlign w:val="subscript"/>
        </w:rPr>
        <w:t>2</w:t>
      </w:r>
      <w:r w:rsidRPr="00B83246">
        <w:rPr>
          <w:rFonts w:ascii="Arial" w:hAnsi="Arial" w:cs="Arial"/>
          <w:sz w:val="16"/>
          <w:szCs w:val="16"/>
        </w:rPr>
        <w:t>(H</w:t>
      </w:r>
      <w:r w:rsidRPr="00B83246">
        <w:rPr>
          <w:rFonts w:ascii="Arial" w:hAnsi="Arial" w:cs="Arial"/>
          <w:sz w:val="16"/>
          <w:szCs w:val="16"/>
          <w:vertAlign w:val="subscript"/>
        </w:rPr>
        <w:t>2</w:t>
      </w:r>
      <w:r w:rsidRPr="00B83246">
        <w:rPr>
          <w:rFonts w:ascii="Arial" w:hAnsi="Arial" w:cs="Arial"/>
          <w:sz w:val="16"/>
          <w:szCs w:val="16"/>
        </w:rPr>
        <w:t>O)</w:t>
      </w:r>
      <w:r w:rsidRPr="00B83246">
        <w:rPr>
          <w:rFonts w:ascii="Arial" w:hAnsi="Arial" w:cs="Arial"/>
          <w:sz w:val="16"/>
          <w:szCs w:val="16"/>
          <w:vertAlign w:val="subscript"/>
        </w:rPr>
        <w:t>4</w:t>
      </w:r>
      <w:r w:rsidRPr="00B83246">
        <w:rPr>
          <w:rFonts w:ascii="Arial" w:hAnsi="Arial" w:cs="Arial"/>
          <w:sz w:val="16"/>
          <w:szCs w:val="16"/>
        </w:rPr>
        <w:t>]</w:t>
      </w:r>
      <w:r w:rsidRPr="00B83246">
        <w:rPr>
          <w:rFonts w:ascii="Arial" w:hAnsi="Arial" w:cs="Arial"/>
          <w:sz w:val="16"/>
          <w:szCs w:val="16"/>
          <w:vertAlign w:val="superscript"/>
        </w:rPr>
        <w:t>+3</w:t>
      </w:r>
      <w:r w:rsidRPr="00B83246">
        <w:rPr>
          <w:rFonts w:ascii="Arial" w:hAnsi="Arial" w:cs="Arial"/>
          <w:sz w:val="16"/>
          <w:szCs w:val="16"/>
        </w:rPr>
        <w:t xml:space="preserve"> with M=Cr</w:t>
      </w:r>
      <w:r w:rsidRPr="00B83246">
        <w:rPr>
          <w:rFonts w:ascii="Arial" w:hAnsi="Arial" w:cs="Arial"/>
          <w:sz w:val="16"/>
          <w:szCs w:val="16"/>
          <w:vertAlign w:val="superscript"/>
        </w:rPr>
        <w:t>+3</w:t>
      </w:r>
      <w:r w:rsidRPr="00B83246">
        <w:rPr>
          <w:rFonts w:ascii="Arial" w:hAnsi="Arial" w:cs="Arial"/>
          <w:sz w:val="16"/>
          <w:szCs w:val="16"/>
        </w:rPr>
        <w:t>, Co</w:t>
      </w:r>
      <w:r w:rsidRPr="00B83246">
        <w:rPr>
          <w:rFonts w:ascii="Arial" w:hAnsi="Arial" w:cs="Arial"/>
          <w:sz w:val="16"/>
          <w:szCs w:val="16"/>
          <w:vertAlign w:val="superscript"/>
        </w:rPr>
        <w:t>+3</w:t>
      </w:r>
      <w:r w:rsidRPr="00B83246">
        <w:rPr>
          <w:rFonts w:ascii="Arial" w:hAnsi="Arial" w:cs="Arial"/>
          <w:sz w:val="16"/>
          <w:szCs w:val="16"/>
        </w:rPr>
        <w:t>and [M(L1)</w:t>
      </w:r>
      <w:r w:rsidRPr="00B83246">
        <w:rPr>
          <w:rFonts w:ascii="Arial" w:hAnsi="Arial" w:cs="Arial"/>
          <w:sz w:val="16"/>
          <w:szCs w:val="16"/>
          <w:vertAlign w:val="subscript"/>
        </w:rPr>
        <w:t>2</w:t>
      </w:r>
      <w:r w:rsidRPr="00B83246">
        <w:rPr>
          <w:rFonts w:ascii="Arial" w:hAnsi="Arial" w:cs="Arial"/>
          <w:sz w:val="16"/>
          <w:szCs w:val="16"/>
        </w:rPr>
        <w:t>(H</w:t>
      </w:r>
      <w:r w:rsidRPr="00B83246">
        <w:rPr>
          <w:rFonts w:ascii="Arial" w:hAnsi="Arial" w:cs="Arial"/>
          <w:sz w:val="16"/>
          <w:szCs w:val="16"/>
          <w:vertAlign w:val="subscript"/>
        </w:rPr>
        <w:t>2</w:t>
      </w:r>
      <w:r w:rsidRPr="00B83246">
        <w:rPr>
          <w:rFonts w:ascii="Arial" w:hAnsi="Arial" w:cs="Arial"/>
          <w:sz w:val="16"/>
          <w:szCs w:val="16"/>
        </w:rPr>
        <w:t>O)</w:t>
      </w:r>
      <w:r w:rsidRPr="00B83246">
        <w:rPr>
          <w:rFonts w:ascii="Arial" w:hAnsi="Arial" w:cs="Arial"/>
          <w:sz w:val="16"/>
          <w:szCs w:val="16"/>
          <w:vertAlign w:val="subscript"/>
        </w:rPr>
        <w:t>2</w:t>
      </w:r>
      <w:r w:rsidRPr="00B83246">
        <w:rPr>
          <w:rFonts w:ascii="Arial" w:hAnsi="Arial" w:cs="Arial"/>
          <w:sz w:val="16"/>
          <w:szCs w:val="16"/>
        </w:rPr>
        <w:t>]</w:t>
      </w:r>
      <w:r w:rsidRPr="00B83246">
        <w:rPr>
          <w:rFonts w:ascii="Arial" w:hAnsi="Arial" w:cs="Arial"/>
          <w:sz w:val="16"/>
          <w:szCs w:val="16"/>
          <w:vertAlign w:val="superscript"/>
        </w:rPr>
        <w:t xml:space="preserve">+2 </w:t>
      </w:r>
      <w:r w:rsidRPr="00B83246">
        <w:rPr>
          <w:rFonts w:ascii="Arial" w:hAnsi="Arial" w:cs="Arial"/>
          <w:sz w:val="16"/>
          <w:szCs w:val="16"/>
        </w:rPr>
        <w:t>with M= Ni</w:t>
      </w:r>
      <w:r w:rsidRPr="00B83246">
        <w:rPr>
          <w:rFonts w:ascii="Arial" w:hAnsi="Arial" w:cs="Arial"/>
          <w:sz w:val="16"/>
          <w:szCs w:val="16"/>
          <w:vertAlign w:val="superscript"/>
        </w:rPr>
        <w:t>2+</w:t>
      </w:r>
      <w:r w:rsidRPr="00B83246">
        <w:rPr>
          <w:rFonts w:ascii="Arial" w:hAnsi="Arial" w:cs="Arial"/>
          <w:sz w:val="16"/>
          <w:szCs w:val="16"/>
        </w:rPr>
        <w:t>, Mn</w:t>
      </w:r>
      <w:r w:rsidRPr="00B83246">
        <w:rPr>
          <w:rFonts w:ascii="Arial" w:hAnsi="Arial" w:cs="Arial"/>
          <w:sz w:val="16"/>
          <w:szCs w:val="16"/>
          <w:vertAlign w:val="superscript"/>
        </w:rPr>
        <w:t>+2</w:t>
      </w:r>
      <w:r w:rsidRPr="00B83246">
        <w:rPr>
          <w:rFonts w:ascii="Arial" w:hAnsi="Arial" w:cs="Arial"/>
          <w:sz w:val="16"/>
          <w:szCs w:val="16"/>
        </w:rPr>
        <w:t xml:space="preserve"> and Cu</w:t>
      </w:r>
      <w:r w:rsidRPr="00B83246">
        <w:rPr>
          <w:rFonts w:ascii="Arial" w:hAnsi="Arial" w:cs="Arial"/>
          <w:sz w:val="16"/>
          <w:szCs w:val="16"/>
          <w:vertAlign w:val="superscript"/>
        </w:rPr>
        <w:t>2+</w:t>
      </w:r>
    </w:p>
    <w:p w:rsidR="00E83DDF" w:rsidRDefault="00E83DDF" w:rsidP="009B5CC1">
      <w:pPr>
        <w:tabs>
          <w:tab w:val="left" w:pos="5340"/>
        </w:tabs>
        <w:spacing w:after="0" w:line="360" w:lineRule="auto"/>
        <w:contextualSpacing/>
        <w:jc w:val="both"/>
        <w:rPr>
          <w:rFonts w:ascii="Times New Roman" w:hAnsi="Times New Roman" w:cs="Times New Roman"/>
          <w:b/>
          <w:i/>
          <w:sz w:val="24"/>
          <w:szCs w:val="24"/>
        </w:rPr>
      </w:pPr>
    </w:p>
    <w:p w:rsidR="003A6E3C" w:rsidRPr="009B5CC1" w:rsidRDefault="00F1417B" w:rsidP="009B5CC1">
      <w:pPr>
        <w:tabs>
          <w:tab w:val="left" w:pos="5340"/>
        </w:tabs>
        <w:spacing w:after="0" w:line="360" w:lineRule="auto"/>
        <w:contextualSpacing/>
        <w:jc w:val="both"/>
        <w:rPr>
          <w:rFonts w:ascii="Times New Roman" w:hAnsi="Times New Roman" w:cs="Times New Roman"/>
          <w:b/>
          <w:i/>
          <w:sz w:val="24"/>
          <w:szCs w:val="24"/>
        </w:rPr>
      </w:pPr>
      <w:r>
        <w:rPr>
          <w:rFonts w:ascii="Times New Roman" w:hAnsi="Times New Roman" w:cs="Times New Roman"/>
          <w:b/>
          <w:i/>
          <w:sz w:val="24"/>
          <w:szCs w:val="24"/>
        </w:rPr>
        <w:lastRenderedPageBreak/>
        <w:t>3</w:t>
      </w:r>
      <w:r w:rsidR="003A6E3C" w:rsidRPr="009B5CC1">
        <w:rPr>
          <w:rFonts w:ascii="Times New Roman" w:hAnsi="Times New Roman" w:cs="Times New Roman"/>
          <w:b/>
          <w:i/>
          <w:sz w:val="24"/>
          <w:szCs w:val="24"/>
        </w:rPr>
        <w:t>.5. Antioxidant Activities of MBHA and Metal Complexes</w:t>
      </w:r>
    </w:p>
    <w:p w:rsidR="00941797" w:rsidRPr="00947764" w:rsidRDefault="003A6E3C" w:rsidP="00947764">
      <w:pPr>
        <w:tabs>
          <w:tab w:val="left" w:pos="5340"/>
        </w:tabs>
        <w:spacing w:after="0" w:line="360" w:lineRule="auto"/>
        <w:contextualSpacing/>
        <w:jc w:val="both"/>
        <w:rPr>
          <w:rFonts w:ascii="Times New Roman" w:hAnsi="Times New Roman" w:cs="Times New Roman"/>
          <w:sz w:val="24"/>
          <w:szCs w:val="24"/>
        </w:rPr>
      </w:pPr>
      <w:r w:rsidRPr="009B5CC1">
        <w:rPr>
          <w:rFonts w:ascii="Times New Roman" w:hAnsi="Times New Roman" w:cs="Times New Roman"/>
          <w:sz w:val="24"/>
          <w:szCs w:val="24"/>
        </w:rPr>
        <w:t>These compounds (</w:t>
      </w:r>
      <w:r w:rsidRPr="009B5CC1">
        <w:rPr>
          <w:rFonts w:ascii="Times New Roman" w:hAnsi="Times New Roman" w:cs="Times New Roman"/>
          <w:b/>
          <w:sz w:val="24"/>
          <w:szCs w:val="24"/>
        </w:rPr>
        <w:t>3-8</w:t>
      </w:r>
      <w:r w:rsidRPr="009B5CC1">
        <w:rPr>
          <w:rFonts w:ascii="Times New Roman" w:hAnsi="Times New Roman" w:cs="Times New Roman"/>
          <w:sz w:val="24"/>
          <w:szCs w:val="24"/>
        </w:rPr>
        <w:t>) were tested to determine their efficiency for scavenging the DPPH radicals using ascorbic acid as standard, which has a known free radical scavenging activity. The potential of MBHA and metal complexes as antioxidants has been plotted in (Fig. 5 and Fig. 6). The alcoholic MBHA and ester containing compounds are highly active against antioxidant exhibition</w:t>
      </w:r>
      <w:r w:rsidR="00B72588">
        <w:rPr>
          <w:rFonts w:ascii="Times New Roman" w:hAnsi="Times New Roman" w:cs="Times New Roman"/>
          <w:sz w:val="24"/>
          <w:szCs w:val="24"/>
        </w:rPr>
        <w:t>.</w:t>
      </w:r>
      <w:r w:rsidRPr="009B5CC1">
        <w:rPr>
          <w:rFonts w:ascii="Times New Roman" w:hAnsi="Times New Roman" w:cs="Times New Roman"/>
          <w:sz w:val="24"/>
          <w:szCs w:val="24"/>
        </w:rPr>
        <w:fldChar w:fldCharType="begin" w:fldLock="1"/>
      </w:r>
      <w:r w:rsidR="00276B78">
        <w:rPr>
          <w:rFonts w:ascii="Times New Roman" w:hAnsi="Times New Roman" w:cs="Times New Roman"/>
          <w:sz w:val="24"/>
          <w:szCs w:val="24"/>
        </w:rPr>
        <w:instrText>ADDIN CSL_CITATION {"citationItems":[{"id":"ITEM-1","itemData":{"DOI":"10.1016/j.bioorg.2018.03.004","ISSN":"10902120","PMID":"29529518","abstract":"The wide variety of potent biological activities of Morita-Baylis-Hillman adducts (MBH) encouraged us to synthesize new series of products belonging to this class of compounds, possessing different functionalities and exhibiting potential antioxidant activity. As part of our on-going program on targeting molecules with antioxidant activity, we describe herein different DPPH (2,2-diphenyl-1-picrylhydrazyl) scavenging activities of MBH alcohols and their derivatives including acetates, phosphonates and hydrazonophosphonates. The obtained results showed that the strongest DPPH radical scavenging activity was observed in the case of hydrazonophosphonates in comparison to the other MBH derivatives.","author":[{"dropping-particle":"","family":"Elleuch","given":"Haitham","non-dropping-particle":"","parse-names":false,"suffix":""},{"dropping-particle":"","family":"Mihoubi","given":"Wafa","non-dropping-particle":"","parse-names":false,"suffix":""},{"dropping-particle":"","family":"Mihoubi","given":"Mohamed","non-dropping-particle":"","parse-names":false,"suffix":""},{"dropping-particle":"","family":"Ketata","given":"Emna","non-dropping-particle":"","parse-names":false,"suffix":""},{"dropping-particle":"","family":"Gargouri","given":"Ali","non-dropping-particle":"","parse-names":false,"suffix":""},{"dropping-particle":"","family":"Rezgui","given":"Farhat","non-dropping-particle":"","parse-names":false,"suffix":""}],"container-title":"Bioorganic Chemistry","id":"ITEM-1","issued":{"date-parts":[["2018"]]},"page":"24-28","publisher":"Elsevier Inc.","title":"Potential antioxidant activity of Morita-Baylis-Hillman adducts","type":"article-journal","volume":"78"},"uris":["http://www.mendeley.com/documents/?uuid=a8f53c1e-5c21-4c29-80eb-20e5d0705575"]},{"id":"ITEM-2","itemData":{"DOI":"10.1155/2013/439848","ISSN":"15653633","abstract":"A salen ligand on reduction and N-alkylation affords a novel [N 2O2] chelating ligand containing ester groups [L = diethyl-2, 2 ′ -(propane-1,3-diylbis((2-hydroxy-3-methoxy benzyl)azanediyl))diacetate]. The purity of the ligand was confirmed by NMR and HPLC chromatograms. Its Cu(II), Ni(II), and Zn(II) complexes were synthesized and characterized by a combination of elemental analysis, IR, NMR, UV-Vis, and mass spectral data, and thermogravimetric analysis (TG/DTA). The magnetic moments, UV-Vis, and EPR spectral studies support square planar geometry around the Cu(II) and Ni(II) ions. A tetrahedral geometry is observed in four-coordinate zinc with bulky N-alkylated salan ligand. The redox properties of the copper complex were examined in DMSO by cyclic voltammetry. The voltammograms show quasireversible process. The interaction of metal complexes with CT DNA was investigated by UV-Vis absorption titration, ethidium bromide displacement assay, cyclic voltammetry methods, and agarose gel electrophoresis. The apparent binding constant values suggest moderate intercalative binding modes between the complexes and DNA. The in vitro antioxidant and antimicrobial potentials of the synthesized compounds were also determined. © 2013 P. Jeslin Kanaga Inba et al.","author":[{"dropping-particle":"","family":"Jeslin Kanaga Inba","given":"P.","non-dropping-particle":"","parse-names":false,"suffix":""},{"dropping-particle":"","family":"Annaraj","given":"B.","non-dropping-particle":"","parse-names":false,"suffix":""},{"dropping-particle":"","family":"Thalamuthu","given":"S.","non-dropping-particle":"","parse-names":false,"suffix":""},{"dropping-particle":"","family":"Neelakantan","given":"M. A.","non-dropping-particle":"","parse-names":false,"suffix":""}],"container-title":"Bioinorganic Chemistry and Applications","id":"ITEM-2","issued":{"date-parts":[["2013"]]},"title":"Cu(II), Ni(II), and Zn(II) complexes of salan-type ligand containing ester groups: Synthesis, characterization, electrochemical properties, and in vitro biological activities","type":"article-journal","volume":"2013"},"uris":["http://www.mendeley.com/documents/?uuid=6addbc8c-871a-4be4-878a-a21b27559c77"]}],"mendeley":{"formattedCitation":"&lt;sup&gt;25,38&lt;/sup&gt;","plainTextFormattedCitation":"25,38","previouslyFormattedCitation":"&lt;sup&gt;25,38&lt;/sup&gt;"},"properties":{"noteIndex":0},"schema":"https://github.com/citation-style-language/schema/raw/master/csl-citation.json"}</w:instrText>
      </w:r>
      <w:r w:rsidRPr="009B5CC1">
        <w:rPr>
          <w:rFonts w:ascii="Times New Roman" w:hAnsi="Times New Roman" w:cs="Times New Roman"/>
          <w:sz w:val="24"/>
          <w:szCs w:val="24"/>
        </w:rPr>
        <w:fldChar w:fldCharType="separate"/>
      </w:r>
      <w:r w:rsidR="00276B78" w:rsidRPr="00276B78">
        <w:rPr>
          <w:rFonts w:ascii="Times New Roman" w:hAnsi="Times New Roman" w:cs="Times New Roman"/>
          <w:noProof/>
          <w:sz w:val="24"/>
          <w:szCs w:val="24"/>
          <w:vertAlign w:val="superscript"/>
        </w:rPr>
        <w:t>25,38</w:t>
      </w:r>
      <w:r w:rsidRPr="009B5CC1">
        <w:rPr>
          <w:rFonts w:ascii="Times New Roman" w:hAnsi="Times New Roman" w:cs="Times New Roman"/>
          <w:sz w:val="24"/>
          <w:szCs w:val="24"/>
        </w:rPr>
        <w:fldChar w:fldCharType="end"/>
      </w:r>
      <w:r w:rsidRPr="009B5CC1">
        <w:rPr>
          <w:rFonts w:ascii="Times New Roman" w:hAnsi="Times New Roman" w:cs="Times New Roman"/>
          <w:sz w:val="24"/>
          <w:szCs w:val="24"/>
        </w:rPr>
        <w:t xml:space="preserve"> </w:t>
      </w:r>
      <w:proofErr w:type="gramStart"/>
      <w:r w:rsidRPr="009B5CC1">
        <w:rPr>
          <w:rFonts w:ascii="Times New Roman" w:hAnsi="Times New Roman" w:cs="Times New Roman"/>
          <w:sz w:val="24"/>
          <w:szCs w:val="24"/>
        </w:rPr>
        <w:t>The</w:t>
      </w:r>
      <w:proofErr w:type="gramEnd"/>
      <w:r w:rsidRPr="009B5CC1">
        <w:rPr>
          <w:rFonts w:ascii="Times New Roman" w:hAnsi="Times New Roman" w:cs="Times New Roman"/>
          <w:sz w:val="24"/>
          <w:szCs w:val="24"/>
        </w:rPr>
        <w:t xml:space="preserve"> antioxidant potential of the MBHA and its transition metal</w:t>
      </w:r>
      <w:r w:rsidRPr="009B5CC1">
        <w:rPr>
          <w:sz w:val="24"/>
          <w:szCs w:val="24"/>
        </w:rPr>
        <w:t xml:space="preserve"> </w:t>
      </w:r>
      <w:r w:rsidRPr="009B5CC1">
        <w:rPr>
          <w:rFonts w:ascii="Times New Roman" w:hAnsi="Times New Roman" w:cs="Times New Roman"/>
          <w:sz w:val="24"/>
          <w:szCs w:val="24"/>
        </w:rPr>
        <w:t>complexes along with the standard (ascorbic acid) is documented in</w:t>
      </w:r>
      <w:r w:rsidR="00987A05">
        <w:rPr>
          <w:rFonts w:ascii="Sylfaen" w:hAnsi="Sylfaen"/>
          <w:sz w:val="24"/>
          <w:szCs w:val="24"/>
        </w:rPr>
        <w:t xml:space="preserve"> Table 4</w:t>
      </w:r>
      <w:r w:rsidRPr="009B5CC1">
        <w:rPr>
          <w:rFonts w:ascii="Times New Roman" w:hAnsi="Times New Roman" w:cs="Times New Roman"/>
          <w:sz w:val="24"/>
          <w:szCs w:val="24"/>
        </w:rPr>
        <w:t>.</w:t>
      </w:r>
    </w:p>
    <w:tbl>
      <w:tblPr>
        <w:tblpPr w:leftFromText="181" w:rightFromText="181" w:vertAnchor="text" w:horzAnchor="margin" w:tblpY="313"/>
        <w:tblW w:w="9356" w:type="dxa"/>
        <w:tblBorders>
          <w:top w:val="single" w:sz="4" w:space="0" w:color="auto"/>
          <w:bottom w:val="single" w:sz="4" w:space="0" w:color="auto"/>
        </w:tblBorders>
        <w:tblLook w:val="04A0" w:firstRow="1" w:lastRow="0" w:firstColumn="1" w:lastColumn="0" w:noHBand="0" w:noVBand="1"/>
      </w:tblPr>
      <w:tblGrid>
        <w:gridCol w:w="729"/>
        <w:gridCol w:w="1757"/>
        <w:gridCol w:w="1437"/>
        <w:gridCol w:w="2215"/>
        <w:gridCol w:w="1352"/>
        <w:gridCol w:w="1866"/>
      </w:tblGrid>
      <w:tr w:rsidR="003462F6" w:rsidRPr="00443F3C" w:rsidTr="003462F6">
        <w:tc>
          <w:tcPr>
            <w:tcW w:w="729" w:type="dxa"/>
            <w:tcBorders>
              <w:top w:val="single" w:sz="4" w:space="0" w:color="auto"/>
              <w:bottom w:val="single" w:sz="4" w:space="0" w:color="auto"/>
            </w:tcBorders>
            <w:shd w:val="clear" w:color="auto" w:fill="E7E6E6" w:themeFill="background2"/>
          </w:tcPr>
          <w:p w:rsidR="003462F6" w:rsidRPr="00443F3C" w:rsidRDefault="003462F6" w:rsidP="003462F6">
            <w:pPr>
              <w:spacing w:line="240" w:lineRule="auto"/>
              <w:jc w:val="center"/>
              <w:rPr>
                <w:rFonts w:ascii="Times New Roman" w:hAnsi="Times New Roman" w:cs="Times New Roman"/>
                <w:b/>
                <w:sz w:val="20"/>
                <w:szCs w:val="20"/>
              </w:rPr>
            </w:pPr>
            <w:r w:rsidRPr="00443F3C">
              <w:rPr>
                <w:rFonts w:ascii="Times New Roman" w:hAnsi="Times New Roman" w:cs="Times New Roman"/>
                <w:b/>
                <w:sz w:val="20"/>
                <w:szCs w:val="20"/>
              </w:rPr>
              <w:t>S. No.</w:t>
            </w:r>
          </w:p>
        </w:tc>
        <w:tc>
          <w:tcPr>
            <w:tcW w:w="1757" w:type="dxa"/>
            <w:tcBorders>
              <w:top w:val="single" w:sz="4" w:space="0" w:color="auto"/>
              <w:bottom w:val="single" w:sz="4" w:space="0" w:color="auto"/>
            </w:tcBorders>
            <w:shd w:val="clear" w:color="auto" w:fill="E7E6E6" w:themeFill="background2"/>
          </w:tcPr>
          <w:p w:rsidR="003462F6" w:rsidRPr="00443F3C" w:rsidRDefault="003462F6" w:rsidP="003462F6">
            <w:pPr>
              <w:spacing w:line="240" w:lineRule="auto"/>
              <w:jc w:val="center"/>
              <w:rPr>
                <w:rFonts w:ascii="Times New Roman" w:hAnsi="Times New Roman" w:cs="Times New Roman"/>
                <w:b/>
                <w:sz w:val="20"/>
                <w:szCs w:val="20"/>
              </w:rPr>
            </w:pPr>
            <w:r w:rsidRPr="00443F3C">
              <w:rPr>
                <w:rFonts w:ascii="Times New Roman" w:hAnsi="Times New Roman" w:cs="Times New Roman"/>
                <w:b/>
                <w:sz w:val="20"/>
                <w:szCs w:val="20"/>
              </w:rPr>
              <w:t>Concentration</w:t>
            </w:r>
          </w:p>
          <w:p w:rsidR="003462F6" w:rsidRPr="00443F3C" w:rsidRDefault="003462F6" w:rsidP="003462F6">
            <w:pPr>
              <w:spacing w:line="240" w:lineRule="auto"/>
              <w:jc w:val="center"/>
              <w:rPr>
                <w:rFonts w:ascii="Times New Roman" w:hAnsi="Times New Roman" w:cs="Times New Roman"/>
                <w:b/>
                <w:sz w:val="20"/>
                <w:szCs w:val="20"/>
              </w:rPr>
            </w:pPr>
            <w:r w:rsidRPr="00443F3C">
              <w:rPr>
                <w:rFonts w:ascii="Times New Roman" w:hAnsi="Times New Roman" w:cs="Times New Roman"/>
                <w:b/>
                <w:sz w:val="20"/>
                <w:szCs w:val="20"/>
              </w:rPr>
              <w:t>(</w:t>
            </w:r>
            <w:proofErr w:type="spellStart"/>
            <w:r w:rsidRPr="00443F3C">
              <w:rPr>
                <w:rFonts w:ascii="Times New Roman" w:hAnsi="Times New Roman" w:cs="Times New Roman"/>
                <w:b/>
                <w:sz w:val="20"/>
                <w:szCs w:val="20"/>
              </w:rPr>
              <w:t>mM</w:t>
            </w:r>
            <w:proofErr w:type="spellEnd"/>
            <w:r w:rsidRPr="00443F3C">
              <w:rPr>
                <w:rFonts w:ascii="Times New Roman" w:hAnsi="Times New Roman" w:cs="Times New Roman"/>
                <w:b/>
                <w:sz w:val="20"/>
                <w:szCs w:val="20"/>
              </w:rPr>
              <w:t>)</w:t>
            </w:r>
          </w:p>
        </w:tc>
        <w:tc>
          <w:tcPr>
            <w:tcW w:w="1437" w:type="dxa"/>
            <w:tcBorders>
              <w:top w:val="single" w:sz="4" w:space="0" w:color="auto"/>
              <w:bottom w:val="single" w:sz="4" w:space="0" w:color="auto"/>
            </w:tcBorders>
            <w:shd w:val="clear" w:color="auto" w:fill="E7E6E6" w:themeFill="background2"/>
          </w:tcPr>
          <w:p w:rsidR="003462F6" w:rsidRPr="00443F3C" w:rsidRDefault="003462F6" w:rsidP="003462F6">
            <w:pPr>
              <w:spacing w:line="240" w:lineRule="auto"/>
              <w:jc w:val="center"/>
              <w:rPr>
                <w:rFonts w:ascii="Times New Roman" w:hAnsi="Times New Roman" w:cs="Times New Roman"/>
                <w:b/>
                <w:sz w:val="20"/>
                <w:szCs w:val="20"/>
              </w:rPr>
            </w:pPr>
            <w:r w:rsidRPr="00443F3C">
              <w:rPr>
                <w:rFonts w:ascii="Times New Roman" w:hAnsi="Times New Roman" w:cs="Times New Roman"/>
                <w:b/>
                <w:sz w:val="20"/>
                <w:szCs w:val="20"/>
              </w:rPr>
              <w:t>Ascorbic Acid</w:t>
            </w:r>
          </w:p>
          <w:p w:rsidR="003462F6" w:rsidRPr="00443F3C" w:rsidRDefault="003462F6" w:rsidP="003462F6">
            <w:pPr>
              <w:spacing w:line="240" w:lineRule="auto"/>
              <w:jc w:val="center"/>
              <w:rPr>
                <w:rFonts w:ascii="Times New Roman" w:hAnsi="Times New Roman" w:cs="Times New Roman"/>
                <w:b/>
                <w:sz w:val="20"/>
                <w:szCs w:val="20"/>
              </w:rPr>
            </w:pPr>
            <w:r w:rsidRPr="00443F3C">
              <w:rPr>
                <w:rFonts w:ascii="Times New Roman" w:hAnsi="Times New Roman" w:cs="Times New Roman"/>
                <w:b/>
                <w:sz w:val="20"/>
                <w:szCs w:val="20"/>
              </w:rPr>
              <w:t>(%)</w:t>
            </w:r>
          </w:p>
        </w:tc>
        <w:tc>
          <w:tcPr>
            <w:tcW w:w="2215" w:type="dxa"/>
            <w:tcBorders>
              <w:top w:val="single" w:sz="4" w:space="0" w:color="auto"/>
              <w:bottom w:val="single" w:sz="4" w:space="0" w:color="auto"/>
            </w:tcBorders>
            <w:shd w:val="clear" w:color="auto" w:fill="E7E6E6" w:themeFill="background2"/>
          </w:tcPr>
          <w:p w:rsidR="003462F6" w:rsidRPr="00443F3C" w:rsidRDefault="003462F6" w:rsidP="003462F6">
            <w:pPr>
              <w:spacing w:line="240" w:lineRule="auto"/>
              <w:jc w:val="center"/>
              <w:rPr>
                <w:rFonts w:ascii="Times New Roman" w:hAnsi="Times New Roman" w:cs="Times New Roman"/>
                <w:sz w:val="20"/>
                <w:szCs w:val="20"/>
              </w:rPr>
            </w:pPr>
            <w:r w:rsidRPr="00443F3C">
              <w:rPr>
                <w:rFonts w:ascii="Times New Roman" w:hAnsi="Times New Roman" w:cs="Times New Roman"/>
                <w:b/>
                <w:sz w:val="20"/>
                <w:szCs w:val="20"/>
              </w:rPr>
              <w:t>Ligand/Complexes</w:t>
            </w:r>
          </w:p>
        </w:tc>
        <w:tc>
          <w:tcPr>
            <w:tcW w:w="1352" w:type="dxa"/>
            <w:tcBorders>
              <w:top w:val="single" w:sz="4" w:space="0" w:color="auto"/>
              <w:bottom w:val="single" w:sz="4" w:space="0" w:color="auto"/>
            </w:tcBorders>
            <w:shd w:val="clear" w:color="auto" w:fill="E7E6E6" w:themeFill="background2"/>
          </w:tcPr>
          <w:p w:rsidR="003462F6" w:rsidRPr="00443F3C" w:rsidRDefault="003462F6" w:rsidP="003462F6">
            <w:pPr>
              <w:spacing w:line="240" w:lineRule="auto"/>
              <w:jc w:val="center"/>
              <w:rPr>
                <w:rFonts w:ascii="Times New Roman" w:hAnsi="Times New Roman" w:cs="Times New Roman"/>
                <w:b/>
                <w:sz w:val="20"/>
                <w:szCs w:val="20"/>
              </w:rPr>
            </w:pPr>
          </w:p>
        </w:tc>
        <w:tc>
          <w:tcPr>
            <w:tcW w:w="1866" w:type="dxa"/>
            <w:tcBorders>
              <w:top w:val="single" w:sz="4" w:space="0" w:color="auto"/>
              <w:bottom w:val="single" w:sz="4" w:space="0" w:color="auto"/>
            </w:tcBorders>
            <w:shd w:val="clear" w:color="auto" w:fill="E7E6E6" w:themeFill="background2"/>
          </w:tcPr>
          <w:p w:rsidR="003462F6" w:rsidRPr="00443F3C" w:rsidRDefault="003462F6" w:rsidP="003462F6">
            <w:pPr>
              <w:spacing w:line="240" w:lineRule="auto"/>
              <w:jc w:val="center"/>
              <w:rPr>
                <w:rFonts w:ascii="Times New Roman" w:hAnsi="Times New Roman" w:cs="Times New Roman"/>
                <w:b/>
                <w:sz w:val="20"/>
                <w:szCs w:val="20"/>
              </w:rPr>
            </w:pPr>
            <w:r w:rsidRPr="00443F3C">
              <w:rPr>
                <w:rFonts w:ascii="Times New Roman" w:hAnsi="Times New Roman" w:cs="Times New Roman"/>
                <w:b/>
                <w:sz w:val="20"/>
                <w:szCs w:val="20"/>
              </w:rPr>
              <w:t>Antioxidant Activity</w:t>
            </w:r>
          </w:p>
          <w:p w:rsidR="003462F6" w:rsidRPr="00443F3C" w:rsidRDefault="003462F6" w:rsidP="003462F6">
            <w:pPr>
              <w:spacing w:line="240" w:lineRule="auto"/>
              <w:jc w:val="center"/>
              <w:rPr>
                <w:rFonts w:ascii="Times New Roman" w:hAnsi="Times New Roman" w:cs="Times New Roman"/>
                <w:sz w:val="20"/>
                <w:szCs w:val="20"/>
              </w:rPr>
            </w:pPr>
            <w:r w:rsidRPr="00443F3C">
              <w:rPr>
                <w:rFonts w:ascii="Times New Roman" w:hAnsi="Times New Roman" w:cs="Times New Roman"/>
                <w:b/>
                <w:sz w:val="20"/>
                <w:szCs w:val="20"/>
              </w:rPr>
              <w:t>(%)</w:t>
            </w:r>
          </w:p>
        </w:tc>
      </w:tr>
      <w:tr w:rsidR="003462F6" w:rsidRPr="00443F3C" w:rsidTr="003462F6">
        <w:tc>
          <w:tcPr>
            <w:tcW w:w="729" w:type="dxa"/>
            <w:tcBorders>
              <w:top w:val="single" w:sz="4" w:space="0" w:color="auto"/>
            </w:tcBorders>
          </w:tcPr>
          <w:p w:rsidR="003462F6" w:rsidRPr="00443F3C" w:rsidRDefault="003462F6" w:rsidP="003462F6">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1</w:t>
            </w:r>
          </w:p>
        </w:tc>
        <w:tc>
          <w:tcPr>
            <w:tcW w:w="1757" w:type="dxa"/>
            <w:tcBorders>
              <w:top w:val="single" w:sz="4" w:space="0" w:color="auto"/>
            </w:tcBorders>
          </w:tcPr>
          <w:p w:rsidR="003462F6" w:rsidRPr="00443F3C" w:rsidRDefault="003462F6" w:rsidP="003462F6">
            <w:pPr>
              <w:tabs>
                <w:tab w:val="center" w:pos="742"/>
              </w:tabs>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1.00</w:t>
            </w:r>
          </w:p>
        </w:tc>
        <w:tc>
          <w:tcPr>
            <w:tcW w:w="1437" w:type="dxa"/>
            <w:tcBorders>
              <w:top w:val="single" w:sz="4" w:space="0" w:color="auto"/>
            </w:tcBorders>
          </w:tcPr>
          <w:p w:rsidR="003462F6" w:rsidRPr="00443F3C" w:rsidRDefault="003462F6" w:rsidP="003462F6">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20</w:t>
            </w:r>
          </w:p>
        </w:tc>
        <w:tc>
          <w:tcPr>
            <w:tcW w:w="2215" w:type="dxa"/>
            <w:tcBorders>
              <w:top w:val="single" w:sz="4" w:space="0" w:color="auto"/>
            </w:tcBorders>
          </w:tcPr>
          <w:p w:rsidR="003462F6" w:rsidRPr="00443F3C" w:rsidRDefault="003462F6" w:rsidP="003462F6">
            <w:pPr>
              <w:tabs>
                <w:tab w:val="left" w:pos="5340"/>
              </w:tabs>
              <w:spacing w:line="240" w:lineRule="auto"/>
              <w:jc w:val="center"/>
              <w:rPr>
                <w:rFonts w:ascii="Times New Roman" w:hAnsi="Times New Roman" w:cs="Times New Roman"/>
                <w:b/>
                <w:sz w:val="20"/>
                <w:szCs w:val="20"/>
              </w:rPr>
            </w:pPr>
            <w:r w:rsidRPr="00443F3C">
              <w:rPr>
                <w:rFonts w:ascii="Times New Roman" w:hAnsi="Times New Roman" w:cs="Times New Roman"/>
                <w:b/>
                <w:sz w:val="20"/>
                <w:szCs w:val="20"/>
              </w:rPr>
              <w:t>L1</w:t>
            </w:r>
          </w:p>
        </w:tc>
        <w:tc>
          <w:tcPr>
            <w:tcW w:w="1352" w:type="dxa"/>
            <w:tcBorders>
              <w:top w:val="single" w:sz="4" w:space="0" w:color="auto"/>
            </w:tcBorders>
          </w:tcPr>
          <w:p w:rsidR="003462F6" w:rsidRPr="00443F3C" w:rsidRDefault="003462F6" w:rsidP="003462F6">
            <w:pPr>
              <w:tabs>
                <w:tab w:val="left" w:pos="5340"/>
              </w:tabs>
              <w:spacing w:line="240" w:lineRule="auto"/>
              <w:jc w:val="center"/>
              <w:rPr>
                <w:rFonts w:ascii="Times New Roman" w:hAnsi="Times New Roman" w:cs="Times New Roman"/>
                <w:sz w:val="20"/>
                <w:szCs w:val="20"/>
              </w:rPr>
            </w:pPr>
          </w:p>
        </w:tc>
        <w:tc>
          <w:tcPr>
            <w:tcW w:w="1866" w:type="dxa"/>
            <w:tcBorders>
              <w:top w:val="single" w:sz="4" w:space="0" w:color="auto"/>
            </w:tcBorders>
          </w:tcPr>
          <w:p w:rsidR="003462F6" w:rsidRPr="00443F3C" w:rsidRDefault="003462F6" w:rsidP="003462F6">
            <w:pPr>
              <w:tabs>
                <w:tab w:val="left" w:pos="5340"/>
              </w:tabs>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56.7</w:t>
            </w:r>
          </w:p>
        </w:tc>
      </w:tr>
      <w:tr w:rsidR="003462F6" w:rsidRPr="00443F3C" w:rsidTr="003462F6">
        <w:tc>
          <w:tcPr>
            <w:tcW w:w="729" w:type="dxa"/>
          </w:tcPr>
          <w:p w:rsidR="003462F6" w:rsidRPr="00443F3C" w:rsidRDefault="003462F6" w:rsidP="003462F6">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2</w:t>
            </w:r>
          </w:p>
        </w:tc>
        <w:tc>
          <w:tcPr>
            <w:tcW w:w="1757" w:type="dxa"/>
          </w:tcPr>
          <w:p w:rsidR="003462F6" w:rsidRPr="00443F3C" w:rsidRDefault="003462F6" w:rsidP="003462F6">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2.00</w:t>
            </w:r>
          </w:p>
        </w:tc>
        <w:tc>
          <w:tcPr>
            <w:tcW w:w="1437" w:type="dxa"/>
          </w:tcPr>
          <w:p w:rsidR="003462F6" w:rsidRPr="00443F3C" w:rsidRDefault="003462F6" w:rsidP="003462F6">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39.4</w:t>
            </w:r>
          </w:p>
        </w:tc>
        <w:tc>
          <w:tcPr>
            <w:tcW w:w="2215" w:type="dxa"/>
          </w:tcPr>
          <w:p w:rsidR="003462F6" w:rsidRPr="00443F3C" w:rsidRDefault="003462F6" w:rsidP="003462F6">
            <w:pPr>
              <w:tabs>
                <w:tab w:val="left" w:pos="5340"/>
              </w:tabs>
              <w:spacing w:line="240" w:lineRule="auto"/>
              <w:jc w:val="center"/>
              <w:rPr>
                <w:rFonts w:ascii="Times New Roman" w:hAnsi="Times New Roman" w:cs="Times New Roman"/>
                <w:b/>
                <w:sz w:val="20"/>
                <w:szCs w:val="20"/>
              </w:rPr>
            </w:pPr>
            <w:r w:rsidRPr="00443F3C">
              <w:rPr>
                <w:rFonts w:ascii="Times New Roman" w:hAnsi="Times New Roman" w:cs="Times New Roman"/>
                <w:b/>
                <w:sz w:val="20"/>
                <w:szCs w:val="20"/>
              </w:rPr>
              <w:t>CrL1</w:t>
            </w:r>
          </w:p>
        </w:tc>
        <w:tc>
          <w:tcPr>
            <w:tcW w:w="1352" w:type="dxa"/>
          </w:tcPr>
          <w:p w:rsidR="003462F6" w:rsidRPr="00443F3C" w:rsidRDefault="003462F6" w:rsidP="003462F6">
            <w:pPr>
              <w:tabs>
                <w:tab w:val="left" w:pos="5340"/>
              </w:tabs>
              <w:spacing w:line="240" w:lineRule="auto"/>
              <w:jc w:val="center"/>
              <w:rPr>
                <w:rFonts w:ascii="Times New Roman" w:hAnsi="Times New Roman" w:cs="Times New Roman"/>
                <w:sz w:val="20"/>
                <w:szCs w:val="20"/>
              </w:rPr>
            </w:pPr>
          </w:p>
        </w:tc>
        <w:tc>
          <w:tcPr>
            <w:tcW w:w="1866" w:type="dxa"/>
          </w:tcPr>
          <w:p w:rsidR="003462F6" w:rsidRPr="00443F3C" w:rsidRDefault="003462F6" w:rsidP="003462F6">
            <w:pPr>
              <w:tabs>
                <w:tab w:val="left" w:pos="5340"/>
              </w:tabs>
              <w:spacing w:line="240" w:lineRule="auto"/>
              <w:jc w:val="center"/>
              <w:rPr>
                <w:rFonts w:ascii="Times New Roman" w:hAnsi="Times New Roman" w:cs="Times New Roman"/>
                <w:b/>
                <w:sz w:val="20"/>
                <w:szCs w:val="20"/>
              </w:rPr>
            </w:pPr>
            <w:r w:rsidRPr="00443F3C">
              <w:rPr>
                <w:rFonts w:ascii="Times New Roman" w:hAnsi="Times New Roman" w:cs="Times New Roman"/>
                <w:sz w:val="20"/>
                <w:szCs w:val="20"/>
              </w:rPr>
              <w:t>9.7</w:t>
            </w:r>
          </w:p>
        </w:tc>
      </w:tr>
      <w:tr w:rsidR="003462F6" w:rsidRPr="00443F3C" w:rsidTr="003462F6">
        <w:tc>
          <w:tcPr>
            <w:tcW w:w="729" w:type="dxa"/>
          </w:tcPr>
          <w:p w:rsidR="003462F6" w:rsidRPr="00443F3C" w:rsidRDefault="003462F6" w:rsidP="003462F6">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3</w:t>
            </w:r>
          </w:p>
        </w:tc>
        <w:tc>
          <w:tcPr>
            <w:tcW w:w="1757" w:type="dxa"/>
          </w:tcPr>
          <w:p w:rsidR="003462F6" w:rsidRPr="00443F3C" w:rsidRDefault="003462F6" w:rsidP="003462F6">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3.00</w:t>
            </w:r>
          </w:p>
        </w:tc>
        <w:tc>
          <w:tcPr>
            <w:tcW w:w="1437" w:type="dxa"/>
          </w:tcPr>
          <w:p w:rsidR="003462F6" w:rsidRPr="00443F3C" w:rsidRDefault="003462F6" w:rsidP="003462F6">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58.1</w:t>
            </w:r>
          </w:p>
        </w:tc>
        <w:tc>
          <w:tcPr>
            <w:tcW w:w="2215" w:type="dxa"/>
          </w:tcPr>
          <w:p w:rsidR="003462F6" w:rsidRPr="00443F3C" w:rsidRDefault="003462F6" w:rsidP="003462F6">
            <w:pPr>
              <w:tabs>
                <w:tab w:val="left" w:pos="5340"/>
              </w:tabs>
              <w:spacing w:line="240" w:lineRule="auto"/>
              <w:jc w:val="center"/>
              <w:rPr>
                <w:rFonts w:ascii="Times New Roman" w:hAnsi="Times New Roman" w:cs="Times New Roman"/>
                <w:b/>
                <w:sz w:val="20"/>
                <w:szCs w:val="20"/>
              </w:rPr>
            </w:pPr>
            <w:r w:rsidRPr="00443F3C">
              <w:rPr>
                <w:rFonts w:ascii="Times New Roman" w:hAnsi="Times New Roman" w:cs="Times New Roman"/>
                <w:b/>
                <w:sz w:val="20"/>
                <w:szCs w:val="20"/>
              </w:rPr>
              <w:t>CoL1</w:t>
            </w:r>
          </w:p>
        </w:tc>
        <w:tc>
          <w:tcPr>
            <w:tcW w:w="1352" w:type="dxa"/>
          </w:tcPr>
          <w:p w:rsidR="003462F6" w:rsidRPr="00443F3C" w:rsidRDefault="003462F6" w:rsidP="003462F6">
            <w:pPr>
              <w:tabs>
                <w:tab w:val="left" w:pos="5340"/>
              </w:tabs>
              <w:spacing w:line="240" w:lineRule="auto"/>
              <w:jc w:val="center"/>
              <w:rPr>
                <w:rFonts w:ascii="Times New Roman" w:hAnsi="Times New Roman" w:cs="Times New Roman"/>
                <w:sz w:val="20"/>
                <w:szCs w:val="20"/>
              </w:rPr>
            </w:pPr>
          </w:p>
        </w:tc>
        <w:tc>
          <w:tcPr>
            <w:tcW w:w="1866" w:type="dxa"/>
          </w:tcPr>
          <w:p w:rsidR="003462F6" w:rsidRPr="00443F3C" w:rsidRDefault="003462F6" w:rsidP="003462F6">
            <w:pPr>
              <w:tabs>
                <w:tab w:val="left" w:pos="5340"/>
              </w:tabs>
              <w:spacing w:line="240" w:lineRule="auto"/>
              <w:jc w:val="center"/>
              <w:rPr>
                <w:rFonts w:ascii="Times New Roman" w:hAnsi="Times New Roman" w:cs="Times New Roman"/>
                <w:b/>
                <w:sz w:val="20"/>
                <w:szCs w:val="20"/>
              </w:rPr>
            </w:pPr>
            <w:r w:rsidRPr="00443F3C">
              <w:rPr>
                <w:rFonts w:ascii="Times New Roman" w:hAnsi="Times New Roman" w:cs="Times New Roman"/>
                <w:sz w:val="20"/>
                <w:szCs w:val="20"/>
              </w:rPr>
              <w:t>17.1</w:t>
            </w:r>
          </w:p>
        </w:tc>
      </w:tr>
      <w:tr w:rsidR="003462F6" w:rsidRPr="00443F3C" w:rsidTr="003462F6">
        <w:tc>
          <w:tcPr>
            <w:tcW w:w="729" w:type="dxa"/>
          </w:tcPr>
          <w:p w:rsidR="003462F6" w:rsidRPr="00443F3C" w:rsidRDefault="003462F6" w:rsidP="003462F6">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4</w:t>
            </w:r>
          </w:p>
        </w:tc>
        <w:tc>
          <w:tcPr>
            <w:tcW w:w="1757" w:type="dxa"/>
          </w:tcPr>
          <w:p w:rsidR="003462F6" w:rsidRPr="00443F3C" w:rsidRDefault="003462F6" w:rsidP="003462F6">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4.00</w:t>
            </w:r>
          </w:p>
        </w:tc>
        <w:tc>
          <w:tcPr>
            <w:tcW w:w="1437" w:type="dxa"/>
          </w:tcPr>
          <w:p w:rsidR="003462F6" w:rsidRPr="00443F3C" w:rsidRDefault="003462F6" w:rsidP="003462F6">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76</w:t>
            </w:r>
          </w:p>
        </w:tc>
        <w:tc>
          <w:tcPr>
            <w:tcW w:w="2215" w:type="dxa"/>
          </w:tcPr>
          <w:p w:rsidR="003462F6" w:rsidRPr="00443F3C" w:rsidRDefault="003462F6" w:rsidP="003462F6">
            <w:pPr>
              <w:tabs>
                <w:tab w:val="left" w:pos="5340"/>
              </w:tabs>
              <w:spacing w:line="240" w:lineRule="auto"/>
              <w:jc w:val="center"/>
              <w:rPr>
                <w:rFonts w:ascii="Times New Roman" w:hAnsi="Times New Roman" w:cs="Times New Roman"/>
                <w:b/>
                <w:sz w:val="20"/>
                <w:szCs w:val="20"/>
              </w:rPr>
            </w:pPr>
            <w:r w:rsidRPr="00443F3C">
              <w:rPr>
                <w:rFonts w:ascii="Times New Roman" w:hAnsi="Times New Roman" w:cs="Times New Roman"/>
                <w:b/>
                <w:sz w:val="20"/>
                <w:szCs w:val="20"/>
              </w:rPr>
              <w:t>NiL1</w:t>
            </w:r>
          </w:p>
        </w:tc>
        <w:tc>
          <w:tcPr>
            <w:tcW w:w="1352" w:type="dxa"/>
          </w:tcPr>
          <w:p w:rsidR="003462F6" w:rsidRPr="00443F3C" w:rsidRDefault="003462F6" w:rsidP="003462F6">
            <w:pPr>
              <w:tabs>
                <w:tab w:val="left" w:pos="5340"/>
              </w:tabs>
              <w:spacing w:line="240" w:lineRule="auto"/>
              <w:jc w:val="center"/>
              <w:rPr>
                <w:rFonts w:ascii="Times New Roman" w:hAnsi="Times New Roman" w:cs="Times New Roman"/>
                <w:sz w:val="20"/>
                <w:szCs w:val="20"/>
              </w:rPr>
            </w:pPr>
          </w:p>
        </w:tc>
        <w:tc>
          <w:tcPr>
            <w:tcW w:w="1866" w:type="dxa"/>
          </w:tcPr>
          <w:p w:rsidR="003462F6" w:rsidRPr="00443F3C" w:rsidRDefault="003462F6" w:rsidP="003462F6">
            <w:pPr>
              <w:tabs>
                <w:tab w:val="left" w:pos="5340"/>
              </w:tabs>
              <w:spacing w:line="240" w:lineRule="auto"/>
              <w:jc w:val="center"/>
              <w:rPr>
                <w:rFonts w:ascii="Times New Roman" w:hAnsi="Times New Roman" w:cs="Times New Roman"/>
                <w:b/>
                <w:sz w:val="20"/>
                <w:szCs w:val="20"/>
              </w:rPr>
            </w:pPr>
            <w:r w:rsidRPr="00443F3C">
              <w:rPr>
                <w:rFonts w:ascii="Times New Roman" w:hAnsi="Times New Roman" w:cs="Times New Roman"/>
                <w:sz w:val="20"/>
                <w:szCs w:val="20"/>
              </w:rPr>
              <w:t>10.8</w:t>
            </w:r>
          </w:p>
        </w:tc>
      </w:tr>
      <w:tr w:rsidR="003462F6" w:rsidRPr="00443F3C" w:rsidTr="003462F6">
        <w:tc>
          <w:tcPr>
            <w:tcW w:w="729" w:type="dxa"/>
          </w:tcPr>
          <w:p w:rsidR="003462F6" w:rsidRPr="00443F3C" w:rsidRDefault="003462F6" w:rsidP="003462F6">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5</w:t>
            </w:r>
          </w:p>
        </w:tc>
        <w:tc>
          <w:tcPr>
            <w:tcW w:w="1757" w:type="dxa"/>
          </w:tcPr>
          <w:p w:rsidR="003462F6" w:rsidRPr="00443F3C" w:rsidRDefault="003462F6" w:rsidP="003462F6">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5.00</w:t>
            </w:r>
          </w:p>
        </w:tc>
        <w:tc>
          <w:tcPr>
            <w:tcW w:w="1437" w:type="dxa"/>
          </w:tcPr>
          <w:p w:rsidR="003462F6" w:rsidRPr="00443F3C" w:rsidRDefault="003462F6" w:rsidP="003462F6">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92.7</w:t>
            </w:r>
          </w:p>
        </w:tc>
        <w:tc>
          <w:tcPr>
            <w:tcW w:w="2215" w:type="dxa"/>
          </w:tcPr>
          <w:p w:rsidR="003462F6" w:rsidRPr="00443F3C" w:rsidRDefault="003462F6" w:rsidP="003462F6">
            <w:pPr>
              <w:tabs>
                <w:tab w:val="left" w:pos="5340"/>
              </w:tabs>
              <w:spacing w:line="240" w:lineRule="auto"/>
              <w:jc w:val="center"/>
              <w:rPr>
                <w:rFonts w:ascii="Times New Roman" w:hAnsi="Times New Roman" w:cs="Times New Roman"/>
                <w:b/>
                <w:sz w:val="20"/>
                <w:szCs w:val="20"/>
              </w:rPr>
            </w:pPr>
            <w:r w:rsidRPr="00443F3C">
              <w:rPr>
                <w:rFonts w:ascii="Times New Roman" w:hAnsi="Times New Roman" w:cs="Times New Roman"/>
                <w:b/>
                <w:sz w:val="20"/>
                <w:szCs w:val="20"/>
              </w:rPr>
              <w:t>MnL1</w:t>
            </w:r>
          </w:p>
        </w:tc>
        <w:tc>
          <w:tcPr>
            <w:tcW w:w="1352" w:type="dxa"/>
          </w:tcPr>
          <w:p w:rsidR="003462F6" w:rsidRPr="00443F3C" w:rsidRDefault="003462F6" w:rsidP="003462F6">
            <w:pPr>
              <w:tabs>
                <w:tab w:val="left" w:pos="5340"/>
              </w:tabs>
              <w:spacing w:line="240" w:lineRule="auto"/>
              <w:jc w:val="center"/>
              <w:rPr>
                <w:rFonts w:ascii="Times New Roman" w:hAnsi="Times New Roman" w:cs="Times New Roman"/>
                <w:sz w:val="20"/>
                <w:szCs w:val="20"/>
              </w:rPr>
            </w:pPr>
          </w:p>
        </w:tc>
        <w:tc>
          <w:tcPr>
            <w:tcW w:w="1866" w:type="dxa"/>
          </w:tcPr>
          <w:p w:rsidR="003462F6" w:rsidRPr="00443F3C" w:rsidRDefault="003462F6" w:rsidP="003462F6">
            <w:pPr>
              <w:tabs>
                <w:tab w:val="left" w:pos="5340"/>
              </w:tabs>
              <w:spacing w:line="240" w:lineRule="auto"/>
              <w:jc w:val="center"/>
              <w:rPr>
                <w:rFonts w:ascii="Times New Roman" w:hAnsi="Times New Roman" w:cs="Times New Roman"/>
                <w:b/>
                <w:sz w:val="20"/>
                <w:szCs w:val="20"/>
              </w:rPr>
            </w:pPr>
            <w:r w:rsidRPr="00443F3C">
              <w:rPr>
                <w:rFonts w:ascii="Times New Roman" w:hAnsi="Times New Roman" w:cs="Times New Roman"/>
                <w:sz w:val="20"/>
                <w:szCs w:val="20"/>
              </w:rPr>
              <w:t>19.7</w:t>
            </w:r>
          </w:p>
        </w:tc>
      </w:tr>
      <w:tr w:rsidR="003462F6" w:rsidRPr="00443F3C" w:rsidTr="003462F6">
        <w:tc>
          <w:tcPr>
            <w:tcW w:w="729" w:type="dxa"/>
          </w:tcPr>
          <w:p w:rsidR="003462F6" w:rsidRPr="00443F3C" w:rsidRDefault="003462F6" w:rsidP="003462F6">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6</w:t>
            </w:r>
          </w:p>
        </w:tc>
        <w:tc>
          <w:tcPr>
            <w:tcW w:w="1757" w:type="dxa"/>
          </w:tcPr>
          <w:p w:rsidR="003462F6" w:rsidRPr="00443F3C" w:rsidRDefault="003462F6" w:rsidP="003462F6">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6.00</w:t>
            </w:r>
          </w:p>
        </w:tc>
        <w:tc>
          <w:tcPr>
            <w:tcW w:w="1437" w:type="dxa"/>
          </w:tcPr>
          <w:p w:rsidR="003462F6" w:rsidRPr="00443F3C" w:rsidRDefault="003462F6" w:rsidP="003462F6">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96.8</w:t>
            </w:r>
          </w:p>
        </w:tc>
        <w:tc>
          <w:tcPr>
            <w:tcW w:w="2215" w:type="dxa"/>
          </w:tcPr>
          <w:p w:rsidR="003462F6" w:rsidRPr="00443F3C" w:rsidRDefault="003462F6" w:rsidP="003462F6">
            <w:pPr>
              <w:tabs>
                <w:tab w:val="left" w:pos="5340"/>
              </w:tabs>
              <w:spacing w:line="240" w:lineRule="auto"/>
              <w:jc w:val="center"/>
              <w:rPr>
                <w:rFonts w:ascii="Times New Roman" w:hAnsi="Times New Roman" w:cs="Times New Roman"/>
                <w:b/>
                <w:sz w:val="20"/>
                <w:szCs w:val="20"/>
              </w:rPr>
            </w:pPr>
            <w:r w:rsidRPr="00443F3C">
              <w:rPr>
                <w:rFonts w:ascii="Times New Roman" w:hAnsi="Times New Roman" w:cs="Times New Roman"/>
                <w:b/>
                <w:sz w:val="20"/>
                <w:szCs w:val="20"/>
              </w:rPr>
              <w:t>CuL1</w:t>
            </w:r>
          </w:p>
        </w:tc>
        <w:tc>
          <w:tcPr>
            <w:tcW w:w="1352" w:type="dxa"/>
          </w:tcPr>
          <w:p w:rsidR="003462F6" w:rsidRPr="00443F3C" w:rsidRDefault="003462F6" w:rsidP="003462F6">
            <w:pPr>
              <w:tabs>
                <w:tab w:val="left" w:pos="5340"/>
              </w:tabs>
              <w:spacing w:line="240" w:lineRule="auto"/>
              <w:jc w:val="center"/>
              <w:rPr>
                <w:rFonts w:ascii="Times New Roman" w:hAnsi="Times New Roman" w:cs="Times New Roman"/>
                <w:sz w:val="20"/>
                <w:szCs w:val="20"/>
              </w:rPr>
            </w:pPr>
          </w:p>
        </w:tc>
        <w:tc>
          <w:tcPr>
            <w:tcW w:w="1866" w:type="dxa"/>
          </w:tcPr>
          <w:p w:rsidR="003462F6" w:rsidRPr="00443F3C" w:rsidRDefault="003462F6" w:rsidP="003462F6">
            <w:pPr>
              <w:tabs>
                <w:tab w:val="left" w:pos="5340"/>
              </w:tabs>
              <w:spacing w:line="240" w:lineRule="auto"/>
              <w:jc w:val="center"/>
              <w:rPr>
                <w:rFonts w:ascii="Times New Roman" w:hAnsi="Times New Roman" w:cs="Times New Roman"/>
                <w:b/>
                <w:sz w:val="20"/>
                <w:szCs w:val="20"/>
              </w:rPr>
            </w:pPr>
            <w:r w:rsidRPr="00443F3C">
              <w:rPr>
                <w:rFonts w:ascii="Times New Roman" w:hAnsi="Times New Roman" w:cs="Times New Roman"/>
                <w:sz w:val="20"/>
                <w:szCs w:val="20"/>
              </w:rPr>
              <w:t>18.7</w:t>
            </w:r>
          </w:p>
        </w:tc>
      </w:tr>
    </w:tbl>
    <w:p w:rsidR="00976577" w:rsidRPr="009B5CC1" w:rsidRDefault="00987A05" w:rsidP="00976577">
      <w:pPr>
        <w:spacing w:line="360" w:lineRule="auto"/>
        <w:rPr>
          <w:rFonts w:ascii="Times New Roman" w:hAnsi="Times New Roman" w:cs="Times New Roman"/>
          <w:sz w:val="24"/>
          <w:szCs w:val="24"/>
        </w:rPr>
      </w:pPr>
      <w:r>
        <w:rPr>
          <w:rFonts w:ascii="Times New Roman" w:hAnsi="Times New Roman" w:cs="Times New Roman"/>
          <w:b/>
          <w:sz w:val="24"/>
          <w:szCs w:val="24"/>
        </w:rPr>
        <w:t>Table 4</w:t>
      </w:r>
      <w:r w:rsidR="00976577" w:rsidRPr="009B5CC1">
        <w:rPr>
          <w:rFonts w:ascii="Times New Roman" w:hAnsi="Times New Roman" w:cs="Times New Roman"/>
          <w:sz w:val="24"/>
          <w:szCs w:val="24"/>
        </w:rPr>
        <w:t xml:space="preserve">. </w:t>
      </w:r>
      <w:r w:rsidR="00976577" w:rsidRPr="00B83246">
        <w:rPr>
          <w:rFonts w:ascii="Times New Roman" w:hAnsi="Times New Roman" w:cs="Times New Roman"/>
          <w:sz w:val="20"/>
          <w:szCs w:val="20"/>
        </w:rPr>
        <w:t>Antioxidant activity of MBHA</w:t>
      </w:r>
      <w:r w:rsidR="00976577" w:rsidRPr="00B83246">
        <w:rPr>
          <w:rFonts w:ascii="Times New Roman" w:eastAsia="Calibri" w:hAnsi="Times New Roman" w:cs="Times New Roman"/>
          <w:bCs/>
          <w:sz w:val="20"/>
          <w:szCs w:val="20"/>
          <w:lang w:bidi="th-TH"/>
        </w:rPr>
        <w:t xml:space="preserve"> (compound 3)</w:t>
      </w:r>
      <w:r w:rsidR="00976577" w:rsidRPr="00B83246">
        <w:rPr>
          <w:rFonts w:ascii="Times New Roman" w:hAnsi="Times New Roman" w:cs="Times New Roman"/>
          <w:sz w:val="20"/>
          <w:szCs w:val="20"/>
        </w:rPr>
        <w:t xml:space="preserve"> and its formed metal complexes </w:t>
      </w:r>
      <w:r w:rsidR="00976577" w:rsidRPr="00B83246">
        <w:rPr>
          <w:rFonts w:ascii="Times New Roman" w:eastAsia="Calibri" w:hAnsi="Times New Roman" w:cs="Times New Roman"/>
          <w:bCs/>
          <w:sz w:val="20"/>
          <w:szCs w:val="20"/>
          <w:lang w:bidi="th-TH"/>
        </w:rPr>
        <w:t>(compound</w:t>
      </w:r>
      <w:r w:rsidR="00976577" w:rsidRPr="00B83246">
        <w:rPr>
          <w:rFonts w:ascii="Times New Roman" w:eastAsia="Calibri" w:hAnsi="Times New Roman" w:cs="Times New Roman"/>
          <w:b/>
          <w:bCs/>
          <w:sz w:val="20"/>
          <w:szCs w:val="20"/>
          <w:lang w:bidi="th-TH"/>
        </w:rPr>
        <w:t xml:space="preserve"> 4-8</w:t>
      </w:r>
      <w:r w:rsidR="00976577" w:rsidRPr="00B83246">
        <w:rPr>
          <w:rFonts w:ascii="Times New Roman" w:eastAsia="Calibri" w:hAnsi="Times New Roman" w:cs="Times New Roman"/>
          <w:bCs/>
          <w:sz w:val="20"/>
          <w:szCs w:val="20"/>
          <w:lang w:bidi="th-TH"/>
        </w:rPr>
        <w:t>)</w:t>
      </w:r>
    </w:p>
    <w:p w:rsidR="006813A4" w:rsidRPr="00BB5681" w:rsidRDefault="00976577" w:rsidP="00443F3C">
      <w:pPr>
        <w:spacing w:line="360" w:lineRule="auto"/>
        <w:rPr>
          <w:rFonts w:ascii="Times New Roman" w:hAnsi="Times New Roman" w:cs="Times New Roman"/>
          <w:sz w:val="20"/>
          <w:szCs w:val="20"/>
        </w:rPr>
      </w:pPr>
      <w:r w:rsidRPr="00BB5681">
        <w:rPr>
          <w:rFonts w:ascii="Times New Roman" w:hAnsi="Times New Roman" w:cs="Times New Roman"/>
          <w:sz w:val="20"/>
          <w:szCs w:val="20"/>
        </w:rPr>
        <w:t>DPPH scavenging effect (%) = Ac – As/Ac × 10, Ac = Absorbance of Control</w:t>
      </w:r>
    </w:p>
    <w:p w:rsidR="003A6E3C" w:rsidRDefault="003A6E3C" w:rsidP="00F1417B">
      <w:pPr>
        <w:tabs>
          <w:tab w:val="left" w:pos="5340"/>
        </w:tabs>
        <w:spacing w:after="0" w:line="360" w:lineRule="auto"/>
        <w:contextualSpacing/>
        <w:jc w:val="both"/>
        <w:rPr>
          <w:rFonts w:ascii="Times New Roman" w:hAnsi="Times New Roman" w:cs="Times New Roman"/>
          <w:sz w:val="24"/>
          <w:szCs w:val="24"/>
        </w:rPr>
      </w:pPr>
      <w:r w:rsidRPr="009B5CC1">
        <w:rPr>
          <w:rFonts w:ascii="Times New Roman" w:hAnsi="Times New Roman" w:cs="Times New Roman"/>
          <w:sz w:val="24"/>
          <w:szCs w:val="24"/>
        </w:rPr>
        <w:t xml:space="preserve"> The results have indicated that ascorbic acid has exhibited the highest antioxidant activity at high concentration. When the highest antioxidant exhibition percent among synthesized metal moieties was compared with MBHA, it was observed that MnL2 (compound </w:t>
      </w:r>
      <w:r w:rsidRPr="009B5CC1">
        <w:rPr>
          <w:rFonts w:ascii="Times New Roman" w:hAnsi="Times New Roman" w:cs="Times New Roman"/>
          <w:b/>
          <w:sz w:val="24"/>
          <w:szCs w:val="24"/>
        </w:rPr>
        <w:t>7</w:t>
      </w:r>
      <w:r w:rsidRPr="009B5CC1">
        <w:rPr>
          <w:rFonts w:ascii="Times New Roman" w:hAnsi="Times New Roman" w:cs="Times New Roman"/>
          <w:sz w:val="24"/>
          <w:szCs w:val="24"/>
        </w:rPr>
        <w:t>) has the highest (19.7%) antioxidant activity. Additionally, the copper complex with MBHA has shown almost the same inhibition.</w:t>
      </w:r>
      <w:r w:rsidRPr="009B5CC1">
        <w:rPr>
          <w:sz w:val="24"/>
          <w:szCs w:val="24"/>
        </w:rPr>
        <w:t xml:space="preserve"> </w:t>
      </w:r>
      <w:r w:rsidRPr="009B5CC1">
        <w:rPr>
          <w:rFonts w:ascii="Times New Roman" w:hAnsi="Times New Roman" w:cs="Times New Roman"/>
          <w:sz w:val="24"/>
          <w:szCs w:val="24"/>
        </w:rPr>
        <w:t>However, L1 (MBHA) has comparatively maximum antioxidant activity. It is interesting to note that all these novel compounds (MBHA, [M(L1)</w:t>
      </w:r>
      <w:r w:rsidRPr="009B5CC1">
        <w:rPr>
          <w:rFonts w:ascii="Times New Roman" w:hAnsi="Times New Roman" w:cs="Times New Roman"/>
          <w:sz w:val="24"/>
          <w:szCs w:val="24"/>
          <w:vertAlign w:val="subscript"/>
        </w:rPr>
        <w:t>2</w:t>
      </w:r>
      <w:r w:rsidRPr="009B5CC1">
        <w:rPr>
          <w:rFonts w:ascii="Times New Roman" w:hAnsi="Times New Roman" w:cs="Times New Roman"/>
          <w:sz w:val="24"/>
          <w:szCs w:val="24"/>
        </w:rPr>
        <w:t>(H</w:t>
      </w:r>
      <w:r w:rsidRPr="009B5CC1">
        <w:rPr>
          <w:rFonts w:ascii="Times New Roman" w:hAnsi="Times New Roman" w:cs="Times New Roman"/>
          <w:sz w:val="24"/>
          <w:szCs w:val="24"/>
          <w:vertAlign w:val="subscript"/>
        </w:rPr>
        <w:t>2</w:t>
      </w:r>
      <w:r w:rsidRPr="009B5CC1">
        <w:rPr>
          <w:rFonts w:ascii="Times New Roman" w:hAnsi="Times New Roman" w:cs="Times New Roman"/>
          <w:sz w:val="24"/>
          <w:szCs w:val="24"/>
        </w:rPr>
        <w:t>O)</w:t>
      </w:r>
      <w:r w:rsidRPr="009B5CC1">
        <w:rPr>
          <w:rFonts w:ascii="Times New Roman" w:hAnsi="Times New Roman" w:cs="Times New Roman"/>
          <w:sz w:val="24"/>
          <w:szCs w:val="24"/>
          <w:vertAlign w:val="subscript"/>
        </w:rPr>
        <w:t>4</w:t>
      </w:r>
      <w:r w:rsidRPr="009B5CC1">
        <w:rPr>
          <w:rFonts w:ascii="Times New Roman" w:hAnsi="Times New Roman" w:cs="Times New Roman"/>
          <w:sz w:val="24"/>
          <w:szCs w:val="24"/>
        </w:rPr>
        <w:t>]</w:t>
      </w:r>
      <w:r w:rsidRPr="009B5CC1">
        <w:rPr>
          <w:rFonts w:ascii="Times New Roman" w:hAnsi="Times New Roman" w:cs="Times New Roman"/>
          <w:sz w:val="24"/>
          <w:szCs w:val="24"/>
          <w:vertAlign w:val="superscript"/>
        </w:rPr>
        <w:t>+3</w:t>
      </w:r>
      <w:r w:rsidRPr="009B5CC1">
        <w:rPr>
          <w:rFonts w:ascii="Times New Roman" w:hAnsi="Times New Roman" w:cs="Times New Roman"/>
          <w:sz w:val="24"/>
          <w:szCs w:val="24"/>
        </w:rPr>
        <w:t xml:space="preserve"> and [M(L1)</w:t>
      </w:r>
      <w:r w:rsidRPr="009B5CC1">
        <w:rPr>
          <w:rFonts w:ascii="Times New Roman" w:hAnsi="Times New Roman" w:cs="Times New Roman"/>
          <w:sz w:val="24"/>
          <w:szCs w:val="24"/>
          <w:vertAlign w:val="subscript"/>
        </w:rPr>
        <w:t>2</w:t>
      </w:r>
      <w:r w:rsidRPr="009B5CC1">
        <w:rPr>
          <w:rFonts w:ascii="Times New Roman" w:hAnsi="Times New Roman" w:cs="Times New Roman"/>
          <w:sz w:val="24"/>
          <w:szCs w:val="24"/>
        </w:rPr>
        <w:t>(H</w:t>
      </w:r>
      <w:r w:rsidRPr="009B5CC1">
        <w:rPr>
          <w:rFonts w:ascii="Times New Roman" w:hAnsi="Times New Roman" w:cs="Times New Roman"/>
          <w:sz w:val="24"/>
          <w:szCs w:val="24"/>
          <w:vertAlign w:val="subscript"/>
        </w:rPr>
        <w:t>2</w:t>
      </w:r>
      <w:r w:rsidRPr="009B5CC1">
        <w:rPr>
          <w:rFonts w:ascii="Times New Roman" w:hAnsi="Times New Roman" w:cs="Times New Roman"/>
          <w:sz w:val="24"/>
          <w:szCs w:val="24"/>
        </w:rPr>
        <w:t>O)</w:t>
      </w:r>
      <w:r w:rsidRPr="009B5CC1">
        <w:rPr>
          <w:rFonts w:ascii="Times New Roman" w:hAnsi="Times New Roman" w:cs="Times New Roman"/>
          <w:sz w:val="24"/>
          <w:szCs w:val="24"/>
          <w:vertAlign w:val="subscript"/>
        </w:rPr>
        <w:t>2</w:t>
      </w:r>
      <w:r w:rsidRPr="009B5CC1">
        <w:rPr>
          <w:rFonts w:ascii="Times New Roman" w:hAnsi="Times New Roman" w:cs="Times New Roman"/>
          <w:sz w:val="24"/>
          <w:szCs w:val="24"/>
        </w:rPr>
        <w:t>]</w:t>
      </w:r>
      <w:r w:rsidRPr="009B5CC1">
        <w:rPr>
          <w:rFonts w:ascii="Times New Roman" w:hAnsi="Times New Roman" w:cs="Times New Roman"/>
          <w:sz w:val="24"/>
          <w:szCs w:val="24"/>
          <w:vertAlign w:val="superscript"/>
        </w:rPr>
        <w:t>+2</w:t>
      </w:r>
      <w:r w:rsidRPr="009B5CC1">
        <w:rPr>
          <w:rFonts w:ascii="Times New Roman" w:hAnsi="Times New Roman" w:cs="Times New Roman"/>
          <w:sz w:val="24"/>
          <w:szCs w:val="24"/>
        </w:rPr>
        <w:t>) posses</w:t>
      </w:r>
      <w:r w:rsidR="007F7424">
        <w:rPr>
          <w:rFonts w:ascii="Times New Roman" w:hAnsi="Times New Roman" w:cs="Times New Roman"/>
          <w:sz w:val="24"/>
          <w:szCs w:val="24"/>
        </w:rPr>
        <w:t>s positive inhibition (Fig.</w:t>
      </w:r>
      <w:r w:rsidR="00F1417B">
        <w:rPr>
          <w:rFonts w:ascii="Times New Roman" w:hAnsi="Times New Roman" w:cs="Times New Roman"/>
          <w:sz w:val="24"/>
          <w:szCs w:val="24"/>
        </w:rPr>
        <w:t xml:space="preserve"> 6).</w:t>
      </w:r>
    </w:p>
    <w:p w:rsidR="00941797" w:rsidRDefault="00941797" w:rsidP="00F1417B">
      <w:pPr>
        <w:tabs>
          <w:tab w:val="left" w:pos="5340"/>
        </w:tabs>
        <w:spacing w:after="0" w:line="360" w:lineRule="auto"/>
        <w:contextualSpacing/>
        <w:jc w:val="both"/>
        <w:rPr>
          <w:rFonts w:ascii="Times New Roman" w:hAnsi="Times New Roman" w:cs="Times New Roman"/>
          <w:noProof/>
          <w:sz w:val="24"/>
          <w:szCs w:val="24"/>
        </w:rPr>
      </w:pPr>
    </w:p>
    <w:p w:rsidR="00FB5B27" w:rsidRPr="009B5CC1" w:rsidRDefault="00941797" w:rsidP="00941797">
      <w:pPr>
        <w:tabs>
          <w:tab w:val="left" w:pos="5340"/>
        </w:tabs>
        <w:spacing w:after="0" w:line="360" w:lineRule="auto"/>
        <w:contextualSpacing/>
        <w:jc w:val="both"/>
        <w:rPr>
          <w:rFonts w:ascii="Times New Roman" w:hAnsi="Times New Roman" w:cs="Times New Roman"/>
          <w:sz w:val="24"/>
          <w:szCs w:val="24"/>
        </w:rPr>
      </w:pPr>
      <w:r w:rsidRPr="00941797">
        <w:rPr>
          <w:rFonts w:ascii="Times New Roman" w:hAnsi="Times New Roman" w:cs="Times New Roman"/>
          <w:noProof/>
          <w:sz w:val="24"/>
          <w:szCs w:val="24"/>
        </w:rPr>
        <w:lastRenderedPageBreak/>
        <w:drawing>
          <wp:inline distT="0" distB="0" distL="0" distR="0">
            <wp:extent cx="5466080" cy="2790825"/>
            <wp:effectExtent l="0" t="0" r="1270" b="9525"/>
            <wp:docPr id="16" name="Picture 16" descr="C:\Users\USER\Desktop\Research meterials\Acta Solvenica Chemica\Fig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Research meterials\Acta Solvenica Chemica\Figure. 6.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62" t="6689" r="2946" b="8080"/>
                    <a:stretch/>
                  </pic:blipFill>
                  <pic:spPr bwMode="auto">
                    <a:xfrm>
                      <a:off x="0" y="0"/>
                      <a:ext cx="5467941" cy="2791775"/>
                    </a:xfrm>
                    <a:prstGeom prst="rect">
                      <a:avLst/>
                    </a:prstGeom>
                    <a:noFill/>
                    <a:ln>
                      <a:noFill/>
                    </a:ln>
                    <a:extLst>
                      <a:ext uri="{53640926-AAD7-44D8-BBD7-CCE9431645EC}">
                        <a14:shadowObscured xmlns:a14="http://schemas.microsoft.com/office/drawing/2010/main"/>
                      </a:ext>
                    </a:extLst>
                  </pic:spPr>
                </pic:pic>
              </a:graphicData>
            </a:graphic>
          </wp:inline>
        </w:drawing>
      </w:r>
    </w:p>
    <w:p w:rsidR="00FB5B27" w:rsidRPr="00B83246" w:rsidRDefault="00FB5B27" w:rsidP="00FB0D7E">
      <w:pPr>
        <w:jc w:val="center"/>
        <w:rPr>
          <w:rFonts w:ascii="Arial" w:hAnsi="Arial" w:cs="Arial"/>
          <w:sz w:val="16"/>
          <w:szCs w:val="16"/>
        </w:rPr>
      </w:pPr>
      <w:r w:rsidRPr="00B83246">
        <w:rPr>
          <w:rFonts w:ascii="Arial" w:hAnsi="Arial" w:cs="Arial"/>
          <w:b/>
          <w:sz w:val="16"/>
          <w:szCs w:val="16"/>
        </w:rPr>
        <w:t>Fig. 5</w:t>
      </w:r>
      <w:r w:rsidRPr="00B83246">
        <w:rPr>
          <w:rFonts w:ascii="Arial" w:hAnsi="Arial" w:cs="Arial"/>
          <w:sz w:val="16"/>
          <w:szCs w:val="16"/>
        </w:rPr>
        <w:t>. Graphical representation of Antioxidant Activities of the Standard (</w:t>
      </w:r>
      <w:r w:rsidRPr="00B83246">
        <w:rPr>
          <w:rFonts w:ascii="Arial" w:hAnsi="Arial" w:cs="Arial"/>
          <w:b/>
          <w:sz w:val="16"/>
          <w:szCs w:val="16"/>
        </w:rPr>
        <w:t>Ascorbic Acid</w:t>
      </w:r>
      <w:r w:rsidRPr="00B83246">
        <w:rPr>
          <w:rFonts w:ascii="Arial" w:hAnsi="Arial" w:cs="Arial"/>
          <w:sz w:val="16"/>
          <w:szCs w:val="16"/>
        </w:rPr>
        <w:t>)</w:t>
      </w:r>
    </w:p>
    <w:p w:rsidR="00941797" w:rsidRDefault="00941797" w:rsidP="00FB5B27">
      <w:pPr>
        <w:widowControl w:val="0"/>
        <w:autoSpaceDE w:val="0"/>
        <w:autoSpaceDN w:val="0"/>
        <w:adjustRightInd w:val="0"/>
        <w:spacing w:line="240" w:lineRule="auto"/>
        <w:jc w:val="center"/>
        <w:rPr>
          <w:rFonts w:ascii="Times New Roman" w:hAnsi="Times New Roman" w:cs="Times New Roman"/>
          <w:sz w:val="24"/>
          <w:szCs w:val="24"/>
        </w:rPr>
      </w:pPr>
    </w:p>
    <w:p w:rsidR="00947764" w:rsidRDefault="00947764" w:rsidP="00FB5B27">
      <w:pPr>
        <w:widowControl w:val="0"/>
        <w:autoSpaceDE w:val="0"/>
        <w:autoSpaceDN w:val="0"/>
        <w:adjustRightInd w:val="0"/>
        <w:spacing w:line="240" w:lineRule="auto"/>
        <w:jc w:val="center"/>
        <w:rPr>
          <w:rFonts w:ascii="Times New Roman" w:hAnsi="Times New Roman" w:cs="Times New Roman"/>
          <w:sz w:val="24"/>
          <w:szCs w:val="24"/>
        </w:rPr>
      </w:pPr>
    </w:p>
    <w:p w:rsidR="00947764" w:rsidRDefault="00947764" w:rsidP="00FB5B27">
      <w:pPr>
        <w:widowControl w:val="0"/>
        <w:autoSpaceDE w:val="0"/>
        <w:autoSpaceDN w:val="0"/>
        <w:adjustRightInd w:val="0"/>
        <w:spacing w:line="240" w:lineRule="auto"/>
        <w:jc w:val="center"/>
        <w:rPr>
          <w:rFonts w:ascii="Times New Roman" w:hAnsi="Times New Roman" w:cs="Times New Roman"/>
          <w:noProof/>
          <w:sz w:val="24"/>
          <w:szCs w:val="24"/>
        </w:rPr>
      </w:pPr>
    </w:p>
    <w:p w:rsidR="00941797" w:rsidRDefault="00941797" w:rsidP="00FB5B27">
      <w:pPr>
        <w:widowControl w:val="0"/>
        <w:autoSpaceDE w:val="0"/>
        <w:autoSpaceDN w:val="0"/>
        <w:adjustRightInd w:val="0"/>
        <w:spacing w:line="240" w:lineRule="auto"/>
        <w:jc w:val="center"/>
        <w:rPr>
          <w:rFonts w:ascii="Times New Roman" w:hAnsi="Times New Roman" w:cs="Times New Roman"/>
          <w:sz w:val="24"/>
          <w:szCs w:val="24"/>
        </w:rPr>
      </w:pPr>
      <w:r w:rsidRPr="00941797">
        <w:rPr>
          <w:rFonts w:ascii="Times New Roman" w:hAnsi="Times New Roman" w:cs="Times New Roman"/>
          <w:noProof/>
          <w:sz w:val="24"/>
          <w:szCs w:val="24"/>
        </w:rPr>
        <w:drawing>
          <wp:inline distT="0" distB="0" distL="0" distR="0">
            <wp:extent cx="5162550" cy="3295650"/>
            <wp:effectExtent l="0" t="0" r="0" b="0"/>
            <wp:docPr id="17" name="Picture 17" descr="C:\Users\USER\Desktop\Research meterials\Acta Solvenica Chemica\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Research meterials\Acta Solvenica Chemica\Figure. 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983" t="16579" r="3944" b="4057"/>
                    <a:stretch/>
                  </pic:blipFill>
                  <pic:spPr bwMode="auto">
                    <a:xfrm>
                      <a:off x="0" y="0"/>
                      <a:ext cx="5163122" cy="3296015"/>
                    </a:xfrm>
                    <a:prstGeom prst="rect">
                      <a:avLst/>
                    </a:prstGeom>
                    <a:noFill/>
                    <a:ln>
                      <a:noFill/>
                    </a:ln>
                    <a:extLst>
                      <a:ext uri="{53640926-AAD7-44D8-BBD7-CCE9431645EC}">
                        <a14:shadowObscured xmlns:a14="http://schemas.microsoft.com/office/drawing/2010/main"/>
                      </a:ext>
                    </a:extLst>
                  </pic:spPr>
                </pic:pic>
              </a:graphicData>
            </a:graphic>
          </wp:inline>
        </w:drawing>
      </w:r>
    </w:p>
    <w:p w:rsidR="00941797" w:rsidRPr="009B5CC1" w:rsidRDefault="00941797" w:rsidP="00FB5B27">
      <w:pPr>
        <w:widowControl w:val="0"/>
        <w:autoSpaceDE w:val="0"/>
        <w:autoSpaceDN w:val="0"/>
        <w:adjustRightInd w:val="0"/>
        <w:spacing w:line="240" w:lineRule="auto"/>
        <w:jc w:val="center"/>
        <w:rPr>
          <w:rFonts w:ascii="Times New Roman" w:hAnsi="Times New Roman" w:cs="Times New Roman"/>
          <w:sz w:val="24"/>
          <w:szCs w:val="24"/>
        </w:rPr>
      </w:pPr>
    </w:p>
    <w:p w:rsidR="00FB5B27" w:rsidRPr="00B83246" w:rsidRDefault="00FB5B27" w:rsidP="00FB5B27">
      <w:pPr>
        <w:jc w:val="center"/>
        <w:rPr>
          <w:rFonts w:ascii="Arial" w:hAnsi="Arial" w:cs="Arial"/>
          <w:sz w:val="16"/>
          <w:szCs w:val="16"/>
        </w:rPr>
      </w:pPr>
      <w:r w:rsidRPr="00B83246">
        <w:rPr>
          <w:rFonts w:ascii="Arial" w:hAnsi="Arial" w:cs="Arial"/>
          <w:b/>
          <w:sz w:val="16"/>
          <w:szCs w:val="16"/>
        </w:rPr>
        <w:t>Fig. 6</w:t>
      </w:r>
      <w:r w:rsidRPr="00B83246">
        <w:rPr>
          <w:rFonts w:ascii="Arial" w:hAnsi="Arial" w:cs="Arial"/>
          <w:sz w:val="16"/>
          <w:szCs w:val="16"/>
        </w:rPr>
        <w:t xml:space="preserve">. Graphical representation of Antioxidant Activities of MBHA (L1) and compounds </w:t>
      </w:r>
      <w:r w:rsidRPr="00B83246">
        <w:rPr>
          <w:rFonts w:ascii="Arial" w:hAnsi="Arial" w:cs="Arial"/>
          <w:b/>
          <w:sz w:val="16"/>
          <w:szCs w:val="16"/>
        </w:rPr>
        <w:t>4-8</w:t>
      </w:r>
    </w:p>
    <w:p w:rsidR="00443F3C" w:rsidRDefault="00443F3C" w:rsidP="009B5CC1">
      <w:pPr>
        <w:spacing w:after="0" w:line="360" w:lineRule="auto"/>
        <w:contextualSpacing/>
        <w:jc w:val="both"/>
        <w:rPr>
          <w:rFonts w:ascii="Times New Roman" w:hAnsi="Times New Roman" w:cs="Times New Roman"/>
          <w:sz w:val="24"/>
          <w:szCs w:val="24"/>
        </w:rPr>
      </w:pPr>
    </w:p>
    <w:p w:rsidR="00FB0D7E" w:rsidRDefault="00FB0D7E" w:rsidP="009B5CC1">
      <w:pPr>
        <w:spacing w:after="0" w:line="360" w:lineRule="auto"/>
        <w:contextualSpacing/>
        <w:jc w:val="both"/>
        <w:rPr>
          <w:rFonts w:ascii="Times New Roman" w:hAnsi="Times New Roman" w:cs="Times New Roman"/>
          <w:b/>
          <w:i/>
          <w:sz w:val="24"/>
          <w:szCs w:val="24"/>
        </w:rPr>
      </w:pPr>
    </w:p>
    <w:p w:rsidR="00947764" w:rsidRDefault="00947764" w:rsidP="009B5CC1">
      <w:pPr>
        <w:spacing w:after="0" w:line="360" w:lineRule="auto"/>
        <w:contextualSpacing/>
        <w:jc w:val="both"/>
        <w:rPr>
          <w:rFonts w:ascii="Times New Roman" w:hAnsi="Times New Roman" w:cs="Times New Roman"/>
          <w:b/>
          <w:i/>
          <w:sz w:val="24"/>
          <w:szCs w:val="24"/>
        </w:rPr>
      </w:pPr>
    </w:p>
    <w:p w:rsidR="00947764" w:rsidRDefault="00947764" w:rsidP="009B5CC1">
      <w:pPr>
        <w:spacing w:after="0" w:line="360" w:lineRule="auto"/>
        <w:contextualSpacing/>
        <w:jc w:val="both"/>
        <w:rPr>
          <w:rFonts w:ascii="Times New Roman" w:hAnsi="Times New Roman" w:cs="Times New Roman"/>
          <w:b/>
          <w:i/>
          <w:sz w:val="24"/>
          <w:szCs w:val="24"/>
        </w:rPr>
      </w:pPr>
    </w:p>
    <w:p w:rsidR="003A6E3C" w:rsidRPr="009B5CC1" w:rsidRDefault="00F1417B" w:rsidP="009B5CC1">
      <w:pPr>
        <w:spacing w:after="0" w:line="360" w:lineRule="auto"/>
        <w:contextualSpacing/>
        <w:jc w:val="both"/>
        <w:rPr>
          <w:rFonts w:ascii="Times New Roman" w:hAnsi="Times New Roman" w:cs="Times New Roman"/>
          <w:b/>
          <w:i/>
          <w:sz w:val="24"/>
          <w:szCs w:val="24"/>
        </w:rPr>
      </w:pPr>
      <w:r>
        <w:rPr>
          <w:rFonts w:ascii="Times New Roman" w:hAnsi="Times New Roman" w:cs="Times New Roman"/>
          <w:b/>
          <w:i/>
          <w:sz w:val="24"/>
          <w:szCs w:val="24"/>
        </w:rPr>
        <w:lastRenderedPageBreak/>
        <w:t>3</w:t>
      </w:r>
      <w:r w:rsidR="003A6E3C" w:rsidRPr="009B5CC1">
        <w:rPr>
          <w:rFonts w:ascii="Times New Roman" w:hAnsi="Times New Roman" w:cs="Times New Roman"/>
          <w:b/>
          <w:i/>
          <w:sz w:val="24"/>
          <w:szCs w:val="24"/>
        </w:rPr>
        <w:t>.6. Antibacterial Assay</w:t>
      </w:r>
    </w:p>
    <w:p w:rsidR="00E83DDF" w:rsidRDefault="003A6E3C" w:rsidP="009B5CC1">
      <w:pPr>
        <w:spacing w:after="0" w:line="360" w:lineRule="auto"/>
        <w:contextualSpacing/>
        <w:jc w:val="both"/>
        <w:rPr>
          <w:rFonts w:ascii="Times New Roman" w:hAnsi="Times New Roman" w:cs="Times New Roman"/>
          <w:sz w:val="24"/>
          <w:szCs w:val="24"/>
        </w:rPr>
      </w:pPr>
      <w:r w:rsidRPr="009B5CC1">
        <w:rPr>
          <w:rFonts w:ascii="Times New Roman" w:hAnsi="Times New Roman" w:cs="Times New Roman"/>
          <w:sz w:val="24"/>
          <w:szCs w:val="24"/>
        </w:rPr>
        <w:t>The antibacterial activity of these compounds was screened by using agar disc diffusion method against four bacterial strains (</w:t>
      </w:r>
      <w:r w:rsidRPr="009B5CC1">
        <w:rPr>
          <w:rFonts w:ascii="Times New Roman" w:hAnsi="Times New Roman" w:cs="Times New Roman"/>
          <w:i/>
          <w:sz w:val="24"/>
          <w:szCs w:val="24"/>
        </w:rPr>
        <w:t xml:space="preserve">Staphylococcus </w:t>
      </w:r>
      <w:proofErr w:type="spellStart"/>
      <w:r w:rsidRPr="009B5CC1">
        <w:rPr>
          <w:rFonts w:ascii="Times New Roman" w:hAnsi="Times New Roman" w:cs="Times New Roman"/>
          <w:i/>
          <w:sz w:val="24"/>
          <w:szCs w:val="24"/>
        </w:rPr>
        <w:t>aureus</w:t>
      </w:r>
      <w:proofErr w:type="spellEnd"/>
      <w:r w:rsidRPr="009B5CC1">
        <w:rPr>
          <w:rFonts w:ascii="Times New Roman" w:hAnsi="Times New Roman" w:cs="Times New Roman"/>
          <w:i/>
          <w:sz w:val="24"/>
          <w:szCs w:val="24"/>
        </w:rPr>
        <w:t xml:space="preserve">, Escherichia coli, Bacillus </w:t>
      </w:r>
      <w:proofErr w:type="spellStart"/>
      <w:r w:rsidRPr="009B5CC1">
        <w:rPr>
          <w:rFonts w:ascii="Times New Roman" w:hAnsi="Times New Roman" w:cs="Times New Roman"/>
          <w:i/>
          <w:sz w:val="24"/>
          <w:szCs w:val="24"/>
        </w:rPr>
        <w:t>pumilis</w:t>
      </w:r>
      <w:proofErr w:type="spellEnd"/>
      <w:r w:rsidRPr="009B5CC1">
        <w:rPr>
          <w:rFonts w:ascii="Times New Roman" w:hAnsi="Times New Roman" w:cs="Times New Roman"/>
          <w:i/>
          <w:sz w:val="24"/>
          <w:szCs w:val="24"/>
        </w:rPr>
        <w:t>,</w:t>
      </w:r>
      <w:r w:rsidRPr="009B5CC1">
        <w:rPr>
          <w:i/>
          <w:sz w:val="24"/>
          <w:szCs w:val="24"/>
        </w:rPr>
        <w:t xml:space="preserve"> </w:t>
      </w:r>
      <w:r w:rsidRPr="009B5CC1">
        <w:rPr>
          <w:rFonts w:ascii="Times New Roman" w:hAnsi="Times New Roman" w:cs="Times New Roman"/>
          <w:i/>
          <w:sz w:val="24"/>
          <w:szCs w:val="24"/>
        </w:rPr>
        <w:t xml:space="preserve">Salmonella </w:t>
      </w:r>
      <w:proofErr w:type="spellStart"/>
      <w:r w:rsidRPr="009B5CC1">
        <w:rPr>
          <w:rFonts w:ascii="Times New Roman" w:hAnsi="Times New Roman" w:cs="Times New Roman"/>
          <w:i/>
          <w:sz w:val="24"/>
          <w:szCs w:val="24"/>
        </w:rPr>
        <w:t>typhi</w:t>
      </w:r>
      <w:proofErr w:type="spellEnd"/>
      <w:r w:rsidRPr="009B5CC1">
        <w:rPr>
          <w:rFonts w:ascii="Times New Roman" w:hAnsi="Times New Roman" w:cs="Times New Roman"/>
          <w:sz w:val="24"/>
          <w:szCs w:val="24"/>
        </w:rPr>
        <w:t>) while Gentamycin is u</w:t>
      </w:r>
      <w:r w:rsidR="00987A05">
        <w:rPr>
          <w:rFonts w:ascii="Times New Roman" w:hAnsi="Times New Roman" w:cs="Times New Roman"/>
          <w:sz w:val="24"/>
          <w:szCs w:val="24"/>
        </w:rPr>
        <w:t>sed as standard (Table 5</w:t>
      </w:r>
      <w:r w:rsidRPr="009B5CC1">
        <w:rPr>
          <w:rFonts w:ascii="Times New Roman" w:hAnsi="Times New Roman" w:cs="Times New Roman"/>
          <w:sz w:val="24"/>
          <w:szCs w:val="24"/>
        </w:rPr>
        <w:t>).</w:t>
      </w:r>
    </w:p>
    <w:p w:rsidR="00E83DDF" w:rsidRPr="009B5CC1" w:rsidRDefault="00E83DDF" w:rsidP="00E83DDF">
      <w:pPr>
        <w:autoSpaceDE w:val="0"/>
        <w:autoSpaceDN w:val="0"/>
        <w:adjustRightInd w:val="0"/>
        <w:spacing w:after="0" w:line="240" w:lineRule="auto"/>
        <w:jc w:val="both"/>
        <w:rPr>
          <w:rFonts w:ascii="Times New Roman" w:hAnsi="Times New Roman" w:cs="Times New Roman"/>
          <w:sz w:val="24"/>
          <w:szCs w:val="24"/>
        </w:rPr>
      </w:pPr>
      <w:r>
        <w:rPr>
          <w:rFonts w:ascii="Times New Roman" w:eastAsia="Calibri" w:hAnsi="Times New Roman" w:cs="Times New Roman"/>
          <w:b/>
          <w:bCs/>
          <w:sz w:val="24"/>
          <w:szCs w:val="24"/>
          <w:lang w:bidi="th-TH"/>
        </w:rPr>
        <w:t>Table 5</w:t>
      </w:r>
      <w:r w:rsidRPr="009B5CC1">
        <w:rPr>
          <w:rFonts w:ascii="Times New Roman" w:eastAsia="Calibri" w:hAnsi="Times New Roman" w:cs="Times New Roman"/>
          <w:bCs/>
          <w:sz w:val="24"/>
          <w:szCs w:val="24"/>
          <w:lang w:bidi="th-TH"/>
        </w:rPr>
        <w:t>.</w:t>
      </w:r>
      <w:r w:rsidRPr="009B5CC1">
        <w:rPr>
          <w:rFonts w:ascii="Times New Roman" w:eastAsia="Calibri" w:hAnsi="Times New Roman" w:cs="Times New Roman"/>
          <w:b/>
          <w:bCs/>
          <w:sz w:val="24"/>
          <w:szCs w:val="24"/>
          <w:lang w:bidi="th-TH"/>
        </w:rPr>
        <w:t xml:space="preserve"> </w:t>
      </w:r>
      <w:r w:rsidRPr="00BB5681">
        <w:rPr>
          <w:rFonts w:ascii="Times New Roman" w:eastAsia="Calibri" w:hAnsi="Times New Roman" w:cs="Times New Roman"/>
          <w:bCs/>
          <w:sz w:val="20"/>
          <w:szCs w:val="20"/>
          <w:lang w:bidi="th-TH"/>
        </w:rPr>
        <w:t xml:space="preserve">Antibacterial activities of the MBHA and the complexes (compound </w:t>
      </w:r>
      <w:r w:rsidRPr="00BB5681">
        <w:rPr>
          <w:rFonts w:ascii="Times New Roman" w:eastAsia="Calibri" w:hAnsi="Times New Roman" w:cs="Times New Roman"/>
          <w:b/>
          <w:bCs/>
          <w:sz w:val="20"/>
          <w:szCs w:val="20"/>
          <w:lang w:bidi="th-TH"/>
        </w:rPr>
        <w:t>4-8</w:t>
      </w:r>
      <w:r w:rsidRPr="00BB5681">
        <w:rPr>
          <w:rFonts w:ascii="Times New Roman" w:eastAsia="Calibri" w:hAnsi="Times New Roman" w:cs="Times New Roman"/>
          <w:bCs/>
          <w:sz w:val="20"/>
          <w:szCs w:val="20"/>
          <w:lang w:bidi="th-TH"/>
        </w:rPr>
        <w:t>)</w:t>
      </w:r>
      <w:r w:rsidRPr="00BB5681">
        <w:rPr>
          <w:rFonts w:ascii="Times New Roman" w:eastAsia="Calibri" w:hAnsi="Times New Roman" w:cs="Times New Roman"/>
          <w:b/>
          <w:bCs/>
          <w:sz w:val="20"/>
          <w:szCs w:val="20"/>
          <w:lang w:bidi="th-TH"/>
        </w:rPr>
        <w:t xml:space="preserve"> </w:t>
      </w:r>
    </w:p>
    <w:tbl>
      <w:tblPr>
        <w:tblW w:w="9360" w:type="dxa"/>
        <w:tblBorders>
          <w:top w:val="single" w:sz="4" w:space="0" w:color="auto"/>
          <w:bottom w:val="single" w:sz="4" w:space="0" w:color="auto"/>
        </w:tblBorders>
        <w:tblLook w:val="04A0" w:firstRow="1" w:lastRow="0" w:firstColumn="1" w:lastColumn="0" w:noHBand="0" w:noVBand="1"/>
      </w:tblPr>
      <w:tblGrid>
        <w:gridCol w:w="695"/>
        <w:gridCol w:w="1261"/>
        <w:gridCol w:w="2137"/>
        <w:gridCol w:w="1416"/>
        <w:gridCol w:w="1057"/>
        <w:gridCol w:w="1535"/>
        <w:gridCol w:w="1259"/>
      </w:tblGrid>
      <w:tr w:rsidR="00E83DDF" w:rsidRPr="00443F3C" w:rsidTr="00E83DDF">
        <w:tc>
          <w:tcPr>
            <w:tcW w:w="695" w:type="dxa"/>
            <w:tcBorders>
              <w:top w:val="single" w:sz="4" w:space="0" w:color="auto"/>
              <w:bottom w:val="single" w:sz="4" w:space="0" w:color="auto"/>
            </w:tcBorders>
            <w:shd w:val="clear" w:color="auto" w:fill="E7E6E6" w:themeFill="background2"/>
          </w:tcPr>
          <w:p w:rsidR="00E83DDF" w:rsidRPr="00443F3C" w:rsidRDefault="00E83DDF" w:rsidP="00E83DDF">
            <w:pPr>
              <w:tabs>
                <w:tab w:val="left" w:pos="425"/>
              </w:tabs>
              <w:autoSpaceDE w:val="0"/>
              <w:autoSpaceDN w:val="0"/>
              <w:adjustRightInd w:val="0"/>
              <w:spacing w:before="40" w:line="240" w:lineRule="auto"/>
              <w:jc w:val="center"/>
              <w:rPr>
                <w:rFonts w:ascii="Times New Roman" w:eastAsia="Calibri" w:hAnsi="Times New Roman" w:cs="Times New Roman"/>
                <w:b/>
                <w:bCs/>
                <w:sz w:val="20"/>
                <w:szCs w:val="20"/>
                <w:lang w:bidi="th-TH"/>
              </w:rPr>
            </w:pPr>
            <w:r w:rsidRPr="00443F3C">
              <w:rPr>
                <w:rFonts w:ascii="Times New Roman" w:eastAsia="Calibri" w:hAnsi="Times New Roman" w:cs="Times New Roman"/>
                <w:b/>
                <w:bCs/>
                <w:sz w:val="20"/>
                <w:szCs w:val="20"/>
                <w:lang w:bidi="th-TH"/>
              </w:rPr>
              <w:t>S. No</w:t>
            </w:r>
          </w:p>
        </w:tc>
        <w:tc>
          <w:tcPr>
            <w:tcW w:w="1261" w:type="dxa"/>
            <w:tcBorders>
              <w:top w:val="single" w:sz="4" w:space="0" w:color="auto"/>
              <w:bottom w:val="single" w:sz="4" w:space="0" w:color="auto"/>
            </w:tcBorders>
            <w:shd w:val="clear" w:color="auto" w:fill="E7E6E6" w:themeFill="background2"/>
          </w:tcPr>
          <w:p w:rsidR="00E83DDF" w:rsidRPr="00443F3C" w:rsidRDefault="00E83DDF" w:rsidP="00E83DDF">
            <w:pPr>
              <w:tabs>
                <w:tab w:val="left" w:pos="425"/>
              </w:tabs>
              <w:autoSpaceDE w:val="0"/>
              <w:autoSpaceDN w:val="0"/>
              <w:adjustRightInd w:val="0"/>
              <w:spacing w:before="40" w:line="240" w:lineRule="auto"/>
              <w:jc w:val="center"/>
              <w:rPr>
                <w:rFonts w:ascii="Times New Roman" w:eastAsia="Calibri" w:hAnsi="Times New Roman" w:cs="Times New Roman"/>
                <w:b/>
                <w:bCs/>
                <w:sz w:val="20"/>
                <w:szCs w:val="20"/>
                <w:lang w:bidi="th-TH"/>
              </w:rPr>
            </w:pPr>
          </w:p>
        </w:tc>
        <w:tc>
          <w:tcPr>
            <w:tcW w:w="2137" w:type="dxa"/>
            <w:tcBorders>
              <w:top w:val="single" w:sz="4" w:space="0" w:color="auto"/>
              <w:bottom w:val="single" w:sz="4" w:space="0" w:color="auto"/>
            </w:tcBorders>
            <w:shd w:val="clear" w:color="auto" w:fill="E7E6E6" w:themeFill="background2"/>
          </w:tcPr>
          <w:p w:rsidR="00E83DDF" w:rsidRPr="00443F3C" w:rsidRDefault="00E83DDF" w:rsidP="00E83DDF">
            <w:pPr>
              <w:tabs>
                <w:tab w:val="left" w:pos="425"/>
              </w:tabs>
              <w:autoSpaceDE w:val="0"/>
              <w:autoSpaceDN w:val="0"/>
              <w:adjustRightInd w:val="0"/>
              <w:spacing w:before="40" w:line="240" w:lineRule="auto"/>
              <w:jc w:val="center"/>
              <w:rPr>
                <w:rFonts w:ascii="Times New Roman" w:eastAsia="Calibri" w:hAnsi="Times New Roman" w:cs="Times New Roman"/>
                <w:b/>
                <w:bCs/>
                <w:sz w:val="20"/>
                <w:szCs w:val="20"/>
                <w:lang w:bidi="th-TH"/>
              </w:rPr>
            </w:pPr>
            <w:r w:rsidRPr="00443F3C">
              <w:rPr>
                <w:rFonts w:ascii="Times New Roman" w:eastAsia="Calibri" w:hAnsi="Times New Roman" w:cs="Times New Roman"/>
                <w:b/>
                <w:bCs/>
                <w:sz w:val="20"/>
                <w:szCs w:val="20"/>
                <w:lang w:bidi="th-TH"/>
              </w:rPr>
              <w:t>Ligand/Complexes</w:t>
            </w:r>
          </w:p>
        </w:tc>
        <w:tc>
          <w:tcPr>
            <w:tcW w:w="1416" w:type="dxa"/>
            <w:tcBorders>
              <w:top w:val="single" w:sz="4" w:space="0" w:color="auto"/>
              <w:bottom w:val="single" w:sz="4" w:space="0" w:color="auto"/>
            </w:tcBorders>
            <w:shd w:val="clear" w:color="auto" w:fill="E7E6E6" w:themeFill="background2"/>
          </w:tcPr>
          <w:p w:rsidR="00E83DDF" w:rsidRPr="00443F3C" w:rsidRDefault="00E83DDF" w:rsidP="00E83DDF">
            <w:pPr>
              <w:tabs>
                <w:tab w:val="left" w:pos="425"/>
              </w:tabs>
              <w:autoSpaceDE w:val="0"/>
              <w:autoSpaceDN w:val="0"/>
              <w:adjustRightInd w:val="0"/>
              <w:spacing w:before="40" w:line="240" w:lineRule="auto"/>
              <w:jc w:val="center"/>
              <w:rPr>
                <w:rFonts w:ascii="Times New Roman" w:eastAsia="Calibri" w:hAnsi="Times New Roman" w:cs="Times New Roman"/>
                <w:b/>
                <w:bCs/>
                <w:i/>
                <w:sz w:val="20"/>
                <w:szCs w:val="20"/>
                <w:lang w:bidi="th-TH"/>
              </w:rPr>
            </w:pPr>
            <w:proofErr w:type="spellStart"/>
            <w:r w:rsidRPr="00443F3C">
              <w:rPr>
                <w:rFonts w:ascii="Times New Roman" w:eastAsia="Calibri" w:hAnsi="Times New Roman" w:cs="Times New Roman"/>
                <w:b/>
                <w:bCs/>
                <w:i/>
                <w:sz w:val="20"/>
                <w:szCs w:val="20"/>
                <w:lang w:bidi="th-TH"/>
              </w:rPr>
              <w:t>S.aureus</w:t>
            </w:r>
            <w:proofErr w:type="spellEnd"/>
            <w:r w:rsidRPr="00443F3C">
              <w:rPr>
                <w:rFonts w:ascii="Times New Roman" w:eastAsia="Calibri" w:hAnsi="Times New Roman" w:cs="Times New Roman"/>
                <w:b/>
                <w:bCs/>
                <w:i/>
                <w:sz w:val="20"/>
                <w:szCs w:val="20"/>
                <w:lang w:bidi="th-TH"/>
              </w:rPr>
              <w:t xml:space="preserve"> (%)</w:t>
            </w:r>
          </w:p>
        </w:tc>
        <w:tc>
          <w:tcPr>
            <w:tcW w:w="1057" w:type="dxa"/>
            <w:tcBorders>
              <w:top w:val="single" w:sz="4" w:space="0" w:color="auto"/>
              <w:bottom w:val="single" w:sz="4" w:space="0" w:color="auto"/>
            </w:tcBorders>
            <w:shd w:val="clear" w:color="auto" w:fill="E7E6E6" w:themeFill="background2"/>
          </w:tcPr>
          <w:p w:rsidR="00E83DDF" w:rsidRPr="00443F3C" w:rsidRDefault="00E83DDF" w:rsidP="00E83DDF">
            <w:pPr>
              <w:tabs>
                <w:tab w:val="left" w:pos="425"/>
              </w:tabs>
              <w:autoSpaceDE w:val="0"/>
              <w:autoSpaceDN w:val="0"/>
              <w:adjustRightInd w:val="0"/>
              <w:spacing w:before="40" w:line="240" w:lineRule="auto"/>
              <w:jc w:val="center"/>
              <w:rPr>
                <w:rFonts w:ascii="Times New Roman" w:eastAsia="Calibri" w:hAnsi="Times New Roman" w:cs="Times New Roman"/>
                <w:b/>
                <w:bCs/>
                <w:i/>
                <w:sz w:val="20"/>
                <w:szCs w:val="20"/>
                <w:lang w:bidi="th-TH"/>
              </w:rPr>
            </w:pPr>
            <w:proofErr w:type="spellStart"/>
            <w:r w:rsidRPr="00443F3C">
              <w:rPr>
                <w:rFonts w:ascii="Times New Roman" w:eastAsia="Calibri" w:hAnsi="Times New Roman" w:cs="Times New Roman"/>
                <w:b/>
                <w:bCs/>
                <w:i/>
                <w:sz w:val="20"/>
                <w:szCs w:val="20"/>
                <w:lang w:bidi="th-TH"/>
              </w:rPr>
              <w:t>E.coli</w:t>
            </w:r>
            <w:proofErr w:type="spellEnd"/>
            <w:r w:rsidRPr="00443F3C">
              <w:rPr>
                <w:rFonts w:ascii="Times New Roman" w:eastAsia="Calibri" w:hAnsi="Times New Roman" w:cs="Times New Roman"/>
                <w:b/>
                <w:bCs/>
                <w:i/>
                <w:sz w:val="20"/>
                <w:szCs w:val="20"/>
                <w:lang w:bidi="th-TH"/>
              </w:rPr>
              <w:t xml:space="preserve"> (%)</w:t>
            </w:r>
          </w:p>
        </w:tc>
        <w:tc>
          <w:tcPr>
            <w:tcW w:w="1535" w:type="dxa"/>
            <w:tcBorders>
              <w:top w:val="single" w:sz="4" w:space="0" w:color="auto"/>
              <w:bottom w:val="single" w:sz="4" w:space="0" w:color="auto"/>
            </w:tcBorders>
            <w:shd w:val="clear" w:color="auto" w:fill="E7E6E6" w:themeFill="background2"/>
          </w:tcPr>
          <w:p w:rsidR="00E83DDF" w:rsidRPr="00443F3C" w:rsidRDefault="00E83DDF" w:rsidP="00E83DDF">
            <w:pPr>
              <w:tabs>
                <w:tab w:val="left" w:pos="425"/>
              </w:tabs>
              <w:autoSpaceDE w:val="0"/>
              <w:autoSpaceDN w:val="0"/>
              <w:adjustRightInd w:val="0"/>
              <w:spacing w:before="40" w:line="240" w:lineRule="auto"/>
              <w:jc w:val="center"/>
              <w:rPr>
                <w:rFonts w:ascii="Times New Roman" w:eastAsia="Calibri" w:hAnsi="Times New Roman" w:cs="Times New Roman"/>
                <w:b/>
                <w:bCs/>
                <w:i/>
                <w:sz w:val="20"/>
                <w:szCs w:val="20"/>
                <w:lang w:bidi="th-TH"/>
              </w:rPr>
            </w:pPr>
            <w:proofErr w:type="spellStart"/>
            <w:r w:rsidRPr="00443F3C">
              <w:rPr>
                <w:rFonts w:ascii="Times New Roman" w:eastAsia="Calibri" w:hAnsi="Times New Roman" w:cs="Times New Roman"/>
                <w:b/>
                <w:bCs/>
                <w:i/>
                <w:sz w:val="20"/>
                <w:szCs w:val="20"/>
                <w:lang w:bidi="th-TH"/>
              </w:rPr>
              <w:t>B.pumilis</w:t>
            </w:r>
            <w:proofErr w:type="spellEnd"/>
            <w:r w:rsidRPr="00443F3C">
              <w:rPr>
                <w:rFonts w:ascii="Times New Roman" w:eastAsia="Calibri" w:hAnsi="Times New Roman" w:cs="Times New Roman"/>
                <w:b/>
                <w:bCs/>
                <w:i/>
                <w:sz w:val="20"/>
                <w:szCs w:val="20"/>
                <w:lang w:bidi="th-TH"/>
              </w:rPr>
              <w:t xml:space="preserve"> (%)</w:t>
            </w:r>
          </w:p>
        </w:tc>
        <w:tc>
          <w:tcPr>
            <w:tcW w:w="1259" w:type="dxa"/>
            <w:tcBorders>
              <w:top w:val="single" w:sz="4" w:space="0" w:color="auto"/>
              <w:bottom w:val="single" w:sz="4" w:space="0" w:color="auto"/>
            </w:tcBorders>
            <w:shd w:val="clear" w:color="auto" w:fill="E7E6E6" w:themeFill="background2"/>
          </w:tcPr>
          <w:p w:rsidR="00E83DDF" w:rsidRPr="00443F3C" w:rsidRDefault="00E83DDF" w:rsidP="00E83DDF">
            <w:pPr>
              <w:tabs>
                <w:tab w:val="left" w:pos="425"/>
              </w:tabs>
              <w:autoSpaceDE w:val="0"/>
              <w:autoSpaceDN w:val="0"/>
              <w:adjustRightInd w:val="0"/>
              <w:spacing w:before="40" w:line="240" w:lineRule="auto"/>
              <w:jc w:val="center"/>
              <w:rPr>
                <w:rFonts w:ascii="Times New Roman" w:eastAsia="Calibri" w:hAnsi="Times New Roman" w:cs="Times New Roman"/>
                <w:b/>
                <w:bCs/>
                <w:i/>
                <w:sz w:val="20"/>
                <w:szCs w:val="20"/>
                <w:lang w:bidi="th-TH"/>
              </w:rPr>
            </w:pPr>
            <w:proofErr w:type="spellStart"/>
            <w:r w:rsidRPr="00443F3C">
              <w:rPr>
                <w:rFonts w:ascii="Times New Roman" w:eastAsia="Calibri" w:hAnsi="Times New Roman" w:cs="Times New Roman"/>
                <w:b/>
                <w:bCs/>
                <w:i/>
                <w:sz w:val="20"/>
                <w:szCs w:val="20"/>
                <w:lang w:bidi="th-TH"/>
              </w:rPr>
              <w:t>S.typhi</w:t>
            </w:r>
            <w:proofErr w:type="spellEnd"/>
            <w:r w:rsidRPr="00443F3C">
              <w:rPr>
                <w:rFonts w:ascii="Times New Roman" w:eastAsia="Calibri" w:hAnsi="Times New Roman" w:cs="Times New Roman"/>
                <w:b/>
                <w:bCs/>
                <w:i/>
                <w:sz w:val="20"/>
                <w:szCs w:val="20"/>
                <w:lang w:bidi="th-TH"/>
              </w:rPr>
              <w:t xml:space="preserve"> (%)</w:t>
            </w:r>
          </w:p>
        </w:tc>
      </w:tr>
      <w:tr w:rsidR="00E83DDF" w:rsidRPr="00443F3C" w:rsidTr="00E83DDF">
        <w:trPr>
          <w:trHeight w:val="535"/>
        </w:trPr>
        <w:tc>
          <w:tcPr>
            <w:tcW w:w="695" w:type="dxa"/>
            <w:tcBorders>
              <w:top w:val="single" w:sz="4" w:space="0" w:color="auto"/>
            </w:tcBorders>
          </w:tcPr>
          <w:p w:rsidR="00E83DDF" w:rsidRPr="00443F3C" w:rsidRDefault="00E83DDF" w:rsidP="00E83DDF">
            <w:pPr>
              <w:tabs>
                <w:tab w:val="left" w:pos="425"/>
              </w:tabs>
              <w:autoSpaceDE w:val="0"/>
              <w:autoSpaceDN w:val="0"/>
              <w:adjustRightInd w:val="0"/>
              <w:spacing w:before="40" w:line="240" w:lineRule="auto"/>
              <w:jc w:val="center"/>
              <w:rPr>
                <w:rFonts w:ascii="Times New Roman" w:eastAsia="Calibri" w:hAnsi="Times New Roman" w:cs="Times New Roman"/>
                <w:bCs/>
                <w:sz w:val="20"/>
                <w:szCs w:val="20"/>
                <w:lang w:bidi="th-TH"/>
              </w:rPr>
            </w:pPr>
            <w:r w:rsidRPr="00443F3C">
              <w:rPr>
                <w:rFonts w:ascii="Times New Roman" w:eastAsia="Calibri" w:hAnsi="Times New Roman" w:cs="Times New Roman"/>
                <w:bCs/>
                <w:sz w:val="20"/>
                <w:szCs w:val="20"/>
                <w:lang w:bidi="th-TH"/>
              </w:rPr>
              <w:t>1</w:t>
            </w:r>
          </w:p>
        </w:tc>
        <w:tc>
          <w:tcPr>
            <w:tcW w:w="1261" w:type="dxa"/>
            <w:tcBorders>
              <w:top w:val="single" w:sz="4" w:space="0" w:color="auto"/>
            </w:tcBorders>
          </w:tcPr>
          <w:p w:rsidR="00E83DDF" w:rsidRPr="00443F3C" w:rsidRDefault="00E83DDF" w:rsidP="00E83DDF">
            <w:pPr>
              <w:tabs>
                <w:tab w:val="left" w:pos="425"/>
                <w:tab w:val="center" w:pos="960"/>
                <w:tab w:val="right" w:pos="1921"/>
              </w:tabs>
              <w:autoSpaceDE w:val="0"/>
              <w:autoSpaceDN w:val="0"/>
              <w:adjustRightInd w:val="0"/>
              <w:spacing w:before="40" w:line="240" w:lineRule="auto"/>
              <w:rPr>
                <w:rFonts w:ascii="Times New Roman" w:eastAsia="Calibri" w:hAnsi="Times New Roman" w:cs="Times New Roman"/>
                <w:b/>
                <w:bCs/>
                <w:sz w:val="20"/>
                <w:szCs w:val="20"/>
                <w:lang w:bidi="th-TH"/>
              </w:rPr>
            </w:pPr>
          </w:p>
        </w:tc>
        <w:tc>
          <w:tcPr>
            <w:tcW w:w="2137" w:type="dxa"/>
            <w:tcBorders>
              <w:top w:val="single" w:sz="4" w:space="0" w:color="auto"/>
            </w:tcBorders>
          </w:tcPr>
          <w:p w:rsidR="00E83DDF" w:rsidRPr="00443F3C" w:rsidRDefault="00E83DDF" w:rsidP="00E83DDF">
            <w:pPr>
              <w:tabs>
                <w:tab w:val="left" w:pos="425"/>
                <w:tab w:val="center" w:pos="960"/>
                <w:tab w:val="right" w:pos="1921"/>
              </w:tabs>
              <w:autoSpaceDE w:val="0"/>
              <w:autoSpaceDN w:val="0"/>
              <w:adjustRightInd w:val="0"/>
              <w:spacing w:before="40" w:line="240" w:lineRule="auto"/>
              <w:rPr>
                <w:rFonts w:ascii="Times New Roman" w:eastAsia="Calibri" w:hAnsi="Times New Roman" w:cs="Times New Roman"/>
                <w:b/>
                <w:bCs/>
                <w:sz w:val="20"/>
                <w:szCs w:val="20"/>
                <w:lang w:bidi="th-TH"/>
              </w:rPr>
            </w:pPr>
            <w:r w:rsidRPr="00443F3C">
              <w:rPr>
                <w:rFonts w:ascii="Times New Roman" w:eastAsia="Calibri" w:hAnsi="Times New Roman" w:cs="Times New Roman"/>
                <w:b/>
                <w:bCs/>
                <w:sz w:val="20"/>
                <w:szCs w:val="20"/>
                <w:lang w:bidi="th-TH"/>
              </w:rPr>
              <w:tab/>
            </w:r>
            <w:r w:rsidRPr="00443F3C">
              <w:rPr>
                <w:rFonts w:ascii="Times New Roman" w:eastAsia="Calibri" w:hAnsi="Times New Roman" w:cs="Times New Roman"/>
                <w:b/>
                <w:bCs/>
                <w:sz w:val="20"/>
                <w:szCs w:val="20"/>
                <w:lang w:bidi="th-TH"/>
              </w:rPr>
              <w:tab/>
              <w:t>L1</w:t>
            </w:r>
            <w:r w:rsidRPr="00443F3C">
              <w:rPr>
                <w:rFonts w:ascii="Times New Roman" w:eastAsia="Calibri" w:hAnsi="Times New Roman" w:cs="Times New Roman"/>
                <w:b/>
                <w:bCs/>
                <w:sz w:val="20"/>
                <w:szCs w:val="20"/>
                <w:lang w:bidi="th-TH"/>
              </w:rPr>
              <w:tab/>
            </w:r>
          </w:p>
        </w:tc>
        <w:tc>
          <w:tcPr>
            <w:tcW w:w="1416" w:type="dxa"/>
            <w:tcBorders>
              <w:top w:val="single" w:sz="4" w:space="0" w:color="auto"/>
            </w:tcBorders>
          </w:tcPr>
          <w:p w:rsidR="00E83DDF" w:rsidRPr="00443F3C" w:rsidRDefault="00E83DDF" w:rsidP="00E83DDF">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71.4</w:t>
            </w:r>
          </w:p>
        </w:tc>
        <w:tc>
          <w:tcPr>
            <w:tcW w:w="1057" w:type="dxa"/>
            <w:tcBorders>
              <w:top w:val="single" w:sz="4" w:space="0" w:color="auto"/>
            </w:tcBorders>
          </w:tcPr>
          <w:p w:rsidR="00E83DDF" w:rsidRPr="00443F3C" w:rsidRDefault="00E83DDF" w:rsidP="00E83DDF">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62.5</w:t>
            </w:r>
          </w:p>
        </w:tc>
        <w:tc>
          <w:tcPr>
            <w:tcW w:w="1535" w:type="dxa"/>
            <w:tcBorders>
              <w:top w:val="single" w:sz="4" w:space="0" w:color="auto"/>
            </w:tcBorders>
          </w:tcPr>
          <w:p w:rsidR="00E83DDF" w:rsidRPr="00443F3C" w:rsidRDefault="00E83DDF" w:rsidP="00E83DDF">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80.3</w:t>
            </w:r>
          </w:p>
        </w:tc>
        <w:tc>
          <w:tcPr>
            <w:tcW w:w="1259" w:type="dxa"/>
            <w:tcBorders>
              <w:top w:val="single" w:sz="4" w:space="0" w:color="auto"/>
            </w:tcBorders>
          </w:tcPr>
          <w:p w:rsidR="00E83DDF" w:rsidRPr="00443F3C" w:rsidRDefault="00E83DDF" w:rsidP="00E83DDF">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45.8</w:t>
            </w:r>
          </w:p>
        </w:tc>
      </w:tr>
      <w:tr w:rsidR="00E83DDF" w:rsidRPr="00443F3C" w:rsidTr="00E83DDF">
        <w:tc>
          <w:tcPr>
            <w:tcW w:w="695" w:type="dxa"/>
          </w:tcPr>
          <w:p w:rsidR="00E83DDF" w:rsidRPr="00443F3C" w:rsidRDefault="00E83DDF" w:rsidP="00E83DDF">
            <w:pPr>
              <w:tabs>
                <w:tab w:val="left" w:pos="425"/>
              </w:tabs>
              <w:autoSpaceDE w:val="0"/>
              <w:autoSpaceDN w:val="0"/>
              <w:adjustRightInd w:val="0"/>
              <w:spacing w:before="40" w:line="240" w:lineRule="auto"/>
              <w:jc w:val="center"/>
              <w:rPr>
                <w:rFonts w:ascii="Times New Roman" w:eastAsia="Calibri" w:hAnsi="Times New Roman" w:cs="Times New Roman"/>
                <w:bCs/>
                <w:sz w:val="20"/>
                <w:szCs w:val="20"/>
                <w:lang w:bidi="th-TH"/>
              </w:rPr>
            </w:pPr>
            <w:r w:rsidRPr="00443F3C">
              <w:rPr>
                <w:rFonts w:ascii="Times New Roman" w:eastAsia="Calibri" w:hAnsi="Times New Roman" w:cs="Times New Roman"/>
                <w:bCs/>
                <w:sz w:val="20"/>
                <w:szCs w:val="20"/>
                <w:lang w:bidi="th-TH"/>
              </w:rPr>
              <w:t>2</w:t>
            </w:r>
          </w:p>
        </w:tc>
        <w:tc>
          <w:tcPr>
            <w:tcW w:w="1261" w:type="dxa"/>
          </w:tcPr>
          <w:p w:rsidR="00E83DDF" w:rsidRPr="00443F3C" w:rsidRDefault="00E83DDF" w:rsidP="00E83DDF">
            <w:pPr>
              <w:tabs>
                <w:tab w:val="left" w:pos="425"/>
              </w:tabs>
              <w:autoSpaceDE w:val="0"/>
              <w:autoSpaceDN w:val="0"/>
              <w:adjustRightInd w:val="0"/>
              <w:spacing w:before="40" w:line="240" w:lineRule="auto"/>
              <w:jc w:val="center"/>
              <w:rPr>
                <w:rFonts w:ascii="Times New Roman" w:eastAsia="Calibri" w:hAnsi="Times New Roman" w:cs="Times New Roman"/>
                <w:b/>
                <w:bCs/>
                <w:sz w:val="20"/>
                <w:szCs w:val="20"/>
                <w:lang w:bidi="th-TH"/>
              </w:rPr>
            </w:pPr>
          </w:p>
        </w:tc>
        <w:tc>
          <w:tcPr>
            <w:tcW w:w="2137" w:type="dxa"/>
          </w:tcPr>
          <w:p w:rsidR="00E83DDF" w:rsidRPr="00443F3C" w:rsidRDefault="00E83DDF" w:rsidP="00E83DDF">
            <w:pPr>
              <w:tabs>
                <w:tab w:val="left" w:pos="425"/>
              </w:tabs>
              <w:autoSpaceDE w:val="0"/>
              <w:autoSpaceDN w:val="0"/>
              <w:adjustRightInd w:val="0"/>
              <w:spacing w:before="40" w:line="240" w:lineRule="auto"/>
              <w:jc w:val="center"/>
              <w:rPr>
                <w:rFonts w:ascii="Times New Roman" w:eastAsia="Calibri" w:hAnsi="Times New Roman" w:cs="Times New Roman"/>
                <w:b/>
                <w:bCs/>
                <w:sz w:val="20"/>
                <w:szCs w:val="20"/>
                <w:lang w:bidi="th-TH"/>
              </w:rPr>
            </w:pPr>
            <w:r w:rsidRPr="00443F3C">
              <w:rPr>
                <w:rFonts w:ascii="Times New Roman" w:eastAsia="Calibri" w:hAnsi="Times New Roman" w:cs="Times New Roman"/>
                <w:b/>
                <w:bCs/>
                <w:sz w:val="20"/>
                <w:szCs w:val="20"/>
                <w:lang w:bidi="th-TH"/>
              </w:rPr>
              <w:t>CrL1</w:t>
            </w:r>
          </w:p>
        </w:tc>
        <w:tc>
          <w:tcPr>
            <w:tcW w:w="1416" w:type="dxa"/>
          </w:tcPr>
          <w:p w:rsidR="00E83DDF" w:rsidRPr="00443F3C" w:rsidRDefault="00E83DDF" w:rsidP="00E83DDF">
            <w:pPr>
              <w:tabs>
                <w:tab w:val="left" w:pos="425"/>
              </w:tabs>
              <w:autoSpaceDE w:val="0"/>
              <w:autoSpaceDN w:val="0"/>
              <w:adjustRightInd w:val="0"/>
              <w:spacing w:before="40" w:line="240" w:lineRule="auto"/>
              <w:jc w:val="center"/>
              <w:rPr>
                <w:rFonts w:ascii="Times New Roman" w:eastAsia="Calibri" w:hAnsi="Times New Roman" w:cs="Times New Roman"/>
                <w:bCs/>
                <w:sz w:val="20"/>
                <w:szCs w:val="20"/>
                <w:lang w:bidi="th-TH"/>
              </w:rPr>
            </w:pPr>
            <w:r w:rsidRPr="00443F3C">
              <w:rPr>
                <w:rFonts w:ascii="Times New Roman" w:eastAsia="Calibri" w:hAnsi="Times New Roman" w:cs="Times New Roman"/>
                <w:bCs/>
                <w:sz w:val="20"/>
                <w:szCs w:val="20"/>
                <w:lang w:bidi="th-TH"/>
              </w:rPr>
              <w:t>A</w:t>
            </w:r>
          </w:p>
        </w:tc>
        <w:tc>
          <w:tcPr>
            <w:tcW w:w="1057" w:type="dxa"/>
          </w:tcPr>
          <w:p w:rsidR="00E83DDF" w:rsidRPr="00443F3C" w:rsidRDefault="00E83DDF" w:rsidP="00E83DDF">
            <w:pPr>
              <w:tabs>
                <w:tab w:val="left" w:pos="425"/>
              </w:tabs>
              <w:autoSpaceDE w:val="0"/>
              <w:autoSpaceDN w:val="0"/>
              <w:adjustRightInd w:val="0"/>
              <w:spacing w:before="40" w:line="240" w:lineRule="auto"/>
              <w:jc w:val="center"/>
              <w:rPr>
                <w:rFonts w:ascii="Times New Roman" w:eastAsia="Calibri" w:hAnsi="Times New Roman" w:cs="Times New Roman"/>
                <w:bCs/>
                <w:sz w:val="20"/>
                <w:szCs w:val="20"/>
                <w:lang w:bidi="th-TH"/>
              </w:rPr>
            </w:pPr>
            <w:r w:rsidRPr="00443F3C">
              <w:rPr>
                <w:rFonts w:ascii="Times New Roman" w:eastAsia="Calibri" w:hAnsi="Times New Roman" w:cs="Times New Roman"/>
                <w:bCs/>
                <w:sz w:val="20"/>
                <w:szCs w:val="20"/>
                <w:lang w:bidi="th-TH"/>
              </w:rPr>
              <w:t>A</w:t>
            </w:r>
          </w:p>
        </w:tc>
        <w:tc>
          <w:tcPr>
            <w:tcW w:w="1535" w:type="dxa"/>
          </w:tcPr>
          <w:p w:rsidR="00E83DDF" w:rsidRPr="00443F3C" w:rsidRDefault="00E83DDF" w:rsidP="00E83DDF">
            <w:pPr>
              <w:tabs>
                <w:tab w:val="left" w:pos="425"/>
              </w:tabs>
              <w:autoSpaceDE w:val="0"/>
              <w:autoSpaceDN w:val="0"/>
              <w:adjustRightInd w:val="0"/>
              <w:spacing w:before="40" w:line="240" w:lineRule="auto"/>
              <w:jc w:val="center"/>
              <w:rPr>
                <w:rFonts w:ascii="Times New Roman" w:eastAsia="Calibri" w:hAnsi="Times New Roman" w:cs="Times New Roman"/>
                <w:bCs/>
                <w:sz w:val="20"/>
                <w:szCs w:val="20"/>
                <w:lang w:bidi="th-TH"/>
              </w:rPr>
            </w:pPr>
            <w:r w:rsidRPr="00443F3C">
              <w:rPr>
                <w:rFonts w:ascii="Times New Roman" w:eastAsia="Calibri" w:hAnsi="Times New Roman" w:cs="Times New Roman"/>
                <w:bCs/>
                <w:sz w:val="20"/>
                <w:szCs w:val="20"/>
                <w:lang w:bidi="th-TH"/>
              </w:rPr>
              <w:t>40.7</w:t>
            </w:r>
          </w:p>
        </w:tc>
        <w:tc>
          <w:tcPr>
            <w:tcW w:w="1259" w:type="dxa"/>
          </w:tcPr>
          <w:p w:rsidR="00E83DDF" w:rsidRPr="00443F3C" w:rsidRDefault="00E83DDF" w:rsidP="00E83DDF">
            <w:pPr>
              <w:tabs>
                <w:tab w:val="left" w:pos="425"/>
              </w:tabs>
              <w:autoSpaceDE w:val="0"/>
              <w:autoSpaceDN w:val="0"/>
              <w:adjustRightInd w:val="0"/>
              <w:spacing w:before="40" w:line="240" w:lineRule="auto"/>
              <w:jc w:val="center"/>
              <w:rPr>
                <w:rFonts w:ascii="Times New Roman" w:eastAsia="Calibri" w:hAnsi="Times New Roman" w:cs="Times New Roman"/>
                <w:bCs/>
                <w:sz w:val="20"/>
                <w:szCs w:val="20"/>
                <w:lang w:bidi="th-TH"/>
              </w:rPr>
            </w:pPr>
            <w:r w:rsidRPr="00443F3C">
              <w:rPr>
                <w:rFonts w:ascii="Times New Roman" w:eastAsia="Calibri" w:hAnsi="Times New Roman" w:cs="Times New Roman"/>
                <w:bCs/>
                <w:sz w:val="20"/>
                <w:szCs w:val="20"/>
                <w:lang w:bidi="th-TH"/>
              </w:rPr>
              <w:t>A</w:t>
            </w:r>
          </w:p>
        </w:tc>
      </w:tr>
      <w:tr w:rsidR="00E83DDF" w:rsidRPr="00443F3C" w:rsidTr="00E83DDF">
        <w:tc>
          <w:tcPr>
            <w:tcW w:w="695" w:type="dxa"/>
          </w:tcPr>
          <w:p w:rsidR="00E83DDF" w:rsidRPr="00443F3C" w:rsidRDefault="00E83DDF" w:rsidP="00E83DDF">
            <w:pPr>
              <w:tabs>
                <w:tab w:val="left" w:pos="425"/>
              </w:tabs>
              <w:autoSpaceDE w:val="0"/>
              <w:autoSpaceDN w:val="0"/>
              <w:adjustRightInd w:val="0"/>
              <w:spacing w:before="40" w:line="240" w:lineRule="auto"/>
              <w:jc w:val="center"/>
              <w:rPr>
                <w:rFonts w:ascii="Times New Roman" w:eastAsia="Calibri" w:hAnsi="Times New Roman" w:cs="Times New Roman"/>
                <w:bCs/>
                <w:sz w:val="20"/>
                <w:szCs w:val="20"/>
                <w:lang w:bidi="th-TH"/>
              </w:rPr>
            </w:pPr>
            <w:r w:rsidRPr="00443F3C">
              <w:rPr>
                <w:rFonts w:ascii="Times New Roman" w:eastAsia="Calibri" w:hAnsi="Times New Roman" w:cs="Times New Roman"/>
                <w:bCs/>
                <w:sz w:val="20"/>
                <w:szCs w:val="20"/>
                <w:lang w:bidi="th-TH"/>
              </w:rPr>
              <w:t>3</w:t>
            </w:r>
          </w:p>
        </w:tc>
        <w:tc>
          <w:tcPr>
            <w:tcW w:w="1261" w:type="dxa"/>
          </w:tcPr>
          <w:p w:rsidR="00E83DDF" w:rsidRPr="00443F3C" w:rsidRDefault="00E83DDF" w:rsidP="00E83DDF">
            <w:pPr>
              <w:tabs>
                <w:tab w:val="left" w:pos="425"/>
              </w:tabs>
              <w:autoSpaceDE w:val="0"/>
              <w:autoSpaceDN w:val="0"/>
              <w:adjustRightInd w:val="0"/>
              <w:spacing w:before="40" w:line="240" w:lineRule="auto"/>
              <w:jc w:val="center"/>
              <w:rPr>
                <w:rFonts w:ascii="Times New Roman" w:eastAsia="Calibri" w:hAnsi="Times New Roman" w:cs="Times New Roman"/>
                <w:b/>
                <w:bCs/>
                <w:sz w:val="20"/>
                <w:szCs w:val="20"/>
                <w:lang w:bidi="th-TH"/>
              </w:rPr>
            </w:pPr>
          </w:p>
        </w:tc>
        <w:tc>
          <w:tcPr>
            <w:tcW w:w="2137" w:type="dxa"/>
          </w:tcPr>
          <w:p w:rsidR="00E83DDF" w:rsidRPr="00443F3C" w:rsidRDefault="00E83DDF" w:rsidP="00E83DDF">
            <w:pPr>
              <w:tabs>
                <w:tab w:val="left" w:pos="425"/>
              </w:tabs>
              <w:autoSpaceDE w:val="0"/>
              <w:autoSpaceDN w:val="0"/>
              <w:adjustRightInd w:val="0"/>
              <w:spacing w:before="40" w:line="240" w:lineRule="auto"/>
              <w:jc w:val="center"/>
              <w:rPr>
                <w:rFonts w:ascii="Times New Roman" w:eastAsia="Calibri" w:hAnsi="Times New Roman" w:cs="Times New Roman"/>
                <w:b/>
                <w:bCs/>
                <w:sz w:val="20"/>
                <w:szCs w:val="20"/>
                <w:lang w:bidi="th-TH"/>
              </w:rPr>
            </w:pPr>
            <w:r w:rsidRPr="00443F3C">
              <w:rPr>
                <w:rFonts w:ascii="Times New Roman" w:eastAsia="Calibri" w:hAnsi="Times New Roman" w:cs="Times New Roman"/>
                <w:b/>
                <w:bCs/>
                <w:sz w:val="20"/>
                <w:szCs w:val="20"/>
                <w:lang w:bidi="th-TH"/>
              </w:rPr>
              <w:t>CoL1</w:t>
            </w:r>
          </w:p>
        </w:tc>
        <w:tc>
          <w:tcPr>
            <w:tcW w:w="1416" w:type="dxa"/>
          </w:tcPr>
          <w:p w:rsidR="00E83DDF" w:rsidRPr="00443F3C" w:rsidRDefault="00E83DDF" w:rsidP="00E83DDF">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95.21</w:t>
            </w:r>
          </w:p>
        </w:tc>
        <w:tc>
          <w:tcPr>
            <w:tcW w:w="1057" w:type="dxa"/>
          </w:tcPr>
          <w:p w:rsidR="00E83DDF" w:rsidRPr="00443F3C" w:rsidRDefault="00E83DDF" w:rsidP="00E83DDF">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99.1</w:t>
            </w:r>
          </w:p>
        </w:tc>
        <w:tc>
          <w:tcPr>
            <w:tcW w:w="1535" w:type="dxa"/>
          </w:tcPr>
          <w:p w:rsidR="00E83DDF" w:rsidRPr="00443F3C" w:rsidRDefault="00E83DDF" w:rsidP="00E83DDF">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81.4</w:t>
            </w:r>
          </w:p>
        </w:tc>
        <w:tc>
          <w:tcPr>
            <w:tcW w:w="1259" w:type="dxa"/>
          </w:tcPr>
          <w:p w:rsidR="00E83DDF" w:rsidRPr="00443F3C" w:rsidRDefault="00E83DDF" w:rsidP="00E83DDF">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50.0</w:t>
            </w:r>
          </w:p>
        </w:tc>
      </w:tr>
      <w:tr w:rsidR="00E83DDF" w:rsidRPr="00443F3C" w:rsidTr="00E83DDF">
        <w:tc>
          <w:tcPr>
            <w:tcW w:w="695" w:type="dxa"/>
          </w:tcPr>
          <w:p w:rsidR="00E83DDF" w:rsidRPr="00443F3C" w:rsidRDefault="00E83DDF" w:rsidP="00E83DDF">
            <w:pPr>
              <w:tabs>
                <w:tab w:val="left" w:pos="425"/>
              </w:tabs>
              <w:autoSpaceDE w:val="0"/>
              <w:autoSpaceDN w:val="0"/>
              <w:adjustRightInd w:val="0"/>
              <w:spacing w:before="40" w:line="240" w:lineRule="auto"/>
              <w:jc w:val="center"/>
              <w:rPr>
                <w:rFonts w:ascii="Times New Roman" w:eastAsia="Calibri" w:hAnsi="Times New Roman" w:cs="Times New Roman"/>
                <w:bCs/>
                <w:sz w:val="20"/>
                <w:szCs w:val="20"/>
                <w:lang w:bidi="th-TH"/>
              </w:rPr>
            </w:pPr>
            <w:r w:rsidRPr="00443F3C">
              <w:rPr>
                <w:rFonts w:ascii="Times New Roman" w:eastAsia="Calibri" w:hAnsi="Times New Roman" w:cs="Times New Roman"/>
                <w:bCs/>
                <w:sz w:val="20"/>
                <w:szCs w:val="20"/>
                <w:lang w:bidi="th-TH"/>
              </w:rPr>
              <w:t>4</w:t>
            </w:r>
          </w:p>
        </w:tc>
        <w:tc>
          <w:tcPr>
            <w:tcW w:w="1261" w:type="dxa"/>
          </w:tcPr>
          <w:p w:rsidR="00E83DDF" w:rsidRPr="00443F3C" w:rsidRDefault="00E83DDF" w:rsidP="00E83DDF">
            <w:pPr>
              <w:tabs>
                <w:tab w:val="left" w:pos="425"/>
              </w:tabs>
              <w:autoSpaceDE w:val="0"/>
              <w:autoSpaceDN w:val="0"/>
              <w:adjustRightInd w:val="0"/>
              <w:spacing w:before="40" w:line="240" w:lineRule="auto"/>
              <w:jc w:val="center"/>
              <w:rPr>
                <w:rFonts w:ascii="Times New Roman" w:eastAsia="Calibri" w:hAnsi="Times New Roman" w:cs="Times New Roman"/>
                <w:b/>
                <w:bCs/>
                <w:sz w:val="20"/>
                <w:szCs w:val="20"/>
                <w:lang w:bidi="th-TH"/>
              </w:rPr>
            </w:pPr>
          </w:p>
        </w:tc>
        <w:tc>
          <w:tcPr>
            <w:tcW w:w="2137" w:type="dxa"/>
          </w:tcPr>
          <w:p w:rsidR="00E83DDF" w:rsidRPr="00443F3C" w:rsidRDefault="00E83DDF" w:rsidP="00E83DDF">
            <w:pPr>
              <w:tabs>
                <w:tab w:val="left" w:pos="425"/>
              </w:tabs>
              <w:autoSpaceDE w:val="0"/>
              <w:autoSpaceDN w:val="0"/>
              <w:adjustRightInd w:val="0"/>
              <w:spacing w:before="40" w:line="240" w:lineRule="auto"/>
              <w:jc w:val="center"/>
              <w:rPr>
                <w:rFonts w:ascii="Times New Roman" w:eastAsia="Calibri" w:hAnsi="Times New Roman" w:cs="Times New Roman"/>
                <w:b/>
                <w:bCs/>
                <w:sz w:val="20"/>
                <w:szCs w:val="20"/>
                <w:lang w:bidi="th-TH"/>
              </w:rPr>
            </w:pPr>
            <w:r w:rsidRPr="00443F3C">
              <w:rPr>
                <w:rFonts w:ascii="Times New Roman" w:eastAsia="Calibri" w:hAnsi="Times New Roman" w:cs="Times New Roman"/>
                <w:b/>
                <w:bCs/>
                <w:sz w:val="20"/>
                <w:szCs w:val="20"/>
                <w:lang w:bidi="th-TH"/>
              </w:rPr>
              <w:t>NiL1</w:t>
            </w:r>
          </w:p>
        </w:tc>
        <w:tc>
          <w:tcPr>
            <w:tcW w:w="1416" w:type="dxa"/>
          </w:tcPr>
          <w:p w:rsidR="00E83DDF" w:rsidRPr="00443F3C" w:rsidRDefault="00E83DDF" w:rsidP="00E83DDF">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44.6</w:t>
            </w:r>
          </w:p>
        </w:tc>
        <w:tc>
          <w:tcPr>
            <w:tcW w:w="1057" w:type="dxa"/>
          </w:tcPr>
          <w:p w:rsidR="00E83DDF" w:rsidRPr="00443F3C" w:rsidRDefault="00E83DDF" w:rsidP="00E83DDF">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45.8</w:t>
            </w:r>
          </w:p>
        </w:tc>
        <w:tc>
          <w:tcPr>
            <w:tcW w:w="1535" w:type="dxa"/>
          </w:tcPr>
          <w:p w:rsidR="00E83DDF" w:rsidRPr="00443F3C" w:rsidRDefault="00E83DDF" w:rsidP="00E83DDF">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40</w:t>
            </w:r>
          </w:p>
        </w:tc>
        <w:tc>
          <w:tcPr>
            <w:tcW w:w="1259" w:type="dxa"/>
          </w:tcPr>
          <w:p w:rsidR="00E83DDF" w:rsidRPr="00443F3C" w:rsidRDefault="00E83DDF" w:rsidP="00E83DDF">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50.0</w:t>
            </w:r>
          </w:p>
        </w:tc>
      </w:tr>
      <w:tr w:rsidR="00E83DDF" w:rsidRPr="00443F3C" w:rsidTr="00E83DDF">
        <w:tc>
          <w:tcPr>
            <w:tcW w:w="695" w:type="dxa"/>
          </w:tcPr>
          <w:p w:rsidR="00E83DDF" w:rsidRPr="00443F3C" w:rsidRDefault="00E83DDF" w:rsidP="00E83DDF">
            <w:pPr>
              <w:tabs>
                <w:tab w:val="left" w:pos="425"/>
              </w:tabs>
              <w:autoSpaceDE w:val="0"/>
              <w:autoSpaceDN w:val="0"/>
              <w:adjustRightInd w:val="0"/>
              <w:spacing w:before="40" w:line="240" w:lineRule="auto"/>
              <w:jc w:val="center"/>
              <w:rPr>
                <w:rFonts w:ascii="Times New Roman" w:eastAsia="Calibri" w:hAnsi="Times New Roman" w:cs="Times New Roman"/>
                <w:bCs/>
                <w:sz w:val="20"/>
                <w:szCs w:val="20"/>
                <w:lang w:bidi="th-TH"/>
              </w:rPr>
            </w:pPr>
            <w:r w:rsidRPr="00443F3C">
              <w:rPr>
                <w:rFonts w:ascii="Times New Roman" w:eastAsia="Calibri" w:hAnsi="Times New Roman" w:cs="Times New Roman"/>
                <w:bCs/>
                <w:sz w:val="20"/>
                <w:szCs w:val="20"/>
                <w:lang w:bidi="th-TH"/>
              </w:rPr>
              <w:t>5</w:t>
            </w:r>
          </w:p>
        </w:tc>
        <w:tc>
          <w:tcPr>
            <w:tcW w:w="1261" w:type="dxa"/>
          </w:tcPr>
          <w:p w:rsidR="00E83DDF" w:rsidRPr="00443F3C" w:rsidRDefault="00E83DDF" w:rsidP="00E83DDF">
            <w:pPr>
              <w:tabs>
                <w:tab w:val="left" w:pos="425"/>
              </w:tabs>
              <w:autoSpaceDE w:val="0"/>
              <w:autoSpaceDN w:val="0"/>
              <w:adjustRightInd w:val="0"/>
              <w:spacing w:before="40" w:line="240" w:lineRule="auto"/>
              <w:jc w:val="center"/>
              <w:rPr>
                <w:rFonts w:ascii="Times New Roman" w:eastAsia="Calibri" w:hAnsi="Times New Roman" w:cs="Times New Roman"/>
                <w:b/>
                <w:bCs/>
                <w:sz w:val="20"/>
                <w:szCs w:val="20"/>
                <w:lang w:bidi="th-TH"/>
              </w:rPr>
            </w:pPr>
          </w:p>
        </w:tc>
        <w:tc>
          <w:tcPr>
            <w:tcW w:w="2137" w:type="dxa"/>
          </w:tcPr>
          <w:p w:rsidR="00E83DDF" w:rsidRPr="00443F3C" w:rsidRDefault="00E83DDF" w:rsidP="00E83DDF">
            <w:pPr>
              <w:tabs>
                <w:tab w:val="left" w:pos="425"/>
              </w:tabs>
              <w:autoSpaceDE w:val="0"/>
              <w:autoSpaceDN w:val="0"/>
              <w:adjustRightInd w:val="0"/>
              <w:spacing w:before="40" w:line="240" w:lineRule="auto"/>
              <w:jc w:val="center"/>
              <w:rPr>
                <w:rFonts w:ascii="Times New Roman" w:eastAsia="Calibri" w:hAnsi="Times New Roman" w:cs="Times New Roman"/>
                <w:b/>
                <w:bCs/>
                <w:sz w:val="20"/>
                <w:szCs w:val="20"/>
                <w:lang w:bidi="th-TH"/>
              </w:rPr>
            </w:pPr>
            <w:r w:rsidRPr="00443F3C">
              <w:rPr>
                <w:rFonts w:ascii="Times New Roman" w:eastAsia="Calibri" w:hAnsi="Times New Roman" w:cs="Times New Roman"/>
                <w:b/>
                <w:bCs/>
                <w:sz w:val="20"/>
                <w:szCs w:val="20"/>
                <w:lang w:bidi="th-TH"/>
              </w:rPr>
              <w:t>MnL1</w:t>
            </w:r>
          </w:p>
        </w:tc>
        <w:tc>
          <w:tcPr>
            <w:tcW w:w="1416" w:type="dxa"/>
          </w:tcPr>
          <w:p w:rsidR="00E83DDF" w:rsidRPr="00443F3C" w:rsidRDefault="00E83DDF" w:rsidP="00E83DDF">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47.6</w:t>
            </w:r>
          </w:p>
        </w:tc>
        <w:tc>
          <w:tcPr>
            <w:tcW w:w="1057" w:type="dxa"/>
          </w:tcPr>
          <w:p w:rsidR="00E83DDF" w:rsidRPr="00443F3C" w:rsidRDefault="00E83DDF" w:rsidP="00E83DDF">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A</w:t>
            </w:r>
          </w:p>
        </w:tc>
        <w:tc>
          <w:tcPr>
            <w:tcW w:w="1535" w:type="dxa"/>
          </w:tcPr>
          <w:p w:rsidR="00E83DDF" w:rsidRPr="00443F3C" w:rsidRDefault="00E83DDF" w:rsidP="00E83DDF">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46.2</w:t>
            </w:r>
          </w:p>
        </w:tc>
        <w:tc>
          <w:tcPr>
            <w:tcW w:w="1259" w:type="dxa"/>
          </w:tcPr>
          <w:p w:rsidR="00E83DDF" w:rsidRPr="00443F3C" w:rsidRDefault="00E83DDF" w:rsidP="00E83DDF">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A</w:t>
            </w:r>
          </w:p>
        </w:tc>
      </w:tr>
      <w:tr w:rsidR="00E83DDF" w:rsidRPr="00443F3C" w:rsidTr="00E83DDF">
        <w:tc>
          <w:tcPr>
            <w:tcW w:w="695" w:type="dxa"/>
          </w:tcPr>
          <w:p w:rsidR="00E83DDF" w:rsidRPr="00443F3C" w:rsidRDefault="00E83DDF" w:rsidP="00E83DDF">
            <w:pPr>
              <w:tabs>
                <w:tab w:val="left" w:pos="425"/>
              </w:tabs>
              <w:autoSpaceDE w:val="0"/>
              <w:autoSpaceDN w:val="0"/>
              <w:adjustRightInd w:val="0"/>
              <w:spacing w:before="40" w:line="240" w:lineRule="auto"/>
              <w:jc w:val="center"/>
              <w:rPr>
                <w:rFonts w:ascii="Times New Roman" w:eastAsia="Calibri" w:hAnsi="Times New Roman" w:cs="Times New Roman"/>
                <w:bCs/>
                <w:sz w:val="20"/>
                <w:szCs w:val="20"/>
                <w:lang w:bidi="th-TH"/>
              </w:rPr>
            </w:pPr>
            <w:r w:rsidRPr="00443F3C">
              <w:rPr>
                <w:rFonts w:ascii="Times New Roman" w:eastAsia="Calibri" w:hAnsi="Times New Roman" w:cs="Times New Roman"/>
                <w:bCs/>
                <w:sz w:val="20"/>
                <w:szCs w:val="20"/>
                <w:lang w:bidi="th-TH"/>
              </w:rPr>
              <w:t>6</w:t>
            </w:r>
          </w:p>
        </w:tc>
        <w:tc>
          <w:tcPr>
            <w:tcW w:w="1261" w:type="dxa"/>
          </w:tcPr>
          <w:p w:rsidR="00E83DDF" w:rsidRPr="00443F3C" w:rsidRDefault="00E83DDF" w:rsidP="00E83DDF">
            <w:pPr>
              <w:tabs>
                <w:tab w:val="left" w:pos="425"/>
              </w:tabs>
              <w:autoSpaceDE w:val="0"/>
              <w:autoSpaceDN w:val="0"/>
              <w:adjustRightInd w:val="0"/>
              <w:spacing w:before="40" w:line="240" w:lineRule="auto"/>
              <w:jc w:val="center"/>
              <w:rPr>
                <w:rFonts w:ascii="Times New Roman" w:eastAsia="Calibri" w:hAnsi="Times New Roman" w:cs="Times New Roman"/>
                <w:b/>
                <w:bCs/>
                <w:sz w:val="20"/>
                <w:szCs w:val="20"/>
                <w:lang w:bidi="th-TH"/>
              </w:rPr>
            </w:pPr>
          </w:p>
        </w:tc>
        <w:tc>
          <w:tcPr>
            <w:tcW w:w="2137" w:type="dxa"/>
          </w:tcPr>
          <w:p w:rsidR="00E83DDF" w:rsidRPr="00443F3C" w:rsidRDefault="00E83DDF" w:rsidP="00E83DDF">
            <w:pPr>
              <w:tabs>
                <w:tab w:val="left" w:pos="425"/>
              </w:tabs>
              <w:autoSpaceDE w:val="0"/>
              <w:autoSpaceDN w:val="0"/>
              <w:adjustRightInd w:val="0"/>
              <w:spacing w:before="40" w:line="240" w:lineRule="auto"/>
              <w:jc w:val="center"/>
              <w:rPr>
                <w:rFonts w:ascii="Times New Roman" w:eastAsia="Calibri" w:hAnsi="Times New Roman" w:cs="Times New Roman"/>
                <w:b/>
                <w:bCs/>
                <w:sz w:val="20"/>
                <w:szCs w:val="20"/>
                <w:lang w:bidi="th-TH"/>
              </w:rPr>
            </w:pPr>
            <w:r w:rsidRPr="00443F3C">
              <w:rPr>
                <w:rFonts w:ascii="Times New Roman" w:eastAsia="Calibri" w:hAnsi="Times New Roman" w:cs="Times New Roman"/>
                <w:b/>
                <w:bCs/>
                <w:sz w:val="20"/>
                <w:szCs w:val="20"/>
                <w:lang w:bidi="th-TH"/>
              </w:rPr>
              <w:t>CuL1</w:t>
            </w:r>
          </w:p>
        </w:tc>
        <w:tc>
          <w:tcPr>
            <w:tcW w:w="1416" w:type="dxa"/>
          </w:tcPr>
          <w:p w:rsidR="00E83DDF" w:rsidRPr="00443F3C" w:rsidRDefault="00E83DDF" w:rsidP="00E83DDF">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52.3</w:t>
            </w:r>
          </w:p>
        </w:tc>
        <w:tc>
          <w:tcPr>
            <w:tcW w:w="1057" w:type="dxa"/>
          </w:tcPr>
          <w:p w:rsidR="00E83DDF" w:rsidRPr="00443F3C" w:rsidRDefault="00E83DDF" w:rsidP="00E83DDF">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A</w:t>
            </w:r>
          </w:p>
        </w:tc>
        <w:tc>
          <w:tcPr>
            <w:tcW w:w="1535" w:type="dxa"/>
          </w:tcPr>
          <w:p w:rsidR="00E83DDF" w:rsidRPr="00443F3C" w:rsidRDefault="00E83DDF" w:rsidP="00E83DDF">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44.4</w:t>
            </w:r>
          </w:p>
        </w:tc>
        <w:tc>
          <w:tcPr>
            <w:tcW w:w="1259" w:type="dxa"/>
          </w:tcPr>
          <w:p w:rsidR="00E83DDF" w:rsidRPr="00443F3C" w:rsidRDefault="00E83DDF" w:rsidP="00E83DDF">
            <w:pPr>
              <w:spacing w:line="240" w:lineRule="auto"/>
              <w:jc w:val="center"/>
              <w:rPr>
                <w:rFonts w:ascii="Times New Roman" w:hAnsi="Times New Roman" w:cs="Times New Roman"/>
                <w:sz w:val="20"/>
                <w:szCs w:val="20"/>
              </w:rPr>
            </w:pPr>
            <w:r w:rsidRPr="00443F3C">
              <w:rPr>
                <w:rFonts w:ascii="Times New Roman" w:hAnsi="Times New Roman" w:cs="Times New Roman"/>
                <w:sz w:val="20"/>
                <w:szCs w:val="20"/>
              </w:rPr>
              <w:t>48.0</w:t>
            </w:r>
          </w:p>
        </w:tc>
      </w:tr>
    </w:tbl>
    <w:p w:rsidR="00E83DDF" w:rsidRPr="00BB5681" w:rsidRDefault="00E83DDF" w:rsidP="00E83DDF">
      <w:pPr>
        <w:autoSpaceDE w:val="0"/>
        <w:autoSpaceDN w:val="0"/>
        <w:adjustRightInd w:val="0"/>
        <w:spacing w:after="0" w:line="240" w:lineRule="auto"/>
        <w:jc w:val="both"/>
        <w:rPr>
          <w:rFonts w:ascii="Times New Roman" w:hAnsi="Times New Roman" w:cs="Times New Roman"/>
          <w:sz w:val="20"/>
          <w:szCs w:val="20"/>
        </w:rPr>
      </w:pPr>
      <w:r w:rsidRPr="00BB5681">
        <w:rPr>
          <w:rFonts w:ascii="Times New Roman" w:hAnsi="Times New Roman" w:cs="Times New Roman"/>
          <w:sz w:val="20"/>
          <w:szCs w:val="20"/>
        </w:rPr>
        <w:t>Antimicrobial activity, expressed as inhibition zone diameter in millimeters (mm), of synthesized compounds against pathological strains based on agar well diffusion assays at 1 mg mL</w:t>
      </w:r>
      <w:r w:rsidRPr="00BB5681">
        <w:rPr>
          <w:rFonts w:ascii="Times New Roman" w:hAnsi="Times New Roman" w:cs="Times New Roman"/>
          <w:sz w:val="20"/>
          <w:szCs w:val="20"/>
          <w:vertAlign w:val="superscript"/>
        </w:rPr>
        <w:t>-1</w:t>
      </w:r>
      <w:r w:rsidRPr="00BB5681">
        <w:rPr>
          <w:rFonts w:ascii="Times New Roman" w:hAnsi="Times New Roman" w:cs="Times New Roman"/>
          <w:sz w:val="20"/>
          <w:szCs w:val="20"/>
        </w:rPr>
        <w:t>. The experiment was carried out in triplicate and the average zone of inhibition was calculated.</w:t>
      </w:r>
    </w:p>
    <w:p w:rsidR="00E83DDF" w:rsidRPr="00BB5681" w:rsidRDefault="00E83DDF" w:rsidP="00E83DDF">
      <w:pPr>
        <w:tabs>
          <w:tab w:val="left" w:pos="425"/>
        </w:tabs>
        <w:autoSpaceDE w:val="0"/>
        <w:autoSpaceDN w:val="0"/>
        <w:adjustRightInd w:val="0"/>
        <w:spacing w:before="40" w:after="0" w:line="480" w:lineRule="auto"/>
        <w:jc w:val="both"/>
        <w:rPr>
          <w:rFonts w:ascii="Times New Roman" w:eastAsia="Calibri" w:hAnsi="Times New Roman" w:cs="Times New Roman"/>
          <w:b/>
          <w:bCs/>
          <w:sz w:val="20"/>
          <w:szCs w:val="20"/>
          <w:lang w:bidi="th-TH"/>
        </w:rPr>
        <w:sectPr w:rsidR="00E83DDF" w:rsidRPr="00BB5681" w:rsidSect="006813A4">
          <w:pgSz w:w="11907" w:h="16839" w:code="9"/>
          <w:pgMar w:top="1440" w:right="1440" w:bottom="1440" w:left="1440" w:header="709" w:footer="709" w:gutter="0"/>
          <w:lnNumType w:countBy="1" w:restart="continuous"/>
          <w:cols w:space="708"/>
          <w:docGrid w:linePitch="360"/>
        </w:sectPr>
      </w:pPr>
      <w:r>
        <w:rPr>
          <w:rFonts w:ascii="Times New Roman" w:hAnsi="Times New Roman" w:cs="Times New Roman"/>
          <w:sz w:val="20"/>
          <w:szCs w:val="20"/>
        </w:rPr>
        <w:t>A = Non active inhibition zone</w:t>
      </w:r>
    </w:p>
    <w:p w:rsidR="003A6E3C" w:rsidRDefault="003A6E3C" w:rsidP="009B5CC1">
      <w:pPr>
        <w:spacing w:after="0" w:line="360" w:lineRule="auto"/>
        <w:contextualSpacing/>
        <w:jc w:val="both"/>
        <w:rPr>
          <w:rFonts w:ascii="Times New Roman" w:hAnsi="Times New Roman" w:cs="Times New Roman"/>
          <w:sz w:val="24"/>
          <w:szCs w:val="24"/>
        </w:rPr>
      </w:pPr>
      <w:r w:rsidRPr="009B5CC1">
        <w:rPr>
          <w:rFonts w:ascii="Times New Roman" w:hAnsi="Times New Roman" w:cs="Times New Roman"/>
          <w:sz w:val="24"/>
          <w:szCs w:val="24"/>
        </w:rPr>
        <w:lastRenderedPageBreak/>
        <w:t>The efficiency of compounds was categorized into three classes such as sensitive, transitional and resistant. The reported analysis is in consistent with our findings that if a compound is found to be sensitive, it could be a valuable medication against bacterial disease. Though, non-active compounds are found to be as least resistant</w:t>
      </w:r>
      <w:r w:rsidR="00B72588">
        <w:rPr>
          <w:rFonts w:ascii="Times New Roman" w:hAnsi="Times New Roman" w:cs="Times New Roman"/>
          <w:sz w:val="24"/>
          <w:szCs w:val="24"/>
        </w:rPr>
        <w:t>.</w:t>
      </w:r>
      <w:r w:rsidRPr="009B5CC1">
        <w:rPr>
          <w:rFonts w:ascii="Times New Roman" w:hAnsi="Times New Roman" w:cs="Times New Roman"/>
          <w:sz w:val="24"/>
          <w:szCs w:val="24"/>
        </w:rPr>
        <w:fldChar w:fldCharType="begin" w:fldLock="1"/>
      </w:r>
      <w:r w:rsidR="00276B78">
        <w:rPr>
          <w:rFonts w:ascii="Times New Roman" w:hAnsi="Times New Roman" w:cs="Times New Roman"/>
          <w:sz w:val="24"/>
          <w:szCs w:val="24"/>
        </w:rPr>
        <w:instrText>ADDIN CSL_CITATION {"citationItems":[{"id":"ITEM-1","itemData":{"ISBN":"1970198419","author":[{"dropping-particle":"","family":"Kirbag","given":"Sevda","non-dropping-particle":"","parse-names":false,"suffix":""},{"dropping-particle":"","family":"Zengin","given":"Fikriye","non-dropping-particle":"","parse-names":false,"suffix":""},{"dropping-particle":"","family":"Fac","given":"Science","non-dropping-particle":"","parse-names":false,"suffix":""},{"dropping-particle":"","family":"Processing","given":"Food","non-dropping-particle":"","parse-names":false,"suffix":""}],"container-title":"Antimicrobial Activities of Some Euphorbia Species","id":"ITEM-1","issue":"12","issued":{"date-parts":[["2013"]]},"page":"305-309","title":"4 1 305","type":"article-journal","volume":"10"},"uris":["http://www.mendeley.com/documents/?uuid=a57d2ba2-ce00-400c-be56-5d93ae8632ad"]},{"id":"ITEM-2","itemData":{"DOI":"10.1016/j.ejps.2021.105834","ISSN":"18790720","PMID":"33826936","abstract":"Gold(III) complexes have been studied for the past years due to their anticancer properties and great affinity to biotargets, such as enzymes and proteins, which support their pharmacological applications. Within this scope, in this work the antiproliferative activities of two Au(III)-thiosemicarbazonate complexes, [AuClL1] (1, L1: (E,Z)-N-ethyl-N'-(3-nitroso-kN)butan-2-ylidene)carbamohydrazonothioato-k2N2,S) and [Au(Hdamp)L2]Cl (2, L2: N-(N'',N''-diethylaminothiocarbonyl)-N'(N''', N'''-dimethylcarbothioamide)benzamidineto-kN,k2S and Hdamp: 2-(N,N-dimethylaminomethyl)-phenyl-C1), and their affinities to possible biological targets were investigated. Three different tumor cell lines were used to perform the cytotoxicity assays, including one cisplatin-resistant model, and the results showed lower EC50 for 1 over 2 in every case: B16F10 (4.1 μM and 15.6 μM), A431 (4.0 μM and &gt;50 μM) and OVCAR3 (4.2 μM and 24.5 μM). However, a lower toxicity to fibroblast 3T3 cell line was observed for 2 (30.58 μM) when compared to 1 (7.17 μM), resulting in comparable therapeutic indexes. Both complexes presented strong affinity to HSA: they distorted the secondary structure of the protein, as verified by circular dichroism, but 1 additionally presented the apparent fluorescence quenching constant (Kapp) ten times greater than 2, which was probably due to the fact of 1 being able to denature HSA. The ethidium bromide displacement assay showed that neither 1 nor 2 are strong DNA intercalators, which is in agreement with what was observed through the UV-vis titration. In both cases, the 260 nm band presented hyperchromism, which can indicate ionic interactions or DNA damage. In fact, 1 was able to damage the pGEM plasmid, similarly to cisplatin, as verified by agarose gel electrophoresis and Atomic Force Microscopy. Biophysical studies in cancer cells model membranes were also performed in order to investigate the interaction of the gold complexes to lipid bilayers and revealed that the compounds interact with the membranes by exhibiting partition coefficients of 103 order of magnitude. Overall, both complexes were found to be promising candidates for the development of a future anticancer drug against low sensitive or cisplatin resistant tumors.","author":[{"dropping-particle":"","family":"Posssato","given":"Bruna","non-dropping-particle":"","parse-names":false,"suffix":""},{"dropping-particle":"","family":"Dalmolin","given":"Luciana Falcco","non-dropping-particle":"","parse-names":false,"suffix":""},{"dropping-particle":"","family":"Pereira","given":"Luiz Miguel","non-dropping-particle":"","parse-names":false,"suffix":""},{"dropping-particle":"","family":"Alves","given":"Jacqueline Querino","non-dropping-particle":"","parse-names":false,"suffix":""},{"dropping-particle":"","family":"Silva","given":"Raphael Tristão Cruvinel","non-dropping-particle":"","parse-names":false,"suffix":""},{"dropping-particle":"","family":"Gelamo","given":"Rogerio Valentim","non-dropping-particle":"","parse-names":false,"suffix":""},{"dropping-particle":"","family":"Yatsuda","given":"Ana Patrícia","non-dropping-particle":"","parse-names":false,"suffix":""},{"dropping-particle":"","family":"Lopez","given":"Renata Fonseca Vianna","non-dropping-particle":"","parse-names":false,"suffix":""},{"dropping-particle":"","family":"Albuquerque","given":"Sérgio","non-dropping-particle":"de","parse-names":false,"suffix":""},{"dropping-particle":"","family":"Leite","given":"Natália Bueno","non-dropping-particle":"","parse-names":false,"suffix":""},{"dropping-particle":"","family":"Maia","given":"Pedro Ivo da Silva","non-dropping-particle":"","parse-names":false,"suffix":""}],"container-title":"European Journal of Pharmaceutical Sciences","id":"ITEM-2","issue":"April","issued":{"date-parts":[["2021"]]},"title":"Gold(III) complexes with thiosemicarbazonate ligands as potential anticancer agents: Cytotoxicity and interactions with biomolecular targets","type":"article-journal","volume":"162"},"uris":["http://www.mendeley.com/documents/?uuid=df26e1ce-fac1-498f-8326-45e7dfd46ba9"]},{"id":"ITEM-3","itemData":{"DOI":"10.1136/bjsports-2018-100338","ISSN":"14730480","PMID":"30705232","abstract":"Sport-related concussion (SRC) is a common injury in recreational and organised sport. Over the past 30 years, there has been significant progress in our scientific understanding of SRC, which in turn has driven the development of clinical guidelines for diagnosis, assessment and management of SRC. In addition to a growing need for knowledgeable healthcare professionals to provide evidence-based care for athletes with SRC, media attention and legislation have created awareness and, in some cases, fear about many issues and unknowns surrounding SRC. The American Medical Society for Sports Medicine (AMSSM) formed a writing group to review the existing literature on SRC, update its previous position statement, and to address current evidence and knowledge gaps regarding SRC. The absence of definitive outcomes-based data is challenging and requires relying on the best available evidence integrated with clinical experience and patient values. This statement reviews the definition, pathophysiology and epidemiology of SRC, the diagnosis and management of both acute and persistent concussion symptoms, the short-term and long-term risks of SRC and repetitive head impact exposure, SRC prevention strategies, and potential future directions for SRC research. The AMSSM is committed to best clinical practices, evidence-based research and educational initiatives that positively impact the health and safety of athletes.","author":[{"dropping-particle":"","family":"Harmon","given":"Kimberly G.","non-dropping-particle":"","parse-names":false,"suffix":""},{"dropping-particle":"","family":"Clugston","given":"James R.","non-dropping-particle":"","parse-names":false,"suffix":""},{"dropping-particle":"","family":"Dec","given":"Katherine","non-dropping-particle":"","parse-names":false,"suffix":""},{"dropping-particle":"","family":"Hainline","given":"Brian","non-dropping-particle":"","parse-names":false,"suffix":""},{"dropping-particle":"","family":"Herring","given":"Stanley","non-dropping-particle":"","parse-names":false,"suffix":""},{"dropping-particle":"","family":"Kane","given":"Shawn F.","non-dropping-particle":"","parse-names":false,"suffix":""},{"dropping-particle":"","family":"Kontos","given":"Anthony P.","non-dropping-particle":"","parse-names":false,"suffix":""},{"dropping-particle":"","family":"Leddy","given":"John J.","non-dropping-particle":"","parse-names":false,"suffix":""},{"dropping-particle":"","family":"McCrea","given":"Michael","non-dropping-particle":"","parse-names":false,"suffix":""},{"dropping-particle":"","family":"Poddar","given":"Sourav K.","non-dropping-particle":"","parse-names":false,"suffix":""},{"dropping-particle":"","family":"Putukian","given":"Margot","non-dropping-particle":"","parse-names":false,"suffix":""},{"dropping-particle":"","family":"Wilson","given":"Julie C.","non-dropping-particle":"","parse-names":false,"suffix":""},{"dropping-particle":"","family":"Roberts","given":"William O.","non-dropping-particle":"","parse-names":false,"suffix":""}],"container-title":"British Journal of Sports Medicine","id":"ITEM-3","issue":"4","issued":{"date-parts":[["2019"]]},"page":"213-225","title":"American Medical Society for Sports Medicine position statement on concussion in sport","type":"article-journal","volume":"53"},"uris":["http://www.mendeley.com/documents/?uuid=2b78cd27-1602-4085-91ba-5367d04e8b2f"]}],"mendeley":{"formattedCitation":"&lt;sup&gt;23,39,40&lt;/sup&gt;","plainTextFormattedCitation":"23,39,40","previouslyFormattedCitation":"&lt;sup&gt;23,39,40&lt;/sup&gt;"},"properties":{"noteIndex":0},"schema":"https://github.com/citation-style-language/schema/raw/master/csl-citation.json"}</w:instrText>
      </w:r>
      <w:r w:rsidRPr="009B5CC1">
        <w:rPr>
          <w:rFonts w:ascii="Times New Roman" w:hAnsi="Times New Roman" w:cs="Times New Roman"/>
          <w:sz w:val="24"/>
          <w:szCs w:val="24"/>
        </w:rPr>
        <w:fldChar w:fldCharType="separate"/>
      </w:r>
      <w:r w:rsidR="00276B78" w:rsidRPr="00276B78">
        <w:rPr>
          <w:rFonts w:ascii="Times New Roman" w:hAnsi="Times New Roman" w:cs="Times New Roman"/>
          <w:noProof/>
          <w:sz w:val="24"/>
          <w:szCs w:val="24"/>
          <w:vertAlign w:val="superscript"/>
        </w:rPr>
        <w:t>23,39,40</w:t>
      </w:r>
      <w:r w:rsidRPr="009B5CC1">
        <w:rPr>
          <w:rFonts w:ascii="Times New Roman" w:hAnsi="Times New Roman" w:cs="Times New Roman"/>
          <w:sz w:val="24"/>
          <w:szCs w:val="24"/>
        </w:rPr>
        <w:fldChar w:fldCharType="end"/>
      </w:r>
      <w:r w:rsidRPr="009B5CC1">
        <w:rPr>
          <w:sz w:val="24"/>
          <w:szCs w:val="24"/>
        </w:rPr>
        <w:t xml:space="preserve"> </w:t>
      </w:r>
      <w:r w:rsidRPr="009B5CC1">
        <w:rPr>
          <w:rFonts w:asciiTheme="majorBidi" w:hAnsiTheme="majorBidi" w:cstheme="majorBidi"/>
          <w:sz w:val="24"/>
          <w:szCs w:val="24"/>
        </w:rPr>
        <w:t>In contrast to the ligand a</w:t>
      </w:r>
      <w:r w:rsidRPr="009B5CC1">
        <w:rPr>
          <w:sz w:val="24"/>
          <w:szCs w:val="24"/>
        </w:rPr>
        <w:t xml:space="preserve">n </w:t>
      </w:r>
      <w:r w:rsidRPr="009B5CC1">
        <w:rPr>
          <w:rFonts w:ascii="Times New Roman" w:hAnsi="Times New Roman" w:cs="Times New Roman"/>
          <w:sz w:val="24"/>
          <w:szCs w:val="24"/>
        </w:rPr>
        <w:t>enhanced antibacterial potential was observed in metal complexes. Consequently, opening new ways in the fight against antibiotic resistance. This is because of coordination (ligand to metal) which could be best explained on the basis of chelation theory</w:t>
      </w:r>
      <w:r w:rsidR="00B72588">
        <w:rPr>
          <w:rFonts w:ascii="Times New Roman" w:hAnsi="Times New Roman" w:cs="Times New Roman"/>
          <w:sz w:val="24"/>
          <w:szCs w:val="24"/>
        </w:rPr>
        <w:t>.</w:t>
      </w:r>
      <w:r w:rsidRPr="009B5CC1">
        <w:rPr>
          <w:rFonts w:ascii="Times New Roman" w:hAnsi="Times New Roman" w:cs="Times New Roman"/>
          <w:sz w:val="24"/>
          <w:szCs w:val="24"/>
        </w:rPr>
        <w:fldChar w:fldCharType="begin" w:fldLock="1"/>
      </w:r>
      <w:r w:rsidR="00276B78">
        <w:rPr>
          <w:rFonts w:ascii="Times New Roman" w:hAnsi="Times New Roman" w:cs="Times New Roman"/>
          <w:sz w:val="24"/>
          <w:szCs w:val="24"/>
        </w:rPr>
        <w:instrText>ADDIN CSL_CITATION {"citationItems":[{"id":"ITEM-1","itemData":{"DOI":"10.1016/j.inoche.2013.06.014","ISSN":"13877003","abstract":"Six new transition metal complexes derived from the reaction of 4(4-(dimethylamino) benzylideneamino) benzoic acid and Mn(II), Fe(II), Co(II), Ni(II), Cu(II) and Zn(II) cations, were prepared, isolated and characterized by a range of spectral and analytical methods including UV/Vis, FT IR, NMR, MS, powder XRD, TGA and SEM. The complexes were formed with the deprotonation of the ligand and presented typical six-coordinated octahedral geometry. In addition, the biological activity was evaluated by conducting in vitro anti-bacterial, anti-fungal and anti-leishmanial screenings. All the complexes were found more active than the ligand, while complex 7 revealed biological significance. © 2013 Elsevier B.V.","author":[{"dropping-particle":"","family":"Khan","given":"M. I.","non-dropping-particle":"","parse-names":false,"suffix":""},{"dropping-particle":"","family":"Khan","given":"Ayub","non-dropping-particle":"","parse-names":false,"suffix":""},{"dropping-particle":"","family":"Hussain","given":"Iqbal","non-dropping-particle":"","parse-names":false,"suffix":""},{"dropping-particle":"","family":"Khan","given":"Murad Ali","non-dropping-particle":"","parse-names":false,"suffix":""},{"dropping-particle":"","family":"Gul","given":"Saima","non-dropping-particle":"","parse-names":false,"suffix":""},{"dropping-particle":"","family":"Iqbal","given":"Mohammad","non-dropping-particle":"","parse-names":false,"suffix":""},{"dropping-particle":"","family":"Inayat-Ur-Rahman","given":"","non-dropping-particle":"","parse-names":false,"suffix":""},{"dropping-particle":"","family":"Khuda","given":"Fazli","non-dropping-particle":"","parse-names":false,"suffix":""}],"container-title":"Inorganic Chemistry Communications","id":"ITEM-1","issue":"June","issued":{"date-parts":[["2013"]]},"page":"104-109","publisher":"Elsevier B.V.","title":"Spectral, XRD, SEM and biological properties of new mononuclear Schiff base transition metal complexes","type":"article-journal","volume":"35"},"uris":["http://www.mendeley.com/documents/?uuid=a4d72b6f-a895-43f5-a2bd-dd433487e49c"]},{"id":"ITEM-2","itemData":{"DOI":"10.1007/s11030-019-09950-7","ISBN":"0123456789","ISSN":"1573501X","PMID":"30955150","abstract":"Abstract: Quaternary or spirocyclic 3-substituted-3-hydroxy-2-oxindole is considered a privileged scaffold. In other words, it is a molecular core present on several compounds with a wide spectrum of biological activities. Among its precursors, activated ketones (isatin nucleus) can be used as interesting starting points to Morita–Baylis–Hillman adducts derivatives, a class of compounds with good cytotoxic potential. In this paper, we present the synthesis, anti-proliferative activity against lung cancer cell line and a theoretical conformational study of 21 of Morita–Baylis–Hillman adducts from isatin derivatives, by DFT quantum chemical calculations, followed by a SAR and QSAR analysis. Besides, an efficient synthetic protocol and good biological activity profile were highlighted interesting observations about 1H NMR experimental spectra, molecular modeling results and crystallographic data available. Graphical abstract: [Figure not available: see fulltext.]","author":[{"dropping-particle":"","family":"Brito","given":"Vinicius B.M.","non-dropping-particle":"","parse-names":false,"suffix":""},{"dropping-particle":"","family":"Santos","given":"Gilmar F.","non-dropping-particle":"","parse-names":false,"suffix":""},{"dropping-particle":"","family":"Silva","given":"Thiago D.S.","non-dropping-particle":"","parse-names":false,"suffix":""},{"dropping-particle":"","family":"Souza","given":"Júlia L.C.","non-dropping-particle":"","parse-names":false,"suffix":""},{"dropping-particle":"","family":"Militão","given":"Gardenia C.G.","non-dropping-particle":"","parse-names":false,"suffix":""},{"dropping-particle":"","family":"Martins","given":"Felipe T.","non-dropping-particle":"","parse-names":false,"suffix":""},{"dropping-particle":"","family":"Silva","given":"Fábio P.L.","non-dropping-particle":"","parse-names":false,"suffix":""},{"dropping-particle":"","family":"Oliveira","given":"Boaz G.","non-dropping-particle":"","parse-names":false,"suffix":""},{"dropping-particle":"","family":"Araújo","given":"Edigenia C.C.","non-dropping-particle":"","parse-names":false,"suffix":""},{"dropping-particle":"","family":"Vasconcellos","given":"Mário L.A.A.","non-dropping-particle":"","parse-names":false,"suffix":""},{"dropping-particle":"","family":"Lima-Júnior","given":"Claudio G.","non-dropping-particle":"","parse-names":false,"suffix":""},{"dropping-particle":"","family":"Alencar-Filho","given":"Edilson B.","non-dropping-particle":"","parse-names":false,"suffix":""}],"container-title":"Molecular Diversity","id":"ITEM-2","issue":"1","issued":{"date-parts":[["2020"]]},"page":"265-281","publisher":"Springer International Publishing","title":"Synthesis, anti-proliferative activity, theoretical and 1H NMR experimental studies of Morita–Baylis–Hillman adducts from isatin derivatives","type":"article-journal","volume":"24"},"uris":["http://www.mendeley.com/documents/?uuid=1bd7385c-5227-40f7-994c-c2fe9884aca5"]}],"mendeley":{"formattedCitation":"&lt;sup&gt;16,41&lt;/sup&gt;","plainTextFormattedCitation":"16,41","previouslyFormattedCitation":"&lt;sup&gt;16,41&lt;/sup&gt;"},"properties":{"noteIndex":0},"schema":"https://github.com/citation-style-language/schema/raw/master/csl-citation.json"}</w:instrText>
      </w:r>
      <w:r w:rsidRPr="009B5CC1">
        <w:rPr>
          <w:rFonts w:ascii="Times New Roman" w:hAnsi="Times New Roman" w:cs="Times New Roman"/>
          <w:sz w:val="24"/>
          <w:szCs w:val="24"/>
        </w:rPr>
        <w:fldChar w:fldCharType="separate"/>
      </w:r>
      <w:r w:rsidR="00276B78" w:rsidRPr="00276B78">
        <w:rPr>
          <w:rFonts w:ascii="Times New Roman" w:hAnsi="Times New Roman" w:cs="Times New Roman"/>
          <w:noProof/>
          <w:sz w:val="24"/>
          <w:szCs w:val="24"/>
          <w:vertAlign w:val="superscript"/>
        </w:rPr>
        <w:t>16,41</w:t>
      </w:r>
      <w:r w:rsidRPr="009B5CC1">
        <w:rPr>
          <w:rFonts w:ascii="Times New Roman" w:hAnsi="Times New Roman" w:cs="Times New Roman"/>
          <w:sz w:val="24"/>
          <w:szCs w:val="24"/>
        </w:rPr>
        <w:fldChar w:fldCharType="end"/>
      </w:r>
      <w:r w:rsidRPr="009B5CC1">
        <w:rPr>
          <w:rFonts w:ascii="Times New Roman" w:hAnsi="Times New Roman" w:cs="Times New Roman"/>
          <w:sz w:val="24"/>
          <w:szCs w:val="24"/>
        </w:rPr>
        <w:t xml:space="preserve"> </w:t>
      </w:r>
      <w:proofErr w:type="gramStart"/>
      <w:r w:rsidRPr="009B5CC1">
        <w:rPr>
          <w:rFonts w:ascii="Times New Roman" w:hAnsi="Times New Roman" w:cs="Times New Roman"/>
          <w:sz w:val="24"/>
          <w:szCs w:val="24"/>
        </w:rPr>
        <w:t>The</w:t>
      </w:r>
      <w:proofErr w:type="gramEnd"/>
      <w:r w:rsidRPr="009B5CC1">
        <w:rPr>
          <w:rFonts w:ascii="Times New Roman" w:hAnsi="Times New Roman" w:cs="Times New Roman"/>
          <w:sz w:val="24"/>
          <w:szCs w:val="24"/>
        </w:rPr>
        <w:t xml:space="preserve"> comparison of antiba</w:t>
      </w:r>
      <w:r w:rsidR="008B7DB0">
        <w:rPr>
          <w:rFonts w:ascii="Times New Roman" w:hAnsi="Times New Roman" w:cs="Times New Roman"/>
          <w:sz w:val="24"/>
          <w:szCs w:val="24"/>
        </w:rPr>
        <w:t xml:space="preserve">cterial activity, shown in Fig. </w:t>
      </w:r>
      <w:r w:rsidRPr="009B5CC1">
        <w:rPr>
          <w:rFonts w:ascii="Times New Roman" w:hAnsi="Times New Roman" w:cs="Times New Roman"/>
          <w:sz w:val="24"/>
          <w:szCs w:val="24"/>
        </w:rPr>
        <w:t xml:space="preserve">7 confirms that metal complex of cobalt (compound </w:t>
      </w:r>
      <w:r w:rsidRPr="009B5CC1">
        <w:rPr>
          <w:rFonts w:ascii="Times New Roman" w:hAnsi="Times New Roman" w:cs="Times New Roman"/>
          <w:b/>
          <w:sz w:val="24"/>
          <w:szCs w:val="24"/>
        </w:rPr>
        <w:t>5</w:t>
      </w:r>
      <w:r w:rsidRPr="009B5CC1">
        <w:rPr>
          <w:rFonts w:ascii="Times New Roman" w:hAnsi="Times New Roman" w:cs="Times New Roman"/>
          <w:sz w:val="24"/>
          <w:szCs w:val="24"/>
        </w:rPr>
        <w:t xml:space="preserve">) was highly active than its corresponding MBHA ligand against all bacterial strains. It is evident from the results that all metal complexes and MBHA are significantly active against </w:t>
      </w:r>
      <w:proofErr w:type="spellStart"/>
      <w:r w:rsidRPr="009B5CC1">
        <w:rPr>
          <w:rFonts w:ascii="Times New Roman" w:hAnsi="Times New Roman" w:cs="Times New Roman"/>
          <w:i/>
          <w:sz w:val="24"/>
          <w:szCs w:val="24"/>
        </w:rPr>
        <w:t>B.pumilis</w:t>
      </w:r>
      <w:proofErr w:type="spellEnd"/>
      <w:r w:rsidRPr="009B5CC1">
        <w:rPr>
          <w:rFonts w:ascii="Times New Roman" w:hAnsi="Times New Roman" w:cs="Times New Roman"/>
          <w:i/>
          <w:sz w:val="24"/>
          <w:szCs w:val="24"/>
        </w:rPr>
        <w:t>,</w:t>
      </w:r>
      <w:r w:rsidRPr="009B5CC1">
        <w:rPr>
          <w:rFonts w:ascii="Times New Roman" w:hAnsi="Times New Roman" w:cs="Times New Roman"/>
          <w:sz w:val="24"/>
          <w:szCs w:val="24"/>
        </w:rPr>
        <w:t xml:space="preserve"> however, chromium (compound </w:t>
      </w:r>
      <w:r w:rsidRPr="009B5CC1">
        <w:rPr>
          <w:rFonts w:ascii="Times New Roman" w:hAnsi="Times New Roman" w:cs="Times New Roman"/>
          <w:b/>
          <w:sz w:val="24"/>
          <w:szCs w:val="24"/>
        </w:rPr>
        <w:t>4</w:t>
      </w:r>
      <w:r w:rsidRPr="009B5CC1">
        <w:rPr>
          <w:rFonts w:ascii="Times New Roman" w:hAnsi="Times New Roman" w:cs="Times New Roman"/>
          <w:sz w:val="24"/>
          <w:szCs w:val="24"/>
        </w:rPr>
        <w:t>) complex is completely resistive against the remaining bacterial strains (</w:t>
      </w:r>
      <w:proofErr w:type="spellStart"/>
      <w:r w:rsidRPr="009B5CC1">
        <w:rPr>
          <w:rFonts w:ascii="Times New Roman" w:hAnsi="Times New Roman" w:cs="Times New Roman"/>
          <w:i/>
          <w:sz w:val="24"/>
          <w:szCs w:val="24"/>
        </w:rPr>
        <w:t>S.aureus</w:t>
      </w:r>
      <w:proofErr w:type="spellEnd"/>
      <w:r w:rsidRPr="009B5CC1">
        <w:rPr>
          <w:rFonts w:ascii="Times New Roman" w:hAnsi="Times New Roman" w:cs="Times New Roman"/>
          <w:i/>
          <w:sz w:val="24"/>
          <w:szCs w:val="24"/>
        </w:rPr>
        <w:t xml:space="preserve">, </w:t>
      </w:r>
      <w:proofErr w:type="spellStart"/>
      <w:r w:rsidRPr="009B5CC1">
        <w:rPr>
          <w:rFonts w:ascii="Times New Roman" w:hAnsi="Times New Roman" w:cs="Times New Roman"/>
          <w:i/>
          <w:sz w:val="24"/>
          <w:szCs w:val="24"/>
        </w:rPr>
        <w:t>E.coli</w:t>
      </w:r>
      <w:proofErr w:type="spellEnd"/>
      <w:r w:rsidRPr="009B5CC1">
        <w:rPr>
          <w:rFonts w:ascii="Times New Roman" w:hAnsi="Times New Roman" w:cs="Times New Roman"/>
          <w:i/>
          <w:sz w:val="24"/>
          <w:szCs w:val="24"/>
        </w:rPr>
        <w:t xml:space="preserve">, </w:t>
      </w:r>
      <w:proofErr w:type="spellStart"/>
      <w:r w:rsidRPr="009B5CC1">
        <w:rPr>
          <w:rFonts w:ascii="Times New Roman" w:hAnsi="Times New Roman" w:cs="Times New Roman"/>
          <w:i/>
          <w:sz w:val="24"/>
          <w:szCs w:val="24"/>
        </w:rPr>
        <w:t>S.typhi</w:t>
      </w:r>
      <w:proofErr w:type="spellEnd"/>
      <w:r w:rsidRPr="009B5CC1">
        <w:rPr>
          <w:rFonts w:ascii="Times New Roman" w:hAnsi="Times New Roman" w:cs="Times New Roman"/>
          <w:sz w:val="24"/>
          <w:szCs w:val="24"/>
        </w:rPr>
        <w:t xml:space="preserve">). It is interesting to note that compound </w:t>
      </w:r>
      <w:r w:rsidRPr="009B5CC1">
        <w:rPr>
          <w:rFonts w:ascii="Times New Roman" w:hAnsi="Times New Roman" w:cs="Times New Roman"/>
          <w:b/>
          <w:sz w:val="24"/>
          <w:szCs w:val="24"/>
        </w:rPr>
        <w:t>7</w:t>
      </w:r>
      <w:r w:rsidRPr="009B5CC1">
        <w:rPr>
          <w:rFonts w:ascii="Times New Roman" w:hAnsi="Times New Roman" w:cs="Times New Roman"/>
          <w:sz w:val="24"/>
          <w:szCs w:val="24"/>
        </w:rPr>
        <w:t xml:space="preserve"> (manganese complex)</w:t>
      </w:r>
      <w:r w:rsidR="008B7DB0">
        <w:rPr>
          <w:rFonts w:ascii="Times New Roman" w:hAnsi="Times New Roman" w:cs="Times New Roman"/>
          <w:sz w:val="24"/>
          <w:szCs w:val="24"/>
        </w:rPr>
        <w:t xml:space="preserve"> is found non-reactive against two</w:t>
      </w:r>
      <w:r w:rsidRPr="009B5CC1">
        <w:rPr>
          <w:rFonts w:ascii="Times New Roman" w:hAnsi="Times New Roman" w:cs="Times New Roman"/>
          <w:sz w:val="24"/>
          <w:szCs w:val="24"/>
        </w:rPr>
        <w:t xml:space="preserve"> bacterial strains (</w:t>
      </w:r>
      <w:proofErr w:type="spellStart"/>
      <w:r w:rsidRPr="009B5CC1">
        <w:rPr>
          <w:rFonts w:ascii="Times New Roman" w:hAnsi="Times New Roman" w:cs="Times New Roman"/>
          <w:i/>
          <w:sz w:val="24"/>
          <w:szCs w:val="24"/>
        </w:rPr>
        <w:t>E.coli</w:t>
      </w:r>
      <w:proofErr w:type="spellEnd"/>
      <w:r w:rsidRPr="009B5CC1">
        <w:rPr>
          <w:rFonts w:ascii="Times New Roman" w:hAnsi="Times New Roman" w:cs="Times New Roman"/>
          <w:i/>
          <w:sz w:val="24"/>
          <w:szCs w:val="24"/>
        </w:rPr>
        <w:t xml:space="preserve"> and S. </w:t>
      </w:r>
      <w:proofErr w:type="spellStart"/>
      <w:r w:rsidRPr="009B5CC1">
        <w:rPr>
          <w:rFonts w:ascii="Times New Roman" w:hAnsi="Times New Roman" w:cs="Times New Roman"/>
          <w:i/>
          <w:sz w:val="24"/>
          <w:szCs w:val="24"/>
        </w:rPr>
        <w:t>typhi</w:t>
      </w:r>
      <w:proofErr w:type="spellEnd"/>
      <w:r w:rsidRPr="009B5CC1">
        <w:rPr>
          <w:rFonts w:ascii="Times New Roman" w:hAnsi="Times New Roman" w:cs="Times New Roman"/>
          <w:sz w:val="24"/>
          <w:szCs w:val="24"/>
        </w:rPr>
        <w:t xml:space="preserve">), while compound </w:t>
      </w:r>
      <w:r w:rsidRPr="009B5CC1">
        <w:rPr>
          <w:rFonts w:ascii="Times New Roman" w:hAnsi="Times New Roman" w:cs="Times New Roman"/>
          <w:b/>
          <w:sz w:val="24"/>
          <w:szCs w:val="24"/>
        </w:rPr>
        <w:t>8</w:t>
      </w:r>
      <w:r w:rsidRPr="009B5CC1">
        <w:rPr>
          <w:rFonts w:ascii="Times New Roman" w:hAnsi="Times New Roman" w:cs="Times New Roman"/>
          <w:sz w:val="24"/>
          <w:szCs w:val="24"/>
        </w:rPr>
        <w:t xml:space="preserve"> (copper complex) is resistant against </w:t>
      </w:r>
      <w:proofErr w:type="spellStart"/>
      <w:r w:rsidRPr="009B5CC1">
        <w:rPr>
          <w:rFonts w:ascii="Times New Roman" w:hAnsi="Times New Roman" w:cs="Times New Roman"/>
          <w:i/>
          <w:sz w:val="24"/>
          <w:szCs w:val="24"/>
        </w:rPr>
        <w:t>E.coli</w:t>
      </w:r>
      <w:proofErr w:type="spellEnd"/>
      <w:r w:rsidRPr="009B5CC1">
        <w:rPr>
          <w:rFonts w:ascii="Times New Roman" w:hAnsi="Times New Roman" w:cs="Times New Roman"/>
          <w:i/>
          <w:sz w:val="24"/>
          <w:szCs w:val="24"/>
        </w:rPr>
        <w:t xml:space="preserve"> </w:t>
      </w:r>
      <w:r w:rsidRPr="009B5CC1">
        <w:rPr>
          <w:rFonts w:ascii="Times New Roman" w:hAnsi="Times New Roman" w:cs="Times New Roman"/>
          <w:iCs/>
          <w:sz w:val="24"/>
          <w:szCs w:val="24"/>
        </w:rPr>
        <w:t>only</w:t>
      </w:r>
      <w:r w:rsidRPr="009B5CC1">
        <w:rPr>
          <w:rFonts w:ascii="Times New Roman" w:hAnsi="Times New Roman" w:cs="Times New Roman"/>
          <w:sz w:val="24"/>
          <w:szCs w:val="24"/>
        </w:rPr>
        <w:t>. Thus, all remaining complexes indicate extremely positive activity against the bacterial strains.</w:t>
      </w:r>
    </w:p>
    <w:p w:rsidR="00947764" w:rsidRDefault="00947764" w:rsidP="00FB0D7E">
      <w:pPr>
        <w:jc w:val="center"/>
        <w:rPr>
          <w:rFonts w:ascii="Times New Roman" w:hAnsi="Times New Roman" w:cs="Times New Roman"/>
          <w:b/>
          <w:noProof/>
          <w:sz w:val="24"/>
          <w:szCs w:val="24"/>
        </w:rPr>
      </w:pPr>
    </w:p>
    <w:p w:rsidR="00E639BA" w:rsidRDefault="00941797" w:rsidP="00FB0D7E">
      <w:pPr>
        <w:jc w:val="center"/>
        <w:rPr>
          <w:rFonts w:ascii="Times New Roman" w:hAnsi="Times New Roman" w:cs="Times New Roman"/>
          <w:b/>
          <w:sz w:val="24"/>
          <w:szCs w:val="24"/>
        </w:rPr>
      </w:pPr>
      <w:r w:rsidRPr="00941797">
        <w:rPr>
          <w:rFonts w:ascii="Times New Roman" w:hAnsi="Times New Roman" w:cs="Times New Roman"/>
          <w:b/>
          <w:noProof/>
          <w:sz w:val="24"/>
          <w:szCs w:val="24"/>
        </w:rPr>
        <w:drawing>
          <wp:inline distT="0" distB="0" distL="0" distR="0">
            <wp:extent cx="5619750" cy="2948305"/>
            <wp:effectExtent l="0" t="0" r="0" b="4445"/>
            <wp:docPr id="18" name="Picture 18" descr="C:\Users\USER\Desktop\Research meterials\Acta Solvenica Chemica\Fig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Research meterials\Acta Solvenica Chemica\Figure. 7.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564" t="13183" r="2874"/>
                    <a:stretch/>
                  </pic:blipFill>
                  <pic:spPr bwMode="auto">
                    <a:xfrm>
                      <a:off x="0" y="0"/>
                      <a:ext cx="5620351" cy="2948620"/>
                    </a:xfrm>
                    <a:prstGeom prst="rect">
                      <a:avLst/>
                    </a:prstGeom>
                    <a:noFill/>
                    <a:ln>
                      <a:noFill/>
                    </a:ln>
                    <a:extLst>
                      <a:ext uri="{53640926-AAD7-44D8-BBD7-CCE9431645EC}">
                        <a14:shadowObscured xmlns:a14="http://schemas.microsoft.com/office/drawing/2010/main"/>
                      </a:ext>
                    </a:extLst>
                  </pic:spPr>
                </pic:pic>
              </a:graphicData>
            </a:graphic>
          </wp:inline>
        </w:drawing>
      </w:r>
    </w:p>
    <w:p w:rsidR="00FB5B27" w:rsidRDefault="00FB5B27" w:rsidP="007C1563">
      <w:pPr>
        <w:rPr>
          <w:rFonts w:ascii="Arial" w:hAnsi="Arial" w:cs="Arial"/>
          <w:sz w:val="16"/>
          <w:szCs w:val="16"/>
        </w:rPr>
      </w:pPr>
      <w:r w:rsidRPr="00B83246">
        <w:rPr>
          <w:rFonts w:ascii="Arial" w:hAnsi="Arial" w:cs="Arial"/>
          <w:b/>
          <w:sz w:val="16"/>
          <w:szCs w:val="16"/>
        </w:rPr>
        <w:t>Fig. 7</w:t>
      </w:r>
      <w:r w:rsidRPr="00B83246">
        <w:rPr>
          <w:rFonts w:ascii="Arial" w:hAnsi="Arial" w:cs="Arial"/>
          <w:sz w:val="16"/>
          <w:szCs w:val="16"/>
        </w:rPr>
        <w:t xml:space="preserve">. A comparative histograms inhibition zone Antibacterial Assay of MBHA and compound </w:t>
      </w:r>
      <w:r w:rsidRPr="00B83246">
        <w:rPr>
          <w:rFonts w:ascii="Arial" w:hAnsi="Arial" w:cs="Arial"/>
          <w:b/>
          <w:sz w:val="16"/>
          <w:szCs w:val="16"/>
        </w:rPr>
        <w:t>4-8</w:t>
      </w:r>
      <w:r w:rsidRPr="00B83246">
        <w:rPr>
          <w:rFonts w:ascii="Arial" w:hAnsi="Arial" w:cs="Arial"/>
          <w:sz w:val="16"/>
          <w:szCs w:val="16"/>
        </w:rPr>
        <w:t xml:space="preserve">, </w:t>
      </w:r>
      <w:proofErr w:type="spellStart"/>
      <w:r w:rsidRPr="00B83246">
        <w:rPr>
          <w:rFonts w:ascii="Arial" w:hAnsi="Arial" w:cs="Arial"/>
          <w:sz w:val="16"/>
          <w:szCs w:val="16"/>
        </w:rPr>
        <w:t>S.typhi</w:t>
      </w:r>
      <w:proofErr w:type="spellEnd"/>
      <w:r w:rsidRPr="00B83246">
        <w:rPr>
          <w:rFonts w:ascii="Arial" w:hAnsi="Arial" w:cs="Arial"/>
          <w:sz w:val="16"/>
          <w:szCs w:val="16"/>
        </w:rPr>
        <w:t xml:space="preserve">, </w:t>
      </w:r>
      <w:proofErr w:type="spellStart"/>
      <w:r w:rsidRPr="00B83246">
        <w:rPr>
          <w:rFonts w:ascii="Arial" w:hAnsi="Arial" w:cs="Arial"/>
          <w:sz w:val="16"/>
          <w:szCs w:val="16"/>
        </w:rPr>
        <w:t>E.coli</w:t>
      </w:r>
      <w:proofErr w:type="spellEnd"/>
      <w:r w:rsidRPr="00B83246">
        <w:rPr>
          <w:rFonts w:ascii="Arial" w:hAnsi="Arial" w:cs="Arial"/>
          <w:sz w:val="16"/>
          <w:szCs w:val="16"/>
        </w:rPr>
        <w:t xml:space="preserve"> are two Gram-negative bacteria and </w:t>
      </w:r>
      <w:proofErr w:type="spellStart"/>
      <w:r w:rsidRPr="00B83246">
        <w:rPr>
          <w:rFonts w:ascii="Arial" w:hAnsi="Arial" w:cs="Arial"/>
          <w:sz w:val="16"/>
          <w:szCs w:val="16"/>
        </w:rPr>
        <w:t>B.subtilis</w:t>
      </w:r>
      <w:proofErr w:type="spellEnd"/>
      <w:r w:rsidRPr="00B83246">
        <w:rPr>
          <w:rFonts w:ascii="Arial" w:hAnsi="Arial" w:cs="Arial"/>
          <w:sz w:val="16"/>
          <w:szCs w:val="16"/>
        </w:rPr>
        <w:t xml:space="preserve">, </w:t>
      </w:r>
      <w:proofErr w:type="spellStart"/>
      <w:r w:rsidRPr="00B83246">
        <w:rPr>
          <w:rFonts w:ascii="Arial" w:hAnsi="Arial" w:cs="Arial"/>
          <w:sz w:val="16"/>
          <w:szCs w:val="16"/>
        </w:rPr>
        <w:t>S.aureus</w:t>
      </w:r>
      <w:proofErr w:type="spellEnd"/>
      <w:r w:rsidRPr="00B83246">
        <w:rPr>
          <w:rFonts w:ascii="Arial" w:hAnsi="Arial" w:cs="Arial"/>
          <w:sz w:val="16"/>
          <w:szCs w:val="16"/>
        </w:rPr>
        <w:t xml:space="preserve"> are two Gram- positive bacteria</w:t>
      </w:r>
    </w:p>
    <w:p w:rsidR="00D77B3E" w:rsidRPr="00D77B3E" w:rsidRDefault="00D77B3E" w:rsidP="00D77B3E">
      <w:pPr>
        <w:rPr>
          <w:rFonts w:ascii="Arial" w:hAnsi="Arial" w:cs="Arial"/>
          <w:sz w:val="16"/>
          <w:szCs w:val="16"/>
        </w:rPr>
      </w:pPr>
      <w:r>
        <w:rPr>
          <w:rFonts w:ascii="Arial" w:hAnsi="Arial" w:cs="Arial"/>
          <w:sz w:val="16"/>
          <w:szCs w:val="16"/>
        </w:rPr>
        <w:br w:type="page"/>
      </w:r>
    </w:p>
    <w:p w:rsidR="003A6E3C" w:rsidRPr="009B5CC1" w:rsidRDefault="00F1417B" w:rsidP="009B5CC1">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4</w:t>
      </w:r>
      <w:r w:rsidR="00AA2104">
        <w:rPr>
          <w:rFonts w:ascii="Times New Roman" w:hAnsi="Times New Roman" w:cs="Times New Roman"/>
          <w:b/>
          <w:sz w:val="24"/>
          <w:szCs w:val="24"/>
        </w:rPr>
        <w:t>.</w:t>
      </w:r>
      <w:r w:rsidR="003A6E3C" w:rsidRPr="009B5CC1">
        <w:rPr>
          <w:rFonts w:ascii="Times New Roman" w:hAnsi="Times New Roman" w:cs="Times New Roman"/>
          <w:b/>
          <w:sz w:val="24"/>
          <w:szCs w:val="24"/>
        </w:rPr>
        <w:tab/>
        <w:t xml:space="preserve"> CONCLUSIONS</w:t>
      </w:r>
    </w:p>
    <w:p w:rsidR="003A6E3C" w:rsidRPr="009B5CC1" w:rsidRDefault="003A6E3C" w:rsidP="009B5CC1">
      <w:pPr>
        <w:spacing w:after="0" w:line="360" w:lineRule="auto"/>
        <w:contextualSpacing/>
        <w:jc w:val="both"/>
        <w:rPr>
          <w:rFonts w:ascii="Times New Roman" w:hAnsi="Times New Roman" w:cs="Times New Roman"/>
          <w:sz w:val="24"/>
          <w:szCs w:val="24"/>
        </w:rPr>
      </w:pPr>
      <w:r w:rsidRPr="009B5CC1">
        <w:rPr>
          <w:rFonts w:ascii="Times New Roman" w:hAnsi="Times New Roman" w:cs="Times New Roman"/>
          <w:sz w:val="24"/>
          <w:szCs w:val="24"/>
        </w:rPr>
        <w:t>An aromatic MBHA Methyl 2-((4-chlorophenyl)(</w:t>
      </w:r>
      <w:proofErr w:type="spellStart"/>
      <w:r w:rsidRPr="009B5CC1">
        <w:rPr>
          <w:rFonts w:ascii="Times New Roman" w:hAnsi="Times New Roman" w:cs="Times New Roman"/>
          <w:sz w:val="24"/>
          <w:szCs w:val="24"/>
        </w:rPr>
        <w:t>hydroxy</w:t>
      </w:r>
      <w:proofErr w:type="spellEnd"/>
      <w:r w:rsidRPr="009B5CC1">
        <w:rPr>
          <w:rFonts w:ascii="Times New Roman" w:hAnsi="Times New Roman" w:cs="Times New Roman"/>
          <w:sz w:val="24"/>
          <w:szCs w:val="24"/>
        </w:rPr>
        <w:t xml:space="preserve">)methyl) acrylate (compound </w:t>
      </w:r>
      <w:r w:rsidRPr="009B5CC1">
        <w:rPr>
          <w:rFonts w:ascii="Times New Roman" w:hAnsi="Times New Roman" w:cs="Times New Roman"/>
          <w:b/>
          <w:sz w:val="24"/>
          <w:szCs w:val="24"/>
        </w:rPr>
        <w:t>3</w:t>
      </w:r>
      <w:r w:rsidRPr="009B5CC1">
        <w:rPr>
          <w:rFonts w:ascii="Times New Roman" w:hAnsi="Times New Roman" w:cs="Times New Roman"/>
          <w:sz w:val="24"/>
          <w:szCs w:val="24"/>
        </w:rPr>
        <w:t>) was prepared successfully by a well-known MBH reaction scheme 1 and used further in the synthesis of metal complexes with transition metal salts (Cr</w:t>
      </w:r>
      <w:r w:rsidRPr="009B5CC1">
        <w:rPr>
          <w:rFonts w:ascii="Times New Roman" w:hAnsi="Times New Roman" w:cs="Times New Roman"/>
          <w:sz w:val="24"/>
          <w:szCs w:val="24"/>
          <w:vertAlign w:val="superscript"/>
        </w:rPr>
        <w:t>+3</w:t>
      </w:r>
      <w:r w:rsidRPr="009B5CC1">
        <w:rPr>
          <w:rFonts w:ascii="Times New Roman" w:hAnsi="Times New Roman" w:cs="Times New Roman"/>
          <w:sz w:val="24"/>
          <w:szCs w:val="24"/>
        </w:rPr>
        <w:t>, Co</w:t>
      </w:r>
      <w:r w:rsidRPr="009B5CC1">
        <w:rPr>
          <w:rFonts w:ascii="Times New Roman" w:hAnsi="Times New Roman" w:cs="Times New Roman"/>
          <w:sz w:val="24"/>
          <w:szCs w:val="24"/>
          <w:vertAlign w:val="superscript"/>
        </w:rPr>
        <w:t>+3</w:t>
      </w:r>
      <w:r w:rsidRPr="009B5CC1">
        <w:rPr>
          <w:rFonts w:ascii="Times New Roman" w:hAnsi="Times New Roman" w:cs="Times New Roman"/>
          <w:sz w:val="24"/>
          <w:szCs w:val="24"/>
        </w:rPr>
        <w:t>, Ni</w:t>
      </w:r>
      <w:r w:rsidRPr="009B5CC1">
        <w:rPr>
          <w:rFonts w:ascii="Times New Roman" w:hAnsi="Times New Roman" w:cs="Times New Roman"/>
          <w:sz w:val="24"/>
          <w:szCs w:val="24"/>
          <w:vertAlign w:val="superscript"/>
        </w:rPr>
        <w:t>+2</w:t>
      </w:r>
      <w:r w:rsidRPr="009B5CC1">
        <w:rPr>
          <w:rFonts w:ascii="Times New Roman" w:hAnsi="Times New Roman" w:cs="Times New Roman"/>
          <w:sz w:val="24"/>
          <w:szCs w:val="24"/>
        </w:rPr>
        <w:t>, Mn</w:t>
      </w:r>
      <w:r w:rsidRPr="009B5CC1">
        <w:rPr>
          <w:rFonts w:ascii="Times New Roman" w:hAnsi="Times New Roman" w:cs="Times New Roman"/>
          <w:sz w:val="24"/>
          <w:szCs w:val="24"/>
          <w:vertAlign w:val="superscript"/>
        </w:rPr>
        <w:t>+2</w:t>
      </w:r>
      <w:r w:rsidRPr="009B5CC1">
        <w:rPr>
          <w:rFonts w:ascii="Times New Roman" w:hAnsi="Times New Roman" w:cs="Times New Roman"/>
          <w:sz w:val="24"/>
          <w:szCs w:val="24"/>
        </w:rPr>
        <w:t>,Cu</w:t>
      </w:r>
      <w:r w:rsidRPr="009B5CC1">
        <w:rPr>
          <w:rFonts w:ascii="Times New Roman" w:hAnsi="Times New Roman" w:cs="Times New Roman"/>
          <w:sz w:val="24"/>
          <w:szCs w:val="24"/>
          <w:vertAlign w:val="superscript"/>
        </w:rPr>
        <w:t>+2</w:t>
      </w:r>
      <w:r w:rsidRPr="009B5CC1">
        <w:rPr>
          <w:rFonts w:ascii="Times New Roman" w:hAnsi="Times New Roman" w:cs="Times New Roman"/>
          <w:sz w:val="24"/>
          <w:szCs w:val="24"/>
        </w:rPr>
        <w:t>). We modified aforementioned scheme 2 and were successful to synthesize six novel compounds (</w:t>
      </w:r>
      <w:r w:rsidRPr="009B5CC1">
        <w:rPr>
          <w:rFonts w:ascii="Times New Roman" w:hAnsi="Times New Roman" w:cs="Times New Roman"/>
          <w:b/>
          <w:sz w:val="24"/>
          <w:szCs w:val="24"/>
        </w:rPr>
        <w:t>3-8</w:t>
      </w:r>
      <w:r w:rsidRPr="009B5CC1">
        <w:rPr>
          <w:rFonts w:ascii="Times New Roman" w:hAnsi="Times New Roman" w:cs="Times New Roman"/>
          <w:sz w:val="24"/>
          <w:szCs w:val="24"/>
        </w:rPr>
        <w:t>). An aromatic MBHA Methyl 2-((4-chlorophenyl)(</w:t>
      </w:r>
      <w:proofErr w:type="spellStart"/>
      <w:r w:rsidRPr="009B5CC1">
        <w:rPr>
          <w:rFonts w:ascii="Times New Roman" w:hAnsi="Times New Roman" w:cs="Times New Roman"/>
          <w:sz w:val="24"/>
          <w:szCs w:val="24"/>
        </w:rPr>
        <w:t>hydroxy</w:t>
      </w:r>
      <w:proofErr w:type="spellEnd"/>
      <w:r w:rsidRPr="009B5CC1">
        <w:rPr>
          <w:rFonts w:ascii="Times New Roman" w:hAnsi="Times New Roman" w:cs="Times New Roman"/>
          <w:sz w:val="24"/>
          <w:szCs w:val="24"/>
        </w:rPr>
        <w:t>)</w:t>
      </w:r>
      <w:proofErr w:type="spellStart"/>
      <w:r w:rsidRPr="009B5CC1">
        <w:rPr>
          <w:rFonts w:ascii="Times New Roman" w:hAnsi="Times New Roman" w:cs="Times New Roman"/>
          <w:sz w:val="24"/>
          <w:szCs w:val="24"/>
        </w:rPr>
        <w:t>methyle</w:t>
      </w:r>
      <w:proofErr w:type="spellEnd"/>
      <w:r w:rsidRPr="009B5CC1">
        <w:rPr>
          <w:rFonts w:ascii="Times New Roman" w:hAnsi="Times New Roman" w:cs="Times New Roman"/>
          <w:sz w:val="24"/>
          <w:szCs w:val="24"/>
        </w:rPr>
        <w:t xml:space="preserve">) acrylate (compound </w:t>
      </w:r>
      <w:r w:rsidRPr="009B5CC1">
        <w:rPr>
          <w:rFonts w:ascii="Times New Roman" w:hAnsi="Times New Roman" w:cs="Times New Roman"/>
          <w:b/>
          <w:sz w:val="24"/>
          <w:szCs w:val="24"/>
        </w:rPr>
        <w:t>3</w:t>
      </w:r>
      <w:r w:rsidRPr="009B5CC1">
        <w:rPr>
          <w:rFonts w:ascii="Times New Roman" w:hAnsi="Times New Roman" w:cs="Times New Roman"/>
          <w:sz w:val="24"/>
          <w:szCs w:val="24"/>
        </w:rPr>
        <w:t>) was prepared successfully by a well-known MBH reaction scheme and used further in synthesis of metal complexes by transition metal salts (Cr</w:t>
      </w:r>
      <w:r w:rsidRPr="009B5CC1">
        <w:rPr>
          <w:rFonts w:ascii="Times New Roman" w:hAnsi="Times New Roman" w:cs="Times New Roman"/>
          <w:sz w:val="24"/>
          <w:szCs w:val="24"/>
          <w:vertAlign w:val="superscript"/>
        </w:rPr>
        <w:t>+3</w:t>
      </w:r>
      <w:r w:rsidRPr="009B5CC1">
        <w:rPr>
          <w:rFonts w:ascii="Times New Roman" w:hAnsi="Times New Roman" w:cs="Times New Roman"/>
          <w:sz w:val="24"/>
          <w:szCs w:val="24"/>
        </w:rPr>
        <w:t>, Co</w:t>
      </w:r>
      <w:r w:rsidRPr="009B5CC1">
        <w:rPr>
          <w:rFonts w:ascii="Times New Roman" w:hAnsi="Times New Roman" w:cs="Times New Roman"/>
          <w:sz w:val="24"/>
          <w:szCs w:val="24"/>
          <w:vertAlign w:val="superscript"/>
        </w:rPr>
        <w:t>+3</w:t>
      </w:r>
      <w:r w:rsidRPr="009B5CC1">
        <w:rPr>
          <w:rFonts w:ascii="Times New Roman" w:hAnsi="Times New Roman" w:cs="Times New Roman"/>
          <w:sz w:val="24"/>
          <w:szCs w:val="24"/>
        </w:rPr>
        <w:t>, Ni</w:t>
      </w:r>
      <w:r w:rsidRPr="009B5CC1">
        <w:rPr>
          <w:rFonts w:ascii="Times New Roman" w:hAnsi="Times New Roman" w:cs="Times New Roman"/>
          <w:sz w:val="24"/>
          <w:szCs w:val="24"/>
          <w:vertAlign w:val="superscript"/>
        </w:rPr>
        <w:t>+2</w:t>
      </w:r>
      <w:r w:rsidRPr="009B5CC1">
        <w:rPr>
          <w:rFonts w:ascii="Times New Roman" w:hAnsi="Times New Roman" w:cs="Times New Roman"/>
          <w:sz w:val="24"/>
          <w:szCs w:val="24"/>
        </w:rPr>
        <w:t>, Mn</w:t>
      </w:r>
      <w:r w:rsidRPr="009B5CC1">
        <w:rPr>
          <w:rFonts w:ascii="Times New Roman" w:hAnsi="Times New Roman" w:cs="Times New Roman"/>
          <w:sz w:val="24"/>
          <w:szCs w:val="24"/>
          <w:vertAlign w:val="superscript"/>
        </w:rPr>
        <w:t>+2</w:t>
      </w:r>
      <w:r w:rsidRPr="009B5CC1">
        <w:rPr>
          <w:rFonts w:ascii="Times New Roman" w:hAnsi="Times New Roman" w:cs="Times New Roman"/>
          <w:sz w:val="24"/>
          <w:szCs w:val="24"/>
        </w:rPr>
        <w:t>,Cu</w:t>
      </w:r>
      <w:r w:rsidRPr="009B5CC1">
        <w:rPr>
          <w:rFonts w:ascii="Times New Roman" w:hAnsi="Times New Roman" w:cs="Times New Roman"/>
          <w:sz w:val="24"/>
          <w:szCs w:val="24"/>
          <w:vertAlign w:val="superscript"/>
        </w:rPr>
        <w:t>+2</w:t>
      </w:r>
      <w:r w:rsidRPr="009B5CC1">
        <w:rPr>
          <w:rFonts w:ascii="Times New Roman" w:hAnsi="Times New Roman" w:cs="Times New Roman"/>
          <w:sz w:val="24"/>
          <w:szCs w:val="24"/>
        </w:rPr>
        <w:t>). We modified aforementioned scheme and synthesized five novel compounds (</w:t>
      </w:r>
      <w:r w:rsidRPr="009B5CC1">
        <w:rPr>
          <w:rFonts w:ascii="Times New Roman" w:hAnsi="Times New Roman" w:cs="Times New Roman"/>
          <w:b/>
          <w:sz w:val="24"/>
          <w:szCs w:val="24"/>
        </w:rPr>
        <w:t>3-8</w:t>
      </w:r>
      <w:r w:rsidRPr="009B5CC1">
        <w:rPr>
          <w:rFonts w:ascii="Times New Roman" w:hAnsi="Times New Roman" w:cs="Times New Roman"/>
          <w:sz w:val="24"/>
          <w:szCs w:val="24"/>
        </w:rPr>
        <w:t xml:space="preserve">). The novel ligand MBHA (L1) and its corresponding complexes were characterized by means of their physical, analytical, spectral and computational analysis. The IR spectrum of the synthesized ligand and five metal complexes were also generated computationally by the </w:t>
      </w:r>
      <w:proofErr w:type="spellStart"/>
      <w:r w:rsidRPr="009B5CC1">
        <w:rPr>
          <w:rFonts w:ascii="Times New Roman" w:hAnsi="Times New Roman" w:cs="Times New Roman"/>
          <w:sz w:val="24"/>
          <w:szCs w:val="24"/>
        </w:rPr>
        <w:t>Hartree</w:t>
      </w:r>
      <w:proofErr w:type="spellEnd"/>
      <w:r w:rsidRPr="009B5CC1">
        <w:rPr>
          <w:rFonts w:ascii="Times New Roman" w:hAnsi="Times New Roman" w:cs="Times New Roman"/>
          <w:sz w:val="24"/>
          <w:szCs w:val="24"/>
        </w:rPr>
        <w:t xml:space="preserve"> </w:t>
      </w:r>
      <w:proofErr w:type="spellStart"/>
      <w:r w:rsidRPr="009B5CC1">
        <w:rPr>
          <w:rFonts w:ascii="Times New Roman" w:hAnsi="Times New Roman" w:cs="Times New Roman"/>
          <w:sz w:val="24"/>
          <w:szCs w:val="24"/>
        </w:rPr>
        <w:t>Fock</w:t>
      </w:r>
      <w:proofErr w:type="spellEnd"/>
      <w:r w:rsidRPr="009B5CC1">
        <w:rPr>
          <w:rFonts w:ascii="Times New Roman" w:hAnsi="Times New Roman" w:cs="Times New Roman"/>
          <w:sz w:val="24"/>
          <w:szCs w:val="24"/>
        </w:rPr>
        <w:t xml:space="preserve"> (HF) B3LYP method in conjunction with the 3-</w:t>
      </w:r>
      <w:proofErr w:type="gramStart"/>
      <w:r w:rsidRPr="009B5CC1">
        <w:rPr>
          <w:rFonts w:ascii="Times New Roman" w:hAnsi="Times New Roman" w:cs="Times New Roman"/>
          <w:sz w:val="24"/>
          <w:szCs w:val="24"/>
        </w:rPr>
        <w:t>21G(</w:t>
      </w:r>
      <w:proofErr w:type="spellStart"/>
      <w:proofErr w:type="gramEnd"/>
      <w:r w:rsidRPr="009B5CC1">
        <w:rPr>
          <w:rFonts w:ascii="Times New Roman" w:hAnsi="Times New Roman" w:cs="Times New Roman"/>
          <w:sz w:val="24"/>
          <w:szCs w:val="24"/>
        </w:rPr>
        <w:t>d,p</w:t>
      </w:r>
      <w:proofErr w:type="spellEnd"/>
      <w:r w:rsidRPr="009B5CC1">
        <w:rPr>
          <w:rFonts w:ascii="Times New Roman" w:hAnsi="Times New Roman" w:cs="Times New Roman"/>
          <w:sz w:val="24"/>
          <w:szCs w:val="24"/>
        </w:rPr>
        <w:t xml:space="preserve">) basis set and we found good agreement with their observed FT-IR spectrum. These investigations have collectively suggested the molecular and structural formula. It has been found that MBHA (L1) coordinated with all the central metal ion in stoichiometric ratio of 2:1 ligand to metal. The well-defined crystalline homogeneous nature of all metal complexes was observed and confirmed through XRD powder diffraction analysis. Moreover, different crystal structure was found for different complexes. Such as, compound </w:t>
      </w:r>
      <w:r w:rsidRPr="009B5CC1">
        <w:rPr>
          <w:rFonts w:ascii="Times New Roman" w:hAnsi="Times New Roman" w:cs="Times New Roman"/>
          <w:b/>
          <w:sz w:val="24"/>
          <w:szCs w:val="24"/>
        </w:rPr>
        <w:t>4</w:t>
      </w:r>
      <w:r w:rsidRPr="009B5CC1">
        <w:rPr>
          <w:rFonts w:ascii="Times New Roman" w:hAnsi="Times New Roman" w:cs="Times New Roman"/>
          <w:sz w:val="24"/>
          <w:szCs w:val="24"/>
        </w:rPr>
        <w:t xml:space="preserve"> is orthorhombic, compound </w:t>
      </w:r>
      <w:r w:rsidRPr="009B5CC1">
        <w:rPr>
          <w:rFonts w:ascii="Times New Roman" w:hAnsi="Times New Roman" w:cs="Times New Roman"/>
          <w:b/>
          <w:sz w:val="24"/>
          <w:szCs w:val="24"/>
        </w:rPr>
        <w:t>6</w:t>
      </w:r>
      <w:r w:rsidRPr="009B5CC1">
        <w:rPr>
          <w:rFonts w:ascii="Times New Roman" w:hAnsi="Times New Roman" w:cs="Times New Roman"/>
          <w:sz w:val="24"/>
          <w:szCs w:val="24"/>
        </w:rPr>
        <w:t xml:space="preserve"> is hexagonal, and compound </w:t>
      </w:r>
      <w:r w:rsidRPr="009B5CC1">
        <w:rPr>
          <w:rFonts w:ascii="Times New Roman" w:hAnsi="Times New Roman" w:cs="Times New Roman"/>
          <w:b/>
          <w:sz w:val="24"/>
          <w:szCs w:val="24"/>
        </w:rPr>
        <w:t>8</w:t>
      </w:r>
      <w:r w:rsidRPr="009B5CC1">
        <w:rPr>
          <w:rFonts w:ascii="Times New Roman" w:hAnsi="Times New Roman" w:cs="Times New Roman"/>
          <w:sz w:val="24"/>
          <w:szCs w:val="24"/>
        </w:rPr>
        <w:t xml:space="preserve"> is monoclinic while compounds </w:t>
      </w:r>
      <w:r w:rsidRPr="009B5CC1">
        <w:rPr>
          <w:rFonts w:ascii="Times New Roman" w:hAnsi="Times New Roman" w:cs="Times New Roman"/>
          <w:b/>
          <w:sz w:val="24"/>
          <w:szCs w:val="24"/>
        </w:rPr>
        <w:t>5</w:t>
      </w:r>
      <w:r w:rsidRPr="009B5CC1">
        <w:rPr>
          <w:rFonts w:ascii="Times New Roman" w:hAnsi="Times New Roman" w:cs="Times New Roman"/>
          <w:sz w:val="24"/>
          <w:szCs w:val="24"/>
        </w:rPr>
        <w:t xml:space="preserve"> and </w:t>
      </w:r>
      <w:r w:rsidRPr="009B5CC1">
        <w:rPr>
          <w:rFonts w:ascii="Times New Roman" w:hAnsi="Times New Roman" w:cs="Times New Roman"/>
          <w:b/>
          <w:sz w:val="24"/>
          <w:szCs w:val="24"/>
        </w:rPr>
        <w:t>7</w:t>
      </w:r>
      <w:r w:rsidRPr="009B5CC1">
        <w:rPr>
          <w:rFonts w:ascii="Times New Roman" w:hAnsi="Times New Roman" w:cs="Times New Roman"/>
          <w:sz w:val="24"/>
          <w:szCs w:val="24"/>
        </w:rPr>
        <w:t xml:space="preserve"> both lie in cubic crystal class. For antibacterial assay, four pathogenic strains (</w:t>
      </w:r>
      <w:r w:rsidRPr="009B5CC1">
        <w:rPr>
          <w:rFonts w:ascii="Times New Roman" w:hAnsi="Times New Roman" w:cs="Times New Roman"/>
          <w:i/>
          <w:sz w:val="24"/>
          <w:szCs w:val="24"/>
        </w:rPr>
        <w:t xml:space="preserve">S. </w:t>
      </w:r>
      <w:proofErr w:type="spellStart"/>
      <w:r w:rsidRPr="009B5CC1">
        <w:rPr>
          <w:rFonts w:ascii="Times New Roman" w:hAnsi="Times New Roman" w:cs="Times New Roman"/>
          <w:i/>
          <w:sz w:val="24"/>
          <w:szCs w:val="24"/>
        </w:rPr>
        <w:t>aureus</w:t>
      </w:r>
      <w:proofErr w:type="spellEnd"/>
      <w:r w:rsidRPr="009B5CC1">
        <w:rPr>
          <w:rFonts w:ascii="Times New Roman" w:hAnsi="Times New Roman" w:cs="Times New Roman"/>
          <w:i/>
          <w:sz w:val="24"/>
          <w:szCs w:val="24"/>
        </w:rPr>
        <w:t>,</w:t>
      </w:r>
      <w:r w:rsidRPr="009B5CC1">
        <w:rPr>
          <w:i/>
          <w:sz w:val="24"/>
          <w:szCs w:val="24"/>
        </w:rPr>
        <w:t xml:space="preserve"> </w:t>
      </w:r>
      <w:r w:rsidRPr="009B5CC1">
        <w:rPr>
          <w:rFonts w:ascii="Times New Roman" w:hAnsi="Times New Roman" w:cs="Times New Roman"/>
          <w:i/>
          <w:sz w:val="24"/>
          <w:szCs w:val="24"/>
        </w:rPr>
        <w:t xml:space="preserve">E. coli, </w:t>
      </w:r>
      <w:proofErr w:type="spellStart"/>
      <w:r w:rsidRPr="009B5CC1">
        <w:rPr>
          <w:rFonts w:ascii="Times New Roman" w:hAnsi="Times New Roman" w:cs="Times New Roman"/>
          <w:i/>
          <w:sz w:val="24"/>
          <w:szCs w:val="24"/>
        </w:rPr>
        <w:t>B.pumilis</w:t>
      </w:r>
      <w:proofErr w:type="spellEnd"/>
      <w:r w:rsidRPr="009B5CC1">
        <w:rPr>
          <w:rFonts w:ascii="Times New Roman" w:hAnsi="Times New Roman" w:cs="Times New Roman"/>
          <w:i/>
          <w:sz w:val="24"/>
          <w:szCs w:val="24"/>
        </w:rPr>
        <w:t>, P. mirabilis, and</w:t>
      </w:r>
      <w:r w:rsidRPr="009B5CC1">
        <w:rPr>
          <w:i/>
          <w:sz w:val="24"/>
          <w:szCs w:val="24"/>
        </w:rPr>
        <w:t xml:space="preserve"> </w:t>
      </w:r>
      <w:proofErr w:type="spellStart"/>
      <w:r w:rsidRPr="009B5CC1">
        <w:rPr>
          <w:rFonts w:ascii="Times New Roman" w:hAnsi="Times New Roman" w:cs="Times New Roman"/>
          <w:i/>
          <w:sz w:val="24"/>
          <w:szCs w:val="24"/>
        </w:rPr>
        <w:t>S.typhi</w:t>
      </w:r>
      <w:proofErr w:type="spellEnd"/>
      <w:r w:rsidRPr="009B5CC1">
        <w:rPr>
          <w:rFonts w:ascii="Times New Roman" w:hAnsi="Times New Roman" w:cs="Times New Roman"/>
          <w:sz w:val="24"/>
          <w:szCs w:val="24"/>
        </w:rPr>
        <w:t xml:space="preserve">) were examined and compared with standard antibiotic, Gentamycin. It was inferred that Cobalt complexes displayed uppermost antibacterial potential compared to MBHA (L1). Whereas, </w:t>
      </w:r>
      <w:proofErr w:type="spellStart"/>
      <w:r w:rsidRPr="009B5CC1">
        <w:rPr>
          <w:rFonts w:ascii="Times New Roman" w:hAnsi="Times New Roman" w:cs="Times New Roman"/>
          <w:sz w:val="24"/>
          <w:szCs w:val="24"/>
        </w:rPr>
        <w:t>Nickle</w:t>
      </w:r>
      <w:proofErr w:type="spellEnd"/>
      <w:r w:rsidRPr="009B5CC1">
        <w:rPr>
          <w:rFonts w:ascii="Times New Roman" w:hAnsi="Times New Roman" w:cs="Times New Roman"/>
          <w:sz w:val="24"/>
          <w:szCs w:val="24"/>
        </w:rPr>
        <w:t xml:space="preserve"> based complex showed good inhibition against all four bacterial strains. Chromium based complexes were found active against </w:t>
      </w:r>
      <w:proofErr w:type="spellStart"/>
      <w:r w:rsidRPr="009B5CC1">
        <w:rPr>
          <w:rFonts w:ascii="Times New Roman" w:hAnsi="Times New Roman" w:cs="Times New Roman"/>
          <w:i/>
          <w:sz w:val="24"/>
          <w:szCs w:val="24"/>
        </w:rPr>
        <w:t>B.pumilis</w:t>
      </w:r>
      <w:proofErr w:type="spellEnd"/>
      <w:r w:rsidRPr="009B5CC1">
        <w:rPr>
          <w:rFonts w:ascii="Times New Roman" w:hAnsi="Times New Roman" w:cs="Times New Roman"/>
          <w:i/>
          <w:sz w:val="24"/>
          <w:szCs w:val="24"/>
        </w:rPr>
        <w:t xml:space="preserve"> </w:t>
      </w:r>
      <w:r w:rsidRPr="009B5CC1">
        <w:rPr>
          <w:rFonts w:ascii="Times New Roman" w:hAnsi="Times New Roman" w:cs="Times New Roman"/>
          <w:sz w:val="24"/>
          <w:szCs w:val="24"/>
        </w:rPr>
        <w:t xml:space="preserve">only. Both Manganese and Copper based complexes were seen inactive against </w:t>
      </w:r>
      <w:r w:rsidRPr="009B5CC1">
        <w:rPr>
          <w:rFonts w:ascii="Times New Roman" w:hAnsi="Times New Roman" w:cs="Times New Roman"/>
          <w:i/>
          <w:sz w:val="24"/>
          <w:szCs w:val="24"/>
        </w:rPr>
        <w:t>E. coli</w:t>
      </w:r>
      <w:r w:rsidRPr="009B5CC1">
        <w:rPr>
          <w:rFonts w:ascii="Times New Roman" w:hAnsi="Times New Roman" w:cs="Times New Roman"/>
          <w:sz w:val="24"/>
          <w:szCs w:val="24"/>
        </w:rPr>
        <w:t>.  Manganese complex inhibition potential against</w:t>
      </w:r>
      <w:r w:rsidRPr="009B5CC1">
        <w:rPr>
          <w:rFonts w:ascii="Times New Roman" w:hAnsi="Times New Roman" w:cs="Times New Roman"/>
          <w:i/>
          <w:sz w:val="24"/>
          <w:szCs w:val="24"/>
        </w:rPr>
        <w:t xml:space="preserve"> </w:t>
      </w:r>
      <w:proofErr w:type="spellStart"/>
      <w:r w:rsidRPr="009B5CC1">
        <w:rPr>
          <w:rFonts w:ascii="Times New Roman" w:hAnsi="Times New Roman" w:cs="Times New Roman"/>
          <w:i/>
          <w:sz w:val="24"/>
          <w:szCs w:val="24"/>
        </w:rPr>
        <w:t>S.typhi</w:t>
      </w:r>
      <w:proofErr w:type="spellEnd"/>
      <w:r w:rsidRPr="009B5CC1">
        <w:rPr>
          <w:rFonts w:ascii="Times New Roman" w:hAnsi="Times New Roman" w:cs="Times New Roman"/>
          <w:sz w:val="24"/>
          <w:szCs w:val="24"/>
        </w:rPr>
        <w:t xml:space="preserve"> indicated non-active, conversely, again showed good inhibition zone against the remaining bacterial strains. Furthermore, the DPPH radical scavenging assay (antioxidant) of compounds </w:t>
      </w:r>
      <w:r w:rsidRPr="009B5CC1">
        <w:rPr>
          <w:rFonts w:ascii="Times New Roman" w:hAnsi="Times New Roman" w:cs="Times New Roman"/>
          <w:b/>
          <w:sz w:val="24"/>
          <w:szCs w:val="24"/>
        </w:rPr>
        <w:t>3-8</w:t>
      </w:r>
      <w:r w:rsidRPr="009B5CC1">
        <w:rPr>
          <w:rFonts w:ascii="Times New Roman" w:hAnsi="Times New Roman" w:cs="Times New Roman"/>
          <w:sz w:val="24"/>
          <w:szCs w:val="24"/>
        </w:rPr>
        <w:t xml:space="preserve"> demonstrated the positive inhibition with context to the standard (ascorbic acid). This study can be expanded further by synthesizing some other novel MBHA ligands and their metal complexes, in order to identify the most suitable medication against infectious diseases. </w:t>
      </w:r>
    </w:p>
    <w:p w:rsidR="003A6E3C" w:rsidRPr="009B5CC1" w:rsidRDefault="003A6E3C" w:rsidP="009B5CC1">
      <w:pPr>
        <w:spacing w:after="0" w:line="360" w:lineRule="auto"/>
        <w:contextualSpacing/>
        <w:jc w:val="both"/>
        <w:rPr>
          <w:rFonts w:ascii="Times New Roman" w:hAnsi="Times New Roman" w:cs="Times New Roman"/>
          <w:b/>
          <w:sz w:val="24"/>
          <w:szCs w:val="24"/>
        </w:rPr>
      </w:pPr>
      <w:r w:rsidRPr="009B5CC1">
        <w:rPr>
          <w:rFonts w:ascii="Times New Roman" w:hAnsi="Times New Roman" w:cs="Times New Roman"/>
          <w:b/>
          <w:sz w:val="24"/>
          <w:szCs w:val="24"/>
        </w:rPr>
        <w:t>ACKNOLEDGEMENT</w:t>
      </w:r>
    </w:p>
    <w:p w:rsidR="00D77B3E" w:rsidRDefault="003A6E3C" w:rsidP="00D77B3E">
      <w:pPr>
        <w:spacing w:after="0" w:line="360" w:lineRule="auto"/>
        <w:contextualSpacing/>
        <w:jc w:val="both"/>
        <w:rPr>
          <w:rFonts w:ascii="Times New Roman" w:hAnsi="Times New Roman" w:cs="Times New Roman"/>
          <w:b/>
          <w:sz w:val="24"/>
          <w:szCs w:val="24"/>
        </w:rPr>
      </w:pPr>
      <w:r w:rsidRPr="009B5CC1">
        <w:rPr>
          <w:rFonts w:ascii="Times New Roman" w:hAnsi="Times New Roman" w:cs="Times New Roman"/>
          <w:sz w:val="24"/>
          <w:szCs w:val="24"/>
        </w:rPr>
        <w:t>The authors are thankful to University of Karachi for providing such an appreciative infrastructure and environment. We are highly g</w:t>
      </w:r>
      <w:r w:rsidR="000C51C0">
        <w:rPr>
          <w:rFonts w:ascii="Times New Roman" w:hAnsi="Times New Roman" w:cs="Times New Roman"/>
          <w:sz w:val="24"/>
          <w:szCs w:val="24"/>
        </w:rPr>
        <w:t>ratified to PCSIR laboratories C</w:t>
      </w:r>
      <w:r w:rsidRPr="009B5CC1">
        <w:rPr>
          <w:rFonts w:ascii="Times New Roman" w:hAnsi="Times New Roman" w:cs="Times New Roman"/>
          <w:sz w:val="24"/>
          <w:szCs w:val="24"/>
        </w:rPr>
        <w:t>omplex-</w:t>
      </w:r>
      <w:r w:rsidRPr="009B5CC1">
        <w:rPr>
          <w:rFonts w:ascii="Times New Roman" w:hAnsi="Times New Roman" w:cs="Times New Roman"/>
          <w:sz w:val="24"/>
          <w:szCs w:val="24"/>
        </w:rPr>
        <w:lastRenderedPageBreak/>
        <w:t>Karachi</w:t>
      </w:r>
      <w:r w:rsidR="000C51C0">
        <w:rPr>
          <w:rFonts w:ascii="Times New Roman" w:hAnsi="Times New Roman" w:cs="Times New Roman"/>
          <w:sz w:val="24"/>
          <w:szCs w:val="24"/>
        </w:rPr>
        <w:t>,</w:t>
      </w:r>
      <w:r w:rsidRPr="009B5CC1">
        <w:rPr>
          <w:rFonts w:ascii="Times New Roman" w:hAnsi="Times New Roman" w:cs="Times New Roman"/>
          <w:sz w:val="24"/>
          <w:szCs w:val="24"/>
        </w:rPr>
        <w:t xml:space="preserve"> Pakistan and NED University of Engineering and Technology for their support in bioactivity studies and XRD analysis opportunity</w:t>
      </w:r>
      <w:r w:rsidRPr="009B5CC1">
        <w:rPr>
          <w:rFonts w:ascii="Times New Roman" w:hAnsi="Times New Roman" w:cs="Times New Roman"/>
          <w:b/>
          <w:sz w:val="24"/>
          <w:szCs w:val="24"/>
        </w:rPr>
        <w:t>.</w:t>
      </w:r>
    </w:p>
    <w:p w:rsidR="00D77B3E" w:rsidRPr="009B5CC1" w:rsidRDefault="00D77B3E" w:rsidP="00D77B3E">
      <w:pPr>
        <w:spacing w:after="0" w:line="360" w:lineRule="auto"/>
        <w:contextualSpacing/>
        <w:jc w:val="both"/>
        <w:rPr>
          <w:rFonts w:ascii="Times New Roman" w:hAnsi="Times New Roman" w:cs="Times New Roman"/>
          <w:b/>
          <w:sz w:val="24"/>
          <w:szCs w:val="24"/>
        </w:rPr>
      </w:pPr>
      <w:r w:rsidRPr="009B5CC1">
        <w:rPr>
          <w:rFonts w:ascii="Times New Roman" w:hAnsi="Times New Roman" w:cs="Times New Roman"/>
          <w:b/>
          <w:sz w:val="24"/>
          <w:szCs w:val="24"/>
        </w:rPr>
        <w:t xml:space="preserve">CONFLICT OF INTEREST </w:t>
      </w:r>
    </w:p>
    <w:p w:rsidR="00D77B3E" w:rsidRPr="00BC794B" w:rsidRDefault="00D77B3E" w:rsidP="00D77B3E">
      <w:pPr>
        <w:spacing w:after="0" w:line="360" w:lineRule="auto"/>
        <w:contextualSpacing/>
        <w:jc w:val="both"/>
        <w:rPr>
          <w:rFonts w:ascii="Times New Roman" w:hAnsi="Times New Roman" w:cs="Times New Roman"/>
          <w:sz w:val="24"/>
          <w:szCs w:val="24"/>
        </w:rPr>
      </w:pPr>
      <w:r w:rsidRPr="009B5CC1">
        <w:rPr>
          <w:rFonts w:ascii="Times New Roman" w:hAnsi="Times New Roman" w:cs="Times New Roman"/>
          <w:sz w:val="24"/>
          <w:szCs w:val="24"/>
        </w:rPr>
        <w:t>All authors declare that the</w:t>
      </w:r>
      <w:r>
        <w:rPr>
          <w:rFonts w:ascii="Times New Roman" w:hAnsi="Times New Roman" w:cs="Times New Roman"/>
          <w:sz w:val="24"/>
          <w:szCs w:val="24"/>
        </w:rPr>
        <w:t>y have no conflict of interest.</w:t>
      </w:r>
    </w:p>
    <w:p w:rsidR="00BC794B" w:rsidRDefault="00BC794B" w:rsidP="00D77B3E">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br w:type="page"/>
      </w:r>
      <w:bookmarkStart w:id="1" w:name="_GoBack"/>
      <w:bookmarkEnd w:id="1"/>
    </w:p>
    <w:p w:rsidR="003A6E3C" w:rsidRPr="009B5CC1" w:rsidRDefault="003A6E3C" w:rsidP="00DF5076">
      <w:pPr>
        <w:spacing w:after="0" w:line="360" w:lineRule="auto"/>
        <w:contextualSpacing/>
        <w:jc w:val="both"/>
        <w:rPr>
          <w:rFonts w:ascii="Times New Roman" w:hAnsi="Times New Roman" w:cs="Times New Roman"/>
          <w:b/>
          <w:sz w:val="24"/>
          <w:szCs w:val="24"/>
        </w:rPr>
      </w:pPr>
      <w:r w:rsidRPr="009B5CC1">
        <w:rPr>
          <w:rFonts w:ascii="Times New Roman" w:hAnsi="Times New Roman" w:cs="Times New Roman"/>
          <w:b/>
          <w:sz w:val="24"/>
          <w:szCs w:val="24"/>
        </w:rPr>
        <w:lastRenderedPageBreak/>
        <w:t>REFENCES</w:t>
      </w:r>
    </w:p>
    <w:p w:rsidR="00B57DF3" w:rsidRPr="00B57DF3" w:rsidRDefault="003A6E3C" w:rsidP="00DF507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9B5CC1">
        <w:rPr>
          <w:rFonts w:ascii="Times New Roman" w:hAnsi="Times New Roman" w:cs="Times New Roman"/>
          <w:b/>
          <w:sz w:val="24"/>
          <w:szCs w:val="24"/>
        </w:rPr>
        <w:fldChar w:fldCharType="begin" w:fldLock="1"/>
      </w:r>
      <w:r w:rsidRPr="009B5CC1">
        <w:rPr>
          <w:rFonts w:ascii="Times New Roman" w:hAnsi="Times New Roman" w:cs="Times New Roman"/>
          <w:b/>
          <w:sz w:val="24"/>
          <w:szCs w:val="24"/>
        </w:rPr>
        <w:instrText xml:space="preserve">ADDIN Mendeley Bibliography CSL_BIBLIOGRAPHY </w:instrText>
      </w:r>
      <w:r w:rsidRPr="009B5CC1">
        <w:rPr>
          <w:rFonts w:ascii="Times New Roman" w:hAnsi="Times New Roman" w:cs="Times New Roman"/>
          <w:b/>
          <w:sz w:val="24"/>
          <w:szCs w:val="24"/>
        </w:rPr>
        <w:fldChar w:fldCharType="separate"/>
      </w:r>
      <w:r w:rsidR="00B57DF3" w:rsidRPr="00B57DF3">
        <w:rPr>
          <w:rFonts w:ascii="Times New Roman" w:hAnsi="Times New Roman" w:cs="Times New Roman"/>
          <w:noProof/>
          <w:sz w:val="24"/>
          <w:szCs w:val="24"/>
        </w:rPr>
        <w:t>1.</w:t>
      </w:r>
      <w:r w:rsidR="00B57DF3" w:rsidRPr="00B57DF3">
        <w:rPr>
          <w:rFonts w:ascii="Times New Roman" w:hAnsi="Times New Roman" w:cs="Times New Roman"/>
          <w:noProof/>
          <w:sz w:val="24"/>
          <w:szCs w:val="24"/>
        </w:rPr>
        <w:tab/>
        <w:t xml:space="preserve">F. Collet, R. H. Dodd, P. Dauban, </w:t>
      </w:r>
      <w:r w:rsidR="00B57DF3" w:rsidRPr="00B57DF3">
        <w:rPr>
          <w:rFonts w:ascii="Times New Roman" w:hAnsi="Times New Roman" w:cs="Times New Roman"/>
          <w:i/>
          <w:iCs/>
          <w:noProof/>
          <w:sz w:val="24"/>
          <w:szCs w:val="24"/>
        </w:rPr>
        <w:t>Chem. Commun.</w:t>
      </w:r>
      <w:r w:rsidR="00B57DF3" w:rsidRPr="00B57DF3">
        <w:rPr>
          <w:rFonts w:ascii="Times New Roman" w:hAnsi="Times New Roman" w:cs="Times New Roman"/>
          <w:noProof/>
          <w:sz w:val="24"/>
          <w:szCs w:val="24"/>
        </w:rPr>
        <w:t xml:space="preserve"> </w:t>
      </w:r>
      <w:r w:rsidR="00B57DF3" w:rsidRPr="00B57DF3">
        <w:rPr>
          <w:rFonts w:ascii="Times New Roman" w:hAnsi="Times New Roman" w:cs="Times New Roman"/>
          <w:b/>
          <w:bCs/>
          <w:noProof/>
          <w:sz w:val="24"/>
          <w:szCs w:val="24"/>
        </w:rPr>
        <w:t>2009</w:t>
      </w:r>
      <w:r w:rsidR="00B57DF3" w:rsidRPr="00B57DF3">
        <w:rPr>
          <w:rFonts w:ascii="Times New Roman" w:hAnsi="Times New Roman" w:cs="Times New Roman"/>
          <w:noProof/>
          <w:sz w:val="24"/>
          <w:szCs w:val="24"/>
        </w:rPr>
        <w:t xml:space="preserve">, Vol. </w:t>
      </w:r>
      <w:r w:rsidR="00B57DF3" w:rsidRPr="00B57DF3">
        <w:rPr>
          <w:rFonts w:ascii="Times New Roman" w:hAnsi="Times New Roman" w:cs="Times New Roman"/>
          <w:i/>
          <w:iCs/>
          <w:noProof/>
          <w:sz w:val="24"/>
          <w:szCs w:val="24"/>
        </w:rPr>
        <w:t>20</w:t>
      </w:r>
      <w:r w:rsidR="00B57DF3" w:rsidRPr="00B57DF3">
        <w:rPr>
          <w:rFonts w:ascii="Times New Roman" w:hAnsi="Times New Roman" w:cs="Times New Roman"/>
          <w:noProof/>
          <w:sz w:val="24"/>
          <w:szCs w:val="24"/>
        </w:rPr>
        <w:t xml:space="preserve"> (34), pp. 5061–5074. DOI: </w:t>
      </w:r>
      <w:r w:rsidR="00B57DF3" w:rsidRPr="00A164BA">
        <w:rPr>
          <w:rFonts w:ascii="Times New Roman" w:hAnsi="Times New Roman" w:cs="Times New Roman"/>
          <w:noProof/>
          <w:color w:val="5B9BD5" w:themeColor="accent1"/>
          <w:sz w:val="24"/>
          <w:szCs w:val="24"/>
        </w:rPr>
        <w:t>10.1039/b905820f</w:t>
      </w:r>
      <w:r w:rsidR="00B57DF3" w:rsidRPr="00B57DF3">
        <w:rPr>
          <w:rFonts w:ascii="Times New Roman" w:hAnsi="Times New Roman" w:cs="Times New Roman"/>
          <w:noProof/>
          <w:sz w:val="24"/>
          <w:szCs w:val="24"/>
        </w:rPr>
        <w:t>.</w:t>
      </w:r>
    </w:p>
    <w:p w:rsidR="00B57DF3" w:rsidRPr="00B57DF3" w:rsidRDefault="00B57DF3" w:rsidP="00DF507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57DF3">
        <w:rPr>
          <w:rFonts w:ascii="Times New Roman" w:hAnsi="Times New Roman" w:cs="Times New Roman"/>
          <w:noProof/>
          <w:sz w:val="24"/>
          <w:szCs w:val="24"/>
        </w:rPr>
        <w:t>2.</w:t>
      </w:r>
      <w:r w:rsidRPr="00B57DF3">
        <w:rPr>
          <w:rFonts w:ascii="Times New Roman" w:hAnsi="Times New Roman" w:cs="Times New Roman"/>
          <w:noProof/>
          <w:sz w:val="24"/>
          <w:szCs w:val="24"/>
        </w:rPr>
        <w:tab/>
        <w:t xml:space="preserve">E. C. Tavares, M. M. M. Rubinger, E. V. Filho, M. R. L. Oliveira, D. Piló-Veloso, J. Ellena, S. Guilardi, R. A. C. Souza, L. Zambolim, </w:t>
      </w:r>
      <w:r w:rsidRPr="00B57DF3">
        <w:rPr>
          <w:rFonts w:ascii="Times New Roman" w:hAnsi="Times New Roman" w:cs="Times New Roman"/>
          <w:i/>
          <w:iCs/>
          <w:noProof/>
          <w:sz w:val="24"/>
          <w:szCs w:val="24"/>
        </w:rPr>
        <w:t>J. Mol. Struct.</w:t>
      </w:r>
      <w:r w:rsidRPr="00B57DF3">
        <w:rPr>
          <w:rFonts w:ascii="Times New Roman" w:hAnsi="Times New Roman" w:cs="Times New Roman"/>
          <w:noProof/>
          <w:sz w:val="24"/>
          <w:szCs w:val="24"/>
        </w:rPr>
        <w:t xml:space="preserve"> </w:t>
      </w:r>
      <w:r w:rsidRPr="00B57DF3">
        <w:rPr>
          <w:rFonts w:ascii="Times New Roman" w:hAnsi="Times New Roman" w:cs="Times New Roman"/>
          <w:b/>
          <w:bCs/>
          <w:noProof/>
          <w:sz w:val="24"/>
          <w:szCs w:val="24"/>
        </w:rPr>
        <w:t>2016</w:t>
      </w:r>
      <w:r w:rsidRPr="00B57DF3">
        <w:rPr>
          <w:rFonts w:ascii="Times New Roman" w:hAnsi="Times New Roman" w:cs="Times New Roman"/>
          <w:noProof/>
          <w:sz w:val="24"/>
          <w:szCs w:val="24"/>
        </w:rPr>
        <w:t xml:space="preserve">, Vol. </w:t>
      </w:r>
      <w:r w:rsidRPr="00B57DF3">
        <w:rPr>
          <w:rFonts w:ascii="Times New Roman" w:hAnsi="Times New Roman" w:cs="Times New Roman"/>
          <w:i/>
          <w:iCs/>
          <w:noProof/>
          <w:sz w:val="24"/>
          <w:szCs w:val="24"/>
        </w:rPr>
        <w:t>1106</w:t>
      </w:r>
      <w:r w:rsidRPr="00B57DF3">
        <w:rPr>
          <w:rFonts w:ascii="Times New Roman" w:hAnsi="Times New Roman" w:cs="Times New Roman"/>
          <w:noProof/>
          <w:sz w:val="24"/>
          <w:szCs w:val="24"/>
        </w:rPr>
        <w:t xml:space="preserve">, pp. 130–140. DOI: </w:t>
      </w:r>
      <w:r w:rsidRPr="00A164BA">
        <w:rPr>
          <w:rFonts w:ascii="Times New Roman" w:hAnsi="Times New Roman" w:cs="Times New Roman"/>
          <w:noProof/>
          <w:color w:val="5B9BD5" w:themeColor="accent1"/>
          <w:sz w:val="24"/>
          <w:szCs w:val="24"/>
        </w:rPr>
        <w:t>10.1016/j.molstruc.2015.10.097</w:t>
      </w:r>
      <w:r w:rsidRPr="00B57DF3">
        <w:rPr>
          <w:rFonts w:ascii="Times New Roman" w:hAnsi="Times New Roman" w:cs="Times New Roman"/>
          <w:noProof/>
          <w:sz w:val="24"/>
          <w:szCs w:val="24"/>
        </w:rPr>
        <w:t>.</w:t>
      </w:r>
    </w:p>
    <w:p w:rsidR="00B57DF3" w:rsidRPr="00B57DF3" w:rsidRDefault="00B57DF3" w:rsidP="00DF507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57DF3">
        <w:rPr>
          <w:rFonts w:ascii="Times New Roman" w:hAnsi="Times New Roman" w:cs="Times New Roman"/>
          <w:noProof/>
          <w:sz w:val="24"/>
          <w:szCs w:val="24"/>
        </w:rPr>
        <w:t>3.</w:t>
      </w:r>
      <w:r w:rsidRPr="00B57DF3">
        <w:rPr>
          <w:rFonts w:ascii="Times New Roman" w:hAnsi="Times New Roman" w:cs="Times New Roman"/>
          <w:noProof/>
          <w:sz w:val="24"/>
          <w:szCs w:val="24"/>
        </w:rPr>
        <w:tab/>
        <w:t xml:space="preserve">R. O. M. A. de Souza, V. L. P. Pereira, M. F. Muzitano, C. A. B. Falcão, B. Rossi-Bergmann, E. B. A. Filho, M. L. A. A. Vasconcellos, </w:t>
      </w:r>
      <w:r w:rsidRPr="00B57DF3">
        <w:rPr>
          <w:rFonts w:ascii="Times New Roman" w:hAnsi="Times New Roman" w:cs="Times New Roman"/>
          <w:i/>
          <w:iCs/>
          <w:noProof/>
          <w:sz w:val="24"/>
          <w:szCs w:val="24"/>
        </w:rPr>
        <w:t>Eur. J. Med. Chem.</w:t>
      </w:r>
      <w:r w:rsidRPr="00B57DF3">
        <w:rPr>
          <w:rFonts w:ascii="Times New Roman" w:hAnsi="Times New Roman" w:cs="Times New Roman"/>
          <w:noProof/>
          <w:sz w:val="24"/>
          <w:szCs w:val="24"/>
        </w:rPr>
        <w:t xml:space="preserve"> </w:t>
      </w:r>
      <w:r w:rsidRPr="00B57DF3">
        <w:rPr>
          <w:rFonts w:ascii="Times New Roman" w:hAnsi="Times New Roman" w:cs="Times New Roman"/>
          <w:b/>
          <w:bCs/>
          <w:noProof/>
          <w:sz w:val="24"/>
          <w:szCs w:val="24"/>
        </w:rPr>
        <w:t>2007</w:t>
      </w:r>
      <w:r w:rsidRPr="00B57DF3">
        <w:rPr>
          <w:rFonts w:ascii="Times New Roman" w:hAnsi="Times New Roman" w:cs="Times New Roman"/>
          <w:noProof/>
          <w:sz w:val="24"/>
          <w:szCs w:val="24"/>
        </w:rPr>
        <w:t xml:space="preserve">, Vol. </w:t>
      </w:r>
      <w:r w:rsidRPr="00B57DF3">
        <w:rPr>
          <w:rFonts w:ascii="Times New Roman" w:hAnsi="Times New Roman" w:cs="Times New Roman"/>
          <w:i/>
          <w:iCs/>
          <w:noProof/>
          <w:sz w:val="24"/>
          <w:szCs w:val="24"/>
        </w:rPr>
        <w:t>42</w:t>
      </w:r>
      <w:r w:rsidRPr="00B57DF3">
        <w:rPr>
          <w:rFonts w:ascii="Times New Roman" w:hAnsi="Times New Roman" w:cs="Times New Roman"/>
          <w:noProof/>
          <w:sz w:val="24"/>
          <w:szCs w:val="24"/>
        </w:rPr>
        <w:t xml:space="preserve"> (1), pp. 99–102. DOI: </w:t>
      </w:r>
      <w:r w:rsidRPr="00A164BA">
        <w:rPr>
          <w:rFonts w:ascii="Times New Roman" w:hAnsi="Times New Roman" w:cs="Times New Roman"/>
          <w:noProof/>
          <w:color w:val="5B9BD5" w:themeColor="accent1"/>
          <w:sz w:val="24"/>
          <w:szCs w:val="24"/>
        </w:rPr>
        <w:t>10.1016/j.ejmech.2006.07.013</w:t>
      </w:r>
      <w:r w:rsidRPr="00B57DF3">
        <w:rPr>
          <w:rFonts w:ascii="Times New Roman" w:hAnsi="Times New Roman" w:cs="Times New Roman"/>
          <w:noProof/>
          <w:sz w:val="24"/>
          <w:szCs w:val="24"/>
        </w:rPr>
        <w:t>.</w:t>
      </w:r>
    </w:p>
    <w:p w:rsidR="00B57DF3" w:rsidRPr="00B57DF3" w:rsidRDefault="00B57DF3" w:rsidP="00DF507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57DF3">
        <w:rPr>
          <w:rFonts w:ascii="Times New Roman" w:hAnsi="Times New Roman" w:cs="Times New Roman"/>
          <w:noProof/>
          <w:sz w:val="24"/>
          <w:szCs w:val="24"/>
        </w:rPr>
        <w:t>4.</w:t>
      </w:r>
      <w:r w:rsidRPr="00B57DF3">
        <w:rPr>
          <w:rFonts w:ascii="Times New Roman" w:hAnsi="Times New Roman" w:cs="Times New Roman"/>
          <w:noProof/>
          <w:sz w:val="24"/>
          <w:szCs w:val="24"/>
        </w:rPr>
        <w:tab/>
        <w:t xml:space="preserve">J. Du, Y. Ma, F. Meng, R. Zhang, R. Wang, H. Shi, Q. Wang, Y. Fan, H. Huang, J. Cui, et al., </w:t>
      </w:r>
      <w:r w:rsidRPr="00B57DF3">
        <w:rPr>
          <w:rFonts w:ascii="Times New Roman" w:hAnsi="Times New Roman" w:cs="Times New Roman"/>
          <w:b/>
          <w:bCs/>
          <w:noProof/>
          <w:sz w:val="24"/>
          <w:szCs w:val="24"/>
        </w:rPr>
        <w:t>2019</w:t>
      </w:r>
      <w:r w:rsidRPr="00B57DF3">
        <w:rPr>
          <w:rFonts w:ascii="Times New Roman" w:hAnsi="Times New Roman" w:cs="Times New Roman"/>
          <w:noProof/>
          <w:sz w:val="24"/>
          <w:szCs w:val="24"/>
        </w:rPr>
        <w:t xml:space="preserve">, pp. 9–12. DOI: </w:t>
      </w:r>
      <w:r w:rsidRPr="00A164BA">
        <w:rPr>
          <w:rFonts w:ascii="Times New Roman" w:hAnsi="Times New Roman" w:cs="Times New Roman"/>
          <w:noProof/>
          <w:color w:val="5B9BD5" w:themeColor="accent1"/>
          <w:sz w:val="24"/>
          <w:szCs w:val="24"/>
        </w:rPr>
        <w:t>10.1021/acs.orglett.8b03709</w:t>
      </w:r>
      <w:r w:rsidRPr="00B57DF3">
        <w:rPr>
          <w:rFonts w:ascii="Times New Roman" w:hAnsi="Times New Roman" w:cs="Times New Roman"/>
          <w:noProof/>
          <w:sz w:val="24"/>
          <w:szCs w:val="24"/>
        </w:rPr>
        <w:t>.</w:t>
      </w:r>
    </w:p>
    <w:p w:rsidR="00B57DF3" w:rsidRPr="00B57DF3" w:rsidRDefault="00B57DF3" w:rsidP="00DF507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57DF3">
        <w:rPr>
          <w:rFonts w:ascii="Times New Roman" w:hAnsi="Times New Roman" w:cs="Times New Roman"/>
          <w:noProof/>
          <w:sz w:val="24"/>
          <w:szCs w:val="24"/>
        </w:rPr>
        <w:t>5.</w:t>
      </w:r>
      <w:r w:rsidRPr="00B57DF3">
        <w:rPr>
          <w:rFonts w:ascii="Times New Roman" w:hAnsi="Times New Roman" w:cs="Times New Roman"/>
          <w:noProof/>
          <w:sz w:val="24"/>
          <w:szCs w:val="24"/>
        </w:rPr>
        <w:tab/>
        <w:t xml:space="preserve">T. Narendar Reddy, V. Jayathirtha Rao, </w:t>
      </w:r>
      <w:r w:rsidRPr="00B57DF3">
        <w:rPr>
          <w:rFonts w:ascii="Times New Roman" w:hAnsi="Times New Roman" w:cs="Times New Roman"/>
          <w:i/>
          <w:iCs/>
          <w:noProof/>
          <w:sz w:val="24"/>
          <w:szCs w:val="24"/>
        </w:rPr>
        <w:t>Tetrahedron Lett.</w:t>
      </w:r>
      <w:r w:rsidRPr="00B57DF3">
        <w:rPr>
          <w:rFonts w:ascii="Times New Roman" w:hAnsi="Times New Roman" w:cs="Times New Roman"/>
          <w:noProof/>
          <w:sz w:val="24"/>
          <w:szCs w:val="24"/>
        </w:rPr>
        <w:t xml:space="preserve"> </w:t>
      </w:r>
      <w:r w:rsidRPr="00B57DF3">
        <w:rPr>
          <w:rFonts w:ascii="Times New Roman" w:hAnsi="Times New Roman" w:cs="Times New Roman"/>
          <w:b/>
          <w:bCs/>
          <w:noProof/>
          <w:sz w:val="24"/>
          <w:szCs w:val="24"/>
        </w:rPr>
        <w:t>2018</w:t>
      </w:r>
      <w:r w:rsidRPr="00B57DF3">
        <w:rPr>
          <w:rFonts w:ascii="Times New Roman" w:hAnsi="Times New Roman" w:cs="Times New Roman"/>
          <w:noProof/>
          <w:sz w:val="24"/>
          <w:szCs w:val="24"/>
        </w:rPr>
        <w:t xml:space="preserve">, Vol. </w:t>
      </w:r>
      <w:r w:rsidRPr="00B57DF3">
        <w:rPr>
          <w:rFonts w:ascii="Times New Roman" w:hAnsi="Times New Roman" w:cs="Times New Roman"/>
          <w:i/>
          <w:iCs/>
          <w:noProof/>
          <w:sz w:val="24"/>
          <w:szCs w:val="24"/>
        </w:rPr>
        <w:t>59</w:t>
      </w:r>
      <w:r w:rsidRPr="00B57DF3">
        <w:rPr>
          <w:rFonts w:ascii="Times New Roman" w:hAnsi="Times New Roman" w:cs="Times New Roman"/>
          <w:noProof/>
          <w:sz w:val="24"/>
          <w:szCs w:val="24"/>
        </w:rPr>
        <w:t xml:space="preserve"> (30), pp. 2859–2875. DOI: </w:t>
      </w:r>
      <w:r w:rsidRPr="00A164BA">
        <w:rPr>
          <w:rFonts w:ascii="Times New Roman" w:hAnsi="Times New Roman" w:cs="Times New Roman"/>
          <w:noProof/>
          <w:color w:val="5B9BD5" w:themeColor="accent1"/>
          <w:sz w:val="24"/>
          <w:szCs w:val="24"/>
        </w:rPr>
        <w:t>10.1016/j.tetlet.2018.06.023</w:t>
      </w:r>
      <w:r w:rsidRPr="00B57DF3">
        <w:rPr>
          <w:rFonts w:ascii="Times New Roman" w:hAnsi="Times New Roman" w:cs="Times New Roman"/>
          <w:noProof/>
          <w:sz w:val="24"/>
          <w:szCs w:val="24"/>
        </w:rPr>
        <w:t>.</w:t>
      </w:r>
    </w:p>
    <w:p w:rsidR="00B57DF3" w:rsidRPr="00B57DF3" w:rsidRDefault="00B57DF3" w:rsidP="00DF507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57DF3">
        <w:rPr>
          <w:rFonts w:ascii="Times New Roman" w:hAnsi="Times New Roman" w:cs="Times New Roman"/>
          <w:noProof/>
          <w:sz w:val="24"/>
          <w:szCs w:val="24"/>
        </w:rPr>
        <w:t>6.</w:t>
      </w:r>
      <w:r w:rsidRPr="00B57DF3">
        <w:rPr>
          <w:rFonts w:ascii="Times New Roman" w:hAnsi="Times New Roman" w:cs="Times New Roman"/>
          <w:noProof/>
          <w:sz w:val="24"/>
          <w:szCs w:val="24"/>
        </w:rPr>
        <w:tab/>
        <w:t xml:space="preserve">M. Tsednee, Y. C. Huang, Y. R. Chen, K. C. Yeh, </w:t>
      </w:r>
      <w:r w:rsidRPr="00B57DF3">
        <w:rPr>
          <w:rFonts w:ascii="Times New Roman" w:hAnsi="Times New Roman" w:cs="Times New Roman"/>
          <w:i/>
          <w:iCs/>
          <w:noProof/>
          <w:sz w:val="24"/>
          <w:szCs w:val="24"/>
        </w:rPr>
        <w:t>Sci. Rep.</w:t>
      </w:r>
      <w:r w:rsidRPr="00B57DF3">
        <w:rPr>
          <w:rFonts w:ascii="Times New Roman" w:hAnsi="Times New Roman" w:cs="Times New Roman"/>
          <w:noProof/>
          <w:sz w:val="24"/>
          <w:szCs w:val="24"/>
        </w:rPr>
        <w:t xml:space="preserve"> </w:t>
      </w:r>
      <w:r w:rsidRPr="00B57DF3">
        <w:rPr>
          <w:rFonts w:ascii="Times New Roman" w:hAnsi="Times New Roman" w:cs="Times New Roman"/>
          <w:b/>
          <w:bCs/>
          <w:noProof/>
          <w:sz w:val="24"/>
          <w:szCs w:val="24"/>
        </w:rPr>
        <w:t>2016</w:t>
      </w:r>
      <w:r w:rsidRPr="00B57DF3">
        <w:rPr>
          <w:rFonts w:ascii="Times New Roman" w:hAnsi="Times New Roman" w:cs="Times New Roman"/>
          <w:noProof/>
          <w:sz w:val="24"/>
          <w:szCs w:val="24"/>
        </w:rPr>
        <w:t xml:space="preserve">, Vol. </w:t>
      </w:r>
      <w:r w:rsidRPr="00B57DF3">
        <w:rPr>
          <w:rFonts w:ascii="Times New Roman" w:hAnsi="Times New Roman" w:cs="Times New Roman"/>
          <w:i/>
          <w:iCs/>
          <w:noProof/>
          <w:sz w:val="24"/>
          <w:szCs w:val="24"/>
        </w:rPr>
        <w:t>6</w:t>
      </w:r>
      <w:r w:rsidRPr="00B57DF3">
        <w:rPr>
          <w:rFonts w:ascii="Times New Roman" w:hAnsi="Times New Roman" w:cs="Times New Roman"/>
          <w:noProof/>
          <w:sz w:val="24"/>
          <w:szCs w:val="24"/>
        </w:rPr>
        <w:t xml:space="preserve"> (May), pp. 1–13. DOI: </w:t>
      </w:r>
      <w:r w:rsidRPr="00A164BA">
        <w:rPr>
          <w:rFonts w:ascii="Times New Roman" w:hAnsi="Times New Roman" w:cs="Times New Roman"/>
          <w:noProof/>
          <w:color w:val="5B9BD5" w:themeColor="accent1"/>
          <w:sz w:val="24"/>
          <w:szCs w:val="24"/>
        </w:rPr>
        <w:t>10.1038/srep26785</w:t>
      </w:r>
      <w:r w:rsidRPr="00B57DF3">
        <w:rPr>
          <w:rFonts w:ascii="Times New Roman" w:hAnsi="Times New Roman" w:cs="Times New Roman"/>
          <w:noProof/>
          <w:sz w:val="24"/>
          <w:szCs w:val="24"/>
        </w:rPr>
        <w:t>.</w:t>
      </w:r>
    </w:p>
    <w:p w:rsidR="00B57DF3" w:rsidRPr="00B57DF3" w:rsidRDefault="00B57DF3" w:rsidP="00DF507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57DF3">
        <w:rPr>
          <w:rFonts w:ascii="Times New Roman" w:hAnsi="Times New Roman" w:cs="Times New Roman"/>
          <w:noProof/>
          <w:sz w:val="24"/>
          <w:szCs w:val="24"/>
        </w:rPr>
        <w:t>7.</w:t>
      </w:r>
      <w:r w:rsidRPr="00B57DF3">
        <w:rPr>
          <w:rFonts w:ascii="Times New Roman" w:hAnsi="Times New Roman" w:cs="Times New Roman"/>
          <w:noProof/>
          <w:sz w:val="24"/>
          <w:szCs w:val="24"/>
        </w:rPr>
        <w:tab/>
        <w:t xml:space="preserve">V. Carrasco-Sanchez, M. J. Simirgiotis, L. S. Santos, </w:t>
      </w:r>
      <w:r w:rsidRPr="00B57DF3">
        <w:rPr>
          <w:rFonts w:ascii="Times New Roman" w:hAnsi="Times New Roman" w:cs="Times New Roman"/>
          <w:i/>
          <w:iCs/>
          <w:noProof/>
          <w:sz w:val="24"/>
          <w:szCs w:val="24"/>
        </w:rPr>
        <w:t>Molecules</w:t>
      </w:r>
      <w:r w:rsidRPr="00B57DF3">
        <w:rPr>
          <w:rFonts w:ascii="Times New Roman" w:hAnsi="Times New Roman" w:cs="Times New Roman"/>
          <w:noProof/>
          <w:sz w:val="24"/>
          <w:szCs w:val="24"/>
        </w:rPr>
        <w:t xml:space="preserve">. </w:t>
      </w:r>
      <w:r w:rsidRPr="00B57DF3">
        <w:rPr>
          <w:rFonts w:ascii="Times New Roman" w:hAnsi="Times New Roman" w:cs="Times New Roman"/>
          <w:b/>
          <w:bCs/>
          <w:noProof/>
          <w:sz w:val="24"/>
          <w:szCs w:val="24"/>
        </w:rPr>
        <w:t>2009</w:t>
      </w:r>
      <w:r w:rsidRPr="00B57DF3">
        <w:rPr>
          <w:rFonts w:ascii="Times New Roman" w:hAnsi="Times New Roman" w:cs="Times New Roman"/>
          <w:noProof/>
          <w:sz w:val="24"/>
          <w:szCs w:val="24"/>
        </w:rPr>
        <w:t xml:space="preserve">, Vol. </w:t>
      </w:r>
      <w:r w:rsidRPr="00B57DF3">
        <w:rPr>
          <w:rFonts w:ascii="Times New Roman" w:hAnsi="Times New Roman" w:cs="Times New Roman"/>
          <w:i/>
          <w:iCs/>
          <w:noProof/>
          <w:sz w:val="24"/>
          <w:szCs w:val="24"/>
        </w:rPr>
        <w:t>14</w:t>
      </w:r>
      <w:r w:rsidRPr="00B57DF3">
        <w:rPr>
          <w:rFonts w:ascii="Times New Roman" w:hAnsi="Times New Roman" w:cs="Times New Roman"/>
          <w:noProof/>
          <w:sz w:val="24"/>
          <w:szCs w:val="24"/>
        </w:rPr>
        <w:t xml:space="preserve"> (10), pp. 3989–4021. DOI: </w:t>
      </w:r>
      <w:r w:rsidRPr="00A164BA">
        <w:rPr>
          <w:rFonts w:ascii="Times New Roman" w:hAnsi="Times New Roman" w:cs="Times New Roman"/>
          <w:noProof/>
          <w:color w:val="5B9BD5" w:themeColor="accent1"/>
          <w:sz w:val="24"/>
          <w:szCs w:val="24"/>
        </w:rPr>
        <w:t>10.3390/molecules14103989</w:t>
      </w:r>
      <w:r w:rsidRPr="00B57DF3">
        <w:rPr>
          <w:rFonts w:ascii="Times New Roman" w:hAnsi="Times New Roman" w:cs="Times New Roman"/>
          <w:noProof/>
          <w:sz w:val="24"/>
          <w:szCs w:val="24"/>
        </w:rPr>
        <w:t>.</w:t>
      </w:r>
    </w:p>
    <w:p w:rsidR="00B57DF3" w:rsidRPr="00B57DF3" w:rsidRDefault="00B57DF3" w:rsidP="00DF507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57DF3">
        <w:rPr>
          <w:rFonts w:ascii="Times New Roman" w:hAnsi="Times New Roman" w:cs="Times New Roman"/>
          <w:noProof/>
          <w:sz w:val="24"/>
          <w:szCs w:val="24"/>
        </w:rPr>
        <w:t>8.</w:t>
      </w:r>
      <w:r w:rsidRPr="00B57DF3">
        <w:rPr>
          <w:rFonts w:ascii="Times New Roman" w:hAnsi="Times New Roman" w:cs="Times New Roman"/>
          <w:noProof/>
          <w:sz w:val="24"/>
          <w:szCs w:val="24"/>
        </w:rPr>
        <w:tab/>
        <w:t xml:space="preserve">G. W. Amarante, M. Benassi, R. N. Pascoal, M. N. Eberlin, F. Coelho, </w:t>
      </w:r>
      <w:r w:rsidRPr="00B57DF3">
        <w:rPr>
          <w:rFonts w:ascii="Times New Roman" w:hAnsi="Times New Roman" w:cs="Times New Roman"/>
          <w:i/>
          <w:iCs/>
          <w:noProof/>
          <w:sz w:val="24"/>
          <w:szCs w:val="24"/>
        </w:rPr>
        <w:t>Tetrahedron</w:t>
      </w:r>
      <w:r w:rsidRPr="00B57DF3">
        <w:rPr>
          <w:rFonts w:ascii="Times New Roman" w:hAnsi="Times New Roman" w:cs="Times New Roman"/>
          <w:noProof/>
          <w:sz w:val="24"/>
          <w:szCs w:val="24"/>
        </w:rPr>
        <w:t xml:space="preserve">. </w:t>
      </w:r>
      <w:r w:rsidRPr="00B57DF3">
        <w:rPr>
          <w:rFonts w:ascii="Times New Roman" w:hAnsi="Times New Roman" w:cs="Times New Roman"/>
          <w:b/>
          <w:bCs/>
          <w:noProof/>
          <w:sz w:val="24"/>
          <w:szCs w:val="24"/>
        </w:rPr>
        <w:t>2010</w:t>
      </w:r>
      <w:r w:rsidRPr="00B57DF3">
        <w:rPr>
          <w:rFonts w:ascii="Times New Roman" w:hAnsi="Times New Roman" w:cs="Times New Roman"/>
          <w:noProof/>
          <w:sz w:val="24"/>
          <w:szCs w:val="24"/>
        </w:rPr>
        <w:t xml:space="preserve">, Vol. </w:t>
      </w:r>
      <w:r w:rsidRPr="00B57DF3">
        <w:rPr>
          <w:rFonts w:ascii="Times New Roman" w:hAnsi="Times New Roman" w:cs="Times New Roman"/>
          <w:i/>
          <w:iCs/>
          <w:noProof/>
          <w:sz w:val="24"/>
          <w:szCs w:val="24"/>
        </w:rPr>
        <w:t>66</w:t>
      </w:r>
      <w:r w:rsidRPr="00B57DF3">
        <w:rPr>
          <w:rFonts w:ascii="Times New Roman" w:hAnsi="Times New Roman" w:cs="Times New Roman"/>
          <w:noProof/>
          <w:sz w:val="24"/>
          <w:szCs w:val="24"/>
        </w:rPr>
        <w:t xml:space="preserve"> (24), pp. 4370–4376. DOI: </w:t>
      </w:r>
      <w:r w:rsidRPr="00A164BA">
        <w:rPr>
          <w:rFonts w:ascii="Times New Roman" w:hAnsi="Times New Roman" w:cs="Times New Roman"/>
          <w:noProof/>
          <w:color w:val="5B9BD5" w:themeColor="accent1"/>
          <w:sz w:val="24"/>
          <w:szCs w:val="24"/>
        </w:rPr>
        <w:t>10.1016/j.tet.2010.04.018</w:t>
      </w:r>
      <w:r w:rsidRPr="00B57DF3">
        <w:rPr>
          <w:rFonts w:ascii="Times New Roman" w:hAnsi="Times New Roman" w:cs="Times New Roman"/>
          <w:noProof/>
          <w:sz w:val="24"/>
          <w:szCs w:val="24"/>
        </w:rPr>
        <w:t>.</w:t>
      </w:r>
    </w:p>
    <w:p w:rsidR="00B57DF3" w:rsidRPr="00B57DF3" w:rsidRDefault="00B57DF3" w:rsidP="00DF507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57DF3">
        <w:rPr>
          <w:rFonts w:ascii="Times New Roman" w:hAnsi="Times New Roman" w:cs="Times New Roman"/>
          <w:noProof/>
          <w:sz w:val="24"/>
          <w:szCs w:val="24"/>
        </w:rPr>
        <w:t>9.</w:t>
      </w:r>
      <w:r w:rsidRPr="00B57DF3">
        <w:rPr>
          <w:rFonts w:ascii="Times New Roman" w:hAnsi="Times New Roman" w:cs="Times New Roman"/>
          <w:noProof/>
          <w:sz w:val="24"/>
          <w:szCs w:val="24"/>
        </w:rPr>
        <w:tab/>
        <w:t xml:space="preserve">C. G. L. Junior, P. A. C. De Assis, F. P. L. Silva, S. C. O. Sousa, N. G. De Andrade, T. P. Barbosa, P. L. N. Nerís, L. V. G. Segundo, Í. C. Anjos, G. A. U. Carvalho, et al., </w:t>
      </w:r>
      <w:r w:rsidRPr="00B57DF3">
        <w:rPr>
          <w:rFonts w:ascii="Times New Roman" w:hAnsi="Times New Roman" w:cs="Times New Roman"/>
          <w:i/>
          <w:iCs/>
          <w:noProof/>
          <w:sz w:val="24"/>
          <w:szCs w:val="24"/>
        </w:rPr>
        <w:t>Bioorg. Chem.</w:t>
      </w:r>
      <w:r w:rsidRPr="00B57DF3">
        <w:rPr>
          <w:rFonts w:ascii="Times New Roman" w:hAnsi="Times New Roman" w:cs="Times New Roman"/>
          <w:noProof/>
          <w:sz w:val="24"/>
          <w:szCs w:val="24"/>
        </w:rPr>
        <w:t xml:space="preserve"> </w:t>
      </w:r>
      <w:r w:rsidRPr="00B57DF3">
        <w:rPr>
          <w:rFonts w:ascii="Times New Roman" w:hAnsi="Times New Roman" w:cs="Times New Roman"/>
          <w:b/>
          <w:bCs/>
          <w:noProof/>
          <w:sz w:val="24"/>
          <w:szCs w:val="24"/>
        </w:rPr>
        <w:t>2010</w:t>
      </w:r>
      <w:r w:rsidRPr="00B57DF3">
        <w:rPr>
          <w:rFonts w:ascii="Times New Roman" w:hAnsi="Times New Roman" w:cs="Times New Roman"/>
          <w:noProof/>
          <w:sz w:val="24"/>
          <w:szCs w:val="24"/>
        </w:rPr>
        <w:t xml:space="preserve">, Vol. </w:t>
      </w:r>
      <w:r w:rsidRPr="00B57DF3">
        <w:rPr>
          <w:rFonts w:ascii="Times New Roman" w:hAnsi="Times New Roman" w:cs="Times New Roman"/>
          <w:i/>
          <w:iCs/>
          <w:noProof/>
          <w:sz w:val="24"/>
          <w:szCs w:val="24"/>
        </w:rPr>
        <w:t>38</w:t>
      </w:r>
      <w:r w:rsidRPr="00B57DF3">
        <w:rPr>
          <w:rFonts w:ascii="Times New Roman" w:hAnsi="Times New Roman" w:cs="Times New Roman"/>
          <w:noProof/>
          <w:sz w:val="24"/>
          <w:szCs w:val="24"/>
        </w:rPr>
        <w:t xml:space="preserve"> (6), pp. 279–284. DOI: </w:t>
      </w:r>
      <w:r w:rsidRPr="00A164BA">
        <w:rPr>
          <w:rFonts w:ascii="Times New Roman" w:hAnsi="Times New Roman" w:cs="Times New Roman"/>
          <w:noProof/>
          <w:color w:val="5B9BD5" w:themeColor="accent1"/>
          <w:sz w:val="24"/>
          <w:szCs w:val="24"/>
        </w:rPr>
        <w:t>10.1016/j.bioorg.2010.08.002</w:t>
      </w:r>
      <w:r w:rsidRPr="00B57DF3">
        <w:rPr>
          <w:rFonts w:ascii="Times New Roman" w:hAnsi="Times New Roman" w:cs="Times New Roman"/>
          <w:noProof/>
          <w:sz w:val="24"/>
          <w:szCs w:val="24"/>
        </w:rPr>
        <w:t>.</w:t>
      </w:r>
    </w:p>
    <w:p w:rsidR="00B57DF3" w:rsidRPr="00B57DF3" w:rsidRDefault="00B57DF3" w:rsidP="00DF507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57DF3">
        <w:rPr>
          <w:rFonts w:ascii="Times New Roman" w:hAnsi="Times New Roman" w:cs="Times New Roman"/>
          <w:noProof/>
          <w:sz w:val="24"/>
          <w:szCs w:val="24"/>
        </w:rPr>
        <w:t>10.</w:t>
      </w:r>
      <w:r w:rsidRPr="00B57DF3">
        <w:rPr>
          <w:rFonts w:ascii="Times New Roman" w:hAnsi="Times New Roman" w:cs="Times New Roman"/>
          <w:noProof/>
          <w:sz w:val="24"/>
          <w:szCs w:val="24"/>
        </w:rPr>
        <w:tab/>
        <w:t xml:space="preserve">R. V. Pirovani, B. R. V. Ferreira, F. Coelho, </w:t>
      </w:r>
      <w:r w:rsidRPr="00B57DF3">
        <w:rPr>
          <w:rFonts w:ascii="Times New Roman" w:hAnsi="Times New Roman" w:cs="Times New Roman"/>
          <w:i/>
          <w:iCs/>
          <w:noProof/>
          <w:sz w:val="24"/>
          <w:szCs w:val="24"/>
        </w:rPr>
        <w:t>Synlett</w:t>
      </w:r>
      <w:r w:rsidRPr="00B57DF3">
        <w:rPr>
          <w:rFonts w:ascii="Times New Roman" w:hAnsi="Times New Roman" w:cs="Times New Roman"/>
          <w:noProof/>
          <w:sz w:val="24"/>
          <w:szCs w:val="24"/>
        </w:rPr>
        <w:t xml:space="preserve">. </w:t>
      </w:r>
      <w:r w:rsidRPr="00B57DF3">
        <w:rPr>
          <w:rFonts w:ascii="Times New Roman" w:hAnsi="Times New Roman" w:cs="Times New Roman"/>
          <w:b/>
          <w:bCs/>
          <w:noProof/>
          <w:sz w:val="24"/>
          <w:szCs w:val="24"/>
        </w:rPr>
        <w:t>2009</w:t>
      </w:r>
      <w:r w:rsidRPr="00B57DF3">
        <w:rPr>
          <w:rFonts w:ascii="Times New Roman" w:hAnsi="Times New Roman" w:cs="Times New Roman"/>
          <w:noProof/>
          <w:sz w:val="24"/>
          <w:szCs w:val="24"/>
        </w:rPr>
        <w:t xml:space="preserve">, (14), pp. 2333–2337. DOI: </w:t>
      </w:r>
      <w:r w:rsidRPr="00A164BA">
        <w:rPr>
          <w:rFonts w:ascii="Times New Roman" w:hAnsi="Times New Roman" w:cs="Times New Roman"/>
          <w:noProof/>
          <w:color w:val="5B9BD5" w:themeColor="accent1"/>
          <w:sz w:val="24"/>
          <w:szCs w:val="24"/>
        </w:rPr>
        <w:t>10.1055/s-0029-1217725</w:t>
      </w:r>
      <w:r w:rsidRPr="00B57DF3">
        <w:rPr>
          <w:rFonts w:ascii="Times New Roman" w:hAnsi="Times New Roman" w:cs="Times New Roman"/>
          <w:noProof/>
          <w:sz w:val="24"/>
          <w:szCs w:val="24"/>
        </w:rPr>
        <w:t>.</w:t>
      </w:r>
    </w:p>
    <w:p w:rsidR="00B57DF3" w:rsidRPr="00B57DF3" w:rsidRDefault="00B57DF3" w:rsidP="00DF507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57DF3">
        <w:rPr>
          <w:rFonts w:ascii="Times New Roman" w:hAnsi="Times New Roman" w:cs="Times New Roman"/>
          <w:noProof/>
          <w:sz w:val="24"/>
          <w:szCs w:val="24"/>
        </w:rPr>
        <w:t>11.</w:t>
      </w:r>
      <w:r w:rsidRPr="00B57DF3">
        <w:rPr>
          <w:rFonts w:ascii="Times New Roman" w:hAnsi="Times New Roman" w:cs="Times New Roman"/>
          <w:noProof/>
          <w:sz w:val="24"/>
          <w:szCs w:val="24"/>
        </w:rPr>
        <w:tab/>
        <w:t xml:space="preserve">S. Rehman, M. Ikram, F. Subhan, M. Sinnokrot, W. Khan, </w:t>
      </w:r>
      <w:r w:rsidRPr="00B57DF3">
        <w:rPr>
          <w:rFonts w:ascii="Times New Roman" w:hAnsi="Times New Roman" w:cs="Times New Roman"/>
          <w:i/>
          <w:iCs/>
          <w:noProof/>
          <w:sz w:val="24"/>
          <w:szCs w:val="24"/>
        </w:rPr>
        <w:t>Open Chem.</w:t>
      </w:r>
      <w:r w:rsidRPr="00B57DF3">
        <w:rPr>
          <w:rFonts w:ascii="Times New Roman" w:hAnsi="Times New Roman" w:cs="Times New Roman"/>
          <w:noProof/>
          <w:sz w:val="24"/>
          <w:szCs w:val="24"/>
        </w:rPr>
        <w:t xml:space="preserve"> </w:t>
      </w:r>
      <w:r w:rsidRPr="00B57DF3">
        <w:rPr>
          <w:rFonts w:ascii="Times New Roman" w:hAnsi="Times New Roman" w:cs="Times New Roman"/>
          <w:b/>
          <w:bCs/>
          <w:noProof/>
          <w:sz w:val="24"/>
          <w:szCs w:val="24"/>
        </w:rPr>
        <w:t>2019</w:t>
      </w:r>
      <w:r w:rsidRPr="00B57DF3">
        <w:rPr>
          <w:rFonts w:ascii="Times New Roman" w:hAnsi="Times New Roman" w:cs="Times New Roman"/>
          <w:noProof/>
          <w:sz w:val="24"/>
          <w:szCs w:val="24"/>
        </w:rPr>
        <w:t xml:space="preserve">, Vol. </w:t>
      </w:r>
      <w:r w:rsidRPr="00B57DF3">
        <w:rPr>
          <w:rFonts w:ascii="Times New Roman" w:hAnsi="Times New Roman" w:cs="Times New Roman"/>
          <w:i/>
          <w:iCs/>
          <w:noProof/>
          <w:sz w:val="24"/>
          <w:szCs w:val="24"/>
        </w:rPr>
        <w:t>17</w:t>
      </w:r>
      <w:r w:rsidRPr="00B57DF3">
        <w:rPr>
          <w:rFonts w:ascii="Times New Roman" w:hAnsi="Times New Roman" w:cs="Times New Roman"/>
          <w:noProof/>
          <w:sz w:val="24"/>
          <w:szCs w:val="24"/>
        </w:rPr>
        <w:t xml:space="preserve"> (1), pp. 936–942. DOI: </w:t>
      </w:r>
      <w:r w:rsidRPr="00A164BA">
        <w:rPr>
          <w:rFonts w:ascii="Times New Roman" w:hAnsi="Times New Roman" w:cs="Times New Roman"/>
          <w:noProof/>
          <w:color w:val="5B9BD5" w:themeColor="accent1"/>
          <w:sz w:val="24"/>
          <w:szCs w:val="24"/>
        </w:rPr>
        <w:t>10.1515/chem-2019-0108</w:t>
      </w:r>
      <w:r w:rsidRPr="00B57DF3">
        <w:rPr>
          <w:rFonts w:ascii="Times New Roman" w:hAnsi="Times New Roman" w:cs="Times New Roman"/>
          <w:noProof/>
          <w:sz w:val="24"/>
          <w:szCs w:val="24"/>
        </w:rPr>
        <w:t>.</w:t>
      </w:r>
    </w:p>
    <w:p w:rsidR="00B57DF3" w:rsidRPr="00B57DF3" w:rsidRDefault="00B57DF3" w:rsidP="00DF507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57DF3">
        <w:rPr>
          <w:rFonts w:ascii="Times New Roman" w:hAnsi="Times New Roman" w:cs="Times New Roman"/>
          <w:noProof/>
          <w:sz w:val="24"/>
          <w:szCs w:val="24"/>
        </w:rPr>
        <w:t>12.</w:t>
      </w:r>
      <w:r w:rsidRPr="00B57DF3">
        <w:rPr>
          <w:rFonts w:ascii="Times New Roman" w:hAnsi="Times New Roman" w:cs="Times New Roman"/>
          <w:noProof/>
          <w:sz w:val="24"/>
          <w:szCs w:val="24"/>
        </w:rPr>
        <w:tab/>
        <w:t xml:space="preserve">D. C. Crans, J. J. Smee, E. Gaidamauskas, L. Yang, </w:t>
      </w:r>
      <w:r w:rsidRPr="00B57DF3">
        <w:rPr>
          <w:rFonts w:ascii="Times New Roman" w:hAnsi="Times New Roman" w:cs="Times New Roman"/>
          <w:i/>
          <w:iCs/>
          <w:noProof/>
          <w:sz w:val="24"/>
          <w:szCs w:val="24"/>
        </w:rPr>
        <w:t>Chem. Rev.</w:t>
      </w:r>
      <w:r w:rsidRPr="00B57DF3">
        <w:rPr>
          <w:rFonts w:ascii="Times New Roman" w:hAnsi="Times New Roman" w:cs="Times New Roman"/>
          <w:noProof/>
          <w:sz w:val="24"/>
          <w:szCs w:val="24"/>
        </w:rPr>
        <w:t xml:space="preserve"> </w:t>
      </w:r>
      <w:r w:rsidRPr="00B57DF3">
        <w:rPr>
          <w:rFonts w:ascii="Times New Roman" w:hAnsi="Times New Roman" w:cs="Times New Roman"/>
          <w:b/>
          <w:bCs/>
          <w:noProof/>
          <w:sz w:val="24"/>
          <w:szCs w:val="24"/>
        </w:rPr>
        <w:t>2004</w:t>
      </w:r>
      <w:r w:rsidRPr="00B57DF3">
        <w:rPr>
          <w:rFonts w:ascii="Times New Roman" w:hAnsi="Times New Roman" w:cs="Times New Roman"/>
          <w:noProof/>
          <w:sz w:val="24"/>
          <w:szCs w:val="24"/>
        </w:rPr>
        <w:t xml:space="preserve">, Vol. </w:t>
      </w:r>
      <w:r w:rsidRPr="00B57DF3">
        <w:rPr>
          <w:rFonts w:ascii="Times New Roman" w:hAnsi="Times New Roman" w:cs="Times New Roman"/>
          <w:i/>
          <w:iCs/>
          <w:noProof/>
          <w:sz w:val="24"/>
          <w:szCs w:val="24"/>
        </w:rPr>
        <w:t>104</w:t>
      </w:r>
      <w:r w:rsidRPr="00B57DF3">
        <w:rPr>
          <w:rFonts w:ascii="Times New Roman" w:hAnsi="Times New Roman" w:cs="Times New Roman"/>
          <w:noProof/>
          <w:sz w:val="24"/>
          <w:szCs w:val="24"/>
        </w:rPr>
        <w:t xml:space="preserve"> (2), pp. 849–902. DOI: </w:t>
      </w:r>
      <w:r w:rsidRPr="00A164BA">
        <w:rPr>
          <w:rFonts w:ascii="Times New Roman" w:hAnsi="Times New Roman" w:cs="Times New Roman"/>
          <w:noProof/>
          <w:color w:val="5B9BD5" w:themeColor="accent1"/>
          <w:sz w:val="24"/>
          <w:szCs w:val="24"/>
        </w:rPr>
        <w:t>10.1021/cr020607t</w:t>
      </w:r>
      <w:r w:rsidRPr="00B57DF3">
        <w:rPr>
          <w:rFonts w:ascii="Times New Roman" w:hAnsi="Times New Roman" w:cs="Times New Roman"/>
          <w:noProof/>
          <w:sz w:val="24"/>
          <w:szCs w:val="24"/>
        </w:rPr>
        <w:t>.</w:t>
      </w:r>
    </w:p>
    <w:p w:rsidR="00B57DF3" w:rsidRPr="00B57DF3" w:rsidRDefault="00B57DF3" w:rsidP="00DF507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57DF3">
        <w:rPr>
          <w:rFonts w:ascii="Times New Roman" w:hAnsi="Times New Roman" w:cs="Times New Roman"/>
          <w:noProof/>
          <w:sz w:val="24"/>
          <w:szCs w:val="24"/>
        </w:rPr>
        <w:t>13.</w:t>
      </w:r>
      <w:r w:rsidRPr="00B57DF3">
        <w:rPr>
          <w:rFonts w:ascii="Times New Roman" w:hAnsi="Times New Roman" w:cs="Times New Roman"/>
          <w:noProof/>
          <w:sz w:val="24"/>
          <w:szCs w:val="24"/>
        </w:rPr>
        <w:tab/>
        <w:t xml:space="preserve">P. C. Bruijnincx, P. J. Sadler, </w:t>
      </w:r>
      <w:r w:rsidRPr="00B57DF3">
        <w:rPr>
          <w:rFonts w:ascii="Times New Roman" w:hAnsi="Times New Roman" w:cs="Times New Roman"/>
          <w:i/>
          <w:iCs/>
          <w:noProof/>
          <w:sz w:val="24"/>
          <w:szCs w:val="24"/>
        </w:rPr>
        <w:t>Curr. Opin. Chem. Biol.</w:t>
      </w:r>
      <w:r w:rsidRPr="00B57DF3">
        <w:rPr>
          <w:rFonts w:ascii="Times New Roman" w:hAnsi="Times New Roman" w:cs="Times New Roman"/>
          <w:noProof/>
          <w:sz w:val="24"/>
          <w:szCs w:val="24"/>
        </w:rPr>
        <w:t xml:space="preserve"> </w:t>
      </w:r>
      <w:r w:rsidRPr="00B57DF3">
        <w:rPr>
          <w:rFonts w:ascii="Times New Roman" w:hAnsi="Times New Roman" w:cs="Times New Roman"/>
          <w:b/>
          <w:bCs/>
          <w:noProof/>
          <w:sz w:val="24"/>
          <w:szCs w:val="24"/>
        </w:rPr>
        <w:t>2008</w:t>
      </w:r>
      <w:r w:rsidRPr="00B57DF3">
        <w:rPr>
          <w:rFonts w:ascii="Times New Roman" w:hAnsi="Times New Roman" w:cs="Times New Roman"/>
          <w:noProof/>
          <w:sz w:val="24"/>
          <w:szCs w:val="24"/>
        </w:rPr>
        <w:t xml:space="preserve">, Vol. </w:t>
      </w:r>
      <w:r w:rsidRPr="00B57DF3">
        <w:rPr>
          <w:rFonts w:ascii="Times New Roman" w:hAnsi="Times New Roman" w:cs="Times New Roman"/>
          <w:i/>
          <w:iCs/>
          <w:noProof/>
          <w:sz w:val="24"/>
          <w:szCs w:val="24"/>
        </w:rPr>
        <w:t>12</w:t>
      </w:r>
      <w:r w:rsidRPr="00B57DF3">
        <w:rPr>
          <w:rFonts w:ascii="Times New Roman" w:hAnsi="Times New Roman" w:cs="Times New Roman"/>
          <w:noProof/>
          <w:sz w:val="24"/>
          <w:szCs w:val="24"/>
        </w:rPr>
        <w:t xml:space="preserve"> (2), pp. 197–206. DOI: </w:t>
      </w:r>
      <w:r w:rsidRPr="00A164BA">
        <w:rPr>
          <w:rFonts w:ascii="Times New Roman" w:hAnsi="Times New Roman" w:cs="Times New Roman"/>
          <w:noProof/>
          <w:color w:val="5B9BD5" w:themeColor="accent1"/>
          <w:sz w:val="24"/>
          <w:szCs w:val="24"/>
        </w:rPr>
        <w:t>10.1016/j.cbpa.2007.11.013</w:t>
      </w:r>
      <w:r w:rsidRPr="00B57DF3">
        <w:rPr>
          <w:rFonts w:ascii="Times New Roman" w:hAnsi="Times New Roman" w:cs="Times New Roman"/>
          <w:noProof/>
          <w:sz w:val="24"/>
          <w:szCs w:val="24"/>
        </w:rPr>
        <w:t>.</w:t>
      </w:r>
    </w:p>
    <w:p w:rsidR="00B57DF3" w:rsidRPr="00B57DF3" w:rsidRDefault="00B57DF3" w:rsidP="00DF507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57DF3">
        <w:rPr>
          <w:rFonts w:ascii="Times New Roman" w:hAnsi="Times New Roman" w:cs="Times New Roman"/>
          <w:noProof/>
          <w:sz w:val="24"/>
          <w:szCs w:val="24"/>
        </w:rPr>
        <w:t>14.</w:t>
      </w:r>
      <w:r w:rsidRPr="00B57DF3">
        <w:rPr>
          <w:rFonts w:ascii="Times New Roman" w:hAnsi="Times New Roman" w:cs="Times New Roman"/>
          <w:noProof/>
          <w:sz w:val="24"/>
          <w:szCs w:val="24"/>
        </w:rPr>
        <w:tab/>
        <w:t xml:space="preserve">J. Martí-Rujas, </w:t>
      </w:r>
      <w:r w:rsidRPr="00B57DF3">
        <w:rPr>
          <w:rFonts w:ascii="Times New Roman" w:hAnsi="Times New Roman" w:cs="Times New Roman"/>
          <w:i/>
          <w:iCs/>
          <w:noProof/>
          <w:sz w:val="24"/>
          <w:szCs w:val="24"/>
        </w:rPr>
        <w:t>Dalt. Trans.</w:t>
      </w:r>
      <w:r w:rsidRPr="00B57DF3">
        <w:rPr>
          <w:rFonts w:ascii="Times New Roman" w:hAnsi="Times New Roman" w:cs="Times New Roman"/>
          <w:noProof/>
          <w:sz w:val="24"/>
          <w:szCs w:val="24"/>
        </w:rPr>
        <w:t xml:space="preserve"> </w:t>
      </w:r>
      <w:r w:rsidRPr="00B57DF3">
        <w:rPr>
          <w:rFonts w:ascii="Times New Roman" w:hAnsi="Times New Roman" w:cs="Times New Roman"/>
          <w:b/>
          <w:bCs/>
          <w:noProof/>
          <w:sz w:val="24"/>
          <w:szCs w:val="24"/>
        </w:rPr>
        <w:t>2020</w:t>
      </w:r>
      <w:r w:rsidRPr="00B57DF3">
        <w:rPr>
          <w:rFonts w:ascii="Times New Roman" w:hAnsi="Times New Roman" w:cs="Times New Roman"/>
          <w:noProof/>
          <w:sz w:val="24"/>
          <w:szCs w:val="24"/>
        </w:rPr>
        <w:t xml:space="preserve">, Vol. </w:t>
      </w:r>
      <w:r w:rsidRPr="00B57DF3">
        <w:rPr>
          <w:rFonts w:ascii="Times New Roman" w:hAnsi="Times New Roman" w:cs="Times New Roman"/>
          <w:i/>
          <w:iCs/>
          <w:noProof/>
          <w:sz w:val="24"/>
          <w:szCs w:val="24"/>
        </w:rPr>
        <w:t>49</w:t>
      </w:r>
      <w:r w:rsidRPr="00B57DF3">
        <w:rPr>
          <w:rFonts w:ascii="Times New Roman" w:hAnsi="Times New Roman" w:cs="Times New Roman"/>
          <w:noProof/>
          <w:sz w:val="24"/>
          <w:szCs w:val="24"/>
        </w:rPr>
        <w:t xml:space="preserve"> (40), pp. 13897–13916. DOI: </w:t>
      </w:r>
      <w:r w:rsidRPr="00A164BA">
        <w:rPr>
          <w:rFonts w:ascii="Times New Roman" w:hAnsi="Times New Roman" w:cs="Times New Roman"/>
          <w:noProof/>
          <w:color w:val="5B9BD5" w:themeColor="accent1"/>
          <w:sz w:val="24"/>
          <w:szCs w:val="24"/>
        </w:rPr>
        <w:t>10.1039/d0dt02802a</w:t>
      </w:r>
      <w:r w:rsidRPr="00B57DF3">
        <w:rPr>
          <w:rFonts w:ascii="Times New Roman" w:hAnsi="Times New Roman" w:cs="Times New Roman"/>
          <w:noProof/>
          <w:sz w:val="24"/>
          <w:szCs w:val="24"/>
        </w:rPr>
        <w:t>.</w:t>
      </w:r>
    </w:p>
    <w:p w:rsidR="00B57DF3" w:rsidRPr="00B57DF3" w:rsidRDefault="00B57DF3" w:rsidP="00DF507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57DF3">
        <w:rPr>
          <w:rFonts w:ascii="Times New Roman" w:hAnsi="Times New Roman" w:cs="Times New Roman"/>
          <w:noProof/>
          <w:sz w:val="24"/>
          <w:szCs w:val="24"/>
        </w:rPr>
        <w:t>15.</w:t>
      </w:r>
      <w:r w:rsidRPr="00B57DF3">
        <w:rPr>
          <w:rFonts w:ascii="Times New Roman" w:hAnsi="Times New Roman" w:cs="Times New Roman"/>
          <w:noProof/>
          <w:sz w:val="24"/>
          <w:szCs w:val="24"/>
        </w:rPr>
        <w:tab/>
        <w:t xml:space="preserve">S. Y. Liu, I. D. Hills, G. C. Fu, </w:t>
      </w:r>
      <w:r w:rsidRPr="00B57DF3">
        <w:rPr>
          <w:rFonts w:ascii="Times New Roman" w:hAnsi="Times New Roman" w:cs="Times New Roman"/>
          <w:i/>
          <w:iCs/>
          <w:noProof/>
          <w:sz w:val="24"/>
          <w:szCs w:val="24"/>
        </w:rPr>
        <w:t>Organometallics</w:t>
      </w:r>
      <w:r w:rsidRPr="00B57DF3">
        <w:rPr>
          <w:rFonts w:ascii="Times New Roman" w:hAnsi="Times New Roman" w:cs="Times New Roman"/>
          <w:noProof/>
          <w:sz w:val="24"/>
          <w:szCs w:val="24"/>
        </w:rPr>
        <w:t xml:space="preserve">. </w:t>
      </w:r>
      <w:r w:rsidRPr="00B57DF3">
        <w:rPr>
          <w:rFonts w:ascii="Times New Roman" w:hAnsi="Times New Roman" w:cs="Times New Roman"/>
          <w:b/>
          <w:bCs/>
          <w:noProof/>
          <w:sz w:val="24"/>
          <w:szCs w:val="24"/>
        </w:rPr>
        <w:t>2002</w:t>
      </w:r>
      <w:r w:rsidRPr="00B57DF3">
        <w:rPr>
          <w:rFonts w:ascii="Times New Roman" w:hAnsi="Times New Roman" w:cs="Times New Roman"/>
          <w:noProof/>
          <w:sz w:val="24"/>
          <w:szCs w:val="24"/>
        </w:rPr>
        <w:t xml:space="preserve">, Vol. </w:t>
      </w:r>
      <w:r w:rsidRPr="00B57DF3">
        <w:rPr>
          <w:rFonts w:ascii="Times New Roman" w:hAnsi="Times New Roman" w:cs="Times New Roman"/>
          <w:i/>
          <w:iCs/>
          <w:noProof/>
          <w:sz w:val="24"/>
          <w:szCs w:val="24"/>
        </w:rPr>
        <w:t>21</w:t>
      </w:r>
      <w:r w:rsidRPr="00B57DF3">
        <w:rPr>
          <w:rFonts w:ascii="Times New Roman" w:hAnsi="Times New Roman" w:cs="Times New Roman"/>
          <w:noProof/>
          <w:sz w:val="24"/>
          <w:szCs w:val="24"/>
        </w:rPr>
        <w:t xml:space="preserve"> (21), pp. 4323–4325. DOI: </w:t>
      </w:r>
      <w:r w:rsidRPr="00A164BA">
        <w:rPr>
          <w:rFonts w:ascii="Times New Roman" w:hAnsi="Times New Roman" w:cs="Times New Roman"/>
          <w:noProof/>
          <w:color w:val="5B9BD5" w:themeColor="accent1"/>
          <w:sz w:val="24"/>
          <w:szCs w:val="24"/>
        </w:rPr>
        <w:t>10.1021/om020533b</w:t>
      </w:r>
      <w:r w:rsidRPr="00B57DF3">
        <w:rPr>
          <w:rFonts w:ascii="Times New Roman" w:hAnsi="Times New Roman" w:cs="Times New Roman"/>
          <w:noProof/>
          <w:sz w:val="24"/>
          <w:szCs w:val="24"/>
        </w:rPr>
        <w:t>.</w:t>
      </w:r>
    </w:p>
    <w:p w:rsidR="00B57DF3" w:rsidRPr="00B57DF3" w:rsidRDefault="00B57DF3" w:rsidP="00DF507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57DF3">
        <w:rPr>
          <w:rFonts w:ascii="Times New Roman" w:hAnsi="Times New Roman" w:cs="Times New Roman"/>
          <w:noProof/>
          <w:sz w:val="24"/>
          <w:szCs w:val="24"/>
        </w:rPr>
        <w:lastRenderedPageBreak/>
        <w:t>16.</w:t>
      </w:r>
      <w:r w:rsidRPr="00B57DF3">
        <w:rPr>
          <w:rFonts w:ascii="Times New Roman" w:hAnsi="Times New Roman" w:cs="Times New Roman"/>
          <w:noProof/>
          <w:sz w:val="24"/>
          <w:szCs w:val="24"/>
        </w:rPr>
        <w:tab/>
        <w:t xml:space="preserve">V. B. M. Brito, G. F. Santos, T. D. S. Silva, J. L. C. Souza, G. C. G. Militão, F. T. Martins, F. P. L. Silva, B. G. Oliveira, E. C. C. Araújo, M. L. A. A. Vasconcellos, et al., </w:t>
      </w:r>
      <w:r w:rsidRPr="00B57DF3">
        <w:rPr>
          <w:rFonts w:ascii="Times New Roman" w:hAnsi="Times New Roman" w:cs="Times New Roman"/>
          <w:i/>
          <w:iCs/>
          <w:noProof/>
          <w:sz w:val="24"/>
          <w:szCs w:val="24"/>
        </w:rPr>
        <w:t>Mol. Divers.</w:t>
      </w:r>
      <w:r w:rsidRPr="00B57DF3">
        <w:rPr>
          <w:rFonts w:ascii="Times New Roman" w:hAnsi="Times New Roman" w:cs="Times New Roman"/>
          <w:noProof/>
          <w:sz w:val="24"/>
          <w:szCs w:val="24"/>
        </w:rPr>
        <w:t xml:space="preserve"> </w:t>
      </w:r>
      <w:r w:rsidRPr="00B57DF3">
        <w:rPr>
          <w:rFonts w:ascii="Times New Roman" w:hAnsi="Times New Roman" w:cs="Times New Roman"/>
          <w:b/>
          <w:bCs/>
          <w:noProof/>
          <w:sz w:val="24"/>
          <w:szCs w:val="24"/>
        </w:rPr>
        <w:t>2020</w:t>
      </w:r>
      <w:r w:rsidRPr="00B57DF3">
        <w:rPr>
          <w:rFonts w:ascii="Times New Roman" w:hAnsi="Times New Roman" w:cs="Times New Roman"/>
          <w:noProof/>
          <w:sz w:val="24"/>
          <w:szCs w:val="24"/>
        </w:rPr>
        <w:t xml:space="preserve">, Vol. </w:t>
      </w:r>
      <w:r w:rsidRPr="00B57DF3">
        <w:rPr>
          <w:rFonts w:ascii="Times New Roman" w:hAnsi="Times New Roman" w:cs="Times New Roman"/>
          <w:i/>
          <w:iCs/>
          <w:noProof/>
          <w:sz w:val="24"/>
          <w:szCs w:val="24"/>
        </w:rPr>
        <w:t>24</w:t>
      </w:r>
      <w:r w:rsidRPr="00B57DF3">
        <w:rPr>
          <w:rFonts w:ascii="Times New Roman" w:hAnsi="Times New Roman" w:cs="Times New Roman"/>
          <w:noProof/>
          <w:sz w:val="24"/>
          <w:szCs w:val="24"/>
        </w:rPr>
        <w:t xml:space="preserve"> (1), pp. 265–281. DOI: </w:t>
      </w:r>
      <w:r w:rsidRPr="00A164BA">
        <w:rPr>
          <w:rFonts w:ascii="Times New Roman" w:hAnsi="Times New Roman" w:cs="Times New Roman"/>
          <w:noProof/>
          <w:color w:val="5B9BD5" w:themeColor="accent1"/>
          <w:sz w:val="24"/>
          <w:szCs w:val="24"/>
        </w:rPr>
        <w:t>10.1007/s11030-019-09950-7</w:t>
      </w:r>
      <w:r w:rsidRPr="00B57DF3">
        <w:rPr>
          <w:rFonts w:ascii="Times New Roman" w:hAnsi="Times New Roman" w:cs="Times New Roman"/>
          <w:noProof/>
          <w:sz w:val="24"/>
          <w:szCs w:val="24"/>
        </w:rPr>
        <w:t>.</w:t>
      </w:r>
    </w:p>
    <w:p w:rsidR="00B57DF3" w:rsidRPr="00B57DF3" w:rsidRDefault="00B57DF3" w:rsidP="00DF507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57DF3">
        <w:rPr>
          <w:rFonts w:ascii="Times New Roman" w:hAnsi="Times New Roman" w:cs="Times New Roman"/>
          <w:noProof/>
          <w:sz w:val="24"/>
          <w:szCs w:val="24"/>
        </w:rPr>
        <w:t>17.</w:t>
      </w:r>
      <w:r w:rsidRPr="00B57DF3">
        <w:rPr>
          <w:rFonts w:ascii="Times New Roman" w:hAnsi="Times New Roman" w:cs="Times New Roman"/>
          <w:noProof/>
          <w:sz w:val="24"/>
          <w:szCs w:val="24"/>
        </w:rPr>
        <w:tab/>
        <w:t xml:space="preserve">J. da Câmara Rocha, K. A. da Franca Rodrigues, P. L. do Nascimento Néris, L. V. da Silva, F. S. Almeida, V. S. Lima, R. F. Peixoto, J. da Câmara Rocha, F. de L. A. A. de Azevedo, R. C. Veras, et al., </w:t>
      </w:r>
      <w:r w:rsidRPr="00B57DF3">
        <w:rPr>
          <w:rFonts w:ascii="Times New Roman" w:hAnsi="Times New Roman" w:cs="Times New Roman"/>
          <w:i/>
          <w:iCs/>
          <w:noProof/>
          <w:sz w:val="24"/>
          <w:szCs w:val="24"/>
        </w:rPr>
        <w:t>Parasitol. Res.</w:t>
      </w:r>
      <w:r w:rsidRPr="00B57DF3">
        <w:rPr>
          <w:rFonts w:ascii="Times New Roman" w:hAnsi="Times New Roman" w:cs="Times New Roman"/>
          <w:noProof/>
          <w:sz w:val="24"/>
          <w:szCs w:val="24"/>
        </w:rPr>
        <w:t xml:space="preserve"> </w:t>
      </w:r>
      <w:r w:rsidRPr="00B57DF3">
        <w:rPr>
          <w:rFonts w:ascii="Times New Roman" w:hAnsi="Times New Roman" w:cs="Times New Roman"/>
          <w:b/>
          <w:bCs/>
          <w:noProof/>
          <w:sz w:val="24"/>
          <w:szCs w:val="24"/>
        </w:rPr>
        <w:t>2019</w:t>
      </w:r>
      <w:r w:rsidRPr="00B57DF3">
        <w:rPr>
          <w:rFonts w:ascii="Times New Roman" w:hAnsi="Times New Roman" w:cs="Times New Roman"/>
          <w:noProof/>
          <w:sz w:val="24"/>
          <w:szCs w:val="24"/>
        </w:rPr>
        <w:t xml:space="preserve">, Vol. </w:t>
      </w:r>
      <w:r w:rsidRPr="00B57DF3">
        <w:rPr>
          <w:rFonts w:ascii="Times New Roman" w:hAnsi="Times New Roman" w:cs="Times New Roman"/>
          <w:i/>
          <w:iCs/>
          <w:noProof/>
          <w:sz w:val="24"/>
          <w:szCs w:val="24"/>
        </w:rPr>
        <w:t>118</w:t>
      </w:r>
      <w:r w:rsidRPr="00B57DF3">
        <w:rPr>
          <w:rFonts w:ascii="Times New Roman" w:hAnsi="Times New Roman" w:cs="Times New Roman"/>
          <w:noProof/>
          <w:sz w:val="24"/>
          <w:szCs w:val="24"/>
        </w:rPr>
        <w:t xml:space="preserve"> (10), pp. 3067–3076. DOI: </w:t>
      </w:r>
      <w:r w:rsidRPr="00A164BA">
        <w:rPr>
          <w:rFonts w:ascii="Times New Roman" w:hAnsi="Times New Roman" w:cs="Times New Roman"/>
          <w:noProof/>
          <w:color w:val="5B9BD5" w:themeColor="accent1"/>
          <w:sz w:val="24"/>
          <w:szCs w:val="24"/>
        </w:rPr>
        <w:t>10.1007/s00436-019-06403-w</w:t>
      </w:r>
      <w:r w:rsidRPr="00B57DF3">
        <w:rPr>
          <w:rFonts w:ascii="Times New Roman" w:hAnsi="Times New Roman" w:cs="Times New Roman"/>
          <w:noProof/>
          <w:sz w:val="24"/>
          <w:szCs w:val="24"/>
        </w:rPr>
        <w:t>.</w:t>
      </w:r>
    </w:p>
    <w:p w:rsidR="00B57DF3" w:rsidRPr="00B57DF3" w:rsidRDefault="00B57DF3" w:rsidP="00DF507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57DF3">
        <w:rPr>
          <w:rFonts w:ascii="Times New Roman" w:hAnsi="Times New Roman" w:cs="Times New Roman"/>
          <w:noProof/>
          <w:sz w:val="24"/>
          <w:szCs w:val="24"/>
        </w:rPr>
        <w:t>18.</w:t>
      </w:r>
      <w:r w:rsidRPr="00B57DF3">
        <w:rPr>
          <w:rFonts w:ascii="Times New Roman" w:hAnsi="Times New Roman" w:cs="Times New Roman"/>
          <w:noProof/>
          <w:sz w:val="24"/>
          <w:szCs w:val="24"/>
        </w:rPr>
        <w:tab/>
        <w:t xml:space="preserve">H. Y. Qian, </w:t>
      </w:r>
      <w:r w:rsidRPr="00B57DF3">
        <w:rPr>
          <w:rFonts w:ascii="Times New Roman" w:hAnsi="Times New Roman" w:cs="Times New Roman"/>
          <w:i/>
          <w:iCs/>
          <w:noProof/>
          <w:sz w:val="24"/>
          <w:szCs w:val="24"/>
        </w:rPr>
        <w:t>Acta Chim. Slov.</w:t>
      </w:r>
      <w:r w:rsidRPr="00B57DF3">
        <w:rPr>
          <w:rFonts w:ascii="Times New Roman" w:hAnsi="Times New Roman" w:cs="Times New Roman"/>
          <w:noProof/>
          <w:sz w:val="24"/>
          <w:szCs w:val="24"/>
        </w:rPr>
        <w:t xml:space="preserve"> </w:t>
      </w:r>
      <w:r w:rsidRPr="00B57DF3">
        <w:rPr>
          <w:rFonts w:ascii="Times New Roman" w:hAnsi="Times New Roman" w:cs="Times New Roman"/>
          <w:b/>
          <w:bCs/>
          <w:noProof/>
          <w:sz w:val="24"/>
          <w:szCs w:val="24"/>
        </w:rPr>
        <w:t>2019</w:t>
      </w:r>
      <w:r w:rsidRPr="00B57DF3">
        <w:rPr>
          <w:rFonts w:ascii="Times New Roman" w:hAnsi="Times New Roman" w:cs="Times New Roman"/>
          <w:noProof/>
          <w:sz w:val="24"/>
          <w:szCs w:val="24"/>
        </w:rPr>
        <w:t xml:space="preserve">, Vol. </w:t>
      </w:r>
      <w:r w:rsidRPr="00B57DF3">
        <w:rPr>
          <w:rFonts w:ascii="Times New Roman" w:hAnsi="Times New Roman" w:cs="Times New Roman"/>
          <w:i/>
          <w:iCs/>
          <w:noProof/>
          <w:sz w:val="24"/>
          <w:szCs w:val="24"/>
        </w:rPr>
        <w:t>66</w:t>
      </w:r>
      <w:r w:rsidRPr="00B57DF3">
        <w:rPr>
          <w:rFonts w:ascii="Times New Roman" w:hAnsi="Times New Roman" w:cs="Times New Roman"/>
          <w:noProof/>
          <w:sz w:val="24"/>
          <w:szCs w:val="24"/>
        </w:rPr>
        <w:t xml:space="preserve"> (4), pp. 995–1001. DOI: </w:t>
      </w:r>
      <w:r w:rsidRPr="00A164BA">
        <w:rPr>
          <w:rFonts w:ascii="Times New Roman" w:hAnsi="Times New Roman" w:cs="Times New Roman"/>
          <w:noProof/>
          <w:color w:val="5B9BD5" w:themeColor="accent1"/>
          <w:sz w:val="24"/>
          <w:szCs w:val="24"/>
        </w:rPr>
        <w:t>10.17344/acsi.2019.5247</w:t>
      </w:r>
      <w:r w:rsidRPr="00B57DF3">
        <w:rPr>
          <w:rFonts w:ascii="Times New Roman" w:hAnsi="Times New Roman" w:cs="Times New Roman"/>
          <w:noProof/>
          <w:sz w:val="24"/>
          <w:szCs w:val="24"/>
        </w:rPr>
        <w:t>.</w:t>
      </w:r>
    </w:p>
    <w:p w:rsidR="00B57DF3" w:rsidRPr="00B57DF3" w:rsidRDefault="00B57DF3" w:rsidP="00DF507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57DF3">
        <w:rPr>
          <w:rFonts w:ascii="Times New Roman" w:hAnsi="Times New Roman" w:cs="Times New Roman"/>
          <w:noProof/>
          <w:sz w:val="24"/>
          <w:szCs w:val="24"/>
        </w:rPr>
        <w:t>19.</w:t>
      </w:r>
      <w:r w:rsidRPr="00B57DF3">
        <w:rPr>
          <w:rFonts w:ascii="Times New Roman" w:hAnsi="Times New Roman" w:cs="Times New Roman"/>
          <w:noProof/>
          <w:sz w:val="24"/>
          <w:szCs w:val="24"/>
        </w:rPr>
        <w:tab/>
        <w:t xml:space="preserve">H. Ahmed, A. Hashim, H. M. Abduljalil, </w:t>
      </w:r>
      <w:r w:rsidRPr="00B57DF3">
        <w:rPr>
          <w:rFonts w:ascii="Times New Roman" w:hAnsi="Times New Roman" w:cs="Times New Roman"/>
          <w:i/>
          <w:iCs/>
          <w:noProof/>
          <w:sz w:val="24"/>
          <w:szCs w:val="24"/>
        </w:rPr>
        <w:t>Egypt. J. Chem.</w:t>
      </w:r>
      <w:r w:rsidRPr="00B57DF3">
        <w:rPr>
          <w:rFonts w:ascii="Times New Roman" w:hAnsi="Times New Roman" w:cs="Times New Roman"/>
          <w:noProof/>
          <w:sz w:val="24"/>
          <w:szCs w:val="24"/>
        </w:rPr>
        <w:t xml:space="preserve"> </w:t>
      </w:r>
      <w:r w:rsidRPr="00B57DF3">
        <w:rPr>
          <w:rFonts w:ascii="Times New Roman" w:hAnsi="Times New Roman" w:cs="Times New Roman"/>
          <w:b/>
          <w:bCs/>
          <w:noProof/>
          <w:sz w:val="24"/>
          <w:szCs w:val="24"/>
        </w:rPr>
        <w:t>2019</w:t>
      </w:r>
      <w:r w:rsidRPr="00B57DF3">
        <w:rPr>
          <w:rFonts w:ascii="Times New Roman" w:hAnsi="Times New Roman" w:cs="Times New Roman"/>
          <w:noProof/>
          <w:sz w:val="24"/>
          <w:szCs w:val="24"/>
        </w:rPr>
        <w:t xml:space="preserve">, Vol. </w:t>
      </w:r>
      <w:r w:rsidRPr="00B57DF3">
        <w:rPr>
          <w:rFonts w:ascii="Times New Roman" w:hAnsi="Times New Roman" w:cs="Times New Roman"/>
          <w:i/>
          <w:iCs/>
          <w:noProof/>
          <w:sz w:val="24"/>
          <w:szCs w:val="24"/>
        </w:rPr>
        <w:t>62</w:t>
      </w:r>
      <w:r w:rsidRPr="00B57DF3">
        <w:rPr>
          <w:rFonts w:ascii="Times New Roman" w:hAnsi="Times New Roman" w:cs="Times New Roman"/>
          <w:noProof/>
          <w:sz w:val="24"/>
          <w:szCs w:val="24"/>
        </w:rPr>
        <w:t xml:space="preserve"> (4), pp. 1167–1176. DOI: </w:t>
      </w:r>
      <w:r w:rsidRPr="00A164BA">
        <w:rPr>
          <w:rFonts w:ascii="Times New Roman" w:hAnsi="Times New Roman" w:cs="Times New Roman"/>
          <w:noProof/>
          <w:color w:val="5B9BD5" w:themeColor="accent1"/>
          <w:sz w:val="24"/>
          <w:szCs w:val="24"/>
        </w:rPr>
        <w:t>10.21608/EJCHEM.2019.6241.1522</w:t>
      </w:r>
      <w:r w:rsidRPr="00B57DF3">
        <w:rPr>
          <w:rFonts w:ascii="Times New Roman" w:hAnsi="Times New Roman" w:cs="Times New Roman"/>
          <w:noProof/>
          <w:sz w:val="24"/>
          <w:szCs w:val="24"/>
        </w:rPr>
        <w:t>.</w:t>
      </w:r>
    </w:p>
    <w:p w:rsidR="00B57DF3" w:rsidRPr="00B57DF3" w:rsidRDefault="00B57DF3" w:rsidP="00DF507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57DF3">
        <w:rPr>
          <w:rFonts w:ascii="Times New Roman" w:hAnsi="Times New Roman" w:cs="Times New Roman"/>
          <w:noProof/>
          <w:sz w:val="24"/>
          <w:szCs w:val="24"/>
        </w:rPr>
        <w:t>20.</w:t>
      </w:r>
      <w:r w:rsidRPr="00B57DF3">
        <w:rPr>
          <w:rFonts w:ascii="Times New Roman" w:hAnsi="Times New Roman" w:cs="Times New Roman"/>
          <w:noProof/>
          <w:sz w:val="24"/>
          <w:szCs w:val="24"/>
        </w:rPr>
        <w:tab/>
        <w:t xml:space="preserve">P. Møller, </w:t>
      </w:r>
      <w:r w:rsidRPr="00B57DF3">
        <w:rPr>
          <w:rFonts w:ascii="Times New Roman" w:hAnsi="Times New Roman" w:cs="Times New Roman"/>
          <w:i/>
          <w:iCs/>
          <w:noProof/>
          <w:sz w:val="24"/>
          <w:szCs w:val="24"/>
        </w:rPr>
        <w:t>Eur. J. Cardio-thoracic Surg.</w:t>
      </w:r>
      <w:r w:rsidRPr="00B57DF3">
        <w:rPr>
          <w:rFonts w:ascii="Times New Roman" w:hAnsi="Times New Roman" w:cs="Times New Roman"/>
          <w:noProof/>
          <w:sz w:val="24"/>
          <w:szCs w:val="24"/>
        </w:rPr>
        <w:t xml:space="preserve"> </w:t>
      </w:r>
      <w:r w:rsidRPr="00B57DF3">
        <w:rPr>
          <w:rFonts w:ascii="Times New Roman" w:hAnsi="Times New Roman" w:cs="Times New Roman"/>
          <w:b/>
          <w:bCs/>
          <w:noProof/>
          <w:sz w:val="24"/>
          <w:szCs w:val="24"/>
        </w:rPr>
        <w:t>1934</w:t>
      </w:r>
      <w:r w:rsidRPr="00B57DF3">
        <w:rPr>
          <w:rFonts w:ascii="Times New Roman" w:hAnsi="Times New Roman" w:cs="Times New Roman"/>
          <w:noProof/>
          <w:sz w:val="24"/>
          <w:szCs w:val="24"/>
        </w:rPr>
        <w:t xml:space="preserve">, Vol. </w:t>
      </w:r>
      <w:r w:rsidRPr="00B57DF3">
        <w:rPr>
          <w:rFonts w:ascii="Times New Roman" w:hAnsi="Times New Roman" w:cs="Times New Roman"/>
          <w:i/>
          <w:iCs/>
          <w:noProof/>
          <w:sz w:val="24"/>
          <w:szCs w:val="24"/>
        </w:rPr>
        <w:t>53</w:t>
      </w:r>
      <w:r w:rsidRPr="00B57DF3">
        <w:rPr>
          <w:rFonts w:ascii="Times New Roman" w:hAnsi="Times New Roman" w:cs="Times New Roman"/>
          <w:noProof/>
          <w:sz w:val="24"/>
          <w:szCs w:val="24"/>
        </w:rPr>
        <w:t xml:space="preserve"> (6), pp. 1237–1243.</w:t>
      </w:r>
    </w:p>
    <w:p w:rsidR="00B57DF3" w:rsidRPr="00B57DF3" w:rsidRDefault="00B57DF3" w:rsidP="00DF507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57DF3">
        <w:rPr>
          <w:rFonts w:ascii="Times New Roman" w:hAnsi="Times New Roman" w:cs="Times New Roman"/>
          <w:noProof/>
          <w:sz w:val="24"/>
          <w:szCs w:val="24"/>
        </w:rPr>
        <w:t>21.</w:t>
      </w:r>
      <w:r w:rsidRPr="00B57DF3">
        <w:rPr>
          <w:rFonts w:ascii="Times New Roman" w:hAnsi="Times New Roman" w:cs="Times New Roman"/>
          <w:noProof/>
          <w:sz w:val="24"/>
          <w:szCs w:val="24"/>
        </w:rPr>
        <w:tab/>
        <w:t xml:space="preserve">L. S. Kassel, </w:t>
      </w:r>
      <w:r w:rsidRPr="00B57DF3">
        <w:rPr>
          <w:rFonts w:ascii="Times New Roman" w:hAnsi="Times New Roman" w:cs="Times New Roman"/>
          <w:i/>
          <w:iCs/>
          <w:noProof/>
          <w:sz w:val="24"/>
          <w:szCs w:val="24"/>
        </w:rPr>
        <w:t>J. Chem. Phys.</w:t>
      </w:r>
      <w:r w:rsidRPr="00B57DF3">
        <w:rPr>
          <w:rFonts w:ascii="Times New Roman" w:hAnsi="Times New Roman" w:cs="Times New Roman"/>
          <w:noProof/>
          <w:sz w:val="24"/>
          <w:szCs w:val="24"/>
        </w:rPr>
        <w:t xml:space="preserve"> </w:t>
      </w:r>
      <w:r w:rsidRPr="00B57DF3">
        <w:rPr>
          <w:rFonts w:ascii="Times New Roman" w:hAnsi="Times New Roman" w:cs="Times New Roman"/>
          <w:b/>
          <w:bCs/>
          <w:noProof/>
          <w:sz w:val="24"/>
          <w:szCs w:val="24"/>
        </w:rPr>
        <w:t>1936</w:t>
      </w:r>
      <w:r w:rsidRPr="00B57DF3">
        <w:rPr>
          <w:rFonts w:ascii="Times New Roman" w:hAnsi="Times New Roman" w:cs="Times New Roman"/>
          <w:noProof/>
          <w:sz w:val="24"/>
          <w:szCs w:val="24"/>
        </w:rPr>
        <w:t xml:space="preserve">, Vol. </w:t>
      </w:r>
      <w:r w:rsidRPr="00B57DF3">
        <w:rPr>
          <w:rFonts w:ascii="Times New Roman" w:hAnsi="Times New Roman" w:cs="Times New Roman"/>
          <w:i/>
          <w:iCs/>
          <w:noProof/>
          <w:sz w:val="24"/>
          <w:szCs w:val="24"/>
        </w:rPr>
        <w:t>4</w:t>
      </w:r>
      <w:r w:rsidRPr="00B57DF3">
        <w:rPr>
          <w:rFonts w:ascii="Times New Roman" w:hAnsi="Times New Roman" w:cs="Times New Roman"/>
          <w:noProof/>
          <w:sz w:val="24"/>
          <w:szCs w:val="24"/>
        </w:rPr>
        <w:t xml:space="preserve"> (4), pp. 276–282. DOI: </w:t>
      </w:r>
      <w:r w:rsidRPr="00A164BA">
        <w:rPr>
          <w:rFonts w:ascii="Times New Roman" w:hAnsi="Times New Roman" w:cs="Times New Roman"/>
          <w:noProof/>
          <w:color w:val="5B9BD5" w:themeColor="accent1"/>
          <w:sz w:val="24"/>
          <w:szCs w:val="24"/>
        </w:rPr>
        <w:t>10.1063/1.1749835</w:t>
      </w:r>
      <w:r w:rsidRPr="00B57DF3">
        <w:rPr>
          <w:rFonts w:ascii="Times New Roman" w:hAnsi="Times New Roman" w:cs="Times New Roman"/>
          <w:noProof/>
          <w:sz w:val="24"/>
          <w:szCs w:val="24"/>
        </w:rPr>
        <w:t>.</w:t>
      </w:r>
    </w:p>
    <w:p w:rsidR="00B57DF3" w:rsidRPr="00B57DF3" w:rsidRDefault="00B57DF3" w:rsidP="00DF507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57DF3">
        <w:rPr>
          <w:rFonts w:ascii="Times New Roman" w:hAnsi="Times New Roman" w:cs="Times New Roman"/>
          <w:noProof/>
          <w:sz w:val="24"/>
          <w:szCs w:val="24"/>
        </w:rPr>
        <w:t>22.</w:t>
      </w:r>
      <w:r w:rsidRPr="00B57DF3">
        <w:rPr>
          <w:rFonts w:ascii="Times New Roman" w:hAnsi="Times New Roman" w:cs="Times New Roman"/>
          <w:noProof/>
          <w:sz w:val="24"/>
          <w:szCs w:val="24"/>
        </w:rPr>
        <w:tab/>
      </w:r>
      <w:r w:rsidRPr="00B57DF3">
        <w:rPr>
          <w:rFonts w:ascii="Times New Roman" w:hAnsi="Times New Roman" w:cs="Times New Roman"/>
          <w:i/>
          <w:iCs/>
          <w:noProof/>
          <w:sz w:val="24"/>
          <w:szCs w:val="24"/>
        </w:rPr>
        <w:t>Open J. Biophys.</w:t>
      </w:r>
      <w:r w:rsidRPr="00B57DF3">
        <w:rPr>
          <w:rFonts w:ascii="Times New Roman" w:hAnsi="Times New Roman" w:cs="Times New Roman"/>
          <w:noProof/>
          <w:sz w:val="24"/>
          <w:szCs w:val="24"/>
        </w:rPr>
        <w:t xml:space="preserve"> </w:t>
      </w:r>
      <w:r w:rsidRPr="00B57DF3">
        <w:rPr>
          <w:rFonts w:ascii="Times New Roman" w:hAnsi="Times New Roman" w:cs="Times New Roman"/>
          <w:b/>
          <w:bCs/>
          <w:noProof/>
          <w:sz w:val="24"/>
          <w:szCs w:val="24"/>
        </w:rPr>
        <w:t>2021</w:t>
      </w:r>
      <w:r w:rsidRPr="00B57DF3">
        <w:rPr>
          <w:rFonts w:ascii="Times New Roman" w:hAnsi="Times New Roman" w:cs="Times New Roman"/>
          <w:noProof/>
          <w:sz w:val="24"/>
          <w:szCs w:val="24"/>
        </w:rPr>
        <w:t xml:space="preserve">, Vol. </w:t>
      </w:r>
      <w:r w:rsidRPr="00B57DF3">
        <w:rPr>
          <w:rFonts w:ascii="Times New Roman" w:hAnsi="Times New Roman" w:cs="Times New Roman"/>
          <w:i/>
          <w:iCs/>
          <w:noProof/>
          <w:sz w:val="24"/>
          <w:szCs w:val="24"/>
        </w:rPr>
        <w:t>20</w:t>
      </w:r>
      <w:r w:rsidRPr="00B57DF3">
        <w:rPr>
          <w:rFonts w:ascii="Times New Roman" w:hAnsi="Times New Roman" w:cs="Times New Roman"/>
          <w:noProof/>
          <w:sz w:val="24"/>
          <w:szCs w:val="24"/>
        </w:rPr>
        <w:t xml:space="preserve"> (5), pp. 1–30.</w:t>
      </w:r>
    </w:p>
    <w:p w:rsidR="00B57DF3" w:rsidRPr="00B57DF3" w:rsidRDefault="00B57DF3" w:rsidP="00DF507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57DF3">
        <w:rPr>
          <w:rFonts w:ascii="Times New Roman" w:hAnsi="Times New Roman" w:cs="Times New Roman"/>
          <w:noProof/>
          <w:sz w:val="24"/>
          <w:szCs w:val="24"/>
        </w:rPr>
        <w:t>23.</w:t>
      </w:r>
      <w:r w:rsidRPr="00B57DF3">
        <w:rPr>
          <w:rFonts w:ascii="Times New Roman" w:hAnsi="Times New Roman" w:cs="Times New Roman"/>
          <w:noProof/>
          <w:sz w:val="24"/>
          <w:szCs w:val="24"/>
        </w:rPr>
        <w:tab/>
        <w:t xml:space="preserve">S. Kirbag, F. Zengin, S. Fac, F. Processing, </w:t>
      </w:r>
      <w:r w:rsidRPr="00B57DF3">
        <w:rPr>
          <w:rFonts w:ascii="Times New Roman" w:hAnsi="Times New Roman" w:cs="Times New Roman"/>
          <w:i/>
          <w:iCs/>
          <w:noProof/>
          <w:sz w:val="24"/>
          <w:szCs w:val="24"/>
        </w:rPr>
        <w:t>Antimicrob. Act. Some Euphorbia Species</w:t>
      </w:r>
      <w:r w:rsidRPr="00B57DF3">
        <w:rPr>
          <w:rFonts w:ascii="Times New Roman" w:hAnsi="Times New Roman" w:cs="Times New Roman"/>
          <w:noProof/>
          <w:sz w:val="24"/>
          <w:szCs w:val="24"/>
        </w:rPr>
        <w:t xml:space="preserve">. </w:t>
      </w:r>
      <w:r w:rsidRPr="00B57DF3">
        <w:rPr>
          <w:rFonts w:ascii="Times New Roman" w:hAnsi="Times New Roman" w:cs="Times New Roman"/>
          <w:b/>
          <w:bCs/>
          <w:noProof/>
          <w:sz w:val="24"/>
          <w:szCs w:val="24"/>
        </w:rPr>
        <w:t>2013</w:t>
      </w:r>
      <w:r w:rsidRPr="00B57DF3">
        <w:rPr>
          <w:rFonts w:ascii="Times New Roman" w:hAnsi="Times New Roman" w:cs="Times New Roman"/>
          <w:noProof/>
          <w:sz w:val="24"/>
          <w:szCs w:val="24"/>
        </w:rPr>
        <w:t xml:space="preserve">, Vol. </w:t>
      </w:r>
      <w:r w:rsidRPr="00B57DF3">
        <w:rPr>
          <w:rFonts w:ascii="Times New Roman" w:hAnsi="Times New Roman" w:cs="Times New Roman"/>
          <w:i/>
          <w:iCs/>
          <w:noProof/>
          <w:sz w:val="24"/>
          <w:szCs w:val="24"/>
        </w:rPr>
        <w:t>10</w:t>
      </w:r>
      <w:r w:rsidRPr="00B57DF3">
        <w:rPr>
          <w:rFonts w:ascii="Times New Roman" w:hAnsi="Times New Roman" w:cs="Times New Roman"/>
          <w:noProof/>
          <w:sz w:val="24"/>
          <w:szCs w:val="24"/>
        </w:rPr>
        <w:t xml:space="preserve"> (12), pp. 305–309.</w:t>
      </w:r>
    </w:p>
    <w:p w:rsidR="00B57DF3" w:rsidRPr="00B57DF3" w:rsidRDefault="00B57DF3" w:rsidP="00DF507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57DF3">
        <w:rPr>
          <w:rFonts w:ascii="Times New Roman" w:hAnsi="Times New Roman" w:cs="Times New Roman"/>
          <w:noProof/>
          <w:sz w:val="24"/>
          <w:szCs w:val="24"/>
        </w:rPr>
        <w:t>24.</w:t>
      </w:r>
      <w:r w:rsidRPr="00B57DF3">
        <w:rPr>
          <w:rFonts w:ascii="Times New Roman" w:hAnsi="Times New Roman" w:cs="Times New Roman"/>
          <w:noProof/>
          <w:sz w:val="24"/>
          <w:szCs w:val="24"/>
        </w:rPr>
        <w:tab/>
        <w:t xml:space="preserve">V. Alfredo Rodriguez, V. Alfredo, </w:t>
      </w:r>
      <w:r w:rsidRPr="00B57DF3">
        <w:rPr>
          <w:rFonts w:ascii="Times New Roman" w:hAnsi="Times New Roman" w:cs="Times New Roman"/>
          <w:i/>
          <w:iCs/>
          <w:noProof/>
          <w:sz w:val="24"/>
          <w:szCs w:val="24"/>
        </w:rPr>
        <w:t>thesis</w:t>
      </w:r>
      <w:r w:rsidRPr="00B57DF3">
        <w:rPr>
          <w:rFonts w:ascii="Times New Roman" w:hAnsi="Times New Roman" w:cs="Times New Roman"/>
          <w:noProof/>
          <w:sz w:val="24"/>
          <w:szCs w:val="24"/>
        </w:rPr>
        <w:t xml:space="preserve">. </w:t>
      </w:r>
      <w:r w:rsidRPr="00B57DF3">
        <w:rPr>
          <w:rFonts w:ascii="Times New Roman" w:hAnsi="Times New Roman" w:cs="Times New Roman"/>
          <w:b/>
          <w:bCs/>
          <w:noProof/>
          <w:sz w:val="24"/>
          <w:szCs w:val="24"/>
        </w:rPr>
        <w:t>2018</w:t>
      </w:r>
      <w:r w:rsidRPr="00B57DF3">
        <w:rPr>
          <w:rFonts w:ascii="Times New Roman" w:hAnsi="Times New Roman" w:cs="Times New Roman"/>
          <w:noProof/>
          <w:sz w:val="24"/>
          <w:szCs w:val="24"/>
        </w:rPr>
        <w:t xml:space="preserve">, Vol. </w:t>
      </w:r>
      <w:r w:rsidRPr="00B57DF3">
        <w:rPr>
          <w:rFonts w:ascii="Times New Roman" w:hAnsi="Times New Roman" w:cs="Times New Roman"/>
          <w:i/>
          <w:iCs/>
          <w:noProof/>
          <w:sz w:val="24"/>
          <w:szCs w:val="24"/>
        </w:rPr>
        <w:t>1</w:t>
      </w:r>
      <w:r w:rsidRPr="00B57DF3">
        <w:rPr>
          <w:rFonts w:ascii="Times New Roman" w:hAnsi="Times New Roman" w:cs="Times New Roman"/>
          <w:noProof/>
          <w:sz w:val="24"/>
          <w:szCs w:val="24"/>
        </w:rPr>
        <w:t xml:space="preserve"> (2019), pp. 300.</w:t>
      </w:r>
    </w:p>
    <w:p w:rsidR="00B57DF3" w:rsidRPr="00B57DF3" w:rsidRDefault="00B57DF3" w:rsidP="00DF507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57DF3">
        <w:rPr>
          <w:rFonts w:ascii="Times New Roman" w:hAnsi="Times New Roman" w:cs="Times New Roman"/>
          <w:noProof/>
          <w:sz w:val="24"/>
          <w:szCs w:val="24"/>
        </w:rPr>
        <w:t>25.</w:t>
      </w:r>
      <w:r w:rsidRPr="00B57DF3">
        <w:rPr>
          <w:rFonts w:ascii="Times New Roman" w:hAnsi="Times New Roman" w:cs="Times New Roman"/>
          <w:noProof/>
          <w:sz w:val="24"/>
          <w:szCs w:val="24"/>
        </w:rPr>
        <w:tab/>
        <w:t xml:space="preserve">H. Elleuch, W. Mihoubi, M. Mihoubi, E. Ketata, A. Gargouri, F. Rezgui, </w:t>
      </w:r>
      <w:r w:rsidRPr="00B57DF3">
        <w:rPr>
          <w:rFonts w:ascii="Times New Roman" w:hAnsi="Times New Roman" w:cs="Times New Roman"/>
          <w:i/>
          <w:iCs/>
          <w:noProof/>
          <w:sz w:val="24"/>
          <w:szCs w:val="24"/>
        </w:rPr>
        <w:t>Bioorg. Chem.</w:t>
      </w:r>
      <w:r w:rsidRPr="00B57DF3">
        <w:rPr>
          <w:rFonts w:ascii="Times New Roman" w:hAnsi="Times New Roman" w:cs="Times New Roman"/>
          <w:noProof/>
          <w:sz w:val="24"/>
          <w:szCs w:val="24"/>
        </w:rPr>
        <w:t xml:space="preserve"> </w:t>
      </w:r>
      <w:r w:rsidRPr="00B57DF3">
        <w:rPr>
          <w:rFonts w:ascii="Times New Roman" w:hAnsi="Times New Roman" w:cs="Times New Roman"/>
          <w:b/>
          <w:bCs/>
          <w:noProof/>
          <w:sz w:val="24"/>
          <w:szCs w:val="24"/>
        </w:rPr>
        <w:t>2018</w:t>
      </w:r>
      <w:r w:rsidRPr="00B57DF3">
        <w:rPr>
          <w:rFonts w:ascii="Times New Roman" w:hAnsi="Times New Roman" w:cs="Times New Roman"/>
          <w:noProof/>
          <w:sz w:val="24"/>
          <w:szCs w:val="24"/>
        </w:rPr>
        <w:t xml:space="preserve">, Vol. </w:t>
      </w:r>
      <w:r w:rsidRPr="00B57DF3">
        <w:rPr>
          <w:rFonts w:ascii="Times New Roman" w:hAnsi="Times New Roman" w:cs="Times New Roman"/>
          <w:i/>
          <w:iCs/>
          <w:noProof/>
          <w:sz w:val="24"/>
          <w:szCs w:val="24"/>
        </w:rPr>
        <w:t>78</w:t>
      </w:r>
      <w:r w:rsidRPr="00B57DF3">
        <w:rPr>
          <w:rFonts w:ascii="Times New Roman" w:hAnsi="Times New Roman" w:cs="Times New Roman"/>
          <w:noProof/>
          <w:sz w:val="24"/>
          <w:szCs w:val="24"/>
        </w:rPr>
        <w:t xml:space="preserve">, pp. 24–28. DOI: </w:t>
      </w:r>
      <w:r w:rsidRPr="00A164BA">
        <w:rPr>
          <w:rFonts w:ascii="Times New Roman" w:hAnsi="Times New Roman" w:cs="Times New Roman"/>
          <w:noProof/>
          <w:color w:val="5B9BD5" w:themeColor="accent1"/>
          <w:sz w:val="24"/>
          <w:szCs w:val="24"/>
        </w:rPr>
        <w:t>10.1016/j.bioorg.2018.03.004</w:t>
      </w:r>
      <w:r w:rsidRPr="00B57DF3">
        <w:rPr>
          <w:rFonts w:ascii="Times New Roman" w:hAnsi="Times New Roman" w:cs="Times New Roman"/>
          <w:noProof/>
          <w:sz w:val="24"/>
          <w:szCs w:val="24"/>
        </w:rPr>
        <w:t>.</w:t>
      </w:r>
    </w:p>
    <w:p w:rsidR="00B57DF3" w:rsidRPr="00B57DF3" w:rsidRDefault="00B57DF3" w:rsidP="00DF507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57DF3">
        <w:rPr>
          <w:rFonts w:ascii="Times New Roman" w:hAnsi="Times New Roman" w:cs="Times New Roman"/>
          <w:noProof/>
          <w:sz w:val="24"/>
          <w:szCs w:val="24"/>
        </w:rPr>
        <w:t>26.</w:t>
      </w:r>
      <w:r w:rsidRPr="00B57DF3">
        <w:rPr>
          <w:rFonts w:ascii="Times New Roman" w:hAnsi="Times New Roman" w:cs="Times New Roman"/>
          <w:noProof/>
          <w:sz w:val="24"/>
          <w:szCs w:val="24"/>
        </w:rPr>
        <w:tab/>
        <w:t xml:space="preserve">A. L. Dawidowicz, D. Wianowska, M. Olszowy, </w:t>
      </w:r>
      <w:r w:rsidRPr="00B57DF3">
        <w:rPr>
          <w:rFonts w:ascii="Times New Roman" w:hAnsi="Times New Roman" w:cs="Times New Roman"/>
          <w:i/>
          <w:iCs/>
          <w:noProof/>
          <w:sz w:val="24"/>
          <w:szCs w:val="24"/>
        </w:rPr>
        <w:t>Food Chem.</w:t>
      </w:r>
      <w:r w:rsidRPr="00B57DF3">
        <w:rPr>
          <w:rFonts w:ascii="Times New Roman" w:hAnsi="Times New Roman" w:cs="Times New Roman"/>
          <w:noProof/>
          <w:sz w:val="24"/>
          <w:szCs w:val="24"/>
        </w:rPr>
        <w:t xml:space="preserve"> </w:t>
      </w:r>
      <w:r w:rsidRPr="00B57DF3">
        <w:rPr>
          <w:rFonts w:ascii="Times New Roman" w:hAnsi="Times New Roman" w:cs="Times New Roman"/>
          <w:b/>
          <w:bCs/>
          <w:noProof/>
          <w:sz w:val="24"/>
          <w:szCs w:val="24"/>
        </w:rPr>
        <w:t>2012</w:t>
      </w:r>
      <w:r w:rsidRPr="00B57DF3">
        <w:rPr>
          <w:rFonts w:ascii="Times New Roman" w:hAnsi="Times New Roman" w:cs="Times New Roman"/>
          <w:noProof/>
          <w:sz w:val="24"/>
          <w:szCs w:val="24"/>
        </w:rPr>
        <w:t xml:space="preserve">, Vol. </w:t>
      </w:r>
      <w:r w:rsidRPr="00B57DF3">
        <w:rPr>
          <w:rFonts w:ascii="Times New Roman" w:hAnsi="Times New Roman" w:cs="Times New Roman"/>
          <w:i/>
          <w:iCs/>
          <w:noProof/>
          <w:sz w:val="24"/>
          <w:szCs w:val="24"/>
        </w:rPr>
        <w:t>131</w:t>
      </w:r>
      <w:r w:rsidRPr="00B57DF3">
        <w:rPr>
          <w:rFonts w:ascii="Times New Roman" w:hAnsi="Times New Roman" w:cs="Times New Roman"/>
          <w:noProof/>
          <w:sz w:val="24"/>
          <w:szCs w:val="24"/>
        </w:rPr>
        <w:t xml:space="preserve"> (3), pp. 1037–1043. DOI: </w:t>
      </w:r>
      <w:r w:rsidRPr="00A164BA">
        <w:rPr>
          <w:rFonts w:ascii="Times New Roman" w:hAnsi="Times New Roman" w:cs="Times New Roman"/>
          <w:noProof/>
          <w:color w:val="5B9BD5" w:themeColor="accent1"/>
          <w:sz w:val="24"/>
          <w:szCs w:val="24"/>
        </w:rPr>
        <w:t>10.1016/j.foodchem.2011.09.067</w:t>
      </w:r>
      <w:r w:rsidRPr="00B57DF3">
        <w:rPr>
          <w:rFonts w:ascii="Times New Roman" w:hAnsi="Times New Roman" w:cs="Times New Roman"/>
          <w:noProof/>
          <w:sz w:val="24"/>
          <w:szCs w:val="24"/>
        </w:rPr>
        <w:t>.</w:t>
      </w:r>
    </w:p>
    <w:p w:rsidR="00B57DF3" w:rsidRPr="00B57DF3" w:rsidRDefault="00B57DF3" w:rsidP="00DF507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57DF3">
        <w:rPr>
          <w:rFonts w:ascii="Times New Roman" w:hAnsi="Times New Roman" w:cs="Times New Roman"/>
          <w:noProof/>
          <w:sz w:val="24"/>
          <w:szCs w:val="24"/>
        </w:rPr>
        <w:t>27.</w:t>
      </w:r>
      <w:r w:rsidRPr="00B57DF3">
        <w:rPr>
          <w:rFonts w:ascii="Times New Roman" w:hAnsi="Times New Roman" w:cs="Times New Roman"/>
          <w:noProof/>
          <w:sz w:val="24"/>
          <w:szCs w:val="24"/>
        </w:rPr>
        <w:tab/>
        <w:t xml:space="preserve">I. Gülçin, </w:t>
      </w:r>
      <w:r w:rsidRPr="00B57DF3">
        <w:rPr>
          <w:rFonts w:ascii="Times New Roman" w:hAnsi="Times New Roman" w:cs="Times New Roman"/>
          <w:i/>
          <w:iCs/>
          <w:noProof/>
          <w:sz w:val="24"/>
          <w:szCs w:val="24"/>
        </w:rPr>
        <w:t>Arch. Toxicol.</w:t>
      </w:r>
      <w:r w:rsidRPr="00B57DF3">
        <w:rPr>
          <w:rFonts w:ascii="Times New Roman" w:hAnsi="Times New Roman" w:cs="Times New Roman"/>
          <w:noProof/>
          <w:sz w:val="24"/>
          <w:szCs w:val="24"/>
        </w:rPr>
        <w:t xml:space="preserve"> </w:t>
      </w:r>
      <w:r w:rsidRPr="00B57DF3">
        <w:rPr>
          <w:rFonts w:ascii="Times New Roman" w:hAnsi="Times New Roman" w:cs="Times New Roman"/>
          <w:b/>
          <w:bCs/>
          <w:noProof/>
          <w:sz w:val="24"/>
          <w:szCs w:val="24"/>
        </w:rPr>
        <w:t>2012</w:t>
      </w:r>
      <w:r w:rsidRPr="00B57DF3">
        <w:rPr>
          <w:rFonts w:ascii="Times New Roman" w:hAnsi="Times New Roman" w:cs="Times New Roman"/>
          <w:noProof/>
          <w:sz w:val="24"/>
          <w:szCs w:val="24"/>
        </w:rPr>
        <w:t xml:space="preserve">, Vol. </w:t>
      </w:r>
      <w:r w:rsidRPr="00B57DF3">
        <w:rPr>
          <w:rFonts w:ascii="Times New Roman" w:hAnsi="Times New Roman" w:cs="Times New Roman"/>
          <w:i/>
          <w:iCs/>
          <w:noProof/>
          <w:sz w:val="24"/>
          <w:szCs w:val="24"/>
        </w:rPr>
        <w:t>86</w:t>
      </w:r>
      <w:r w:rsidRPr="00B57DF3">
        <w:rPr>
          <w:rFonts w:ascii="Times New Roman" w:hAnsi="Times New Roman" w:cs="Times New Roman"/>
          <w:noProof/>
          <w:sz w:val="24"/>
          <w:szCs w:val="24"/>
        </w:rPr>
        <w:t xml:space="preserve"> (3), pp. 345–391. DOI: </w:t>
      </w:r>
      <w:r w:rsidRPr="00A164BA">
        <w:rPr>
          <w:rFonts w:ascii="Times New Roman" w:hAnsi="Times New Roman" w:cs="Times New Roman"/>
          <w:noProof/>
          <w:color w:val="5B9BD5" w:themeColor="accent1"/>
          <w:sz w:val="24"/>
          <w:szCs w:val="24"/>
        </w:rPr>
        <w:t>10.1007/s00204-011-0774-2</w:t>
      </w:r>
      <w:r w:rsidRPr="00B57DF3">
        <w:rPr>
          <w:rFonts w:ascii="Times New Roman" w:hAnsi="Times New Roman" w:cs="Times New Roman"/>
          <w:noProof/>
          <w:sz w:val="24"/>
          <w:szCs w:val="24"/>
        </w:rPr>
        <w:t>.</w:t>
      </w:r>
    </w:p>
    <w:p w:rsidR="00B57DF3" w:rsidRPr="00B57DF3" w:rsidRDefault="00B57DF3" w:rsidP="00DF507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57DF3">
        <w:rPr>
          <w:rFonts w:ascii="Times New Roman" w:hAnsi="Times New Roman" w:cs="Times New Roman"/>
          <w:noProof/>
          <w:sz w:val="24"/>
          <w:szCs w:val="24"/>
        </w:rPr>
        <w:t>28.</w:t>
      </w:r>
      <w:r w:rsidRPr="00B57DF3">
        <w:rPr>
          <w:rFonts w:ascii="Times New Roman" w:hAnsi="Times New Roman" w:cs="Times New Roman"/>
          <w:noProof/>
          <w:sz w:val="24"/>
          <w:szCs w:val="24"/>
        </w:rPr>
        <w:tab/>
        <w:t xml:space="preserve">M. Tsednee, Y.-C. Huang, Y.-R. Chen, K.-C. Yeh, </w:t>
      </w:r>
      <w:r w:rsidRPr="00B57DF3">
        <w:rPr>
          <w:rFonts w:ascii="Times New Roman" w:hAnsi="Times New Roman" w:cs="Times New Roman"/>
          <w:i/>
          <w:iCs/>
          <w:noProof/>
          <w:sz w:val="24"/>
          <w:szCs w:val="24"/>
        </w:rPr>
        <w:t>Sci. Rep.</w:t>
      </w:r>
      <w:r w:rsidRPr="00B57DF3">
        <w:rPr>
          <w:rFonts w:ascii="Times New Roman" w:hAnsi="Times New Roman" w:cs="Times New Roman"/>
          <w:noProof/>
          <w:sz w:val="24"/>
          <w:szCs w:val="24"/>
        </w:rPr>
        <w:t xml:space="preserve"> </w:t>
      </w:r>
      <w:r w:rsidRPr="00B57DF3">
        <w:rPr>
          <w:rFonts w:ascii="Times New Roman" w:hAnsi="Times New Roman" w:cs="Times New Roman"/>
          <w:b/>
          <w:bCs/>
          <w:noProof/>
          <w:sz w:val="24"/>
          <w:szCs w:val="24"/>
        </w:rPr>
        <w:t>2016</w:t>
      </w:r>
      <w:r w:rsidRPr="00B57DF3">
        <w:rPr>
          <w:rFonts w:ascii="Times New Roman" w:hAnsi="Times New Roman" w:cs="Times New Roman"/>
          <w:noProof/>
          <w:sz w:val="24"/>
          <w:szCs w:val="24"/>
        </w:rPr>
        <w:t xml:space="preserve">, Vol. </w:t>
      </w:r>
      <w:r w:rsidRPr="00B57DF3">
        <w:rPr>
          <w:rFonts w:ascii="Times New Roman" w:hAnsi="Times New Roman" w:cs="Times New Roman"/>
          <w:i/>
          <w:iCs/>
          <w:noProof/>
          <w:sz w:val="24"/>
          <w:szCs w:val="24"/>
        </w:rPr>
        <w:t>6</w:t>
      </w:r>
      <w:r w:rsidRPr="00B57DF3">
        <w:rPr>
          <w:rFonts w:ascii="Times New Roman" w:hAnsi="Times New Roman" w:cs="Times New Roman"/>
          <w:noProof/>
          <w:sz w:val="24"/>
          <w:szCs w:val="24"/>
        </w:rPr>
        <w:t xml:space="preserve"> (1), pp. 26785. DOI: </w:t>
      </w:r>
      <w:r w:rsidRPr="00A164BA">
        <w:rPr>
          <w:rFonts w:ascii="Times New Roman" w:hAnsi="Times New Roman" w:cs="Times New Roman"/>
          <w:noProof/>
          <w:color w:val="5B9BD5" w:themeColor="accent1"/>
          <w:sz w:val="24"/>
          <w:szCs w:val="24"/>
        </w:rPr>
        <w:t>10.1038/srep26785</w:t>
      </w:r>
      <w:r w:rsidRPr="00B57DF3">
        <w:rPr>
          <w:rFonts w:ascii="Times New Roman" w:hAnsi="Times New Roman" w:cs="Times New Roman"/>
          <w:noProof/>
          <w:sz w:val="24"/>
          <w:szCs w:val="24"/>
        </w:rPr>
        <w:t>.</w:t>
      </w:r>
    </w:p>
    <w:p w:rsidR="00B57DF3" w:rsidRPr="00B57DF3" w:rsidRDefault="00B57DF3" w:rsidP="00DF507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57DF3">
        <w:rPr>
          <w:rFonts w:ascii="Times New Roman" w:hAnsi="Times New Roman" w:cs="Times New Roman"/>
          <w:noProof/>
          <w:sz w:val="24"/>
          <w:szCs w:val="24"/>
        </w:rPr>
        <w:t>29.</w:t>
      </w:r>
      <w:r w:rsidRPr="00B57DF3">
        <w:rPr>
          <w:rFonts w:ascii="Times New Roman" w:hAnsi="Times New Roman" w:cs="Times New Roman"/>
          <w:noProof/>
          <w:sz w:val="24"/>
          <w:szCs w:val="24"/>
        </w:rPr>
        <w:tab/>
        <w:t xml:space="preserve">B. Kavitha, M. Sravanthi, P. Saritha Reddy, </w:t>
      </w:r>
      <w:r w:rsidRPr="00B57DF3">
        <w:rPr>
          <w:rFonts w:ascii="Times New Roman" w:hAnsi="Times New Roman" w:cs="Times New Roman"/>
          <w:i/>
          <w:iCs/>
          <w:noProof/>
          <w:sz w:val="24"/>
          <w:szCs w:val="24"/>
        </w:rPr>
        <w:t>J. Mol. Struct.</w:t>
      </w:r>
      <w:r w:rsidRPr="00B57DF3">
        <w:rPr>
          <w:rFonts w:ascii="Times New Roman" w:hAnsi="Times New Roman" w:cs="Times New Roman"/>
          <w:noProof/>
          <w:sz w:val="24"/>
          <w:szCs w:val="24"/>
        </w:rPr>
        <w:t xml:space="preserve"> </w:t>
      </w:r>
      <w:r w:rsidRPr="00B57DF3">
        <w:rPr>
          <w:rFonts w:ascii="Times New Roman" w:hAnsi="Times New Roman" w:cs="Times New Roman"/>
          <w:b/>
          <w:bCs/>
          <w:noProof/>
          <w:sz w:val="24"/>
          <w:szCs w:val="24"/>
        </w:rPr>
        <w:t>2019</w:t>
      </w:r>
      <w:r w:rsidRPr="00B57DF3">
        <w:rPr>
          <w:rFonts w:ascii="Times New Roman" w:hAnsi="Times New Roman" w:cs="Times New Roman"/>
          <w:noProof/>
          <w:sz w:val="24"/>
          <w:szCs w:val="24"/>
        </w:rPr>
        <w:t xml:space="preserve">, Vol. </w:t>
      </w:r>
      <w:r w:rsidRPr="00B57DF3">
        <w:rPr>
          <w:rFonts w:ascii="Times New Roman" w:hAnsi="Times New Roman" w:cs="Times New Roman"/>
          <w:i/>
          <w:iCs/>
          <w:noProof/>
          <w:sz w:val="24"/>
          <w:szCs w:val="24"/>
        </w:rPr>
        <w:t>1185</w:t>
      </w:r>
      <w:r w:rsidRPr="00B57DF3">
        <w:rPr>
          <w:rFonts w:ascii="Times New Roman" w:hAnsi="Times New Roman" w:cs="Times New Roman"/>
          <w:noProof/>
          <w:sz w:val="24"/>
          <w:szCs w:val="24"/>
        </w:rPr>
        <w:t xml:space="preserve">, pp. 153–167. DOI: </w:t>
      </w:r>
      <w:r w:rsidRPr="00A164BA">
        <w:rPr>
          <w:rFonts w:ascii="Times New Roman" w:hAnsi="Times New Roman" w:cs="Times New Roman"/>
          <w:noProof/>
          <w:color w:val="5B9BD5" w:themeColor="accent1"/>
          <w:sz w:val="24"/>
          <w:szCs w:val="24"/>
        </w:rPr>
        <w:t>10.1016/j.molstruc.2019.02.093</w:t>
      </w:r>
      <w:r w:rsidRPr="00B57DF3">
        <w:rPr>
          <w:rFonts w:ascii="Times New Roman" w:hAnsi="Times New Roman" w:cs="Times New Roman"/>
          <w:noProof/>
          <w:sz w:val="24"/>
          <w:szCs w:val="24"/>
        </w:rPr>
        <w:t>.</w:t>
      </w:r>
    </w:p>
    <w:p w:rsidR="00B57DF3" w:rsidRPr="00B57DF3" w:rsidRDefault="00B57DF3" w:rsidP="00DF507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57DF3">
        <w:rPr>
          <w:rFonts w:ascii="Times New Roman" w:hAnsi="Times New Roman" w:cs="Times New Roman"/>
          <w:noProof/>
          <w:sz w:val="24"/>
          <w:szCs w:val="24"/>
        </w:rPr>
        <w:t>30.</w:t>
      </w:r>
      <w:r w:rsidRPr="00B57DF3">
        <w:rPr>
          <w:rFonts w:ascii="Times New Roman" w:hAnsi="Times New Roman" w:cs="Times New Roman"/>
          <w:noProof/>
          <w:sz w:val="24"/>
          <w:szCs w:val="24"/>
        </w:rPr>
        <w:tab/>
        <w:t xml:space="preserve">B. Kosar, C. Albayrak, </w:t>
      </w:r>
      <w:r w:rsidRPr="00B57DF3">
        <w:rPr>
          <w:rFonts w:ascii="Times New Roman" w:hAnsi="Times New Roman" w:cs="Times New Roman"/>
          <w:i/>
          <w:iCs/>
          <w:noProof/>
          <w:sz w:val="24"/>
          <w:szCs w:val="24"/>
        </w:rPr>
        <w:t>Spectrochim. Acta - Part A Mol. Biomol. Spectrosc.</w:t>
      </w:r>
      <w:r w:rsidRPr="00B57DF3">
        <w:rPr>
          <w:rFonts w:ascii="Times New Roman" w:hAnsi="Times New Roman" w:cs="Times New Roman"/>
          <w:noProof/>
          <w:sz w:val="24"/>
          <w:szCs w:val="24"/>
        </w:rPr>
        <w:t xml:space="preserve"> </w:t>
      </w:r>
      <w:r w:rsidRPr="00B57DF3">
        <w:rPr>
          <w:rFonts w:ascii="Times New Roman" w:hAnsi="Times New Roman" w:cs="Times New Roman"/>
          <w:b/>
          <w:bCs/>
          <w:noProof/>
          <w:sz w:val="24"/>
          <w:szCs w:val="24"/>
        </w:rPr>
        <w:t>2011</w:t>
      </w:r>
      <w:r w:rsidRPr="00B57DF3">
        <w:rPr>
          <w:rFonts w:ascii="Times New Roman" w:hAnsi="Times New Roman" w:cs="Times New Roman"/>
          <w:noProof/>
          <w:sz w:val="24"/>
          <w:szCs w:val="24"/>
        </w:rPr>
        <w:t xml:space="preserve">, Vol. </w:t>
      </w:r>
      <w:r w:rsidRPr="00B57DF3">
        <w:rPr>
          <w:rFonts w:ascii="Times New Roman" w:hAnsi="Times New Roman" w:cs="Times New Roman"/>
          <w:i/>
          <w:iCs/>
          <w:noProof/>
          <w:sz w:val="24"/>
          <w:szCs w:val="24"/>
        </w:rPr>
        <w:t>78</w:t>
      </w:r>
      <w:r w:rsidRPr="00B57DF3">
        <w:rPr>
          <w:rFonts w:ascii="Times New Roman" w:hAnsi="Times New Roman" w:cs="Times New Roman"/>
          <w:noProof/>
          <w:sz w:val="24"/>
          <w:szCs w:val="24"/>
        </w:rPr>
        <w:t xml:space="preserve"> (1), pp. 160–167. DOI: </w:t>
      </w:r>
      <w:r w:rsidRPr="00A164BA">
        <w:rPr>
          <w:rFonts w:ascii="Times New Roman" w:hAnsi="Times New Roman" w:cs="Times New Roman"/>
          <w:noProof/>
          <w:color w:val="5B9BD5" w:themeColor="accent1"/>
          <w:sz w:val="24"/>
          <w:szCs w:val="24"/>
        </w:rPr>
        <w:t>10.1016/j.saa.2010.09.016</w:t>
      </w:r>
      <w:r w:rsidRPr="00B57DF3">
        <w:rPr>
          <w:rFonts w:ascii="Times New Roman" w:hAnsi="Times New Roman" w:cs="Times New Roman"/>
          <w:noProof/>
          <w:sz w:val="24"/>
          <w:szCs w:val="24"/>
        </w:rPr>
        <w:t>.</w:t>
      </w:r>
    </w:p>
    <w:p w:rsidR="00B57DF3" w:rsidRPr="00B57DF3" w:rsidRDefault="00B57DF3" w:rsidP="00DF507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57DF3">
        <w:rPr>
          <w:rFonts w:ascii="Times New Roman" w:hAnsi="Times New Roman" w:cs="Times New Roman"/>
          <w:noProof/>
          <w:sz w:val="24"/>
          <w:szCs w:val="24"/>
        </w:rPr>
        <w:t>31.</w:t>
      </w:r>
      <w:r w:rsidRPr="00B57DF3">
        <w:rPr>
          <w:rFonts w:ascii="Times New Roman" w:hAnsi="Times New Roman" w:cs="Times New Roman"/>
          <w:noProof/>
          <w:sz w:val="24"/>
          <w:szCs w:val="24"/>
        </w:rPr>
        <w:tab/>
        <w:t xml:space="preserve">N. Sundaraganesan, S. Kalaichelvan, C. Meganathan, B. D. Joshua, J. Cornard, </w:t>
      </w:r>
      <w:r w:rsidRPr="00B57DF3">
        <w:rPr>
          <w:rFonts w:ascii="Times New Roman" w:hAnsi="Times New Roman" w:cs="Times New Roman"/>
          <w:i/>
          <w:iCs/>
          <w:noProof/>
          <w:sz w:val="24"/>
          <w:szCs w:val="24"/>
        </w:rPr>
        <w:t>Spectrochim. Acta - Part A Mol. Biomol. Spectrosc.</w:t>
      </w:r>
      <w:r w:rsidRPr="00B57DF3">
        <w:rPr>
          <w:rFonts w:ascii="Times New Roman" w:hAnsi="Times New Roman" w:cs="Times New Roman"/>
          <w:noProof/>
          <w:sz w:val="24"/>
          <w:szCs w:val="24"/>
        </w:rPr>
        <w:t xml:space="preserve"> </w:t>
      </w:r>
      <w:r w:rsidRPr="00B57DF3">
        <w:rPr>
          <w:rFonts w:ascii="Times New Roman" w:hAnsi="Times New Roman" w:cs="Times New Roman"/>
          <w:b/>
          <w:bCs/>
          <w:noProof/>
          <w:sz w:val="24"/>
          <w:szCs w:val="24"/>
        </w:rPr>
        <w:t>2008</w:t>
      </w:r>
      <w:r w:rsidRPr="00B57DF3">
        <w:rPr>
          <w:rFonts w:ascii="Times New Roman" w:hAnsi="Times New Roman" w:cs="Times New Roman"/>
          <w:noProof/>
          <w:sz w:val="24"/>
          <w:szCs w:val="24"/>
        </w:rPr>
        <w:t xml:space="preserve">, Vol. </w:t>
      </w:r>
      <w:r w:rsidRPr="00B57DF3">
        <w:rPr>
          <w:rFonts w:ascii="Times New Roman" w:hAnsi="Times New Roman" w:cs="Times New Roman"/>
          <w:i/>
          <w:iCs/>
          <w:noProof/>
          <w:sz w:val="24"/>
          <w:szCs w:val="24"/>
        </w:rPr>
        <w:t>71</w:t>
      </w:r>
      <w:r w:rsidRPr="00B57DF3">
        <w:rPr>
          <w:rFonts w:ascii="Times New Roman" w:hAnsi="Times New Roman" w:cs="Times New Roman"/>
          <w:noProof/>
          <w:sz w:val="24"/>
          <w:szCs w:val="24"/>
        </w:rPr>
        <w:t xml:space="preserve"> (3), pp. 898–906. DOI: </w:t>
      </w:r>
      <w:r w:rsidRPr="00A164BA">
        <w:rPr>
          <w:rFonts w:ascii="Times New Roman" w:hAnsi="Times New Roman" w:cs="Times New Roman"/>
          <w:noProof/>
          <w:color w:val="5B9BD5" w:themeColor="accent1"/>
          <w:sz w:val="24"/>
          <w:szCs w:val="24"/>
        </w:rPr>
        <w:t>10.1016/j.saa.2008.02.016</w:t>
      </w:r>
      <w:r w:rsidRPr="00B57DF3">
        <w:rPr>
          <w:rFonts w:ascii="Times New Roman" w:hAnsi="Times New Roman" w:cs="Times New Roman"/>
          <w:noProof/>
          <w:sz w:val="24"/>
          <w:szCs w:val="24"/>
        </w:rPr>
        <w:t>.</w:t>
      </w:r>
    </w:p>
    <w:p w:rsidR="00B57DF3" w:rsidRPr="00B57DF3" w:rsidRDefault="00B57DF3" w:rsidP="00DF507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57DF3">
        <w:rPr>
          <w:rFonts w:ascii="Times New Roman" w:hAnsi="Times New Roman" w:cs="Times New Roman"/>
          <w:noProof/>
          <w:sz w:val="24"/>
          <w:szCs w:val="24"/>
        </w:rPr>
        <w:t>32.</w:t>
      </w:r>
      <w:r w:rsidRPr="00B57DF3">
        <w:rPr>
          <w:rFonts w:ascii="Times New Roman" w:hAnsi="Times New Roman" w:cs="Times New Roman"/>
          <w:noProof/>
          <w:sz w:val="24"/>
          <w:szCs w:val="24"/>
        </w:rPr>
        <w:tab/>
        <w:t xml:space="preserve">Z. Yekke-Ghasemi, M. Ramezani, J. T. Mague, R. Takjoo, </w:t>
      </w:r>
      <w:r w:rsidRPr="00B57DF3">
        <w:rPr>
          <w:rFonts w:ascii="Times New Roman" w:hAnsi="Times New Roman" w:cs="Times New Roman"/>
          <w:i/>
          <w:iCs/>
          <w:noProof/>
          <w:sz w:val="24"/>
          <w:szCs w:val="24"/>
        </w:rPr>
        <w:t>New J. Chem.</w:t>
      </w:r>
      <w:r w:rsidRPr="00B57DF3">
        <w:rPr>
          <w:rFonts w:ascii="Times New Roman" w:hAnsi="Times New Roman" w:cs="Times New Roman"/>
          <w:noProof/>
          <w:sz w:val="24"/>
          <w:szCs w:val="24"/>
        </w:rPr>
        <w:t xml:space="preserve"> </w:t>
      </w:r>
      <w:r w:rsidRPr="00B57DF3">
        <w:rPr>
          <w:rFonts w:ascii="Times New Roman" w:hAnsi="Times New Roman" w:cs="Times New Roman"/>
          <w:b/>
          <w:bCs/>
          <w:noProof/>
          <w:sz w:val="24"/>
          <w:szCs w:val="24"/>
        </w:rPr>
        <w:t>2020</w:t>
      </w:r>
      <w:r w:rsidRPr="00B57DF3">
        <w:rPr>
          <w:rFonts w:ascii="Times New Roman" w:hAnsi="Times New Roman" w:cs="Times New Roman"/>
          <w:noProof/>
          <w:sz w:val="24"/>
          <w:szCs w:val="24"/>
        </w:rPr>
        <w:t xml:space="preserve">, Vol. </w:t>
      </w:r>
      <w:r w:rsidRPr="00B57DF3">
        <w:rPr>
          <w:rFonts w:ascii="Times New Roman" w:hAnsi="Times New Roman" w:cs="Times New Roman"/>
          <w:i/>
          <w:iCs/>
          <w:noProof/>
          <w:sz w:val="24"/>
          <w:szCs w:val="24"/>
        </w:rPr>
        <w:t>44</w:t>
      </w:r>
      <w:r w:rsidRPr="00B57DF3">
        <w:rPr>
          <w:rFonts w:ascii="Times New Roman" w:hAnsi="Times New Roman" w:cs="Times New Roman"/>
          <w:noProof/>
          <w:sz w:val="24"/>
          <w:szCs w:val="24"/>
        </w:rPr>
        <w:t xml:space="preserve"> (21), pp. 8878–8889. DOI: </w:t>
      </w:r>
      <w:r w:rsidRPr="00A164BA">
        <w:rPr>
          <w:rFonts w:ascii="Times New Roman" w:hAnsi="Times New Roman" w:cs="Times New Roman"/>
          <w:noProof/>
          <w:color w:val="5B9BD5" w:themeColor="accent1"/>
          <w:sz w:val="24"/>
          <w:szCs w:val="24"/>
        </w:rPr>
        <w:t>10.1039/d0nj01187h</w:t>
      </w:r>
      <w:r w:rsidRPr="00B57DF3">
        <w:rPr>
          <w:rFonts w:ascii="Times New Roman" w:hAnsi="Times New Roman" w:cs="Times New Roman"/>
          <w:noProof/>
          <w:sz w:val="24"/>
          <w:szCs w:val="24"/>
        </w:rPr>
        <w:t>.</w:t>
      </w:r>
    </w:p>
    <w:p w:rsidR="00B57DF3" w:rsidRPr="00B57DF3" w:rsidRDefault="00B57DF3" w:rsidP="00DF507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57DF3">
        <w:rPr>
          <w:rFonts w:ascii="Times New Roman" w:hAnsi="Times New Roman" w:cs="Times New Roman"/>
          <w:noProof/>
          <w:sz w:val="24"/>
          <w:szCs w:val="24"/>
        </w:rPr>
        <w:lastRenderedPageBreak/>
        <w:t>33.</w:t>
      </w:r>
      <w:r w:rsidRPr="00B57DF3">
        <w:rPr>
          <w:rFonts w:ascii="Times New Roman" w:hAnsi="Times New Roman" w:cs="Times New Roman"/>
          <w:noProof/>
          <w:sz w:val="24"/>
          <w:szCs w:val="24"/>
        </w:rPr>
        <w:tab/>
        <w:t xml:space="preserve">D. A. Köse, H. Necefoğlu, </w:t>
      </w:r>
      <w:r w:rsidRPr="00B57DF3">
        <w:rPr>
          <w:rFonts w:ascii="Times New Roman" w:hAnsi="Times New Roman" w:cs="Times New Roman"/>
          <w:i/>
          <w:iCs/>
          <w:noProof/>
          <w:sz w:val="24"/>
          <w:szCs w:val="24"/>
        </w:rPr>
        <w:t>J. Therm. Anal. Calorim.</w:t>
      </w:r>
      <w:r w:rsidRPr="00B57DF3">
        <w:rPr>
          <w:rFonts w:ascii="Times New Roman" w:hAnsi="Times New Roman" w:cs="Times New Roman"/>
          <w:noProof/>
          <w:sz w:val="24"/>
          <w:szCs w:val="24"/>
        </w:rPr>
        <w:t xml:space="preserve"> </w:t>
      </w:r>
      <w:r w:rsidRPr="00B57DF3">
        <w:rPr>
          <w:rFonts w:ascii="Times New Roman" w:hAnsi="Times New Roman" w:cs="Times New Roman"/>
          <w:b/>
          <w:bCs/>
          <w:noProof/>
          <w:sz w:val="24"/>
          <w:szCs w:val="24"/>
        </w:rPr>
        <w:t>2008</w:t>
      </w:r>
      <w:r w:rsidRPr="00B57DF3">
        <w:rPr>
          <w:rFonts w:ascii="Times New Roman" w:hAnsi="Times New Roman" w:cs="Times New Roman"/>
          <w:noProof/>
          <w:sz w:val="24"/>
          <w:szCs w:val="24"/>
        </w:rPr>
        <w:t xml:space="preserve">, Vol. </w:t>
      </w:r>
      <w:r w:rsidRPr="00B57DF3">
        <w:rPr>
          <w:rFonts w:ascii="Times New Roman" w:hAnsi="Times New Roman" w:cs="Times New Roman"/>
          <w:i/>
          <w:iCs/>
          <w:noProof/>
          <w:sz w:val="24"/>
          <w:szCs w:val="24"/>
        </w:rPr>
        <w:t>93</w:t>
      </w:r>
      <w:r w:rsidRPr="00B57DF3">
        <w:rPr>
          <w:rFonts w:ascii="Times New Roman" w:hAnsi="Times New Roman" w:cs="Times New Roman"/>
          <w:noProof/>
          <w:sz w:val="24"/>
          <w:szCs w:val="24"/>
        </w:rPr>
        <w:t xml:space="preserve"> (2), pp. 509–514. DOI: </w:t>
      </w:r>
      <w:r w:rsidRPr="00A164BA">
        <w:rPr>
          <w:rFonts w:ascii="Times New Roman" w:hAnsi="Times New Roman" w:cs="Times New Roman"/>
          <w:noProof/>
          <w:color w:val="5B9BD5" w:themeColor="accent1"/>
          <w:sz w:val="24"/>
          <w:szCs w:val="24"/>
        </w:rPr>
        <w:t>10.1007/s10973-007-8712-5</w:t>
      </w:r>
      <w:r w:rsidRPr="00B57DF3">
        <w:rPr>
          <w:rFonts w:ascii="Times New Roman" w:hAnsi="Times New Roman" w:cs="Times New Roman"/>
          <w:noProof/>
          <w:sz w:val="24"/>
          <w:szCs w:val="24"/>
        </w:rPr>
        <w:t>.</w:t>
      </w:r>
    </w:p>
    <w:p w:rsidR="00B57DF3" w:rsidRPr="00B57DF3" w:rsidRDefault="00B57DF3" w:rsidP="00DF507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57DF3">
        <w:rPr>
          <w:rFonts w:ascii="Times New Roman" w:hAnsi="Times New Roman" w:cs="Times New Roman"/>
          <w:noProof/>
          <w:sz w:val="24"/>
          <w:szCs w:val="24"/>
        </w:rPr>
        <w:t>34.</w:t>
      </w:r>
      <w:r w:rsidRPr="00B57DF3">
        <w:rPr>
          <w:rFonts w:ascii="Times New Roman" w:hAnsi="Times New Roman" w:cs="Times New Roman"/>
          <w:noProof/>
          <w:sz w:val="24"/>
          <w:szCs w:val="24"/>
        </w:rPr>
        <w:tab/>
        <w:t xml:space="preserve">I. Kostova, I. Manolov, I. Nicolova, S. Konstantinov, M. Karaivanova, </w:t>
      </w:r>
      <w:r w:rsidRPr="00B57DF3">
        <w:rPr>
          <w:rFonts w:ascii="Times New Roman" w:hAnsi="Times New Roman" w:cs="Times New Roman"/>
          <w:i/>
          <w:iCs/>
          <w:noProof/>
          <w:sz w:val="24"/>
          <w:szCs w:val="24"/>
        </w:rPr>
        <w:t>Eur. J. Med. Chem.</w:t>
      </w:r>
      <w:r w:rsidRPr="00B57DF3">
        <w:rPr>
          <w:rFonts w:ascii="Times New Roman" w:hAnsi="Times New Roman" w:cs="Times New Roman"/>
          <w:noProof/>
          <w:sz w:val="24"/>
          <w:szCs w:val="24"/>
        </w:rPr>
        <w:t xml:space="preserve"> </w:t>
      </w:r>
      <w:r w:rsidRPr="00B57DF3">
        <w:rPr>
          <w:rFonts w:ascii="Times New Roman" w:hAnsi="Times New Roman" w:cs="Times New Roman"/>
          <w:b/>
          <w:bCs/>
          <w:noProof/>
          <w:sz w:val="24"/>
          <w:szCs w:val="24"/>
        </w:rPr>
        <w:t>2001</w:t>
      </w:r>
      <w:r w:rsidRPr="00B57DF3">
        <w:rPr>
          <w:rFonts w:ascii="Times New Roman" w:hAnsi="Times New Roman" w:cs="Times New Roman"/>
          <w:noProof/>
          <w:sz w:val="24"/>
          <w:szCs w:val="24"/>
        </w:rPr>
        <w:t xml:space="preserve">, Vol. </w:t>
      </w:r>
      <w:r w:rsidRPr="00B57DF3">
        <w:rPr>
          <w:rFonts w:ascii="Times New Roman" w:hAnsi="Times New Roman" w:cs="Times New Roman"/>
          <w:i/>
          <w:iCs/>
          <w:noProof/>
          <w:sz w:val="24"/>
          <w:szCs w:val="24"/>
        </w:rPr>
        <w:t>36</w:t>
      </w:r>
      <w:r w:rsidRPr="00B57DF3">
        <w:rPr>
          <w:rFonts w:ascii="Times New Roman" w:hAnsi="Times New Roman" w:cs="Times New Roman"/>
          <w:noProof/>
          <w:sz w:val="24"/>
          <w:szCs w:val="24"/>
        </w:rPr>
        <w:t xml:space="preserve"> (4), pp. 339–347. DOI: </w:t>
      </w:r>
      <w:r w:rsidRPr="00A164BA">
        <w:rPr>
          <w:rFonts w:ascii="Times New Roman" w:hAnsi="Times New Roman" w:cs="Times New Roman"/>
          <w:noProof/>
          <w:color w:val="5B9BD5" w:themeColor="accent1"/>
          <w:sz w:val="24"/>
          <w:szCs w:val="24"/>
        </w:rPr>
        <w:t>10.1016/S0223-5234(01)01221-1</w:t>
      </w:r>
      <w:r w:rsidRPr="00B57DF3">
        <w:rPr>
          <w:rFonts w:ascii="Times New Roman" w:hAnsi="Times New Roman" w:cs="Times New Roman"/>
          <w:noProof/>
          <w:sz w:val="24"/>
          <w:szCs w:val="24"/>
        </w:rPr>
        <w:t>.</w:t>
      </w:r>
    </w:p>
    <w:p w:rsidR="00B57DF3" w:rsidRPr="00B57DF3" w:rsidRDefault="00B57DF3" w:rsidP="00DF507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57DF3">
        <w:rPr>
          <w:rFonts w:ascii="Times New Roman" w:hAnsi="Times New Roman" w:cs="Times New Roman"/>
          <w:noProof/>
          <w:sz w:val="24"/>
          <w:szCs w:val="24"/>
        </w:rPr>
        <w:t>35.</w:t>
      </w:r>
      <w:r w:rsidRPr="00B57DF3">
        <w:rPr>
          <w:rFonts w:ascii="Times New Roman" w:hAnsi="Times New Roman" w:cs="Times New Roman"/>
          <w:noProof/>
          <w:sz w:val="24"/>
          <w:szCs w:val="24"/>
        </w:rPr>
        <w:tab/>
        <w:t xml:space="preserve">T. Aiyelabola, E. Akinkunmi, I. Ojo, E. Obuotor, C. Adebajo, D. Isabirye, </w:t>
      </w:r>
      <w:r w:rsidRPr="00B57DF3">
        <w:rPr>
          <w:rFonts w:ascii="Times New Roman" w:hAnsi="Times New Roman" w:cs="Times New Roman"/>
          <w:i/>
          <w:iCs/>
          <w:noProof/>
          <w:sz w:val="24"/>
          <w:szCs w:val="24"/>
        </w:rPr>
        <w:t>Bioinorg. Chem. Appl.</w:t>
      </w:r>
      <w:r w:rsidRPr="00B57DF3">
        <w:rPr>
          <w:rFonts w:ascii="Times New Roman" w:hAnsi="Times New Roman" w:cs="Times New Roman"/>
          <w:noProof/>
          <w:sz w:val="24"/>
          <w:szCs w:val="24"/>
        </w:rPr>
        <w:t xml:space="preserve"> </w:t>
      </w:r>
      <w:r w:rsidRPr="00B57DF3">
        <w:rPr>
          <w:rFonts w:ascii="Times New Roman" w:hAnsi="Times New Roman" w:cs="Times New Roman"/>
          <w:b/>
          <w:bCs/>
          <w:noProof/>
          <w:sz w:val="24"/>
          <w:szCs w:val="24"/>
        </w:rPr>
        <w:t>2017</w:t>
      </w:r>
      <w:r w:rsidRPr="00B57DF3">
        <w:rPr>
          <w:rFonts w:ascii="Times New Roman" w:hAnsi="Times New Roman" w:cs="Times New Roman"/>
          <w:noProof/>
          <w:sz w:val="24"/>
          <w:szCs w:val="24"/>
        </w:rPr>
        <w:t xml:space="preserve">, Vol. </w:t>
      </w:r>
      <w:r w:rsidRPr="00B57DF3">
        <w:rPr>
          <w:rFonts w:ascii="Times New Roman" w:hAnsi="Times New Roman" w:cs="Times New Roman"/>
          <w:i/>
          <w:iCs/>
          <w:noProof/>
          <w:sz w:val="24"/>
          <w:szCs w:val="24"/>
        </w:rPr>
        <w:t>2017</w:t>
      </w:r>
      <w:r w:rsidRPr="00B57DF3">
        <w:rPr>
          <w:rFonts w:ascii="Times New Roman" w:hAnsi="Times New Roman" w:cs="Times New Roman"/>
          <w:noProof/>
          <w:sz w:val="24"/>
          <w:szCs w:val="24"/>
        </w:rPr>
        <w:t xml:space="preserve">. DOI: </w:t>
      </w:r>
      <w:r w:rsidRPr="00A164BA">
        <w:rPr>
          <w:rFonts w:ascii="Times New Roman" w:hAnsi="Times New Roman" w:cs="Times New Roman"/>
          <w:noProof/>
          <w:color w:val="5B9BD5" w:themeColor="accent1"/>
          <w:sz w:val="24"/>
          <w:szCs w:val="24"/>
        </w:rPr>
        <w:t>10.1155/2017/2956145</w:t>
      </w:r>
      <w:r w:rsidRPr="00B57DF3">
        <w:rPr>
          <w:rFonts w:ascii="Times New Roman" w:hAnsi="Times New Roman" w:cs="Times New Roman"/>
          <w:noProof/>
          <w:sz w:val="24"/>
          <w:szCs w:val="24"/>
        </w:rPr>
        <w:t>.</w:t>
      </w:r>
    </w:p>
    <w:p w:rsidR="00B57DF3" w:rsidRPr="00B57DF3" w:rsidRDefault="00B57DF3" w:rsidP="00DF507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57DF3">
        <w:rPr>
          <w:rFonts w:ascii="Times New Roman" w:hAnsi="Times New Roman" w:cs="Times New Roman"/>
          <w:noProof/>
          <w:sz w:val="24"/>
          <w:szCs w:val="24"/>
        </w:rPr>
        <w:t>36.</w:t>
      </w:r>
      <w:r w:rsidRPr="00B57DF3">
        <w:rPr>
          <w:rFonts w:ascii="Times New Roman" w:hAnsi="Times New Roman" w:cs="Times New Roman"/>
          <w:noProof/>
          <w:sz w:val="24"/>
          <w:szCs w:val="24"/>
        </w:rPr>
        <w:tab/>
        <w:t xml:space="preserve">M. A. Asraf, M. M. Rahman, D. C. Kabiraz, R. H. Ansary, M. F. Hossen, M. F. Haque, C. M. Zakaria, </w:t>
      </w:r>
      <w:r w:rsidRPr="00B57DF3">
        <w:rPr>
          <w:rFonts w:ascii="Times New Roman" w:hAnsi="Times New Roman" w:cs="Times New Roman"/>
          <w:i/>
          <w:iCs/>
          <w:noProof/>
          <w:sz w:val="24"/>
          <w:szCs w:val="24"/>
        </w:rPr>
        <w:t>Asian J. Appl. Chem. Res.</w:t>
      </w:r>
      <w:r w:rsidRPr="00B57DF3">
        <w:rPr>
          <w:rFonts w:ascii="Times New Roman" w:hAnsi="Times New Roman" w:cs="Times New Roman"/>
          <w:noProof/>
          <w:sz w:val="24"/>
          <w:szCs w:val="24"/>
        </w:rPr>
        <w:t xml:space="preserve"> </w:t>
      </w:r>
      <w:r w:rsidRPr="00B57DF3">
        <w:rPr>
          <w:rFonts w:ascii="Times New Roman" w:hAnsi="Times New Roman" w:cs="Times New Roman"/>
          <w:b/>
          <w:bCs/>
          <w:noProof/>
          <w:sz w:val="24"/>
          <w:szCs w:val="24"/>
        </w:rPr>
        <w:t>2019</w:t>
      </w:r>
      <w:r w:rsidRPr="00B57DF3">
        <w:rPr>
          <w:rFonts w:ascii="Times New Roman" w:hAnsi="Times New Roman" w:cs="Times New Roman"/>
          <w:noProof/>
          <w:sz w:val="24"/>
          <w:szCs w:val="24"/>
        </w:rPr>
        <w:t xml:space="preserve">, Vol. </w:t>
      </w:r>
      <w:r w:rsidRPr="00B57DF3">
        <w:rPr>
          <w:rFonts w:ascii="Times New Roman" w:hAnsi="Times New Roman" w:cs="Times New Roman"/>
          <w:i/>
          <w:iCs/>
          <w:noProof/>
          <w:sz w:val="24"/>
          <w:szCs w:val="24"/>
        </w:rPr>
        <w:t>3</w:t>
      </w:r>
      <w:r w:rsidRPr="00B57DF3">
        <w:rPr>
          <w:rFonts w:ascii="Times New Roman" w:hAnsi="Times New Roman" w:cs="Times New Roman"/>
          <w:noProof/>
          <w:sz w:val="24"/>
          <w:szCs w:val="24"/>
        </w:rPr>
        <w:t xml:space="preserve"> (3), pp. 1–15. DOI: </w:t>
      </w:r>
      <w:r w:rsidRPr="00A164BA">
        <w:rPr>
          <w:rFonts w:ascii="Times New Roman" w:hAnsi="Times New Roman" w:cs="Times New Roman"/>
          <w:noProof/>
          <w:color w:val="5B9BD5" w:themeColor="accent1"/>
          <w:sz w:val="24"/>
          <w:szCs w:val="24"/>
        </w:rPr>
        <w:t>10.9734/ajacr/2019/v3i330093</w:t>
      </w:r>
      <w:r w:rsidRPr="00B57DF3">
        <w:rPr>
          <w:rFonts w:ascii="Times New Roman" w:hAnsi="Times New Roman" w:cs="Times New Roman"/>
          <w:noProof/>
          <w:sz w:val="24"/>
          <w:szCs w:val="24"/>
        </w:rPr>
        <w:t>.</w:t>
      </w:r>
    </w:p>
    <w:p w:rsidR="00B57DF3" w:rsidRPr="00B57DF3" w:rsidRDefault="00B57DF3" w:rsidP="00DF507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57DF3">
        <w:rPr>
          <w:rFonts w:ascii="Times New Roman" w:hAnsi="Times New Roman" w:cs="Times New Roman"/>
          <w:noProof/>
          <w:sz w:val="24"/>
          <w:szCs w:val="24"/>
        </w:rPr>
        <w:t>37.</w:t>
      </w:r>
      <w:r w:rsidRPr="00B57DF3">
        <w:rPr>
          <w:rFonts w:ascii="Times New Roman" w:hAnsi="Times New Roman" w:cs="Times New Roman"/>
          <w:noProof/>
          <w:sz w:val="24"/>
          <w:szCs w:val="24"/>
        </w:rPr>
        <w:tab/>
        <w:t xml:space="preserve">A. Jacques, T. Auvray, R. Bevernaegie, F. Loiseau, M. Cibian, G. S. Hanan, A. Kirsch-De Mesmaeker, B. Elias, </w:t>
      </w:r>
      <w:r w:rsidRPr="00B57DF3">
        <w:rPr>
          <w:rFonts w:ascii="Times New Roman" w:hAnsi="Times New Roman" w:cs="Times New Roman"/>
          <w:i/>
          <w:iCs/>
          <w:noProof/>
          <w:sz w:val="24"/>
          <w:szCs w:val="24"/>
        </w:rPr>
        <w:t>Inorganica Chim. Acta</w:t>
      </w:r>
      <w:r w:rsidRPr="00B57DF3">
        <w:rPr>
          <w:rFonts w:ascii="Times New Roman" w:hAnsi="Times New Roman" w:cs="Times New Roman"/>
          <w:noProof/>
          <w:sz w:val="24"/>
          <w:szCs w:val="24"/>
        </w:rPr>
        <w:t xml:space="preserve">. </w:t>
      </w:r>
      <w:r w:rsidRPr="00B57DF3">
        <w:rPr>
          <w:rFonts w:ascii="Times New Roman" w:hAnsi="Times New Roman" w:cs="Times New Roman"/>
          <w:b/>
          <w:bCs/>
          <w:noProof/>
          <w:sz w:val="24"/>
          <w:szCs w:val="24"/>
        </w:rPr>
        <w:t>2018</w:t>
      </w:r>
      <w:r w:rsidRPr="00B57DF3">
        <w:rPr>
          <w:rFonts w:ascii="Times New Roman" w:hAnsi="Times New Roman" w:cs="Times New Roman"/>
          <w:noProof/>
          <w:sz w:val="24"/>
          <w:szCs w:val="24"/>
        </w:rPr>
        <w:t xml:space="preserve">, Vol. </w:t>
      </w:r>
      <w:r w:rsidRPr="00B57DF3">
        <w:rPr>
          <w:rFonts w:ascii="Times New Roman" w:hAnsi="Times New Roman" w:cs="Times New Roman"/>
          <w:i/>
          <w:iCs/>
          <w:noProof/>
          <w:sz w:val="24"/>
          <w:szCs w:val="24"/>
        </w:rPr>
        <w:t>471</w:t>
      </w:r>
      <w:r w:rsidRPr="00B57DF3">
        <w:rPr>
          <w:rFonts w:ascii="Times New Roman" w:hAnsi="Times New Roman" w:cs="Times New Roman"/>
          <w:noProof/>
          <w:sz w:val="24"/>
          <w:szCs w:val="24"/>
        </w:rPr>
        <w:t xml:space="preserve"> (Iii), pp. 8–16. DOI: </w:t>
      </w:r>
      <w:r w:rsidRPr="00A164BA">
        <w:rPr>
          <w:rFonts w:ascii="Times New Roman" w:hAnsi="Times New Roman" w:cs="Times New Roman"/>
          <w:noProof/>
          <w:color w:val="5B9BD5" w:themeColor="accent1"/>
          <w:sz w:val="24"/>
          <w:szCs w:val="24"/>
        </w:rPr>
        <w:t>10.1016/j.ica.2017.10.018</w:t>
      </w:r>
      <w:r w:rsidRPr="00B57DF3">
        <w:rPr>
          <w:rFonts w:ascii="Times New Roman" w:hAnsi="Times New Roman" w:cs="Times New Roman"/>
          <w:noProof/>
          <w:sz w:val="24"/>
          <w:szCs w:val="24"/>
        </w:rPr>
        <w:t>.</w:t>
      </w:r>
    </w:p>
    <w:p w:rsidR="00B57DF3" w:rsidRPr="00B57DF3" w:rsidRDefault="00B57DF3" w:rsidP="00DF507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57DF3">
        <w:rPr>
          <w:rFonts w:ascii="Times New Roman" w:hAnsi="Times New Roman" w:cs="Times New Roman"/>
          <w:noProof/>
          <w:sz w:val="24"/>
          <w:szCs w:val="24"/>
        </w:rPr>
        <w:t>38.</w:t>
      </w:r>
      <w:r w:rsidRPr="00B57DF3">
        <w:rPr>
          <w:rFonts w:ascii="Times New Roman" w:hAnsi="Times New Roman" w:cs="Times New Roman"/>
          <w:noProof/>
          <w:sz w:val="24"/>
          <w:szCs w:val="24"/>
        </w:rPr>
        <w:tab/>
        <w:t xml:space="preserve">P. Jeslin Kanaga Inba, B. Annaraj, S. Thalamuthu, M. A. Neelakantan, </w:t>
      </w:r>
      <w:r w:rsidRPr="00B57DF3">
        <w:rPr>
          <w:rFonts w:ascii="Times New Roman" w:hAnsi="Times New Roman" w:cs="Times New Roman"/>
          <w:i/>
          <w:iCs/>
          <w:noProof/>
          <w:sz w:val="24"/>
          <w:szCs w:val="24"/>
        </w:rPr>
        <w:t>Bioinorg. Chem. Appl.</w:t>
      </w:r>
      <w:r w:rsidRPr="00B57DF3">
        <w:rPr>
          <w:rFonts w:ascii="Times New Roman" w:hAnsi="Times New Roman" w:cs="Times New Roman"/>
          <w:noProof/>
          <w:sz w:val="24"/>
          <w:szCs w:val="24"/>
        </w:rPr>
        <w:t xml:space="preserve"> </w:t>
      </w:r>
      <w:r w:rsidRPr="00B57DF3">
        <w:rPr>
          <w:rFonts w:ascii="Times New Roman" w:hAnsi="Times New Roman" w:cs="Times New Roman"/>
          <w:b/>
          <w:bCs/>
          <w:noProof/>
          <w:sz w:val="24"/>
          <w:szCs w:val="24"/>
        </w:rPr>
        <w:t>2013</w:t>
      </w:r>
      <w:r w:rsidRPr="00B57DF3">
        <w:rPr>
          <w:rFonts w:ascii="Times New Roman" w:hAnsi="Times New Roman" w:cs="Times New Roman"/>
          <w:noProof/>
          <w:sz w:val="24"/>
          <w:szCs w:val="24"/>
        </w:rPr>
        <w:t xml:space="preserve">, Vol. </w:t>
      </w:r>
      <w:r w:rsidRPr="00B57DF3">
        <w:rPr>
          <w:rFonts w:ascii="Times New Roman" w:hAnsi="Times New Roman" w:cs="Times New Roman"/>
          <w:i/>
          <w:iCs/>
          <w:noProof/>
          <w:sz w:val="24"/>
          <w:szCs w:val="24"/>
        </w:rPr>
        <w:t>2013</w:t>
      </w:r>
      <w:r w:rsidRPr="00B57DF3">
        <w:rPr>
          <w:rFonts w:ascii="Times New Roman" w:hAnsi="Times New Roman" w:cs="Times New Roman"/>
          <w:noProof/>
          <w:sz w:val="24"/>
          <w:szCs w:val="24"/>
        </w:rPr>
        <w:t xml:space="preserve">. DOI: </w:t>
      </w:r>
      <w:r w:rsidRPr="00A164BA">
        <w:rPr>
          <w:rFonts w:ascii="Times New Roman" w:hAnsi="Times New Roman" w:cs="Times New Roman"/>
          <w:noProof/>
          <w:color w:val="5B9BD5" w:themeColor="accent1"/>
          <w:sz w:val="24"/>
          <w:szCs w:val="24"/>
        </w:rPr>
        <w:t>10.1155/2013/439848</w:t>
      </w:r>
      <w:r w:rsidRPr="00B57DF3">
        <w:rPr>
          <w:rFonts w:ascii="Times New Roman" w:hAnsi="Times New Roman" w:cs="Times New Roman"/>
          <w:noProof/>
          <w:sz w:val="24"/>
          <w:szCs w:val="24"/>
        </w:rPr>
        <w:t>.</w:t>
      </w:r>
    </w:p>
    <w:p w:rsidR="00B57DF3" w:rsidRPr="00B57DF3" w:rsidRDefault="00B57DF3" w:rsidP="00DF507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57DF3">
        <w:rPr>
          <w:rFonts w:ascii="Times New Roman" w:hAnsi="Times New Roman" w:cs="Times New Roman"/>
          <w:noProof/>
          <w:sz w:val="24"/>
          <w:szCs w:val="24"/>
        </w:rPr>
        <w:t>39.</w:t>
      </w:r>
      <w:r w:rsidRPr="00B57DF3">
        <w:rPr>
          <w:rFonts w:ascii="Times New Roman" w:hAnsi="Times New Roman" w:cs="Times New Roman"/>
          <w:noProof/>
          <w:sz w:val="24"/>
          <w:szCs w:val="24"/>
        </w:rPr>
        <w:tab/>
        <w:t xml:space="preserve">B. Posssato, L. F. Dalmolin, L. M. Pereira, J. Q. Alves, R. T. C. Silva, R. V. Gelamo, A. P. Yatsuda, R. F. V. Lopez, S. de Albuquerque, N. B. Leite, et al., </w:t>
      </w:r>
      <w:r w:rsidRPr="00B57DF3">
        <w:rPr>
          <w:rFonts w:ascii="Times New Roman" w:hAnsi="Times New Roman" w:cs="Times New Roman"/>
          <w:i/>
          <w:iCs/>
          <w:noProof/>
          <w:sz w:val="24"/>
          <w:szCs w:val="24"/>
        </w:rPr>
        <w:t>Eur. J. Pharm. Sci.</w:t>
      </w:r>
      <w:r w:rsidRPr="00B57DF3">
        <w:rPr>
          <w:rFonts w:ascii="Times New Roman" w:hAnsi="Times New Roman" w:cs="Times New Roman"/>
          <w:noProof/>
          <w:sz w:val="24"/>
          <w:szCs w:val="24"/>
        </w:rPr>
        <w:t xml:space="preserve"> </w:t>
      </w:r>
      <w:r w:rsidRPr="00B57DF3">
        <w:rPr>
          <w:rFonts w:ascii="Times New Roman" w:hAnsi="Times New Roman" w:cs="Times New Roman"/>
          <w:b/>
          <w:bCs/>
          <w:noProof/>
          <w:sz w:val="24"/>
          <w:szCs w:val="24"/>
        </w:rPr>
        <w:t>2021</w:t>
      </w:r>
      <w:r w:rsidRPr="00B57DF3">
        <w:rPr>
          <w:rFonts w:ascii="Times New Roman" w:hAnsi="Times New Roman" w:cs="Times New Roman"/>
          <w:noProof/>
          <w:sz w:val="24"/>
          <w:szCs w:val="24"/>
        </w:rPr>
        <w:t xml:space="preserve">, Vol. </w:t>
      </w:r>
      <w:r w:rsidRPr="00B57DF3">
        <w:rPr>
          <w:rFonts w:ascii="Times New Roman" w:hAnsi="Times New Roman" w:cs="Times New Roman"/>
          <w:i/>
          <w:iCs/>
          <w:noProof/>
          <w:sz w:val="24"/>
          <w:szCs w:val="24"/>
        </w:rPr>
        <w:t>162</w:t>
      </w:r>
      <w:r w:rsidRPr="00B57DF3">
        <w:rPr>
          <w:rFonts w:ascii="Times New Roman" w:hAnsi="Times New Roman" w:cs="Times New Roman"/>
          <w:noProof/>
          <w:sz w:val="24"/>
          <w:szCs w:val="24"/>
        </w:rPr>
        <w:t xml:space="preserve"> (April). DOI: </w:t>
      </w:r>
      <w:r w:rsidRPr="00A164BA">
        <w:rPr>
          <w:rFonts w:ascii="Times New Roman" w:hAnsi="Times New Roman" w:cs="Times New Roman"/>
          <w:noProof/>
          <w:color w:val="5B9BD5" w:themeColor="accent1"/>
          <w:sz w:val="24"/>
          <w:szCs w:val="24"/>
        </w:rPr>
        <w:t>10.1016/j.ejps.2021.105834</w:t>
      </w:r>
      <w:r w:rsidRPr="00B57DF3">
        <w:rPr>
          <w:rFonts w:ascii="Times New Roman" w:hAnsi="Times New Roman" w:cs="Times New Roman"/>
          <w:noProof/>
          <w:sz w:val="24"/>
          <w:szCs w:val="24"/>
        </w:rPr>
        <w:t>.</w:t>
      </w:r>
    </w:p>
    <w:p w:rsidR="00B57DF3" w:rsidRPr="00B57DF3" w:rsidRDefault="00B57DF3" w:rsidP="00DF507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B57DF3">
        <w:rPr>
          <w:rFonts w:ascii="Times New Roman" w:hAnsi="Times New Roman" w:cs="Times New Roman"/>
          <w:noProof/>
          <w:sz w:val="24"/>
          <w:szCs w:val="24"/>
        </w:rPr>
        <w:t>40.</w:t>
      </w:r>
      <w:r w:rsidRPr="00B57DF3">
        <w:rPr>
          <w:rFonts w:ascii="Times New Roman" w:hAnsi="Times New Roman" w:cs="Times New Roman"/>
          <w:noProof/>
          <w:sz w:val="24"/>
          <w:szCs w:val="24"/>
        </w:rPr>
        <w:tab/>
        <w:t xml:space="preserve">K. G. Harmon, J. R. Clugston, K. Dec, B. Hainline, S. Herring, S. F. Kane, A. P. Kontos, J. J. Leddy, M. McCrea, S. K. Poddar, et al., </w:t>
      </w:r>
      <w:r w:rsidRPr="00B57DF3">
        <w:rPr>
          <w:rFonts w:ascii="Times New Roman" w:hAnsi="Times New Roman" w:cs="Times New Roman"/>
          <w:i/>
          <w:iCs/>
          <w:noProof/>
          <w:sz w:val="24"/>
          <w:szCs w:val="24"/>
        </w:rPr>
        <w:t>Br. J. Sports Med.</w:t>
      </w:r>
      <w:r w:rsidRPr="00B57DF3">
        <w:rPr>
          <w:rFonts w:ascii="Times New Roman" w:hAnsi="Times New Roman" w:cs="Times New Roman"/>
          <w:noProof/>
          <w:sz w:val="24"/>
          <w:szCs w:val="24"/>
        </w:rPr>
        <w:t xml:space="preserve"> </w:t>
      </w:r>
      <w:r w:rsidRPr="00B57DF3">
        <w:rPr>
          <w:rFonts w:ascii="Times New Roman" w:hAnsi="Times New Roman" w:cs="Times New Roman"/>
          <w:b/>
          <w:bCs/>
          <w:noProof/>
          <w:sz w:val="24"/>
          <w:szCs w:val="24"/>
        </w:rPr>
        <w:t>2019</w:t>
      </w:r>
      <w:r w:rsidRPr="00B57DF3">
        <w:rPr>
          <w:rFonts w:ascii="Times New Roman" w:hAnsi="Times New Roman" w:cs="Times New Roman"/>
          <w:noProof/>
          <w:sz w:val="24"/>
          <w:szCs w:val="24"/>
        </w:rPr>
        <w:t xml:space="preserve">, Vol. </w:t>
      </w:r>
      <w:r w:rsidRPr="00B57DF3">
        <w:rPr>
          <w:rFonts w:ascii="Times New Roman" w:hAnsi="Times New Roman" w:cs="Times New Roman"/>
          <w:i/>
          <w:iCs/>
          <w:noProof/>
          <w:sz w:val="24"/>
          <w:szCs w:val="24"/>
        </w:rPr>
        <w:t>53</w:t>
      </w:r>
      <w:r w:rsidRPr="00B57DF3">
        <w:rPr>
          <w:rFonts w:ascii="Times New Roman" w:hAnsi="Times New Roman" w:cs="Times New Roman"/>
          <w:noProof/>
          <w:sz w:val="24"/>
          <w:szCs w:val="24"/>
        </w:rPr>
        <w:t xml:space="preserve"> (4), pp. 213–225. DOI: 10.1136/bjsports-2018-100338.</w:t>
      </w:r>
    </w:p>
    <w:p w:rsidR="00B57DF3" w:rsidRPr="00B57DF3" w:rsidRDefault="00B57DF3" w:rsidP="00DF5076">
      <w:pPr>
        <w:widowControl w:val="0"/>
        <w:autoSpaceDE w:val="0"/>
        <w:autoSpaceDN w:val="0"/>
        <w:adjustRightInd w:val="0"/>
        <w:spacing w:after="0" w:line="360" w:lineRule="auto"/>
        <w:ind w:left="640" w:hanging="640"/>
        <w:jc w:val="both"/>
        <w:rPr>
          <w:rFonts w:ascii="Times New Roman" w:hAnsi="Times New Roman" w:cs="Times New Roman"/>
          <w:noProof/>
          <w:sz w:val="24"/>
        </w:rPr>
      </w:pPr>
      <w:r w:rsidRPr="00B57DF3">
        <w:rPr>
          <w:rFonts w:ascii="Times New Roman" w:hAnsi="Times New Roman" w:cs="Times New Roman"/>
          <w:noProof/>
          <w:sz w:val="24"/>
          <w:szCs w:val="24"/>
        </w:rPr>
        <w:t>41.</w:t>
      </w:r>
      <w:r w:rsidRPr="00B57DF3">
        <w:rPr>
          <w:rFonts w:ascii="Times New Roman" w:hAnsi="Times New Roman" w:cs="Times New Roman"/>
          <w:noProof/>
          <w:sz w:val="24"/>
          <w:szCs w:val="24"/>
        </w:rPr>
        <w:tab/>
        <w:t xml:space="preserve">M. I. Khan, A. Khan, I. Hussain, M. A. Khan, S. Gul, M. Iqbal, Inayat-Ur-Rahman, F. Khuda, </w:t>
      </w:r>
      <w:r w:rsidRPr="00B57DF3">
        <w:rPr>
          <w:rFonts w:ascii="Times New Roman" w:hAnsi="Times New Roman" w:cs="Times New Roman"/>
          <w:i/>
          <w:iCs/>
          <w:noProof/>
          <w:sz w:val="24"/>
          <w:szCs w:val="24"/>
        </w:rPr>
        <w:t>Inorg. Chem. Commun.</w:t>
      </w:r>
      <w:r w:rsidRPr="00B57DF3">
        <w:rPr>
          <w:rFonts w:ascii="Times New Roman" w:hAnsi="Times New Roman" w:cs="Times New Roman"/>
          <w:noProof/>
          <w:sz w:val="24"/>
          <w:szCs w:val="24"/>
        </w:rPr>
        <w:t xml:space="preserve"> </w:t>
      </w:r>
      <w:r w:rsidRPr="00B57DF3">
        <w:rPr>
          <w:rFonts w:ascii="Times New Roman" w:hAnsi="Times New Roman" w:cs="Times New Roman"/>
          <w:b/>
          <w:bCs/>
          <w:noProof/>
          <w:sz w:val="24"/>
          <w:szCs w:val="24"/>
        </w:rPr>
        <w:t>2013</w:t>
      </w:r>
      <w:r w:rsidRPr="00B57DF3">
        <w:rPr>
          <w:rFonts w:ascii="Times New Roman" w:hAnsi="Times New Roman" w:cs="Times New Roman"/>
          <w:noProof/>
          <w:sz w:val="24"/>
          <w:szCs w:val="24"/>
        </w:rPr>
        <w:t xml:space="preserve">, Vol. </w:t>
      </w:r>
      <w:r w:rsidRPr="00B57DF3">
        <w:rPr>
          <w:rFonts w:ascii="Times New Roman" w:hAnsi="Times New Roman" w:cs="Times New Roman"/>
          <w:i/>
          <w:iCs/>
          <w:noProof/>
          <w:sz w:val="24"/>
          <w:szCs w:val="24"/>
        </w:rPr>
        <w:t>35</w:t>
      </w:r>
      <w:r w:rsidRPr="00B57DF3">
        <w:rPr>
          <w:rFonts w:ascii="Times New Roman" w:hAnsi="Times New Roman" w:cs="Times New Roman"/>
          <w:noProof/>
          <w:sz w:val="24"/>
          <w:szCs w:val="24"/>
        </w:rPr>
        <w:t xml:space="preserve"> (June), pp. 104–109. DOI: </w:t>
      </w:r>
      <w:r w:rsidRPr="00A164BA">
        <w:rPr>
          <w:rFonts w:ascii="Times New Roman" w:hAnsi="Times New Roman" w:cs="Times New Roman"/>
          <w:noProof/>
          <w:color w:val="5B9BD5" w:themeColor="accent1"/>
          <w:sz w:val="24"/>
          <w:szCs w:val="24"/>
        </w:rPr>
        <w:t>10.1016/j.inoche.2013.06.014</w:t>
      </w:r>
      <w:r w:rsidRPr="00B57DF3">
        <w:rPr>
          <w:rFonts w:ascii="Times New Roman" w:hAnsi="Times New Roman" w:cs="Times New Roman"/>
          <w:noProof/>
          <w:sz w:val="24"/>
          <w:szCs w:val="24"/>
        </w:rPr>
        <w:t>.</w:t>
      </w:r>
    </w:p>
    <w:p w:rsidR="003A6E3C" w:rsidRPr="00596538" w:rsidRDefault="003A6E3C" w:rsidP="00DF5076">
      <w:pPr>
        <w:spacing w:after="0" w:line="360" w:lineRule="auto"/>
        <w:contextualSpacing/>
        <w:jc w:val="both"/>
        <w:rPr>
          <w:rFonts w:ascii="Times New Roman" w:hAnsi="Times New Roman" w:cs="Times New Roman"/>
          <w:b/>
          <w:sz w:val="20"/>
          <w:szCs w:val="20"/>
        </w:rPr>
      </w:pPr>
      <w:r w:rsidRPr="009B5CC1">
        <w:rPr>
          <w:rFonts w:ascii="Times New Roman" w:hAnsi="Times New Roman" w:cs="Times New Roman"/>
          <w:b/>
          <w:sz w:val="24"/>
          <w:szCs w:val="24"/>
        </w:rPr>
        <w:fldChar w:fldCharType="end"/>
      </w:r>
    </w:p>
    <w:p w:rsidR="003A6E3C" w:rsidRPr="009B5CC1" w:rsidRDefault="003A6E3C" w:rsidP="003A6E3C">
      <w:pPr>
        <w:rPr>
          <w:rFonts w:ascii="Times New Roman" w:hAnsi="Times New Roman" w:cs="Times New Roman"/>
          <w:sz w:val="24"/>
          <w:szCs w:val="24"/>
        </w:rPr>
      </w:pPr>
    </w:p>
    <w:sectPr w:rsidR="003A6E3C" w:rsidRPr="009B5CC1" w:rsidSect="00F7489E">
      <w:pgSz w:w="11907" w:h="16839" w:code="9"/>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w:altName w:val="等线"/>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BoldMT">
    <w:altName w:val="Arial"/>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MinionPro-Regular">
    <w:altName w:val="Arial Unicode MS"/>
    <w:panose1 w:val="00000000000000000000"/>
    <w:charset w:val="81"/>
    <w:family w:val="auto"/>
    <w:notTrueType/>
    <w:pitch w:val="default"/>
    <w:sig w:usb0="00000005" w:usb1="09060000" w:usb2="00000010" w:usb3="00000000" w:csb0="00080002" w:csb1="00000000"/>
  </w:font>
  <w:font w:name="Cambria Math">
    <w:panose1 w:val="02040503050406030204"/>
    <w:charset w:val="00"/>
    <w:family w:val="roman"/>
    <w:pitch w:val="variable"/>
    <w:sig w:usb0="E00006FF" w:usb1="420024FF" w:usb2="02000000" w:usb3="00000000" w:csb0="0000019F" w:csb1="00000000"/>
  </w:font>
  <w:font w:name="MinionMath-Regular">
    <w:altName w:val="Arial Unicode MS"/>
    <w:panose1 w:val="00000000000000000000"/>
    <w:charset w:val="86"/>
    <w:family w:val="auto"/>
    <w:notTrueType/>
    <w:pitch w:val="default"/>
    <w:sig w:usb0="00000003" w:usb1="080E0000" w:usb2="00000010" w:usb3="00000000" w:csb0="00040001"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E3C"/>
    <w:rsid w:val="00002D77"/>
    <w:rsid w:val="00020241"/>
    <w:rsid w:val="00020A8C"/>
    <w:rsid w:val="000B07FA"/>
    <w:rsid w:val="000C51C0"/>
    <w:rsid w:val="00114556"/>
    <w:rsid w:val="00163CBA"/>
    <w:rsid w:val="001B1892"/>
    <w:rsid w:val="001D30F8"/>
    <w:rsid w:val="002416F3"/>
    <w:rsid w:val="00260749"/>
    <w:rsid w:val="00276B78"/>
    <w:rsid w:val="002A3044"/>
    <w:rsid w:val="003403F6"/>
    <w:rsid w:val="00345681"/>
    <w:rsid w:val="003462F6"/>
    <w:rsid w:val="003A6E3C"/>
    <w:rsid w:val="003B55AF"/>
    <w:rsid w:val="003E421F"/>
    <w:rsid w:val="0040549E"/>
    <w:rsid w:val="00407810"/>
    <w:rsid w:val="00434D0E"/>
    <w:rsid w:val="00443F3C"/>
    <w:rsid w:val="0049077F"/>
    <w:rsid w:val="00494598"/>
    <w:rsid w:val="004A3CB8"/>
    <w:rsid w:val="004B7241"/>
    <w:rsid w:val="005117C5"/>
    <w:rsid w:val="00530664"/>
    <w:rsid w:val="00543A50"/>
    <w:rsid w:val="00546517"/>
    <w:rsid w:val="00596538"/>
    <w:rsid w:val="005B70A6"/>
    <w:rsid w:val="005F1B41"/>
    <w:rsid w:val="00623062"/>
    <w:rsid w:val="006346C8"/>
    <w:rsid w:val="006350BD"/>
    <w:rsid w:val="00657FE1"/>
    <w:rsid w:val="0066519F"/>
    <w:rsid w:val="006813A4"/>
    <w:rsid w:val="006861D3"/>
    <w:rsid w:val="00690B2A"/>
    <w:rsid w:val="006E7F4F"/>
    <w:rsid w:val="00701895"/>
    <w:rsid w:val="007202C3"/>
    <w:rsid w:val="00751A47"/>
    <w:rsid w:val="00781B62"/>
    <w:rsid w:val="007A333B"/>
    <w:rsid w:val="007C1563"/>
    <w:rsid w:val="007F7424"/>
    <w:rsid w:val="008055A6"/>
    <w:rsid w:val="008B7DB0"/>
    <w:rsid w:val="00923C3D"/>
    <w:rsid w:val="00941797"/>
    <w:rsid w:val="00947764"/>
    <w:rsid w:val="009740A9"/>
    <w:rsid w:val="00976577"/>
    <w:rsid w:val="00987A05"/>
    <w:rsid w:val="00994518"/>
    <w:rsid w:val="009B5CC1"/>
    <w:rsid w:val="009C262E"/>
    <w:rsid w:val="00A164BA"/>
    <w:rsid w:val="00A24358"/>
    <w:rsid w:val="00A413C2"/>
    <w:rsid w:val="00A5474F"/>
    <w:rsid w:val="00A70F27"/>
    <w:rsid w:val="00AA2104"/>
    <w:rsid w:val="00AA62C8"/>
    <w:rsid w:val="00AB5A9A"/>
    <w:rsid w:val="00B377E5"/>
    <w:rsid w:val="00B52184"/>
    <w:rsid w:val="00B57DF3"/>
    <w:rsid w:val="00B63804"/>
    <w:rsid w:val="00B72588"/>
    <w:rsid w:val="00B83246"/>
    <w:rsid w:val="00BB5681"/>
    <w:rsid w:val="00BC794B"/>
    <w:rsid w:val="00BD758B"/>
    <w:rsid w:val="00BE1C45"/>
    <w:rsid w:val="00C56FE9"/>
    <w:rsid w:val="00CB4AB7"/>
    <w:rsid w:val="00CF333F"/>
    <w:rsid w:val="00D0549C"/>
    <w:rsid w:val="00D26E2C"/>
    <w:rsid w:val="00D30A1A"/>
    <w:rsid w:val="00D77B3E"/>
    <w:rsid w:val="00DA70C4"/>
    <w:rsid w:val="00DD6EDC"/>
    <w:rsid w:val="00DE1147"/>
    <w:rsid w:val="00DF5076"/>
    <w:rsid w:val="00E233F0"/>
    <w:rsid w:val="00E639BA"/>
    <w:rsid w:val="00E649F6"/>
    <w:rsid w:val="00E65057"/>
    <w:rsid w:val="00E737F4"/>
    <w:rsid w:val="00E83DDF"/>
    <w:rsid w:val="00E85E4E"/>
    <w:rsid w:val="00EA5283"/>
    <w:rsid w:val="00EC7911"/>
    <w:rsid w:val="00F0471B"/>
    <w:rsid w:val="00F1417B"/>
    <w:rsid w:val="00F27EEF"/>
    <w:rsid w:val="00F66CB6"/>
    <w:rsid w:val="00F7489E"/>
    <w:rsid w:val="00F82C16"/>
    <w:rsid w:val="00FB0D7E"/>
    <w:rsid w:val="00FB5B27"/>
    <w:rsid w:val="00FC34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7F3520-93CD-4B3B-A960-BDC8DAEE8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A6E3C"/>
    <w:rPr>
      <w:color w:val="0000FF"/>
      <w:u w:val="single"/>
    </w:rPr>
  </w:style>
  <w:style w:type="paragraph" w:styleId="NoSpacing">
    <w:name w:val="No Spacing"/>
    <w:uiPriority w:val="1"/>
    <w:qFormat/>
    <w:rsid w:val="003A6E3C"/>
    <w:pPr>
      <w:spacing w:after="0" w:line="240" w:lineRule="auto"/>
    </w:pPr>
  </w:style>
  <w:style w:type="character" w:styleId="LineNumber">
    <w:name w:val="line number"/>
    <w:basedOn w:val="DefaultParagraphFont"/>
    <w:uiPriority w:val="99"/>
    <w:semiHidden/>
    <w:unhideWhenUsed/>
    <w:rsid w:val="009B5CC1"/>
  </w:style>
  <w:style w:type="paragraph" w:styleId="ListParagraph">
    <w:name w:val="List Paragraph"/>
    <w:basedOn w:val="Normal"/>
    <w:uiPriority w:val="34"/>
    <w:qFormat/>
    <w:rsid w:val="00CB4AB7"/>
    <w:pPr>
      <w:ind w:left="720"/>
      <w:contextualSpacing/>
    </w:pPr>
  </w:style>
  <w:style w:type="paragraph" w:styleId="Caption">
    <w:name w:val="caption"/>
    <w:basedOn w:val="Normal"/>
    <w:next w:val="Normal"/>
    <w:uiPriority w:val="35"/>
    <w:unhideWhenUsed/>
    <w:qFormat/>
    <w:rsid w:val="00F27EE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krj92@gmail.com" TargetMode="External"/><Relationship Id="rId13" Type="http://schemas.openxmlformats.org/officeDocument/2006/relationships/hyperlink" Target="mailto:mshahzaman786@nuist.edu.cn"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mailto:sadaf_chem26@yahoo.com" TargetMode="External"/><Relationship Id="rId12" Type="http://schemas.openxmlformats.org/officeDocument/2006/relationships/hyperlink" Target="mailto:saedabano@hotmail.com" TargetMode="External"/><Relationship Id="rId17" Type="http://schemas.openxmlformats.org/officeDocument/2006/relationships/image" Target="media/image3.tiff"/><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2.tif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hyperlink" Target="mailto:shazian@uok.edu.pk" TargetMode="External"/><Relationship Id="rId11" Type="http://schemas.openxmlformats.org/officeDocument/2006/relationships/hyperlink" Target="mailto:iqbalsamina1@gmail.com" TargetMode="External"/><Relationship Id="rId24" Type="http://schemas.openxmlformats.org/officeDocument/2006/relationships/image" Target="media/image10.jpeg"/><Relationship Id="rId5" Type="http://schemas.openxmlformats.org/officeDocument/2006/relationships/hyperlink" Target="mailto:shaziaashfaq006928@gmail.com" TargetMode="External"/><Relationship Id="rId15" Type="http://schemas.openxmlformats.org/officeDocument/2006/relationships/image" Target="media/image1.tiff"/><Relationship Id="rId23" Type="http://schemas.openxmlformats.org/officeDocument/2006/relationships/image" Target="media/image9.png"/><Relationship Id="rId10" Type="http://schemas.openxmlformats.org/officeDocument/2006/relationships/hyperlink" Target="mailto:saimaimad@gmail.com"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mailto:saqibali.chem@gmail.com" TargetMode="External"/><Relationship Id="rId14" Type="http://schemas.openxmlformats.org/officeDocument/2006/relationships/hyperlink" Target="mailto:shazian@uok.edu.pk" TargetMode="Externa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E9B0F-2FED-44BE-A17D-B90033487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1484</TotalTime>
  <Pages>26</Pages>
  <Words>26452</Words>
  <Characters>150782</Characters>
  <Application>Microsoft Office Word</Application>
  <DocSecurity>0</DocSecurity>
  <Lines>1256</Lines>
  <Paragraphs>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48</cp:revision>
  <dcterms:created xsi:type="dcterms:W3CDTF">2021-11-09T05:14:00Z</dcterms:created>
  <dcterms:modified xsi:type="dcterms:W3CDTF">2021-11-29T17:23:00Z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 6th edition</vt:lpwstr>
  </property>
  <property fmtid="{D5CDD505-2E9C-101B-9397-08002B2CF9AE}" pid="4" name="Mendeley Recent Style Id 1_1">
    <vt:lpwstr>http://csl.mendeley.com/styles/620224991/Vancouvestylebiochemistry</vt:lpwstr>
  </property>
  <property fmtid="{D5CDD505-2E9C-101B-9397-08002B2CF9AE}" pid="5" name="Mendeley Recent Style Name 1_1">
    <vt:lpwstr>Biochemistry Vancouver</vt:lpwstr>
  </property>
  <property fmtid="{D5CDD505-2E9C-101B-9397-08002B2CF9AE}" pid="6" name="Mendeley Recent Style Id 2_1">
    <vt:lpwstr>http://www.zotero.org/styles/bioorganic-and-medicinal-chemistry</vt:lpwstr>
  </property>
  <property fmtid="{D5CDD505-2E9C-101B-9397-08002B2CF9AE}" pid="7" name="Mendeley Recent Style Name 2_1">
    <vt:lpwstr>Bioorganic &amp; Medicinal Chemistry</vt:lpwstr>
  </property>
  <property fmtid="{D5CDD505-2E9C-101B-9397-08002B2CF9AE}" pid="8" name="Mendeley Recent Style Id 3_1">
    <vt:lpwstr>http://csl.mendeley.com/styles/620224991/ActaChimicaSlovenica</vt:lpwstr>
  </property>
  <property fmtid="{D5CDD505-2E9C-101B-9397-08002B2CF9AE}" pid="9" name="Mendeley Recent Style Name 3_1">
    <vt:lpwstr>Chemie Ingenieur Technik - Shazia Ashfaq</vt:lpwstr>
  </property>
  <property fmtid="{D5CDD505-2E9C-101B-9397-08002B2CF9AE}" pid="10" name="Mendeley Recent Style Id 4_1">
    <vt:lpwstr>https://csl.mendeley.com/styles/620224991/ActaChimicaSlovenica</vt:lpwstr>
  </property>
  <property fmtid="{D5CDD505-2E9C-101B-9397-08002B2CF9AE}" pid="11" name="Mendeley Recent Style Name 4_1">
    <vt:lpwstr>Chemie Ingenieur Technik - Shazia Ashfaq</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http://www.zotero.org/styles/remote-sensing</vt:lpwstr>
  </property>
  <property fmtid="{D5CDD505-2E9C-101B-9397-08002B2CF9AE}" pid="17" name="Mendeley Recent Style Name 7_1">
    <vt:lpwstr>Remote Sensing</vt:lpwstr>
  </property>
  <property fmtid="{D5CDD505-2E9C-101B-9397-08002B2CF9AE}" pid="18" name="Mendeley Recent Style Id 8_1">
    <vt:lpwstr>http://www.zotero.org/styles/tetrahedron-letters</vt:lpwstr>
  </property>
  <property fmtid="{D5CDD505-2E9C-101B-9397-08002B2CF9AE}" pid="19" name="Mendeley Recent Style Name 8_1">
    <vt:lpwstr>Tetrahedron Letters</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Citation Style_1">
    <vt:lpwstr>http://csl.mendeley.com/styles/620224991/ActaChimicaSlovenica</vt:lpwstr>
  </property>
  <property fmtid="{D5CDD505-2E9C-101B-9397-08002B2CF9AE}" pid="23" name="Mendeley Document_1">
    <vt:lpwstr>True</vt:lpwstr>
  </property>
  <property fmtid="{D5CDD505-2E9C-101B-9397-08002B2CF9AE}" pid="24" name="Mendeley Unique User Id_1">
    <vt:lpwstr>0a94d5ef-007c-37a4-b4a3-693566dbbaa3</vt:lpwstr>
  </property>
</Properties>
</file>