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34E82" w14:textId="34C89B2F" w:rsidR="00E22C61" w:rsidRDefault="00E22C61" w:rsidP="006B480E">
      <w:pPr>
        <w:jc w:val="both"/>
        <w:rPr>
          <w:rFonts w:cstheme="minorHAnsi"/>
          <w:sz w:val="24"/>
          <w:szCs w:val="24"/>
        </w:rPr>
      </w:pPr>
      <w:bookmarkStart w:id="0" w:name="_GoBack"/>
      <w:r>
        <w:rPr>
          <w:rFonts w:cstheme="minorHAnsi"/>
          <w:sz w:val="24"/>
          <w:szCs w:val="24"/>
        </w:rPr>
        <w:t>Povzetek 7200</w:t>
      </w:r>
    </w:p>
    <w:bookmarkEnd w:id="0"/>
    <w:p w14:paraId="06CE6A6F" w14:textId="77777777" w:rsidR="00E22C61" w:rsidRDefault="00E22C61" w:rsidP="006B480E">
      <w:pPr>
        <w:jc w:val="both"/>
        <w:rPr>
          <w:rFonts w:cstheme="minorHAnsi"/>
          <w:sz w:val="24"/>
          <w:szCs w:val="24"/>
        </w:rPr>
      </w:pPr>
    </w:p>
    <w:p w14:paraId="29C89F49" w14:textId="52F7C85D" w:rsidR="00292D0F" w:rsidRPr="006B480E" w:rsidRDefault="00292D0F" w:rsidP="006B480E">
      <w:pPr>
        <w:jc w:val="both"/>
        <w:rPr>
          <w:rFonts w:eastAsia="Calibri" w:cstheme="minorHAnsi"/>
          <w:sz w:val="24"/>
          <w:szCs w:val="24"/>
        </w:rPr>
      </w:pPr>
      <w:r w:rsidRPr="006B480E">
        <w:rPr>
          <w:rFonts w:cstheme="minorHAnsi"/>
          <w:sz w:val="24"/>
          <w:szCs w:val="24"/>
        </w:rPr>
        <w:t>Zaradi zmožnosti razgradnje adsorbiranih organskih onesnažil</w:t>
      </w:r>
      <w:r w:rsidR="005B1486">
        <w:rPr>
          <w:rFonts w:cstheme="minorHAnsi"/>
          <w:sz w:val="24"/>
          <w:szCs w:val="24"/>
        </w:rPr>
        <w:t xml:space="preserve"> se </w:t>
      </w:r>
      <w:proofErr w:type="spellStart"/>
      <w:r w:rsidRPr="006B480E">
        <w:rPr>
          <w:rFonts w:cstheme="minorHAnsi"/>
          <w:sz w:val="24"/>
          <w:szCs w:val="24"/>
        </w:rPr>
        <w:t>fotokatalizator</w:t>
      </w:r>
      <w:proofErr w:type="spellEnd"/>
      <w:r w:rsidRPr="006B480E">
        <w:rPr>
          <w:rFonts w:cstheme="minorHAnsi"/>
          <w:sz w:val="24"/>
          <w:szCs w:val="24"/>
        </w:rPr>
        <w:t xml:space="preserve"> TiO</w:t>
      </w:r>
      <w:r w:rsidRPr="006B480E">
        <w:rPr>
          <w:rFonts w:cstheme="minorHAnsi"/>
          <w:sz w:val="24"/>
          <w:szCs w:val="24"/>
          <w:vertAlign w:val="subscript"/>
        </w:rPr>
        <w:t>2</w:t>
      </w:r>
      <w:r w:rsidRPr="006B480E">
        <w:rPr>
          <w:rFonts w:cstheme="minorHAnsi"/>
          <w:sz w:val="24"/>
          <w:szCs w:val="24"/>
        </w:rPr>
        <w:t xml:space="preserve"> v zadnjih desetletjih </w:t>
      </w:r>
      <w:r w:rsidR="005B1486">
        <w:rPr>
          <w:rFonts w:cstheme="minorHAnsi"/>
          <w:sz w:val="24"/>
          <w:szCs w:val="24"/>
        </w:rPr>
        <w:t>veliko</w:t>
      </w:r>
      <w:r w:rsidRPr="006B480E">
        <w:rPr>
          <w:rFonts w:cstheme="minorHAnsi"/>
          <w:sz w:val="24"/>
          <w:szCs w:val="24"/>
        </w:rPr>
        <w:t xml:space="preserve"> preučuje za različne </w:t>
      </w:r>
      <w:proofErr w:type="spellStart"/>
      <w:r w:rsidRPr="006B480E">
        <w:rPr>
          <w:rFonts w:cstheme="minorHAnsi"/>
          <w:sz w:val="24"/>
          <w:szCs w:val="24"/>
        </w:rPr>
        <w:t>okoljske</w:t>
      </w:r>
      <w:proofErr w:type="spellEnd"/>
      <w:r w:rsidRPr="006B480E">
        <w:rPr>
          <w:rFonts w:cstheme="minorHAnsi"/>
          <w:sz w:val="24"/>
          <w:szCs w:val="24"/>
        </w:rPr>
        <w:t xml:space="preserve"> aplikacije. V tem delu predstavljamo z žveplom in dušikom </w:t>
      </w:r>
      <w:proofErr w:type="spellStart"/>
      <w:r w:rsidRPr="006B480E">
        <w:rPr>
          <w:rFonts w:cstheme="minorHAnsi"/>
          <w:sz w:val="24"/>
          <w:szCs w:val="24"/>
        </w:rPr>
        <w:t>dopirane</w:t>
      </w:r>
      <w:proofErr w:type="spellEnd"/>
      <w:r w:rsidRPr="006B480E">
        <w:rPr>
          <w:rFonts w:cstheme="minorHAnsi"/>
          <w:sz w:val="24"/>
          <w:szCs w:val="24"/>
        </w:rPr>
        <w:t xml:space="preserve"> oz. </w:t>
      </w:r>
      <w:proofErr w:type="spellStart"/>
      <w:r w:rsidRPr="006B480E">
        <w:rPr>
          <w:rFonts w:cstheme="minorHAnsi"/>
          <w:sz w:val="24"/>
          <w:szCs w:val="24"/>
        </w:rPr>
        <w:t>kodopirane</w:t>
      </w:r>
      <w:proofErr w:type="spellEnd"/>
      <w:r w:rsidRPr="006B480E">
        <w:rPr>
          <w:rFonts w:cstheme="minorHAnsi"/>
          <w:sz w:val="24"/>
          <w:szCs w:val="24"/>
        </w:rPr>
        <w:t xml:space="preserve"> ter s platino modificirane prahove TiO</w:t>
      </w:r>
      <w:r w:rsidRPr="006B480E">
        <w:rPr>
          <w:rFonts w:cstheme="minorHAnsi"/>
          <w:sz w:val="24"/>
          <w:szCs w:val="24"/>
          <w:vertAlign w:val="subscript"/>
        </w:rPr>
        <w:t>2</w:t>
      </w:r>
      <w:r w:rsidRPr="006B480E">
        <w:rPr>
          <w:rFonts w:cstheme="minorHAnsi"/>
          <w:sz w:val="24"/>
          <w:szCs w:val="24"/>
        </w:rPr>
        <w:t>, ki smo jih pripravili po koloidnem sol-gel post</w:t>
      </w:r>
      <w:r w:rsidR="005803C3" w:rsidRPr="006B480E">
        <w:rPr>
          <w:rFonts w:cstheme="minorHAnsi"/>
          <w:sz w:val="24"/>
          <w:szCs w:val="24"/>
        </w:rPr>
        <w:t>o</w:t>
      </w:r>
      <w:r w:rsidRPr="006B480E">
        <w:rPr>
          <w:rFonts w:cstheme="minorHAnsi"/>
          <w:sz w:val="24"/>
          <w:szCs w:val="24"/>
        </w:rPr>
        <w:t>pku.</w:t>
      </w:r>
      <w:r w:rsidR="005803C3" w:rsidRPr="006B480E">
        <w:rPr>
          <w:rFonts w:cstheme="minorHAnsi"/>
          <w:sz w:val="24"/>
          <w:szCs w:val="24"/>
        </w:rPr>
        <w:t xml:space="preserve"> PXRD meritve kažejo, da zamenjava HCl s H</w:t>
      </w:r>
      <w:r w:rsidR="005803C3" w:rsidRPr="006B480E">
        <w:rPr>
          <w:rFonts w:cstheme="minorHAnsi"/>
          <w:sz w:val="24"/>
          <w:szCs w:val="24"/>
          <w:vertAlign w:val="subscript"/>
        </w:rPr>
        <w:t>2</w:t>
      </w:r>
      <w:r w:rsidR="005803C3" w:rsidRPr="006B480E">
        <w:rPr>
          <w:rFonts w:cstheme="minorHAnsi"/>
          <w:sz w:val="24"/>
          <w:szCs w:val="24"/>
        </w:rPr>
        <w:t>SO</w:t>
      </w:r>
      <w:r w:rsidR="005803C3" w:rsidRPr="006B480E">
        <w:rPr>
          <w:rFonts w:cstheme="minorHAnsi"/>
          <w:sz w:val="24"/>
          <w:szCs w:val="24"/>
          <w:vertAlign w:val="subscript"/>
        </w:rPr>
        <w:t>4</w:t>
      </w:r>
      <w:r w:rsidR="005803C3" w:rsidRPr="006B480E">
        <w:rPr>
          <w:rFonts w:cstheme="minorHAnsi"/>
          <w:sz w:val="24"/>
          <w:szCs w:val="24"/>
        </w:rPr>
        <w:t xml:space="preserve"> med sinteznim postopkom zmanjša velikost </w:t>
      </w:r>
      <w:proofErr w:type="spellStart"/>
      <w:r w:rsidR="005803C3" w:rsidRPr="006B480E">
        <w:rPr>
          <w:rFonts w:cstheme="minorHAnsi"/>
          <w:sz w:val="24"/>
          <w:szCs w:val="24"/>
        </w:rPr>
        <w:t>kristalitov</w:t>
      </w:r>
      <w:proofErr w:type="spellEnd"/>
      <w:r w:rsidR="005803C3" w:rsidRPr="006B480E">
        <w:rPr>
          <w:rFonts w:cstheme="minorHAnsi"/>
          <w:sz w:val="24"/>
          <w:szCs w:val="24"/>
        </w:rPr>
        <w:t xml:space="preserve"> s </w:t>
      </w:r>
      <w:r w:rsidR="006B480E" w:rsidRPr="00E975F3">
        <w:rPr>
          <w:rFonts w:ascii="Times New Roman" w:eastAsia="Calibri" w:hAnsi="Times New Roman"/>
          <w:sz w:val="24"/>
          <w:szCs w:val="24"/>
        </w:rPr>
        <w:t>~</w:t>
      </w:r>
      <w:r w:rsidR="005803C3" w:rsidRPr="006B480E">
        <w:rPr>
          <w:rFonts w:eastAsia="Calibri" w:cstheme="minorHAnsi"/>
          <w:sz w:val="24"/>
          <w:szCs w:val="24"/>
        </w:rPr>
        <w:t xml:space="preserve">30 </w:t>
      </w:r>
      <w:proofErr w:type="spellStart"/>
      <w:r w:rsidR="005803C3" w:rsidRPr="006B480E">
        <w:rPr>
          <w:rFonts w:eastAsia="Calibri" w:cstheme="minorHAnsi"/>
          <w:sz w:val="24"/>
          <w:szCs w:val="24"/>
        </w:rPr>
        <w:t>nm</w:t>
      </w:r>
      <w:proofErr w:type="spellEnd"/>
      <w:r w:rsidR="005803C3" w:rsidRPr="006B480E">
        <w:rPr>
          <w:rFonts w:eastAsia="Calibri" w:cstheme="minorHAnsi"/>
          <w:sz w:val="24"/>
          <w:szCs w:val="24"/>
        </w:rPr>
        <w:t xml:space="preserve"> na</w:t>
      </w:r>
      <w:r w:rsidR="006B480E">
        <w:rPr>
          <w:rFonts w:eastAsia="Calibri" w:cstheme="minorHAnsi"/>
          <w:sz w:val="24"/>
          <w:szCs w:val="24"/>
        </w:rPr>
        <w:t xml:space="preserve"> </w:t>
      </w:r>
      <w:r w:rsidR="006B480E" w:rsidRPr="00E975F3">
        <w:rPr>
          <w:rFonts w:ascii="Times New Roman" w:eastAsia="Calibri" w:hAnsi="Times New Roman"/>
          <w:sz w:val="24"/>
          <w:szCs w:val="24"/>
        </w:rPr>
        <w:t>~</w:t>
      </w:r>
      <w:r w:rsidR="005803C3" w:rsidRPr="006B480E">
        <w:rPr>
          <w:rFonts w:eastAsia="Calibri" w:cstheme="minorHAnsi"/>
          <w:sz w:val="24"/>
          <w:szCs w:val="24"/>
        </w:rPr>
        <w:t xml:space="preserve">20 </w:t>
      </w:r>
      <w:proofErr w:type="spellStart"/>
      <w:r w:rsidR="005803C3" w:rsidRPr="006B480E">
        <w:rPr>
          <w:rFonts w:eastAsia="Calibri" w:cstheme="minorHAnsi"/>
          <w:sz w:val="24"/>
          <w:szCs w:val="24"/>
        </w:rPr>
        <w:t>nm</w:t>
      </w:r>
      <w:proofErr w:type="spellEnd"/>
      <w:r w:rsidR="005803C3" w:rsidRPr="006B480E">
        <w:rPr>
          <w:rFonts w:eastAsia="Calibri" w:cstheme="minorHAnsi"/>
          <w:sz w:val="24"/>
          <w:szCs w:val="24"/>
        </w:rPr>
        <w:t xml:space="preserve">, pri čemer se poveča tudi specifična površina iz </w:t>
      </w:r>
      <w:r w:rsidR="006B480E" w:rsidRPr="00E975F3">
        <w:rPr>
          <w:rFonts w:ascii="Times New Roman" w:eastAsia="Calibri" w:hAnsi="Times New Roman"/>
          <w:sz w:val="24"/>
          <w:szCs w:val="24"/>
        </w:rPr>
        <w:t>~</w:t>
      </w:r>
      <w:r w:rsidR="005803C3" w:rsidRPr="006B480E">
        <w:rPr>
          <w:rFonts w:eastAsia="Calibri" w:cstheme="minorHAnsi"/>
          <w:sz w:val="24"/>
          <w:szCs w:val="24"/>
        </w:rPr>
        <w:t>44 m</w:t>
      </w:r>
      <w:r w:rsidR="005803C3" w:rsidRPr="006B480E">
        <w:rPr>
          <w:rFonts w:eastAsia="Calibri" w:cstheme="minorHAnsi"/>
          <w:sz w:val="24"/>
          <w:szCs w:val="24"/>
          <w:vertAlign w:val="superscript"/>
        </w:rPr>
        <w:t>2</w:t>
      </w:r>
      <w:r w:rsidR="005803C3" w:rsidRPr="006B480E">
        <w:rPr>
          <w:rFonts w:eastAsia="Calibri" w:cstheme="minorHAnsi"/>
          <w:sz w:val="24"/>
          <w:szCs w:val="24"/>
        </w:rPr>
        <w:t xml:space="preserve">/g na </w:t>
      </w:r>
      <w:r w:rsidR="006B480E" w:rsidRPr="00E975F3">
        <w:rPr>
          <w:rFonts w:ascii="Times New Roman" w:eastAsia="Calibri" w:hAnsi="Times New Roman"/>
          <w:sz w:val="24"/>
          <w:szCs w:val="24"/>
        </w:rPr>
        <w:t>~</w:t>
      </w:r>
      <w:r w:rsidR="005803C3" w:rsidRPr="006B480E">
        <w:rPr>
          <w:rFonts w:eastAsia="Calibri" w:cstheme="minorHAnsi"/>
          <w:sz w:val="24"/>
          <w:szCs w:val="24"/>
        </w:rPr>
        <w:t>80 m</w:t>
      </w:r>
      <w:r w:rsidR="005803C3" w:rsidRPr="006B480E">
        <w:rPr>
          <w:rFonts w:eastAsia="Calibri" w:cstheme="minorHAnsi"/>
          <w:sz w:val="24"/>
          <w:szCs w:val="24"/>
          <w:vertAlign w:val="superscript"/>
        </w:rPr>
        <w:t>2</w:t>
      </w:r>
      <w:r w:rsidR="005803C3" w:rsidRPr="006B480E">
        <w:rPr>
          <w:rFonts w:eastAsia="Calibri" w:cstheme="minorHAnsi"/>
          <w:sz w:val="24"/>
          <w:szCs w:val="24"/>
        </w:rPr>
        <w:t xml:space="preserve">/g. Opažanja korelirajo z izmerjeno </w:t>
      </w:r>
      <w:proofErr w:type="spellStart"/>
      <w:r w:rsidR="005803C3" w:rsidRPr="006B480E">
        <w:rPr>
          <w:rFonts w:eastAsia="Calibri" w:cstheme="minorHAnsi"/>
          <w:sz w:val="24"/>
          <w:szCs w:val="24"/>
        </w:rPr>
        <w:t>fotokatalitsko</w:t>
      </w:r>
      <w:proofErr w:type="spellEnd"/>
      <w:r w:rsidR="005803C3" w:rsidRPr="006B480E">
        <w:rPr>
          <w:rFonts w:eastAsia="Calibri" w:cstheme="minorHAnsi"/>
          <w:sz w:val="24"/>
          <w:szCs w:val="24"/>
        </w:rPr>
        <w:t xml:space="preserve"> aktivnostjo vzorcev in izmerjenim </w:t>
      </w:r>
      <w:proofErr w:type="spellStart"/>
      <w:r w:rsidR="005803C3" w:rsidRPr="006B480E">
        <w:rPr>
          <w:rFonts w:eastAsia="Calibri" w:cstheme="minorHAnsi"/>
          <w:sz w:val="24"/>
          <w:szCs w:val="24"/>
        </w:rPr>
        <w:t>fototokom</w:t>
      </w:r>
      <w:proofErr w:type="spellEnd"/>
      <w:r w:rsidR="005803C3" w:rsidRPr="006B480E">
        <w:rPr>
          <w:rFonts w:eastAsia="Calibri" w:cstheme="minorHAnsi"/>
          <w:sz w:val="24"/>
          <w:szCs w:val="24"/>
        </w:rPr>
        <w:t xml:space="preserve">. Rezultati kažejo, da so lastnosti prahov (specifična površina, velikost </w:t>
      </w:r>
      <w:proofErr w:type="spellStart"/>
      <w:r w:rsidR="005803C3" w:rsidRPr="006B480E">
        <w:rPr>
          <w:rFonts w:eastAsia="Calibri" w:cstheme="minorHAnsi"/>
          <w:sz w:val="24"/>
          <w:szCs w:val="24"/>
        </w:rPr>
        <w:t>kristalitov</w:t>
      </w:r>
      <w:proofErr w:type="spellEnd"/>
      <w:r w:rsidR="005803C3" w:rsidRPr="006B480E">
        <w:rPr>
          <w:rFonts w:eastAsia="Calibri" w:cstheme="minorHAnsi"/>
          <w:sz w:val="24"/>
          <w:szCs w:val="24"/>
        </w:rPr>
        <w:t xml:space="preserve">, obnašanje </w:t>
      </w:r>
      <w:proofErr w:type="spellStart"/>
      <w:r w:rsidR="005803C3" w:rsidRPr="006B480E">
        <w:rPr>
          <w:rFonts w:eastAsia="Calibri" w:cstheme="minorHAnsi"/>
          <w:sz w:val="24"/>
          <w:szCs w:val="24"/>
        </w:rPr>
        <w:t>fototoka</w:t>
      </w:r>
      <w:proofErr w:type="spellEnd"/>
      <w:r w:rsidR="005803C3" w:rsidRPr="006B480E">
        <w:rPr>
          <w:rFonts w:eastAsia="Calibri" w:cstheme="minorHAnsi"/>
          <w:sz w:val="24"/>
          <w:szCs w:val="24"/>
        </w:rPr>
        <w:t xml:space="preserve">) odvisni ne le od vrste uporabljene kisline, temveč tudi od njene količine in uporabljenega </w:t>
      </w:r>
      <w:proofErr w:type="spellStart"/>
      <w:r w:rsidR="005803C3" w:rsidRPr="006B480E">
        <w:rPr>
          <w:rFonts w:eastAsia="Calibri" w:cstheme="minorHAnsi"/>
          <w:sz w:val="24"/>
          <w:szCs w:val="24"/>
        </w:rPr>
        <w:t>dopanta</w:t>
      </w:r>
      <w:proofErr w:type="spellEnd"/>
      <w:r w:rsidR="005803C3" w:rsidRPr="006B480E">
        <w:rPr>
          <w:rFonts w:eastAsia="Calibri" w:cstheme="minorHAnsi"/>
          <w:sz w:val="24"/>
          <w:szCs w:val="24"/>
        </w:rPr>
        <w:t xml:space="preserve">. </w:t>
      </w:r>
      <w:proofErr w:type="spellStart"/>
      <w:r w:rsidR="005803C3" w:rsidRPr="006B480E">
        <w:rPr>
          <w:rFonts w:eastAsia="Calibri" w:cstheme="minorHAnsi"/>
          <w:sz w:val="24"/>
          <w:szCs w:val="24"/>
        </w:rPr>
        <w:t>Dopiranje</w:t>
      </w:r>
      <w:proofErr w:type="spellEnd"/>
      <w:r w:rsidR="005803C3" w:rsidRPr="006B480E">
        <w:rPr>
          <w:rFonts w:eastAsia="Calibri" w:cstheme="minorHAnsi"/>
          <w:sz w:val="24"/>
          <w:szCs w:val="24"/>
        </w:rPr>
        <w:t xml:space="preserve"> z žveplom, </w:t>
      </w:r>
      <w:proofErr w:type="spellStart"/>
      <w:r w:rsidR="005803C3" w:rsidRPr="006B480E">
        <w:rPr>
          <w:rFonts w:eastAsia="Calibri" w:cstheme="minorHAnsi"/>
          <w:sz w:val="24"/>
          <w:szCs w:val="24"/>
        </w:rPr>
        <w:t>kodopiranje</w:t>
      </w:r>
      <w:proofErr w:type="spellEnd"/>
      <w:r w:rsidR="005803C3" w:rsidRPr="006B480E">
        <w:rPr>
          <w:rFonts w:eastAsia="Calibri" w:cstheme="minorHAnsi"/>
          <w:sz w:val="24"/>
          <w:szCs w:val="24"/>
        </w:rPr>
        <w:t xml:space="preserve"> z žveplom in dušikom in modifikacija prahov TiO</w:t>
      </w:r>
      <w:r w:rsidR="005803C3" w:rsidRPr="006B480E">
        <w:rPr>
          <w:rFonts w:eastAsia="Calibri" w:cstheme="minorHAnsi"/>
          <w:sz w:val="24"/>
          <w:szCs w:val="24"/>
          <w:vertAlign w:val="subscript"/>
        </w:rPr>
        <w:t>2</w:t>
      </w:r>
      <w:r w:rsidR="005803C3" w:rsidRPr="006B480E">
        <w:rPr>
          <w:rFonts w:eastAsia="Calibri" w:cstheme="minorHAnsi"/>
          <w:sz w:val="24"/>
          <w:szCs w:val="24"/>
        </w:rPr>
        <w:t xml:space="preserve"> s platino povečajo </w:t>
      </w:r>
      <w:proofErr w:type="spellStart"/>
      <w:r w:rsidR="005803C3" w:rsidRPr="006B480E">
        <w:rPr>
          <w:rFonts w:eastAsia="Calibri" w:cstheme="minorHAnsi"/>
          <w:sz w:val="24"/>
          <w:szCs w:val="24"/>
        </w:rPr>
        <w:t>fotoka</w:t>
      </w:r>
      <w:r w:rsidR="006B480E">
        <w:rPr>
          <w:rFonts w:eastAsia="Calibri" w:cstheme="minorHAnsi"/>
          <w:sz w:val="24"/>
          <w:szCs w:val="24"/>
        </w:rPr>
        <w:t>talit</w:t>
      </w:r>
      <w:r w:rsidR="005803C3" w:rsidRPr="006B480E">
        <w:rPr>
          <w:rFonts w:eastAsia="Calibri" w:cstheme="minorHAnsi"/>
          <w:sz w:val="24"/>
          <w:szCs w:val="24"/>
        </w:rPr>
        <w:t>sko</w:t>
      </w:r>
      <w:proofErr w:type="spellEnd"/>
      <w:r w:rsidR="005803C3" w:rsidRPr="006B480E">
        <w:rPr>
          <w:rFonts w:eastAsia="Calibri" w:cstheme="minorHAnsi"/>
          <w:sz w:val="24"/>
          <w:szCs w:val="24"/>
        </w:rPr>
        <w:t xml:space="preserve"> aktivnost </w:t>
      </w:r>
      <w:r w:rsidR="006B480E" w:rsidRPr="006B480E">
        <w:rPr>
          <w:rFonts w:eastAsia="Calibri" w:cstheme="minorHAnsi"/>
          <w:sz w:val="24"/>
          <w:szCs w:val="24"/>
        </w:rPr>
        <w:t xml:space="preserve">tudi </w:t>
      </w:r>
      <w:r w:rsidR="005803C3" w:rsidRPr="006B480E">
        <w:rPr>
          <w:rFonts w:eastAsia="Calibri" w:cstheme="minorHAnsi"/>
          <w:sz w:val="24"/>
          <w:szCs w:val="24"/>
        </w:rPr>
        <w:t>do šestkrat.</w:t>
      </w:r>
    </w:p>
    <w:p w14:paraId="64CA0620" w14:textId="3559F7F4" w:rsidR="005803C3" w:rsidRPr="006B480E" w:rsidRDefault="005803C3" w:rsidP="006B480E">
      <w:pPr>
        <w:jc w:val="both"/>
        <w:rPr>
          <w:rFonts w:eastAsia="Calibri" w:cstheme="minorHAnsi"/>
          <w:sz w:val="24"/>
          <w:szCs w:val="24"/>
        </w:rPr>
      </w:pPr>
    </w:p>
    <w:p w14:paraId="6B36E10F" w14:textId="05760AF5" w:rsidR="005803C3" w:rsidRPr="00E22C61" w:rsidRDefault="005803C3" w:rsidP="006B480E">
      <w:pPr>
        <w:pStyle w:val="MDPI18keywords"/>
        <w:ind w:left="0"/>
        <w:rPr>
          <w:rFonts w:asciiTheme="minorHAnsi" w:hAnsiTheme="minorHAnsi" w:cstheme="minorHAnsi"/>
          <w:sz w:val="24"/>
          <w:szCs w:val="24"/>
          <w:lang w:val="sl-SI"/>
        </w:rPr>
      </w:pPr>
      <w:r w:rsidRPr="00E22C61">
        <w:rPr>
          <w:rFonts w:asciiTheme="minorHAnsi" w:hAnsiTheme="minorHAnsi" w:cstheme="minorHAnsi"/>
          <w:b/>
          <w:sz w:val="24"/>
          <w:szCs w:val="24"/>
          <w:lang w:val="sl-SI"/>
        </w:rPr>
        <w:t xml:space="preserve">Ključne besede: </w:t>
      </w:r>
      <w:r w:rsidRPr="00E22C61">
        <w:rPr>
          <w:rFonts w:asciiTheme="minorHAnsi" w:hAnsiTheme="minorHAnsi" w:cstheme="minorHAnsi"/>
          <w:sz w:val="24"/>
          <w:szCs w:val="24"/>
          <w:lang w:val="sl-SI"/>
        </w:rPr>
        <w:t xml:space="preserve">titanov dioksid; prahovi; </w:t>
      </w:r>
      <w:proofErr w:type="spellStart"/>
      <w:r w:rsidRPr="00E22C61">
        <w:rPr>
          <w:rFonts w:asciiTheme="minorHAnsi" w:hAnsiTheme="minorHAnsi" w:cstheme="minorHAnsi"/>
          <w:sz w:val="24"/>
          <w:szCs w:val="24"/>
          <w:lang w:val="sl-SI"/>
        </w:rPr>
        <w:t>dopiranje</w:t>
      </w:r>
      <w:proofErr w:type="spellEnd"/>
      <w:r w:rsidRPr="00E22C61">
        <w:rPr>
          <w:rFonts w:asciiTheme="minorHAnsi" w:hAnsiTheme="minorHAnsi" w:cstheme="minorHAnsi"/>
          <w:sz w:val="24"/>
          <w:szCs w:val="24"/>
          <w:lang w:val="sl-SI"/>
        </w:rPr>
        <w:t xml:space="preserve">; </w:t>
      </w:r>
      <w:proofErr w:type="spellStart"/>
      <w:r w:rsidRPr="00E22C61">
        <w:rPr>
          <w:rFonts w:asciiTheme="minorHAnsi" w:hAnsiTheme="minorHAnsi" w:cstheme="minorHAnsi"/>
          <w:sz w:val="24"/>
          <w:szCs w:val="24"/>
          <w:lang w:val="sl-SI"/>
        </w:rPr>
        <w:t>fotokataliza</w:t>
      </w:r>
      <w:proofErr w:type="spellEnd"/>
      <w:r w:rsidRPr="00E22C61">
        <w:rPr>
          <w:rFonts w:asciiTheme="minorHAnsi" w:hAnsiTheme="minorHAnsi" w:cstheme="minorHAnsi"/>
          <w:sz w:val="24"/>
          <w:szCs w:val="24"/>
          <w:lang w:val="sl-SI"/>
        </w:rPr>
        <w:t xml:space="preserve">; </w:t>
      </w:r>
      <w:proofErr w:type="spellStart"/>
      <w:r w:rsidRPr="00E22C61">
        <w:rPr>
          <w:rFonts w:asciiTheme="minorHAnsi" w:hAnsiTheme="minorHAnsi" w:cstheme="minorHAnsi"/>
          <w:sz w:val="24"/>
          <w:szCs w:val="24"/>
          <w:lang w:val="sl-SI"/>
        </w:rPr>
        <w:t>fototok</w:t>
      </w:r>
      <w:proofErr w:type="spellEnd"/>
      <w:r w:rsidRPr="00E22C61">
        <w:rPr>
          <w:rFonts w:asciiTheme="minorHAnsi" w:hAnsiTheme="minorHAnsi" w:cstheme="minorHAnsi"/>
          <w:sz w:val="24"/>
          <w:szCs w:val="24"/>
          <w:lang w:val="sl-SI"/>
        </w:rPr>
        <w:t>; SEM</w:t>
      </w:r>
    </w:p>
    <w:p w14:paraId="578A2EEB" w14:textId="77777777" w:rsidR="005803C3" w:rsidRDefault="005803C3"/>
    <w:sectPr w:rsidR="005803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D0F"/>
    <w:rsid w:val="00292D0F"/>
    <w:rsid w:val="005803C3"/>
    <w:rsid w:val="005B1486"/>
    <w:rsid w:val="006B480E"/>
    <w:rsid w:val="00E22C61"/>
    <w:rsid w:val="00FC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C8A10"/>
  <w15:chartTrackingRefBased/>
  <w15:docId w15:val="{06799BDB-CB7D-4914-8576-BBF01E89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6affiliation">
    <w:name w:val="MDPI_1.6_affiliation"/>
    <w:rsid w:val="00292D0F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paragraph" w:customStyle="1" w:styleId="MDPI18keywords">
    <w:name w:val="MDPI_1.8_keywords"/>
    <w:next w:val="Normal"/>
    <w:rsid w:val="00292D0F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Cerc Korošec, Romana</dc:creator>
  <cp:keywords/>
  <dc:description/>
  <cp:lastModifiedBy>Mirela</cp:lastModifiedBy>
  <cp:revision>2</cp:revision>
  <dcterms:created xsi:type="dcterms:W3CDTF">2022-01-20T14:16:00Z</dcterms:created>
  <dcterms:modified xsi:type="dcterms:W3CDTF">2022-01-20T14:16:00Z</dcterms:modified>
</cp:coreProperties>
</file>