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CFF5E" w14:textId="77777777" w:rsidR="00F945A9" w:rsidRPr="00632A8C" w:rsidRDefault="00F945A9" w:rsidP="00C11F89">
      <w:pPr>
        <w:spacing w:after="240"/>
        <w:jc w:val="center"/>
        <w:rPr>
          <w:b/>
          <w:bCs/>
          <w:sz w:val="36"/>
          <w:szCs w:val="36"/>
        </w:rPr>
      </w:pPr>
      <w:r w:rsidRPr="00632A8C">
        <w:rPr>
          <w:b/>
          <w:bCs/>
          <w:sz w:val="36"/>
          <w:szCs w:val="36"/>
        </w:rPr>
        <w:t>Metal and non-metal modified titania: the effect of phase composition and surface area on photocatalytic activity</w:t>
      </w:r>
    </w:p>
    <w:p w14:paraId="6B308AE0" w14:textId="17A1E4F6" w:rsidR="00F945A9" w:rsidRDefault="00F945A9" w:rsidP="00C11F89">
      <w:pPr>
        <w:spacing w:line="276" w:lineRule="auto"/>
        <w:rPr>
          <w:szCs w:val="24"/>
          <w:vertAlign w:val="superscript"/>
        </w:rPr>
      </w:pPr>
      <w:r w:rsidRPr="00632A8C">
        <w:rPr>
          <w:szCs w:val="24"/>
        </w:rPr>
        <w:t>Boštjan Žener</w:t>
      </w:r>
      <w:r w:rsidRPr="00632A8C">
        <w:rPr>
          <w:szCs w:val="24"/>
          <w:vertAlign w:val="superscript"/>
        </w:rPr>
        <w:t>1</w:t>
      </w:r>
      <w:r w:rsidRPr="00632A8C">
        <w:rPr>
          <w:szCs w:val="24"/>
        </w:rPr>
        <w:t>, Lev Matoh</w:t>
      </w:r>
      <w:r w:rsidRPr="00632A8C">
        <w:rPr>
          <w:szCs w:val="24"/>
          <w:vertAlign w:val="superscript"/>
        </w:rPr>
        <w:t>1</w:t>
      </w:r>
      <w:r w:rsidRPr="00632A8C">
        <w:rPr>
          <w:szCs w:val="24"/>
        </w:rPr>
        <w:t>, Martin Reli</w:t>
      </w:r>
      <w:r w:rsidRPr="00632A8C">
        <w:rPr>
          <w:szCs w:val="24"/>
          <w:vertAlign w:val="superscript"/>
        </w:rPr>
        <w:t>2</w:t>
      </w:r>
      <w:r w:rsidRPr="00632A8C">
        <w:rPr>
          <w:szCs w:val="24"/>
        </w:rPr>
        <w:t>, Andrijana Sever Škapin</w:t>
      </w:r>
      <w:r w:rsidRPr="00632A8C">
        <w:rPr>
          <w:szCs w:val="24"/>
          <w:vertAlign w:val="superscript"/>
        </w:rPr>
        <w:t>3,4</w:t>
      </w:r>
      <w:r w:rsidRPr="00632A8C">
        <w:rPr>
          <w:szCs w:val="24"/>
        </w:rPr>
        <w:t>, Romana Cerc Korošec</w:t>
      </w:r>
      <w:r w:rsidRPr="00632A8C">
        <w:rPr>
          <w:szCs w:val="24"/>
          <w:vertAlign w:val="superscript"/>
        </w:rPr>
        <w:t>1*</w:t>
      </w:r>
    </w:p>
    <w:p w14:paraId="365F3777" w14:textId="77777777" w:rsidR="007967F6" w:rsidRPr="00632A8C" w:rsidRDefault="007967F6" w:rsidP="00C11F89">
      <w:pPr>
        <w:spacing w:line="276" w:lineRule="auto"/>
        <w:rPr>
          <w:szCs w:val="24"/>
          <w:vertAlign w:val="superscript"/>
        </w:rPr>
      </w:pPr>
    </w:p>
    <w:p w14:paraId="2ECF2114" w14:textId="69ADF94E" w:rsidR="00F945A9" w:rsidRPr="00632A8C" w:rsidRDefault="006B1A68" w:rsidP="006B1A68">
      <w:pPr>
        <w:pStyle w:val="MDPI16affiliation"/>
        <w:ind w:left="0" w:firstLine="0"/>
        <w:rPr>
          <w:rFonts w:ascii="Times New Roman" w:hAnsi="Times New Roman"/>
          <w:sz w:val="24"/>
          <w:szCs w:val="24"/>
        </w:rPr>
      </w:pPr>
      <w:bookmarkStart w:id="0" w:name="_Hlk72483953"/>
      <w:r w:rsidRPr="00632A8C">
        <w:rPr>
          <w:rStyle w:val="fontstyle01"/>
          <w:rFonts w:ascii="Times New Roman" w:hAnsi="Times New Roman"/>
          <w:sz w:val="24"/>
          <w:szCs w:val="24"/>
          <w:vertAlign w:val="superscript"/>
          <w:lang w:val="en-SI"/>
        </w:rPr>
        <w:t xml:space="preserve">1 </w:t>
      </w:r>
      <w:r w:rsidR="00F945A9" w:rsidRPr="00632A8C">
        <w:rPr>
          <w:rStyle w:val="fontstyle01"/>
          <w:rFonts w:ascii="Times New Roman" w:hAnsi="Times New Roman"/>
          <w:sz w:val="24"/>
          <w:szCs w:val="24"/>
        </w:rPr>
        <w:t>Faculty of Chemistry and Chemical Technology, University of</w:t>
      </w:r>
      <w:r w:rsidR="00F945A9" w:rsidRPr="00632A8C">
        <w:rPr>
          <w:rFonts w:ascii="Times New Roman" w:hAnsi="Times New Roman"/>
          <w:sz w:val="24"/>
          <w:szCs w:val="24"/>
        </w:rPr>
        <w:t xml:space="preserve"> </w:t>
      </w:r>
      <w:r w:rsidR="00F945A9" w:rsidRPr="00632A8C">
        <w:rPr>
          <w:rStyle w:val="fontstyle01"/>
          <w:rFonts w:ascii="Times New Roman" w:hAnsi="Times New Roman"/>
          <w:sz w:val="24"/>
          <w:szCs w:val="24"/>
        </w:rPr>
        <w:t xml:space="preserve">Ljubljana, </w:t>
      </w:r>
      <w:proofErr w:type="spellStart"/>
      <w:r w:rsidR="00F945A9" w:rsidRPr="00632A8C">
        <w:rPr>
          <w:rStyle w:val="fontstyle01"/>
          <w:rFonts w:ascii="Times New Roman" w:hAnsi="Times New Roman"/>
          <w:sz w:val="24"/>
          <w:szCs w:val="24"/>
        </w:rPr>
        <w:t>Večna</w:t>
      </w:r>
      <w:proofErr w:type="spellEnd"/>
      <w:r w:rsidR="00F945A9" w:rsidRPr="00632A8C">
        <w:rPr>
          <w:rStyle w:val="fontstyle01"/>
          <w:rFonts w:ascii="Times New Roman" w:hAnsi="Times New Roman"/>
          <w:sz w:val="24"/>
          <w:szCs w:val="24"/>
        </w:rPr>
        <w:t xml:space="preserve"> pot 113, 1000 Ljubljana, </w:t>
      </w:r>
      <w:proofErr w:type="gramStart"/>
      <w:r w:rsidR="00F945A9" w:rsidRPr="00632A8C">
        <w:rPr>
          <w:rStyle w:val="fontstyle01"/>
          <w:rFonts w:ascii="Times New Roman" w:hAnsi="Times New Roman"/>
          <w:sz w:val="24"/>
          <w:szCs w:val="24"/>
        </w:rPr>
        <w:t>Slovenia</w:t>
      </w:r>
      <w:r w:rsidR="00F945A9" w:rsidRPr="00632A8C">
        <w:rPr>
          <w:rFonts w:ascii="Times New Roman" w:hAnsi="Times New Roman"/>
          <w:sz w:val="24"/>
          <w:szCs w:val="24"/>
        </w:rPr>
        <w:t>;</w:t>
      </w:r>
      <w:proofErr w:type="gramEnd"/>
      <w:r w:rsidR="00F945A9" w:rsidRPr="00632A8C">
        <w:rPr>
          <w:rFonts w:ascii="Times New Roman" w:hAnsi="Times New Roman"/>
          <w:sz w:val="24"/>
          <w:szCs w:val="24"/>
        </w:rPr>
        <w:t xml:space="preserve"> </w:t>
      </w:r>
    </w:p>
    <w:p w14:paraId="5B34D13C" w14:textId="56A98C09" w:rsidR="00F945A9" w:rsidRPr="00632A8C" w:rsidRDefault="006B1A68" w:rsidP="006B1A68">
      <w:pPr>
        <w:pStyle w:val="MDPI16affiliation"/>
        <w:ind w:left="0" w:firstLine="0"/>
        <w:rPr>
          <w:rFonts w:ascii="Times New Roman" w:hAnsi="Times New Roman"/>
          <w:sz w:val="24"/>
          <w:szCs w:val="24"/>
        </w:rPr>
      </w:pPr>
      <w:r w:rsidRPr="00632A8C">
        <w:rPr>
          <w:rFonts w:ascii="Times New Roman" w:hAnsi="Times New Roman"/>
          <w:sz w:val="24"/>
          <w:szCs w:val="24"/>
          <w:vertAlign w:val="superscript"/>
          <w:lang w:val="en-SI"/>
        </w:rPr>
        <w:t xml:space="preserve">2 </w:t>
      </w:r>
      <w:r w:rsidR="00F945A9" w:rsidRPr="00632A8C">
        <w:rPr>
          <w:rFonts w:ascii="Times New Roman" w:hAnsi="Times New Roman"/>
          <w:sz w:val="24"/>
          <w:szCs w:val="24"/>
        </w:rPr>
        <w:t xml:space="preserve">Institute of Environmental Technology, VŠB-Technical University of Ostrava, 17. </w:t>
      </w:r>
      <w:proofErr w:type="spellStart"/>
      <w:r w:rsidR="00F945A9" w:rsidRPr="00632A8C">
        <w:rPr>
          <w:rFonts w:ascii="Times New Roman" w:hAnsi="Times New Roman"/>
          <w:sz w:val="24"/>
          <w:szCs w:val="24"/>
        </w:rPr>
        <w:t>listopadu</w:t>
      </w:r>
      <w:proofErr w:type="spellEnd"/>
      <w:r w:rsidR="00F945A9" w:rsidRPr="00632A8C">
        <w:rPr>
          <w:rFonts w:ascii="Times New Roman" w:hAnsi="Times New Roman"/>
          <w:sz w:val="24"/>
          <w:szCs w:val="24"/>
        </w:rPr>
        <w:t xml:space="preserve"> 15/2172, Ostrava-</w:t>
      </w:r>
      <w:proofErr w:type="spellStart"/>
      <w:r w:rsidR="00F945A9" w:rsidRPr="00632A8C">
        <w:rPr>
          <w:rFonts w:ascii="Times New Roman" w:hAnsi="Times New Roman"/>
          <w:sz w:val="24"/>
          <w:szCs w:val="24"/>
        </w:rPr>
        <w:t>Poruba</w:t>
      </w:r>
      <w:proofErr w:type="spellEnd"/>
      <w:r w:rsidR="00F945A9" w:rsidRPr="00632A8C">
        <w:rPr>
          <w:rFonts w:ascii="Times New Roman" w:hAnsi="Times New Roman"/>
          <w:sz w:val="24"/>
          <w:szCs w:val="24"/>
        </w:rPr>
        <w:t xml:space="preserve">, Czech </w:t>
      </w:r>
      <w:proofErr w:type="gramStart"/>
      <w:r w:rsidR="00F945A9" w:rsidRPr="00632A8C">
        <w:rPr>
          <w:rFonts w:ascii="Times New Roman" w:hAnsi="Times New Roman"/>
          <w:sz w:val="24"/>
          <w:szCs w:val="24"/>
        </w:rPr>
        <w:t>Republic;</w:t>
      </w:r>
      <w:proofErr w:type="gramEnd"/>
    </w:p>
    <w:p w14:paraId="39A6B42E" w14:textId="549105EA" w:rsidR="00F945A9" w:rsidRPr="00632A8C" w:rsidRDefault="006B1A68" w:rsidP="006B1A68">
      <w:pPr>
        <w:rPr>
          <w:rStyle w:val="Hyperlink"/>
          <w:szCs w:val="24"/>
        </w:rPr>
      </w:pPr>
      <w:r w:rsidRPr="00632A8C">
        <w:rPr>
          <w:szCs w:val="24"/>
          <w:vertAlign w:val="superscript"/>
          <w:lang w:val="en-SI"/>
        </w:rPr>
        <w:t>3</w:t>
      </w:r>
      <w:r w:rsidRPr="00632A8C">
        <w:rPr>
          <w:szCs w:val="24"/>
          <w:lang w:val="en-SI"/>
        </w:rPr>
        <w:t xml:space="preserve"> </w:t>
      </w:r>
      <w:r w:rsidR="00F945A9" w:rsidRPr="00632A8C">
        <w:rPr>
          <w:szCs w:val="24"/>
        </w:rPr>
        <w:t xml:space="preserve">Slovenian National Building and Civil Engineering Institute, Dimičeva 12, 1000 Ljubljana, </w:t>
      </w:r>
      <w:r w:rsidR="00C11F89" w:rsidRPr="00632A8C">
        <w:rPr>
          <w:szCs w:val="24"/>
          <w:lang w:val="en-SI"/>
        </w:rPr>
        <w:t xml:space="preserve">Slovenia </w:t>
      </w:r>
    </w:p>
    <w:p w14:paraId="4B5B24F3" w14:textId="78F8F4E9" w:rsidR="00F945A9" w:rsidRPr="00632A8C" w:rsidRDefault="006B1A68" w:rsidP="00C11F89">
      <w:pPr>
        <w:pStyle w:val="MDPI16affiliation"/>
        <w:tabs>
          <w:tab w:val="left" w:pos="2977"/>
        </w:tabs>
        <w:ind w:left="0" w:firstLine="0"/>
        <w:rPr>
          <w:rFonts w:ascii="Times New Roman" w:hAnsi="Times New Roman"/>
          <w:sz w:val="24"/>
          <w:szCs w:val="24"/>
        </w:rPr>
      </w:pPr>
      <w:r w:rsidRPr="00632A8C">
        <w:rPr>
          <w:rFonts w:ascii="Times New Roman" w:hAnsi="Times New Roman"/>
          <w:sz w:val="24"/>
          <w:szCs w:val="24"/>
          <w:vertAlign w:val="superscript"/>
          <w:lang w:val="en-SI"/>
        </w:rPr>
        <w:t>4</w:t>
      </w:r>
      <w:r w:rsidRPr="00632A8C">
        <w:rPr>
          <w:rFonts w:ascii="Times New Roman" w:hAnsi="Times New Roman"/>
          <w:sz w:val="24"/>
          <w:szCs w:val="24"/>
          <w:lang w:val="en-SI"/>
        </w:rPr>
        <w:t xml:space="preserve"> </w:t>
      </w:r>
      <w:r w:rsidR="00F945A9" w:rsidRPr="00632A8C">
        <w:rPr>
          <w:rFonts w:ascii="Times New Roman" w:hAnsi="Times New Roman"/>
          <w:sz w:val="24"/>
          <w:szCs w:val="24"/>
        </w:rPr>
        <w:t xml:space="preserve">Faculty of Polymer Technology - FTPO, </w:t>
      </w:r>
      <w:proofErr w:type="spellStart"/>
      <w:r w:rsidR="00F945A9" w:rsidRPr="00632A8C">
        <w:rPr>
          <w:rFonts w:ascii="Times New Roman" w:hAnsi="Times New Roman"/>
          <w:sz w:val="24"/>
          <w:szCs w:val="24"/>
        </w:rPr>
        <w:t>Ozare</w:t>
      </w:r>
      <w:proofErr w:type="spellEnd"/>
      <w:r w:rsidR="00F945A9" w:rsidRPr="00632A8C">
        <w:rPr>
          <w:rFonts w:ascii="Times New Roman" w:hAnsi="Times New Roman"/>
          <w:sz w:val="24"/>
          <w:szCs w:val="24"/>
        </w:rPr>
        <w:t xml:space="preserve"> 19, 2380, </w:t>
      </w:r>
      <w:proofErr w:type="spellStart"/>
      <w:r w:rsidR="00F945A9" w:rsidRPr="00632A8C">
        <w:rPr>
          <w:rFonts w:ascii="Times New Roman" w:hAnsi="Times New Roman"/>
          <w:sz w:val="24"/>
          <w:szCs w:val="24"/>
        </w:rPr>
        <w:t>Slovenj</w:t>
      </w:r>
      <w:proofErr w:type="spellEnd"/>
      <w:r w:rsidR="00F945A9" w:rsidRPr="00632A8C">
        <w:rPr>
          <w:rFonts w:ascii="Times New Roman" w:hAnsi="Times New Roman"/>
          <w:sz w:val="24"/>
          <w:szCs w:val="24"/>
        </w:rPr>
        <w:t xml:space="preserve"> </w:t>
      </w:r>
      <w:proofErr w:type="spellStart"/>
      <w:r w:rsidR="00F945A9" w:rsidRPr="00632A8C">
        <w:rPr>
          <w:rFonts w:ascii="Times New Roman" w:hAnsi="Times New Roman"/>
          <w:sz w:val="24"/>
          <w:szCs w:val="24"/>
        </w:rPr>
        <w:t>Gradec</w:t>
      </w:r>
      <w:proofErr w:type="spellEnd"/>
      <w:r w:rsidR="00F945A9" w:rsidRPr="00632A8C">
        <w:rPr>
          <w:rFonts w:ascii="Times New Roman" w:hAnsi="Times New Roman"/>
          <w:sz w:val="24"/>
          <w:szCs w:val="24"/>
        </w:rPr>
        <w:t>, Slovenia</w:t>
      </w:r>
    </w:p>
    <w:p w14:paraId="4E56B2DA" w14:textId="77777777" w:rsidR="00A434DD" w:rsidRPr="00632A8C" w:rsidRDefault="00A434DD" w:rsidP="00C11F89">
      <w:pPr>
        <w:pStyle w:val="MDPI16affiliation"/>
        <w:tabs>
          <w:tab w:val="left" w:pos="2977"/>
        </w:tabs>
        <w:ind w:left="0" w:firstLine="0"/>
        <w:rPr>
          <w:rFonts w:ascii="Times New Roman" w:hAnsi="Times New Roman"/>
          <w:sz w:val="24"/>
          <w:szCs w:val="24"/>
        </w:rPr>
      </w:pPr>
    </w:p>
    <w:p w14:paraId="02A548C3" w14:textId="264695F4" w:rsidR="00F945A9" w:rsidRPr="00632A8C" w:rsidRDefault="00A30ABD" w:rsidP="00C11F89">
      <w:pPr>
        <w:pStyle w:val="MDPI16affiliation"/>
        <w:ind w:left="198"/>
        <w:rPr>
          <w:rFonts w:ascii="Times New Roman" w:hAnsi="Times New Roman"/>
          <w:sz w:val="24"/>
          <w:szCs w:val="24"/>
        </w:rPr>
      </w:pPr>
      <w:r>
        <w:rPr>
          <w:rFonts w:ascii="Times New Roman" w:hAnsi="Times New Roman"/>
          <w:sz w:val="24"/>
          <w:szCs w:val="24"/>
          <w:lang w:val="en-GB"/>
        </w:rPr>
        <w:t>Corresponding author; e</w:t>
      </w:r>
      <w:r w:rsidR="0078193A" w:rsidRPr="00632A8C">
        <w:rPr>
          <w:rFonts w:ascii="Times New Roman" w:hAnsi="Times New Roman"/>
          <w:sz w:val="24"/>
          <w:szCs w:val="24"/>
          <w:lang w:val="en-SI"/>
        </w:rPr>
        <w:t>-mail</w:t>
      </w:r>
      <w:r w:rsidR="00F945A9" w:rsidRPr="00632A8C">
        <w:rPr>
          <w:rFonts w:ascii="Times New Roman" w:hAnsi="Times New Roman"/>
          <w:sz w:val="24"/>
          <w:szCs w:val="24"/>
        </w:rPr>
        <w:t xml:space="preserve">: </w:t>
      </w:r>
      <w:hyperlink r:id="rId8" w:history="1">
        <w:r w:rsidR="00F945A9" w:rsidRPr="00632A8C">
          <w:rPr>
            <w:rStyle w:val="Hyperlink"/>
            <w:rFonts w:ascii="Times New Roman" w:hAnsi="Times New Roman"/>
            <w:sz w:val="24"/>
            <w:szCs w:val="24"/>
          </w:rPr>
          <w:t>romana.cerc-korosec@fkkt.uni-lj.si</w:t>
        </w:r>
      </w:hyperlink>
    </w:p>
    <w:bookmarkEnd w:id="0"/>
    <w:p w14:paraId="361B1632" w14:textId="77777777" w:rsidR="00F945A9" w:rsidRPr="00632A8C" w:rsidRDefault="00F945A9" w:rsidP="00C11F89">
      <w:pPr>
        <w:pStyle w:val="MDPI16affiliation"/>
        <w:ind w:left="198"/>
        <w:rPr>
          <w:rFonts w:ascii="Times New Roman" w:hAnsi="Times New Roman"/>
          <w:b/>
          <w:sz w:val="24"/>
          <w:szCs w:val="24"/>
        </w:rPr>
      </w:pPr>
    </w:p>
    <w:p w14:paraId="65B56CC3" w14:textId="2F6655E4" w:rsidR="00C11F89" w:rsidRPr="00632A8C" w:rsidRDefault="006E574C" w:rsidP="00C11F89">
      <w:pPr>
        <w:pStyle w:val="MDPI16affiliation"/>
        <w:ind w:left="0" w:firstLine="0"/>
        <w:rPr>
          <w:rFonts w:ascii="Times New Roman" w:hAnsi="Times New Roman"/>
          <w:b/>
          <w:sz w:val="36"/>
          <w:szCs w:val="36"/>
        </w:rPr>
      </w:pPr>
      <w:r w:rsidRPr="00632A8C">
        <w:rPr>
          <w:rFonts w:ascii="Times New Roman" w:hAnsi="Times New Roman"/>
          <w:b/>
          <w:sz w:val="36"/>
          <w:szCs w:val="36"/>
        </w:rPr>
        <w:t xml:space="preserve">Abstract </w:t>
      </w:r>
    </w:p>
    <w:p w14:paraId="7683A043" w14:textId="77777777" w:rsidR="006B1A68" w:rsidRPr="00632A8C" w:rsidRDefault="006B1A68" w:rsidP="004A211D">
      <w:pPr>
        <w:spacing w:line="360" w:lineRule="auto"/>
        <w:rPr>
          <w:szCs w:val="24"/>
        </w:rPr>
      </w:pPr>
      <w:r w:rsidRPr="00632A8C">
        <w:rPr>
          <w:szCs w:val="24"/>
        </w:rPr>
        <w:t>The application of TiO</w:t>
      </w:r>
      <w:r w:rsidRPr="00632A8C">
        <w:rPr>
          <w:szCs w:val="24"/>
          <w:vertAlign w:val="subscript"/>
        </w:rPr>
        <w:t>2</w:t>
      </w:r>
      <w:r w:rsidRPr="00632A8C">
        <w:rPr>
          <w:szCs w:val="24"/>
        </w:rPr>
        <w:t xml:space="preserve"> photocatalysis in various environmental fields has been studied extensively over the past few decades, due to its ability to initiate degradation of adsorbed organic pollutants. In the present work, sulfur and nitrogen doped and co-doped and platinum modified TiO</w:t>
      </w:r>
      <w:r w:rsidRPr="00632A8C">
        <w:rPr>
          <w:szCs w:val="24"/>
          <w:vertAlign w:val="subscript"/>
        </w:rPr>
        <w:t>2</w:t>
      </w:r>
      <w:r w:rsidRPr="00632A8C">
        <w:rPr>
          <w:szCs w:val="24"/>
        </w:rPr>
        <w:t xml:space="preserve"> powders were prepared by particulate sol-gel synthesis. XRD measurements showed that, by substituting HCl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during the synthesis, the size of crystallites was reduced from ~30 nm to ~20 nm and, as a result, the surface area increased from ~44 m</w:t>
      </w:r>
      <w:r w:rsidRPr="00632A8C">
        <w:rPr>
          <w:szCs w:val="24"/>
          <w:vertAlign w:val="superscript"/>
        </w:rPr>
        <w:t>2</w:t>
      </w:r>
      <w:r w:rsidRPr="00632A8C">
        <w:rPr>
          <w:szCs w:val="24"/>
        </w:rPr>
        <w:t>/g to ~80 m</w:t>
      </w:r>
      <w:r w:rsidRPr="00632A8C">
        <w:rPr>
          <w:szCs w:val="24"/>
          <w:vertAlign w:val="superscript"/>
        </w:rPr>
        <w:t>2</w:t>
      </w:r>
      <w:r w:rsidRPr="00632A8C">
        <w:rPr>
          <w:szCs w:val="24"/>
        </w:rPr>
        <w:t xml:space="preserve">/g. This is in agreement with the photocatalytic activity of the samples and the measured </w:t>
      </w:r>
      <w:r w:rsidRPr="00632A8C">
        <w:rPr>
          <w:bCs/>
          <w:szCs w:val="24"/>
        </w:rPr>
        <w:t>photocurrent response of the photocatalysts.</w:t>
      </w:r>
      <w:r w:rsidRPr="00632A8C">
        <w:rPr>
          <w:szCs w:val="24"/>
        </w:rPr>
        <w:t xml:space="preserve"> </w:t>
      </w:r>
      <w:r w:rsidRPr="00632A8C">
        <w:t>Results showed that the characteristics of the powders (i.e. surface area, crystallite size, photocurrent response) strongly depend not only on the type, but also on the amount of acid and dopants used during the synthesis. By doping, co-doping and modification of TiO</w:t>
      </w:r>
      <w:r w:rsidRPr="00632A8C">
        <w:rPr>
          <w:vertAlign w:val="subscript"/>
        </w:rPr>
        <w:t>2</w:t>
      </w:r>
      <w:r w:rsidRPr="00632A8C">
        <w:t xml:space="preserve"> samples with nitrogen, sulfur and platinum their photocatalytic activity has increased by up to 6 times.</w:t>
      </w:r>
    </w:p>
    <w:p w14:paraId="03F9CFA4" w14:textId="77777777" w:rsidR="006B1A68" w:rsidRPr="00632A8C" w:rsidRDefault="006B1A68" w:rsidP="00C11F89">
      <w:pPr>
        <w:pStyle w:val="MDPI16affiliation"/>
        <w:ind w:left="0" w:firstLine="0"/>
        <w:rPr>
          <w:rFonts w:ascii="Times New Roman" w:hAnsi="Times New Roman"/>
          <w:b/>
          <w:sz w:val="36"/>
          <w:szCs w:val="36"/>
        </w:rPr>
      </w:pPr>
    </w:p>
    <w:p w14:paraId="6D83EB91" w14:textId="5E7FE3AA" w:rsidR="006E574C" w:rsidRPr="00632A8C" w:rsidRDefault="006E574C" w:rsidP="00C11F89">
      <w:pPr>
        <w:pStyle w:val="MDPI18keywords"/>
        <w:ind w:left="0"/>
        <w:rPr>
          <w:rFonts w:ascii="Times New Roman" w:hAnsi="Times New Roman"/>
          <w:sz w:val="24"/>
          <w:szCs w:val="24"/>
        </w:rPr>
      </w:pPr>
      <w:r w:rsidRPr="00632A8C">
        <w:rPr>
          <w:rFonts w:ascii="Times New Roman" w:hAnsi="Times New Roman"/>
          <w:b/>
          <w:sz w:val="24"/>
          <w:szCs w:val="24"/>
        </w:rPr>
        <w:t xml:space="preserve">Keywords: </w:t>
      </w:r>
      <w:r w:rsidR="00F945A9" w:rsidRPr="00632A8C">
        <w:rPr>
          <w:rFonts w:ascii="Times New Roman" w:hAnsi="Times New Roman"/>
          <w:sz w:val="24"/>
          <w:szCs w:val="24"/>
        </w:rPr>
        <w:t>titanium dioxide</w:t>
      </w:r>
      <w:r w:rsidR="004A211D">
        <w:rPr>
          <w:rFonts w:ascii="Times New Roman" w:hAnsi="Times New Roman"/>
          <w:sz w:val="24"/>
          <w:szCs w:val="24"/>
        </w:rPr>
        <w:t>;</w:t>
      </w:r>
      <w:r w:rsidR="00F945A9" w:rsidRPr="00632A8C">
        <w:rPr>
          <w:rFonts w:ascii="Times New Roman" w:hAnsi="Times New Roman"/>
          <w:sz w:val="24"/>
          <w:szCs w:val="24"/>
        </w:rPr>
        <w:t xml:space="preserve"> powders</w:t>
      </w:r>
      <w:r w:rsidR="004A211D">
        <w:rPr>
          <w:rFonts w:ascii="Times New Roman" w:hAnsi="Times New Roman"/>
          <w:sz w:val="24"/>
          <w:szCs w:val="24"/>
        </w:rPr>
        <w:t>;</w:t>
      </w:r>
      <w:r w:rsidR="00F945A9" w:rsidRPr="00632A8C">
        <w:rPr>
          <w:rFonts w:ascii="Times New Roman" w:hAnsi="Times New Roman"/>
          <w:sz w:val="24"/>
          <w:szCs w:val="24"/>
        </w:rPr>
        <w:t xml:space="preserve"> doping</w:t>
      </w:r>
      <w:r w:rsidR="004A211D">
        <w:rPr>
          <w:rFonts w:ascii="Times New Roman" w:hAnsi="Times New Roman"/>
          <w:sz w:val="24"/>
          <w:szCs w:val="24"/>
        </w:rPr>
        <w:t>;</w:t>
      </w:r>
      <w:r w:rsidR="00F945A9" w:rsidRPr="00632A8C">
        <w:rPr>
          <w:rFonts w:ascii="Times New Roman" w:hAnsi="Times New Roman"/>
          <w:sz w:val="24"/>
          <w:szCs w:val="24"/>
        </w:rPr>
        <w:t xml:space="preserve"> photocatalysis</w:t>
      </w:r>
      <w:r w:rsidR="004A211D">
        <w:rPr>
          <w:rFonts w:ascii="Times New Roman" w:hAnsi="Times New Roman"/>
          <w:sz w:val="24"/>
          <w:szCs w:val="24"/>
        </w:rPr>
        <w:t>;</w:t>
      </w:r>
      <w:r w:rsidR="00F945A9" w:rsidRPr="00632A8C">
        <w:rPr>
          <w:rFonts w:ascii="Times New Roman" w:hAnsi="Times New Roman"/>
          <w:sz w:val="24"/>
          <w:szCs w:val="24"/>
        </w:rPr>
        <w:t xml:space="preserve"> photocurrent</w:t>
      </w:r>
      <w:r w:rsidR="004A211D">
        <w:rPr>
          <w:rFonts w:ascii="Times New Roman" w:hAnsi="Times New Roman"/>
          <w:sz w:val="24"/>
          <w:szCs w:val="24"/>
        </w:rPr>
        <w:t>;</w:t>
      </w:r>
      <w:r w:rsidR="00F945A9" w:rsidRPr="00632A8C">
        <w:rPr>
          <w:rFonts w:ascii="Times New Roman" w:hAnsi="Times New Roman"/>
          <w:sz w:val="24"/>
          <w:szCs w:val="24"/>
        </w:rPr>
        <w:t xml:space="preserve"> SEM</w:t>
      </w:r>
    </w:p>
    <w:p w14:paraId="78F11DEC" w14:textId="785ABEC1" w:rsidR="006E574C" w:rsidRPr="00632A8C" w:rsidRDefault="004A211D" w:rsidP="006B1A68">
      <w:pPr>
        <w:pStyle w:val="MDPI19line"/>
        <w:pBdr>
          <w:bottom w:val="none" w:sz="0" w:space="0" w:color="auto"/>
        </w:pBdr>
        <w:ind w:left="0"/>
        <w:rPr>
          <w:rFonts w:ascii="Times New Roman" w:hAnsi="Times New Roman" w:cs="Times New Roman"/>
          <w:sz w:val="24"/>
        </w:rPr>
      </w:pPr>
      <w:r>
        <w:rPr>
          <w:rFonts w:ascii="Times New Roman" w:hAnsi="Times New Roman" w:cs="Times New Roman"/>
          <w:sz w:val="24"/>
        </w:rPr>
        <w:t>;</w:t>
      </w:r>
    </w:p>
    <w:p w14:paraId="3157387C" w14:textId="19B360B8" w:rsidR="006E574C" w:rsidRPr="00632A8C" w:rsidRDefault="006E574C" w:rsidP="00C11F89">
      <w:pPr>
        <w:pStyle w:val="MDPI21heading1"/>
        <w:ind w:left="0"/>
        <w:rPr>
          <w:rFonts w:ascii="Times New Roman" w:hAnsi="Times New Roman"/>
          <w:sz w:val="36"/>
          <w:szCs w:val="36"/>
          <w:lang w:eastAsia="zh-CN"/>
        </w:rPr>
      </w:pPr>
      <w:r w:rsidRPr="00632A8C">
        <w:rPr>
          <w:rFonts w:ascii="Times New Roman" w:hAnsi="Times New Roman"/>
          <w:sz w:val="36"/>
          <w:szCs w:val="36"/>
          <w:lang w:eastAsia="zh-CN"/>
        </w:rPr>
        <w:t>Introduction</w:t>
      </w:r>
    </w:p>
    <w:p w14:paraId="3977327D" w14:textId="582CB37E" w:rsidR="00F945A9" w:rsidRPr="004A211D" w:rsidRDefault="00F945A9" w:rsidP="004A211D">
      <w:pPr>
        <w:spacing w:line="360" w:lineRule="auto"/>
        <w:ind w:firstLine="425"/>
        <w:contextualSpacing/>
        <w:rPr>
          <w:szCs w:val="24"/>
        </w:rPr>
      </w:pPr>
      <w:r w:rsidRPr="004A211D">
        <w:rPr>
          <w:szCs w:val="24"/>
        </w:rPr>
        <w:t>Titanium dioxide is considered to be one of the most contemporary important materials. It occurs in nature in three polymorphic modifications: anatase, rutile and brookite, among which rutile is the most abundant and thermodynamically stable. On the contrary, anatase has the highest photocatalytic activity, which can be attributed to the highest number of hydroxyl groups on the surface</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{"citationItems":[{"id":"ITEM-1","itemData":{"DOI":"10.1016/j.mssp.2015.07.052","ISSN":"13698001","abstract":"Research into the development of solar and visible light active photocatalysts has been significantly increased in recent years due to its wide range of applications in treating contaminants of emerging concern (CECs), endocrine disrupting compounds (EDCs), bacteria and cyanotoxins. Solar photocatalysis is found to be highly effective in treating a wide range of CECs from sources such as pharmaceuticals, steroids, antibiotics, phthalates, disinfectants, pesticides, fragrances (musk), preservatives and additives. Similarly, a number of EDCs including polycyclic aromatic hydrocarbons (PAHs), alkylphenols (APs), bisphenol A (BPA), organotins (OTs), volatile organic compounds (VOCs), natural and synthetic estrogenic and androgenic chemicals, pesticides, and heavy metals can be removed from contaminated water by using solar photocatalysis. Photocatalysis was also found effective in treating a wide range of bacteria such as Staphylococcus aureus, Bacillus subtilis, Escherichia coli, Salmonella typhi and Micrococcus lylae. The current review also compares the effectiveness of various visible light activated TiO2 photocatalysts for treating these pollutants. Doping or co-doping of TiO2 using nitrogen, nitrogen-silver, sulphur, carbon, copper and also incorporation of graphene nano-sheets are discussed. The use of immobilised TiO2 for improving the photocatalytic activity is also presented. Decorating titania photocatalyst with graphene oxide (GO) is of particular interest due to GO's ability to increase the photocatalytic activity of TiO2. The use GO to increase the photocatalytic activity of TiO2 against microcystin-LR (MC-LR) under UV-A and solar irciation is discussed. The enhanced photocatalytic activity of GO-TiO2 compared to the control material is attributed to the effective inhibition of the electron-hole recombination by controlling the interfacial charge transfer process. It is concluded that there is a critical need for further improvement of the efficiency of these materials if they are to be considered for bulk industrial use.","author":[{"dropping-particle":"","family":"Fagan","given":"Rachel","non-dropping-particle":"","parse-names":false,"suffix":""},{"dropping-particle":"","family":"McCormack","given":"Declan E.","non-dropping-particle":"","parse-names":false,"suffix":""},{"dropping-particle":"","family":"Dionysiou","given":"Dionysios D.","non-dropping-particle":"","parse-names":false,"suffix":""},{"dropping-particle":"","family":"Pillai","given":"Suresh C.","non-dropping-particle":"","parse-names":false,"suffix":""}],"container-title":"Materials Science in Semiconductor Processing","id":"ITEM-1","issued":{"date-parts":[["2016"]]},"page":"2-14","publisher":"Elsevier","title":"A review of solar and visible light active TiO&lt;sub&gt;2&lt;/sub&gt; photocatalysis for treating bacteria, cyanotoxins and contaminants of emerging concern","type":"article-journal","volume":"42"},"uris":["http://www.mendeley.com/documents/?uuid=1d8f4b1b-8a2f-4948-8629-02e431b237fb"]}],"mendeley":{"formattedCitation":"&lt;sup&gt;1&lt;/sup&gt;","plainTextFormattedCitation":"1","previouslyFormattedCitation":"&lt;sup&gt;1&lt;/sup&gt;"},"properties":{"noteIndex":0},"schema":"https://github.com/citation-style-language/schema/raw/master/csl-citation.json"}</w:instrText>
      </w:r>
      <w:r w:rsidRPr="004A211D">
        <w:rPr>
          <w:szCs w:val="24"/>
        </w:rPr>
        <w:fldChar w:fldCharType="separate"/>
      </w:r>
      <w:r w:rsidR="00AE1B1C" w:rsidRPr="004A211D">
        <w:rPr>
          <w:szCs w:val="24"/>
          <w:vertAlign w:val="superscript"/>
        </w:rPr>
        <w:t>1</w:t>
      </w:r>
      <w:r w:rsidRPr="004A211D">
        <w:rPr>
          <w:szCs w:val="24"/>
        </w:rPr>
        <w:fldChar w:fldCharType="end"/>
      </w:r>
      <w:r w:rsidRPr="004A211D">
        <w:rPr>
          <w:szCs w:val="24"/>
        </w:rPr>
        <w:t xml:space="preserve"> Furthermore, three metastable phases can </w:t>
      </w:r>
      <w:r w:rsidRPr="004A211D">
        <w:rPr>
          <w:szCs w:val="24"/>
        </w:rPr>
        <w:lastRenderedPageBreak/>
        <w:t>be produced synthetically, one of which is β-TiO</w:t>
      </w:r>
      <w:r w:rsidRPr="004A211D">
        <w:rPr>
          <w:szCs w:val="24"/>
          <w:vertAlign w:val="subscript"/>
        </w:rPr>
        <w:t>2</w:t>
      </w:r>
      <w:r w:rsidRPr="004A211D">
        <w:rPr>
          <w:szCs w:val="24"/>
        </w:rPr>
        <w:t>, which crystallizes in a monoclinic crystal system</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author":[{"dropping-particle":"","family":"Marchant","given":"R.","non-dropping-particle":"","parse-names":false,"suffix":""},{"dropping-particle":"","family":"Brohan","given":"L.","non-dropping-particle":"","parse-names":false,"suffix":""},{"dropping-particle":"","family":"Tournox","given":"M.","non-dropping-particle":"","parse-names":false,"suffix":""}],"container-title":"Materials Research Bulletin","id":"ITEM-1","issued":{"date-parts":[["1980"]]},"page":"1129-1133","title":"TiO&lt;sub&gt;2&lt;/sub&gt;(B) a New Form of Titanium Dioxide and the Potassium Octatitanate","type":"article-journal","volume":"15"},"uris":["http://www.mendeley.com/documents/?uuid=41c329e6-8848-418a-ace5-23d0fb75ca55"]},{"id":"ITEM-2","itemData":{"DOI":"10.1155/2016/7213672","ISSN":"1687-4110","abstract":"We have successfully synthesised one-dimensional single crystals of monoclinic phase titanium dioxide nanostructures (TiO 2 -B), prepared by a hydrothermal process. Morphological characterization was carried out by atomic force and scanning and transmission electron microscopy techniques. In order to study the crystalline structure, samples were calcined at 500°C in an air-filled chamber. X-ray diffraction results indicated that as-prepared samples presented diffraction patterns of hydrate hydrogen titanate and those calcined at 500°C exhibited the TiO 2 -B and anatase phases, confirmed by Raman spectroscopy. Scanning electron microscopy results showed that the one-dimensional nanostructures had high contrast and uniform widths for those synthesised and calcined, indicating the formation of a phase of monocrystals. Besides, a proof of the antibacterial effect was carried out of the monoclinic phase of TiO 2 -B on Escherichia coli pure cultures, where the viability of the bacterium decreases in presence of TiO 2 -B nanostructures plus UV illumination. Monocrystals did not change after photocatalytic tests, suggesting a possible application as long-term antibacterial protection.","author":[{"dropping-particle":"","family":"León-Ríos","given":"Sergio","non-dropping-particle":"","parse-names":false,"suffix":""},{"dropping-particle":"","family":"Espinoza González","given":"Rodrigo","non-dropping-particle":"","parse-names":false,"suffix":""},{"dropping-particle":"","family":"Fuentes","given":"Sandra","non-dropping-particle":"","parse-names":false,"suffix":""},{"dropping-particle":"","family":"Chávez Ángel","given":"Emigdio","non-dropping-particle":"","parse-names":false,"suffix":""},{"dropping-particle":"","family":"Echeverría","given":"Alex","non-dropping-particle":"","parse-names":false,"suffix":""},{"dropping-particle":"","family":"Serrano","given":"Antonio E.","non-dropping-particle":"","parse-names":false,"suffix":""},{"dropping-particle":"","family":"Demergasso","given":"Cecilia S.","non-dropping-particle":"","parse-names":false,"suffix":""},{"dropping-particle":"","family":"Zárate","given":"R. Antonio","non-dropping-particle":"","parse-names":false,"suffix":""}],"container-title":"Journal of Nanomaterials","id":"ITEM-2","issued":{"date-parts":[["2016"]]},"page":"1-8","title":"One-Dimensional TiO&lt;sub&gt;2&lt;/sub&gt; -B Crystals Synthesised by Hydrothermal Process and Their Antibacterial Behaviour on Escherichia coli","type":"article-journal","volume":"2016"},"uris":["http://www.mendeley.com/documents/?uuid=27157354-7467-42ed-87b0-5c9e70d05425"]}],"mendeley":{"formattedCitation":"&lt;sup&gt;2,3&lt;/sup&gt;","plainTextFormattedCitation":"2,3","previouslyFormattedCitation":"&lt;sup&gt;2,3&lt;/sup&gt;"},"properties":{"noteIndex":0},"schema":"https://github.com/citation-style-language/schema/raw/master/csl-citation.json"}</w:instrText>
      </w:r>
      <w:r w:rsidRPr="004A211D">
        <w:rPr>
          <w:szCs w:val="24"/>
        </w:rPr>
        <w:fldChar w:fldCharType="separate"/>
      </w:r>
      <w:r w:rsidR="00AE1B1C" w:rsidRPr="004A211D">
        <w:rPr>
          <w:szCs w:val="24"/>
          <w:vertAlign w:val="superscript"/>
        </w:rPr>
        <w:t>2,3</w:t>
      </w:r>
      <w:r w:rsidRPr="004A211D">
        <w:rPr>
          <w:szCs w:val="24"/>
        </w:rPr>
        <w:fldChar w:fldCharType="end"/>
      </w:r>
      <w:r w:rsidRPr="004A211D">
        <w:rPr>
          <w:szCs w:val="24"/>
        </w:rPr>
        <w:t xml:space="preserve"> Due to its favourable properties, including its high chemical stability, non-toxicity, low price and high refractive index (value of µ is 2.70 for rutile and 2.55 for anatase) TiO</w:t>
      </w:r>
      <w:r w:rsidRPr="004A211D">
        <w:rPr>
          <w:szCs w:val="24"/>
          <w:vertAlign w:val="subscript"/>
        </w:rPr>
        <w:t>2</w:t>
      </w:r>
      <w:r w:rsidRPr="004A211D">
        <w:rPr>
          <w:szCs w:val="24"/>
        </w:rPr>
        <w:t xml:space="preserve"> is used for a wide number of applications in a variety of fields, for example as a white pigment in paints, plastic, paper, toothpastes and chewing gums, replacing the toxic lead oxides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{"citationItems":[{"id":"ITEM-1","itemData":{"DOI":"10.1039/c2cs35013k","ISSN":"03060012","abstract":"Titanium dioxide is one of the most intensely studied oxides due to its interesting electrochemical and photocatalytic properties and it is widely applied, for example in photocatalysis, electrochemical energy storage, in white pigments, as support in catalysis, etc. Common synthesis methods of titanium dioxide typically require a high temperature step to crystallize the amorphous material into one of the polymorphs of titania, e.g. anatase, brookite and rutile, thus resulting in larger particles and mostly non-porous materials. Only recently, low temperature solution-based protocols gave access to crystalline titania with higher degree of control over the formed polymorph and its intra- or interparticle porosity. The present work critically reviews the formation of crystalline nanoscale titania particles via solution-based approaches without thermal treatment, with special focus on the resulting polymorphs, crystal morphology, surface area, and particle dimensions. Special emphasis is given to sol-gel processes via glycolated precursor molecules as well as the miniemulsion technique. The functional properties of these materials and the differences to chemically identical, non-porous materials are illustrated using heterogeneous catalysis and electrochemical energy storage (battery materials) as example. © 2012 The Royal Society of Chemistry.","author":[{"dropping-particle":"","family":"Fröschl","given":"T.","non-dropping-particle":"","parse-names":false,"suffix":""},{"dropping-particle":"","family":"Hörmann","given":"U.","non-dropping-particle":"","parse-names":false,"suffix":""},{"dropping-particle":"","family":"Kubiak","given":"P.","non-dropping-particle":"","parse-names":false,"suffix":""},{"dropping-particle":"","family":"Kučerová","given":"G.","non-dropping-particle":"","parse-names":false,"suffix":""},{"dropping-particle":"","family":"Pfanzelt","given":"M.","non-dropping-particle":"","parse-names":false,"suffix":""},{"dropping-particle":"","family":"Weiss","given":"C. K.","non-dropping-particle":"","parse-names":false,"suffix":""},{"dropping-particle":"","family":"Behm","given":"R. J.","non-dropping-particle":"","parse-names":false,"suffix":""},{"dropping-particle":"","family":"Hüsing","given":"N.","non-dropping-particle":"","parse-names":false,"suffix":""},{"dropping-particle":"","family":"Kaiser","given":"U.","non-dropping-particle":"","parse-names":false,"suffix":""},{"dropping-particle":"","family":"Landfester","given":"K.","non-dropping-particle":"","parse-names":false,"suffix":""},{"dropping-particle":"","family":"Wohlfahrt-Mehrens","given":"M.","non-dropping-particle":"","parse-names":false,"suffix":""}],"container-title":"Chemical Society Reviews","id":"ITEM-1","issue":"15","issued":{"date-parts":[["2012"]]},"page":"5313-5360","title":"High surface area crystalline titanium dioxide: Potential and limits in electrochemical energy storage and catalysis","type":"article-journal","volume":"41"},"uris":["http://www.mendeley.com/documents/?uuid=8fc48ecc-d326-4e19-97a4-fd931ae7ed31"]}],"mendeley":{"formattedCitation":"&lt;sup&gt;4&lt;/sup&gt;","plainTextFormattedCitation":"4","previouslyFormattedCitation":"&lt;sup&gt;4&lt;/sup&gt;"},"properties":{"noteIndex":0},"schema":"https://github.com/citation-style-language/schema/raw/master/csl-citation.json"}</w:instrText>
      </w:r>
      <w:r w:rsidRPr="004A211D">
        <w:rPr>
          <w:szCs w:val="24"/>
        </w:rPr>
        <w:fldChar w:fldCharType="separate"/>
      </w:r>
      <w:r w:rsidR="00AE1B1C" w:rsidRPr="004A211D">
        <w:rPr>
          <w:szCs w:val="24"/>
          <w:vertAlign w:val="superscript"/>
        </w:rPr>
        <w:t>4</w:t>
      </w:r>
      <w:r w:rsidRPr="004A211D">
        <w:rPr>
          <w:szCs w:val="24"/>
        </w:rPr>
        <w:fldChar w:fldCharType="end"/>
      </w:r>
      <w:r w:rsidRPr="004A211D">
        <w:rPr>
          <w:szCs w:val="24"/>
        </w:rPr>
        <w:t xml:space="preserve"> It is also used as a UV filter and in the fields of photovoltaics, electrochemistry and photocatalysis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{"citationItems":[{"id":"ITEM-1","itemData":{"author":[{"dropping-particle":"","family":"Grätzel","given":"Michael","non-dropping-particle":"","parse-names":false,"suffix":""}],"container-title":"Journal of Sol- Gel Science and Technology","id":"ITEM-1","issue":"1839","issued":{"date-parts":[["2001"]]},"page":"7-13","title":"Sol-Gel Processed TiO&lt;sub&gt;2&lt;/sub&gt; Films for Photovoltaic Applications","type":"article-journal","volume":"22"},"uris":["http://www.mendeley.com/documents/?uuid=6e41f387-e37e-4626-bba3-abffb8770e98"]},{"id":"ITEM-2","itemData":{"DOI":"10.1016/j.egypro.2013.07.032","ISSN":"18766102","abstract":"A dye solar cell with a dimension of 6 × 2 cm is fabricated with thickness of 40 μm, 80 μm and 120 μm of TiO2 by smearing it on an ITO coated glass. It is then tested under the average solar irradiance and temperature of 693.69 w/m2, 44.4 °C respectively. Based on experimental investigation it is found that TiO2 of 40 μm produces V oc = 0.21V, Jsc= 121.28 μA, while the 80 μm produces Voc= 0.16 V, Isc =69.89μA, and TiO2 layer with thickness of 120 μm produces Voc = 0.00063 V, Isc = 0 mA. From these results it shows that the best charge generation is from the thinner TiO 2 thickness layer which is the 40 μm compare to with the other size.","author":[{"dropping-particle":"","family":"Fitra","given":"M.","non-dropping-particle":"","parse-names":false,"suffix":""},{"dropping-particle":"","family":"Daut","given":"I.","non-dropping-particle":"","parse-names":false,"suffix":""},{"dropping-particle":"","family":"Irwanto","given":"M.","non-dropping-particle":"","parse-names":false,"suffix":""},{"dropping-particle":"","family":"Gomesh","given":"N.","non-dropping-particle":"","parse-names":false,"suffix":""},{"dropping-particle":"","family":"Irwan","given":"Y. M.","non-dropping-particle":"","parse-names":false,"suffix":""}],"container-title":"Energy Procedia","id":"ITEM-2","issued":{"date-parts":[["2013"]]},"page":"278-286","publisher":"Elsevier B.V.","title":"Effect of TiO&lt;sub&gt;2&lt;/sub&gt; thickness dye solar cell on charge generation","type":"article-journal","volume":"36"},"uris":["http://www.mendeley.com/documents/?uuid=e9289436-ba03-4cec-89b8-44c0dd4c2637"]},{"id":"ITEM-3","itemData":{"DOI":"10.1016/j.cej.2015.09.093","ISSN":"13858947","abstract":"Sanitary landfilling is a low cost and well established waste disposal technique applied worldwide. However, its generation of heavily polluted leachate is considered as a major concern. Municipal solid waste (MSW) landfill leachate contains a wide variety of recalcitrant compounds that make it quite difficult to treat using conventional ways of treatment due to its high chemical stability and/or low biodegradability. In the last couple of years, photo-assisted titanium dioxide (TiO2) oxidation has shown a great potential to treat landfill leachate. This article presents a systematic literature review of heterogeneous TiO2 photocatalysis dealing with pre and post treatment of MSW landfill leachate. Recent advancement of TiO2 photocatalysis in treating recalcitrant organic and inorganic pollutants found in landfill leachate are discussed; whereas, evaluation of the mechanism of the process, configurations of photoreactor system and influence of certain operating factors on system efficiency are also part of the review. Finally, comparative evaluation of this technique with other advanced oxidation processes (AOPs) and advantages and disadvantages of the technology are highlighted coupled with future research perspective.","author":[{"dropping-particle":"","family":"Hassan","given":"Muhammad","non-dropping-particle":"","parse-names":false,"suffix":""},{"dropping-particle":"","family":"Zhao","given":"Yaping","non-dropping-particle":"","parse-names":false,"suffix":""},{"dropping-particle":"","family":"Xie","given":"Bing","non-dropping-particle":"","parse-names":false,"suffix":""}],"container-title":"Chemical Engineering Journal","id":"ITEM-3","issued":{"date-parts":[["2016"]]},"page":"264-275","publisher":"Elsevier B.V.","title":"Employing TiO2 photocatalysis to deal with landfill leachate: Current status and development","type":"article-journal","volume":"285"},"uris":["http://www.mendeley.com/documents/?uuid=531822de-968e-4426-808c-aec5996085f7"]},{"id":"ITEM-4","itemData":{"DOI":"10.1016/j.electacta.2017.04.030","ISSN":"00134686","PMID":"5106","abstract":"A novel method of preparation of electrochromic cells with a cobalt(II) or iron(II)-tris-2,2′-bipyridine hexafluorophosphate dye adsorbed on a titanium dioxide coated electrode and platinum or nickel oxide thin coated counter-electrode in conjunction with quasi-solid state LiClO4 based electrolyte is presented. The operation of the cells was analyzed using cyclic voltammetry as well as by UV–vis reflectance and transmittance spectroscopy. The transition times between the tinted and bleached states are of the order of one second, while the difference between both states is clearly visible. Best characteristics were obtained with the cobalt bipyridine hexafluorophosphate complex dye adsorbed on a mesoporous TiO2 electrode in combination with NiO counter-electrode. Devices created according to the described method could potentially be used to recycle and re-use exhausted dye-sensitized solar cells for transparent smart windows, or as a new type of displays.","author":[{"dropping-particle":"","family":"Rozman","given":"Martin","non-dropping-particle":"","parse-names":false,"suffix":""},{"dropping-particle":"","family":"Cerar","given":"Janez","non-dropping-particle":"","parse-names":false,"suffix":""},{"dropping-particle":"","family":"Lukšič","given":"Miha","non-dropping-particle":"","parse-names":false,"suffix":""},{"dropping-particle":"","family":"Uršič","given":"Matija","non-dropping-particle":"","parse-names":false,"suffix":""},{"dropping-particle":"","family":"Mourtzikou","given":"Argyroula","non-dropping-particle":"","parse-names":false,"suffix":""},{"dropping-particle":"","family":"Spreizer","given":"Helena","non-dropping-particle":"","parse-names":false,"suffix":""},{"dropping-particle":"","family":"Škofic","given":"Irena Kozjek","non-dropping-particle":"","parse-names":false,"suffix":""},{"dropping-particle":"","family":"Stathatos","given":"Elias","non-dropping-particle":"","parse-names":false,"suffix":""}],"container-title":"Electrochimica Acta","id":"ITEM-4","issue":"Ii","issued":{"date-parts":[["2017"]]},"page":"278-287","title":"Electrochromic properties of thin nanocrystalline TiO&lt;sub&gt;2&lt;/sub&gt; films coated electrodes with adsorbed Co(II) or Fe(II) 2,2′-bipyridine complexes","type":"article-journal","volume":"238"},"uris":["http://www.mendeley.com/documents/?uuid=a8bf952f-e70f-4a3c-8029-b870abeaf758"]}],"mendeley":{"formattedCitation":"&lt;sup&gt;5–8&lt;/sup&gt;","plainTextFormattedCitation":"5–8","previouslyFormattedCitation":"&lt;sup&gt;5–8&lt;/sup&gt;"},"properties":{"noteIndex":0},"schema":"https://github.com/citation-style-language/schema/raw/master/csl-citation.json"}</w:instrText>
      </w:r>
      <w:r w:rsidRPr="004A211D">
        <w:rPr>
          <w:szCs w:val="24"/>
        </w:rPr>
        <w:fldChar w:fldCharType="separate"/>
      </w:r>
      <w:r w:rsidR="00AE1B1C" w:rsidRPr="004A211D">
        <w:rPr>
          <w:szCs w:val="24"/>
          <w:vertAlign w:val="superscript"/>
          <w:lang w:val="en-SI"/>
        </w:rPr>
        <w:t>5–8</w:t>
      </w:r>
      <w:r w:rsidRPr="004A211D">
        <w:rPr>
          <w:szCs w:val="24"/>
        </w:rPr>
        <w:fldChar w:fldCharType="end"/>
      </w:r>
    </w:p>
    <w:p w14:paraId="2CD8A64D" w14:textId="32390100" w:rsidR="00F945A9" w:rsidRPr="004A211D" w:rsidRDefault="00F945A9" w:rsidP="004A211D">
      <w:pPr>
        <w:spacing w:line="360" w:lineRule="auto"/>
        <w:ind w:firstLine="425"/>
        <w:contextualSpacing/>
        <w:rPr>
          <w:szCs w:val="24"/>
        </w:rPr>
      </w:pPr>
      <w:r w:rsidRPr="004A211D">
        <w:rPr>
          <w:szCs w:val="24"/>
        </w:rPr>
        <w:t>Due to its ability to mineralize adsorbed organic pollutants to CO</w:t>
      </w:r>
      <w:r w:rsidRPr="004A211D">
        <w:rPr>
          <w:szCs w:val="24"/>
          <w:vertAlign w:val="subscript"/>
        </w:rPr>
        <w:t>2</w:t>
      </w:r>
      <w:r w:rsidRPr="004A211D">
        <w:rPr>
          <w:szCs w:val="24"/>
        </w:rPr>
        <w:t xml:space="preserve"> and H</w:t>
      </w:r>
      <w:r w:rsidRPr="004A211D">
        <w:rPr>
          <w:szCs w:val="24"/>
          <w:vertAlign w:val="subscript"/>
        </w:rPr>
        <w:t>2</w:t>
      </w:r>
      <w:r w:rsidRPr="004A211D">
        <w:rPr>
          <w:szCs w:val="24"/>
        </w:rPr>
        <w:t>O, photocatalysis has been researched extensively with regard to its application in the fields of water remediation and air purification</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10.1002/chin.199339308","author":[{"dropping-particle":"","family":"Herrmann","given":"J.-M.","non-dropping-particle":"","parse-names":false,"suffix":""},{"dropping-particle":"","family":"Guillard","given":"C.","non-dropping-particle":"","parse-names":false,"suffix":""},{"dropping-particle":"","family":"Pichat","given":"P.","non-dropping-particle":"","parse-names":false,"suffix":""}],"container-title":"Catalysis Today","id":"ITEM-1","issue":"39","issued":{"date-parts":[["1993"]]},"page":"7-20","title":"Heterogeneous Photocatalysis: An Emerging Technology for Water Treatment.","type":"article-journal","volume":"17"},"uris":["http://www.mendeley.com/documents/?uuid=a69943b8-50bf-425b-b6c0-25190ee51677"]},{"id":"ITEM-2","itemData":{"DOI":"10.1016/j.apcatb.2016.04.042","ISSN":"09263373","abstract":"A graphitic carbon nitride nanosheet/reduced graphene oxide/cellulose acetate composite photocatalytic membrane (g-C3N4 NS/RGO/CA) was fabricated by assembling a g-C3N4 NS/RGO photocatalyst on the surface of commercial CA membrane. Owing to the attractive photocatalytic efficiency of g-C3N4 NS under visible light irradiation and photogenerated charge separation resulting from the unique hetero-structure between g-C3N4 NS and RGO, g-C3N4 NS/RGO/CA composite photocatalytic membranes exhibited superior performance in water treatment under visible light irradiation. The removal efficiency of Rhodamine B by the integrated process of filtration and visible light driven photocatalysis was four times that of membrane filtration alone. The integrated process also displayed efficient inactivation of Escherichia coli at three orders of magnitude higher than that of filtration alone. The permeate flux for the integrated process was 3.7 times that of filtration alone, suggesting its good anti-fouling property under visible light irradiation. The integrated system was employed to treat surface water and evaluate its performance in real water treatment. The integrated process showed much better efficiencies for the removal of CODMn, TOC, UV254, and bacteria from surface water than those of membrane filtration alone. This work gives insight to the effective application of solar energy for the improvement of membrane separation in water treatment.","author":[{"dropping-particle":"","family":"Zhao","given":"Huanxin","non-dropping-particle":"","parse-names":false,"suffix":""},{"dropping-particle":"","family":"Chen","given":"Shuo","non-dropping-particle":"","parse-names":false,"suffix":""},{"dropping-particle":"","family":"Quan","given":"Xie","non-dropping-particle":"","parse-names":false,"suffix":""},{"dropping-particle":"","family":"Yu","given":"Hongtao","non-dropping-particle":"","parse-names":false,"suffix":""},{"dropping-particle":"","family":"Zhao","given":"Huimin","non-dropping-particle":"","parse-names":false,"suffix":""}],"container-title":"Applied Catalysis B: Environmental","id":"ITEM-2","issued":{"date-parts":[["2016"]]},"page":"134-140","publisher":"Elsevier B.V.","title":"Integration of microfiltration and visible-light-driven photocatalysis on g-C&lt;sub&gt;3&lt;/sub&gt;N&lt;sub&gt;4&lt;/sub&gt; nanosheet/reduced graphene oxide membrane for enhanced water treatment","type":"article-journal","volume":"194"},"uris":["http://www.mendeley.com/documents/?uuid=96aa7d40-1659-488f-904a-195ba803a138"]},{"id":"ITEM-3","itemData":{"DOI":"10.1155/2012/594214","ISSN":"1110-662X","author":[{"dropping-particle":"","family":"Yu","given":"Jiaguo","non-dropping-particle":"","parse-names":false,"suffix":""},{"dropping-particle":"","family":"Zhang","given":"Pengyi","non-dropping-particle":"","parse-names":false,"suffix":""},{"dropping-particle":"","family":"Yu","given":"Huogen","non-dropping-particle":"","parse-names":false,"suffix":""},{"dropping-particle":"","family":"Trapalis","given":"Christos","non-dropping-particle":"","parse-names":false,"suffix":""}],"container-title":"International Journal of Photoenergy","id":"ITEM-3","issued":{"date-parts":[["2012"]]},"page":"1-4","title":"Environmental Photocatalysis","type":"article-journal","volume":"2012"},"uris":["http://www.mendeley.com/documents/?uuid=b93aeae1-5a9c-4bd8-babb-2531baeae201"]}],"mendeley":{"formattedCitation":"&lt;sup&gt;9–11&lt;/sup&gt;","plainTextFormattedCitation":"9–11","previouslyFormattedCitation":"&lt;sup&gt;9–11&lt;/sup&gt;"},"properties":{"noteIndex":0},"schema":"https://github.com/citation-style-language/schema/raw/master/csl-citation.json"}</w:instrText>
      </w:r>
      <w:r w:rsidRPr="004A211D">
        <w:rPr>
          <w:szCs w:val="24"/>
        </w:rPr>
        <w:fldChar w:fldCharType="separate"/>
      </w:r>
      <w:r w:rsidR="00AE1B1C" w:rsidRPr="004A211D">
        <w:rPr>
          <w:szCs w:val="24"/>
          <w:vertAlign w:val="superscript"/>
        </w:rPr>
        <w:t>9–11</w:t>
      </w:r>
      <w:r w:rsidRPr="004A211D">
        <w:rPr>
          <w:szCs w:val="24"/>
        </w:rPr>
        <w:fldChar w:fldCharType="end"/>
      </w:r>
      <w:r w:rsidRPr="004A211D">
        <w:rPr>
          <w:szCs w:val="24"/>
        </w:rPr>
        <w:t xml:space="preserve"> Oxidation of adsorbed organic pollutants can occur directly on the surface of the photocatalyst</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{"citationItems":[{"id":"ITEM-1","itemData":{"DOI":"10.1016/j.apcatb.2017.12.005","ISBN":"8645186608","ISSN":"09263373","abstract":"The light-harvesting and recycle of powder photocatalyst in suspended system are bottlenecks for high-efficient solar photocatalysis. Floating photocatalyst are highly sought-after and good candidates for practical environmental application due to the satisfaction with above requirements simultaneously. Over the past decades, floating TiO2-based photocatalysts have attracted much attention, which makes great progress and it is significant to review the recent advances. This review highlights the rational design and fabrication strategy for floating photocatalyst immobilized on various lightweight substrates (e.g. perlite, vermiculite, glass microbead, polymer, cork, expanded graphite) or self-floating photocatalyst. The special characteristics and deep understanding of photocatalytic mechanism for floating photocatalyst are summarized and discussed thoroughly. Moreover, the future research and challenge will focus on designing and optimizing the high-efficient broadband response floating photocatalyst to improve solar energy utilization. From an application viewpoint, floating photocatalyst have real practical applications in natural environment and are worthy of great attention.","author":[{"dropping-particle":"","family":"Xing","given":"Zipeng","non-dropping-particle":"","parse-names":false,"suffix":""},{"dropping-particle":"","family":"Zhang","given":"Jiaqi","non-dropping-particle":"","parse-names":false,"suffix":""},{"dropping-particle":"","family":"Cui","given":"Jiayi","non-dropping-particle":"","parse-names":false,"suffix":""},{"dropping-particle":"","family":"Yin","given":"Junwei","non-dropping-particle":"","parse-names":false,"suffix":""},{"dropping-particle":"","family":"Zhao","given":"Tianyu","non-dropping-particle":"","parse-names":false,"suffix":""},{"dropping-particle":"","family":"Kuang","given":"Junyan","non-dropping-particle":"","parse-names":false,"suffix":""},{"dropping-particle":"","family":"Xiu","given":"Ziyuan","non-dropping-particle":"","parse-names":false,"suffix":""},{"dropping-particle":"","family":"Wan","given":"Ning","non-dropping-particle":"","parse-names":false,"suffix":""},{"dropping-particle":"","family":"Zhou","given":"Wei","non-dropping-particle":"","parse-names":false,"suffix":""}],"container-title":"Applied Catalysis B: Environmental","id":"ITEM-1","issued":{"date-parts":[["2018"]]},"page":"452-467","publisher":"Elsevier B.V.","title":"Recent advances in floating TiO&lt;sub&gt;2&lt;/sub&gt;-based photocatalysts for environmental application","type":"article-journal","volume":"225"},"uris":["http://www.mendeley.com/documents/?uuid=1527057f-b6a0-4d8a-ad3d-c37d3521f27a"]}],"mendeley":{"formattedCitation":"&lt;sup&gt;12&lt;/sup&gt;","plainTextFormattedCitation":"12","previouslyFormattedCitation":"&lt;sup&gt;12&lt;/sup&gt;"},"properties":{"noteIndex":0},"schema":"https://github.com/citation-style-language/schema/raw/master/csl-citation.json"}</w:instrText>
      </w:r>
      <w:r w:rsidRPr="004A211D">
        <w:rPr>
          <w:szCs w:val="24"/>
        </w:rPr>
        <w:fldChar w:fldCharType="separate"/>
      </w:r>
      <w:r w:rsidR="00AE1B1C" w:rsidRPr="004A211D">
        <w:rPr>
          <w:szCs w:val="24"/>
          <w:vertAlign w:val="superscript"/>
        </w:rPr>
        <w:t>12</w:t>
      </w:r>
      <w:r w:rsidRPr="004A211D">
        <w:rPr>
          <w:szCs w:val="24"/>
        </w:rPr>
        <w:fldChar w:fldCharType="end"/>
      </w:r>
      <w:r w:rsidRPr="004A211D">
        <w:rPr>
          <w:szCs w:val="24"/>
        </w:rPr>
        <w:t xml:space="preserve"> In the case that adsorption is not favourable due to the same electric charge on both pollutant and catalyst itself, reactive hydroxyl radical, formed via oxidation of water with holes, can start degradation reactions of pollutants in a solution. To enhance photocatalytic efficiency, it is necessary to prevent recombination between holes and electrons on route to the surface or on the surface sites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{"citationItems":[{"id":"ITEM-1","itemData":{"DOI":"10.1002/aenm.201700841","ISSN":"16146840","abstract":"Photocatalysis promises a solution to challenges associated with the intermittent nature of sunlight which is considered as renewable and ultimate energy source to power activities on Earth. This review aims to provide a broad overview of the field. Insight into natural photosynthesis is discussed first, which provides a scientific basis for most efforts on photocatalysis. Afterwards, the details of four existing types of photocatalysis are presented, namely photosynthesis by plants, photosynthesis by microalgae, photocatalysis by suspension and photoelectrocatalysis. Detailed analyses of simple photocatalysts and integrated photocatalytic systems are followed to shed light on the different functionalities of different components in a working photocatalyst. Special attention is given to the roles played by surface and interface chemical phenomena. Lastly, perspectives on artificial photosynthesis are discussed briefly at the end.","author":[{"dropping-particle":"","family":"Zhu","given":"Shasha","non-dropping-particle":"","parse-names":false,"suffix":""},{"dropping-particle":"","family":"Wang","given":"Dunwei","non-dropping-particle":"","parse-names":false,"suffix":""}],"container-title":"Advanced Energy Materials","id":"ITEM-1","issue":"23","issued":{"date-parts":[["2017"]]},"page":"1-24","title":"Photocatalysis: Basic principles, diverse forms of implementations and emerging scientific opportunities","type":"article-journal","volume":"7"},"uris":["http://www.mendeley.com/documents/?uuid=8949cdde-1332-42c6-9bb1-5c671a6f3edf"]}],"mendeley":{"formattedCitation":"&lt;sup&gt;13&lt;/sup&gt;","plainTextFormattedCitation":"13","previouslyFormattedCitation":"&lt;sup&gt;13&lt;/sup&gt;"},"properties":{"noteIndex":0},"schema":"https://github.com/citation-style-language/schema/raw/master/csl-citation.json"}</w:instrText>
      </w:r>
      <w:r w:rsidRPr="004A211D">
        <w:rPr>
          <w:szCs w:val="24"/>
        </w:rPr>
        <w:fldChar w:fldCharType="separate"/>
      </w:r>
      <w:r w:rsidR="00AE1B1C" w:rsidRPr="004A211D">
        <w:rPr>
          <w:szCs w:val="24"/>
          <w:vertAlign w:val="superscript"/>
        </w:rPr>
        <w:t>13</w:t>
      </w:r>
      <w:r w:rsidRPr="004A211D">
        <w:rPr>
          <w:szCs w:val="24"/>
        </w:rPr>
        <w:fldChar w:fldCharType="end"/>
      </w:r>
      <w:r w:rsidRPr="004A211D">
        <w:rPr>
          <w:szCs w:val="24"/>
        </w:rPr>
        <w:t xml:space="preserve"> </w:t>
      </w:r>
    </w:p>
    <w:p w14:paraId="0E7096FE" w14:textId="67B4A04E" w:rsidR="00F945A9" w:rsidRPr="004A211D" w:rsidRDefault="00F945A9" w:rsidP="004A211D">
      <w:pPr>
        <w:spacing w:line="360" w:lineRule="auto"/>
        <w:ind w:firstLine="425"/>
        <w:contextualSpacing/>
        <w:rPr>
          <w:szCs w:val="24"/>
        </w:rPr>
      </w:pPr>
      <w:r w:rsidRPr="004A211D">
        <w:rPr>
          <w:szCs w:val="24"/>
        </w:rPr>
        <w:t>Various studies have been aimed at increasing the photocatalytic activity of TiO</w:t>
      </w:r>
      <w:r w:rsidRPr="004A211D">
        <w:rPr>
          <w:szCs w:val="24"/>
          <w:vertAlign w:val="subscript"/>
        </w:rPr>
        <w:t>2</w:t>
      </w:r>
      <w:r w:rsidRPr="004A211D">
        <w:rPr>
          <w:szCs w:val="24"/>
        </w:rPr>
        <w:t>, which can be achieved by increasing the surface area of TiO</w:t>
      </w:r>
      <w:r w:rsidRPr="004A211D">
        <w:rPr>
          <w:szCs w:val="24"/>
          <w:vertAlign w:val="subscript"/>
        </w:rPr>
        <w:t>2</w:t>
      </w:r>
      <w:r w:rsidRPr="004A211D">
        <w:rPr>
          <w:szCs w:val="24"/>
        </w:rPr>
        <w:t>, or through metal and non-metal doping. The surface area of the photocatalyst can be increased by decreasing its particle size</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{"citationItems":[{"id":"ITEM-1","itemData":{"DOI":"10.1006/jcat.2002.3783","ISSN":"00219517","abstract":"TiO2 prepared by different methods was used to obtain anatase powders with particle sizes ranging from 5 to 165 nm. Powders were prepared using two methods: (i) a flame aerosol process in which nanoparticles of TiO2 were synthesized in a flame on oxidation (combustion) of an organotitanium precursor, and (ii) calcination of commercially available nanostructured TiO2 (Ishihara) ST-01, 5 nm, as received). For comparison, Degussa P25 and Aldrich anatase TiO2 powders were also used as received. The TiO2 powders were characterized using XRD to determine crystal phase and crystal size, BET surface area analyses, uv-vis absorbtion spectroscopy to determine the band gap, and experiments in which the photoxidation rate of phenol in water was used as a measure of photoactivity. A model was developed based on the mechanistic steps in photocatalysis to elucidate the role of particle size on the apparent photoactivity of TiO2 for the photooxidation of organic substrates in water. The model was used to explain the trends in the experimental data for four different sets of photoactivity experiments with TiO2 powders. The results of this study elucidate a strong effect of particle size on photoactivity. The effects of particle size on the efficiency of light absorption and scattering and charge-carrier dynamics at particle sizes less than 25 nm dominate the apparent photoactivity of TiO2, and an optimum particle size of 25 to 40 nm exists within all sets of photocatalysis experiments conducted with TiO2 powders in this study. The optimum particle size is a result of competing effects of effective particle size on light absorption and scattering efficiency, charge-carrier dynamics, and surface area. © 2002 Elsevier Science (USA).","author":[{"dropping-particle":"","family":"Almquist","given":"Catherine B.","non-dropping-particle":"","parse-names":false,"suffix":""},{"dropping-particle":"","family":"Biswas","given":"Pratim","non-dropping-particle":"","parse-names":false,"suffix":""}],"container-title":"Journal of Catalysis","id":"ITEM-1","issue":"2","issued":{"date-parts":[["2002"]]},"page":"145-156","title":"Role of synthesis method and particle size of nanostructured TiO&lt;sub&gt;2&lt;/sub&gt; on its photoactivity","type":"article-journal","volume":"212"},"uris":["http://www.mendeley.com/documents/?uuid=48b14871-af42-4990-9fc6-981dac08fdf4"]},{"id":"ITEM-2","itemData":{"DOI":"10.26802/jaots.2017.0063","ISSN":"2371-1175","abstract":"Experimental investigation has been undertaken with the goal to determine the effect of specific surface area, extent of hydroxylation, surface acidity properties on TiO2 photocatalytic activity in deep oxidation of gas phase acetone. pH of aging, calcination temperature and calcination time were varied in TiO2 preparation using TiCl4 hydrolysis. The photocataly tic activity attains its maximal values at aging pH close to 4 and calcination temperature different for different calcination time and hydrolysis conditions. Specific surface area continuously decreases with an increase in calcination temperature. Maximal photocatalytic activity corresponds to very different surface area for different series of TiO2 samples. These data mean that TiO2 particles size and surface area does not have a direct influence on photocatalytic activity but it is rather surface properties such as surface acidity and hydroxyl groups content, which are different for samples prepared at different pH and calcination temperature, that determine the photocatalytic activity.","author":[{"dropping-particle":"V.","family":"Vorontsov","given":"A.","non-dropping-particle":"","parse-names":false,"suffix":""},{"dropping-particle":"","family":"Kabachkov","given":"E. N.","non-dropping-particle":"","parse-names":false,"suffix":""},{"dropping-particle":"","family":"Balikhin","given":"I. L.","non-dropping-particle":"","parse-names":false,"suffix":""},{"dropping-particle":"","family":"Kurkin","given":"E. N.","non-dropping-particle":"","parse-names":false,"suffix":""},{"dropping-particle":"","family":"Troitskii","given":"V. N.","non-dropping-particle":"","parse-names":false,"suffix":""},{"dropping-particle":"","family":"Smirniotis","given":"P. G.","non-dropping-particle":"","parse-names":false,"suffix":""}],"container-title":"Journal of Advanced Oxidation Technologies","id":"ITEM-2","issue":"1","issued":{"date-parts":[["2018"]]},"page":"127-137","title":"Correlation of Surface Area with Photocatalytic Activity of TiO&lt;sub&gt;2&lt;/sub&gt;","type":"article-journal","volume":"21"},"uris":["http://www.mendeley.com/documents/?uuid=51c5e964-ab62-4d72-8465-5b2c4daea98a"]}],"mendeley":{"formattedCitation":"&lt;sup&gt;14,15&lt;/sup&gt;","plainTextFormattedCitation":"14,15","previouslyFormattedCitation":"&lt;sup&gt;14,15&lt;/sup&gt;"},"properties":{"noteIndex":0},"schema":"https://github.com/citation-style-language/schema/raw/master/csl-citation.json"}</w:instrText>
      </w:r>
      <w:r w:rsidRPr="004A211D">
        <w:rPr>
          <w:szCs w:val="24"/>
        </w:rPr>
        <w:fldChar w:fldCharType="separate"/>
      </w:r>
      <w:r w:rsidR="00AE1B1C" w:rsidRPr="004A211D">
        <w:rPr>
          <w:szCs w:val="24"/>
          <w:vertAlign w:val="superscript"/>
        </w:rPr>
        <w:t>14,15</w:t>
      </w:r>
      <w:r w:rsidRPr="004A211D">
        <w:rPr>
          <w:szCs w:val="24"/>
        </w:rPr>
        <w:fldChar w:fldCharType="end"/>
      </w:r>
      <w:r w:rsidRPr="004A211D">
        <w:rPr>
          <w:szCs w:val="24"/>
        </w:rPr>
        <w:t xml:space="preserve"> Samples with a smaller crystallite size have a larger number of surface active sites, which should also increase its photocatalytic activity. Wang </w:t>
      </w:r>
      <w:r w:rsidRPr="004A211D">
        <w:rPr>
          <w:i/>
          <w:szCs w:val="24"/>
        </w:rPr>
        <w:t>et al.,</w:t>
      </w:r>
      <w:r w:rsidRPr="004A211D">
        <w:rPr>
          <w:szCs w:val="24"/>
        </w:rPr>
        <w:t xml:space="preserve"> however, concluded that an optimum particle size of 11 nm exists for the degradation of chloroform in water. This was attributed to an increased recombination rate, which offsets the ultra-high surface area</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{"citationItems":[{"id":"ITEM-1","itemData":{"DOI":"10.1016/S0965-9773(97)00130-X","ISSN":"09659773","abstract":"A systematic study of particle size effect on nanocrystalline TiO2 photocatalysts was performed by evaluating their photoreactivity in the decomposition of chloroform. TiO2 anatase particles with well-controlled sizes (6, 11, and 21 nm) and high surface areas were synthesized via chemical precipitation with hydrothermal treatment or post calcination. The powders derived were found to have narrow size distribution by TEM. A blue shift of the absorption edge with decreasing particle size was observed in UV-visible photoabsorption spectroscopy, corresponding to the size-quantization effect in the nanocrystalline particles. The highest photoreactivity was achieved by hydrothermally synthesized particles with an intermediate nanocrystallite size of 11 nm. © 1997 Acta Metallurgica Inc.","author":[{"dropping-particle":"","family":"Wang","given":"Chen Chi","non-dropping-particle":"","parse-names":false,"suffix":""},{"dropping-particle":"","family":"Zhang","given":"Zhibo","non-dropping-particle":"","parse-names":false,"suffix":""},{"dropping-particle":"","family":"Ying","given":"Jackie Y.","non-dropping-particle":"","parse-names":false,"suffix":""}],"container-title":"Nanostructured Materials","id":"ITEM-1","issue":"1-8","issued":{"date-parts":[["1997"]]},"page":"583-586","title":"Photocatalytic decomposition of halogenated organics over nanocrystalline titania","type":"article-journal","volume":"9"},"uris":["http://www.mendeley.com/documents/?uuid=5a29bd33-00ab-4960-a3f3-455f97189d9c"]},{"id":"ITEM-2","itemData":{"DOI":"10.1021/jp982948+","ISSN":"1520-6106","abstract":"This paper presents a systematic study on the role of particle size in pure and doped nanocrystalline TiO 2 photocatalysts, which was made possible by a versatile wet-chemical process capable of generating nearagglomeration-free TiO 2 with well-controlled particle sizes and dopant dispersion. It is shown that particle size is a crucial factor in the dynamics of the electron/hole recombination process. For TiO 2 particles with 6 or 11 nm diameter, Fe 3+ dopants were added to inhibit the charge carrier surface recombination. The optimal Fe 3+ dopant concentration for different particle sizes was identified, and this concentration was found to decrease with increasing particle size. To assist electron and hole separation in TiO 2 with 21 nm diameter, Nb 5+ dopants were introduced in combination with minor surface Pt dispersion. These carefully engineered nanocrystalline TiO 2 catalysts showed higher reactivities than Degussa P25 TiO 2 material in photocatalytic decomposition of chloroform. © 1998 American Chemical Society.","author":[{"dropping-particle":"","family":"Zhang","given":"Zhibo","non-dropping-particle":"","parse-names":false,"suffix":""},{"dropping-particle":"","family":"Wang","given":"Chen-Chi","non-dropping-particle":"","parse-names":false,"suffix":""},{"dropping-particle":"","family":"Zakaria","given":"Rama","non-dropping-particle":"","parse-names":false,"suffix":""},{"dropping-particle":"","family":"Ying","given":"Jackie Y.","non-dropping-particle":"","parse-names":false,"suffix":""}],"container-title":"The Journal of Physical Chemistry B","id":"ITEM-2","issue":"52","issued":{"date-parts":[["2002"]]},"page":"10871-10878","title":"Role of Particle Size in Nanocrystalline TiO&lt;sub&gt;2&lt;/sub&gt; -Based Photocatalysts","type":"article-journal","volume":"102"},"uris":["http://www.mendeley.com/documents/?uuid=528fca84-4db8-47ff-81bd-6aaa2b7a24b1"]}],"mendeley":{"formattedCitation":"&lt;sup&gt;16,17&lt;/sup&gt;","plainTextFormattedCitation":"16,17","previouslyFormattedCitation":"&lt;sup&gt;16,17&lt;/sup&gt;"},"properties":{"noteIndex":0},"schema":"https://github.com/citation-style-language/schema/raw/master/csl-citation.json"}</w:instrText>
      </w:r>
      <w:r w:rsidRPr="004A211D">
        <w:rPr>
          <w:szCs w:val="24"/>
        </w:rPr>
        <w:fldChar w:fldCharType="separate"/>
      </w:r>
      <w:r w:rsidR="00AE1B1C" w:rsidRPr="004A211D">
        <w:rPr>
          <w:szCs w:val="24"/>
          <w:vertAlign w:val="superscript"/>
        </w:rPr>
        <w:t>16,17</w:t>
      </w:r>
      <w:r w:rsidRPr="004A211D">
        <w:rPr>
          <w:szCs w:val="24"/>
        </w:rPr>
        <w:fldChar w:fldCharType="end"/>
      </w:r>
      <w:r w:rsidRPr="004A211D">
        <w:rPr>
          <w:szCs w:val="24"/>
        </w:rPr>
        <w:t xml:space="preserve"> Maira </w:t>
      </w:r>
      <w:r w:rsidRPr="004A211D">
        <w:rPr>
          <w:i/>
          <w:szCs w:val="24"/>
        </w:rPr>
        <w:t>et al.</w:t>
      </w:r>
      <w:r w:rsidRPr="004A211D">
        <w:rPr>
          <w:szCs w:val="24"/>
        </w:rPr>
        <w:t xml:space="preserve"> found an optimum particle size of 7 nm for gas phase photooxidation of trichloroethylene. The diminished activity for samples with crystallites, smaller than 7 nm, was attributed to changes in electronic and structural properties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{"citationItems":[{"id":"ITEM-1","itemData":{"DOI":"10.1006/jcat.2000.2838","ISSN":"00219517","abstract":"Gas-phase photocatalytic oxidation is an attractive technology for the degradation of VOC, and TiO2 is the typically used environmental photocatalyst for the oxidation of gaseous or aqueous organic pollutants. A modified sol-gel method was developed to prepare TiO2 catalysts, which were characterized by XRD, transmission electron microscopy, and N2 physi-adsorption techniques. The effects of synthesis parameters (titanium isopropoxide (TIP) concentration, H2O concentration, H2O/TIP ratio, and TIP addition rate) were studied. Controlled thermal and/or hydrothermal treatments followed the sol-gel preparation to transform the amorphous TiO2 to crystalline anatase. The modified sol-gel method provided precise control over the primary and secondary particle sizes of TiO2 catalyst with their crystalline-phase structure and morphology. Changing the H2O concentration during the hydrolysis of TIP, produced amorphous TiO2 gel spheres having well-defined morphology and particle size (≥ 2.3 nm). The primary particle (crystal) size dictated the surface area of the TiO2 catalyst, while the secondary particle (aggregate) size had no effect on the surface area. Reaction studies using gas-phase photooxidation of trichloroethylene over anatase TiO2 catalysts prepared with crystal and aggregate sizes of 2.3-30 and 100-900 nm, respectively, showed that both the primary and secondary particle sizes of TiO2 affect the catalytic activity.","author":[{"dropping-particle":"","family":"Maira","given":"A. J.","non-dropping-particle":"","parse-names":false,"suffix":""},{"dropping-particle":"","family":"Yeung","given":"K. L.","non-dropping-particle":"","parse-names":false,"suffix":""},{"dropping-particle":"","family":"Lee","given":"C. Y.","non-dropping-particle":"","parse-names":false,"suffix":""},{"dropping-particle":"","family":"Yue","given":"P. L.","non-dropping-particle":"","parse-names":false,"suffix":""},{"dropping-particle":"","family":"Chan","given":"C. K.","non-dropping-particle":"","parse-names":false,"suffix":""}],"container-title":"Journal of Catalysis","id":"ITEM-1","issue":"1","issued":{"date-parts":[["2000"]]},"page":"185-196","title":"Size effects in gas-phase photo-oxidation of trichloroethylene using nanometer-sized TiO&lt;sub&gt;2&lt;/sub&gt; catalysts","type":"article-journal","volume":"192"},"uris":["http://www.mendeley.com/documents/?uuid=21c58b9b-4e68-4d15-a373-afb78b3f34e1"]}],"mendeley":{"formattedCitation":"&lt;sup&gt;18&lt;/sup&gt;","plainTextFormattedCitation":"18","previouslyFormattedCitation":"&lt;sup&gt;18&lt;/sup&gt;"},"properties":{"noteIndex":0},"schema":"https://github.com/citation-style-language/schema/raw/master/csl-citation.json"}</w:instrText>
      </w:r>
      <w:r w:rsidRPr="004A211D">
        <w:rPr>
          <w:szCs w:val="24"/>
        </w:rPr>
        <w:fldChar w:fldCharType="separate"/>
      </w:r>
      <w:r w:rsidR="00AE1B1C" w:rsidRPr="004A211D">
        <w:rPr>
          <w:szCs w:val="24"/>
          <w:vertAlign w:val="superscript"/>
        </w:rPr>
        <w:t>18</w:t>
      </w:r>
      <w:r w:rsidRPr="004A211D">
        <w:rPr>
          <w:szCs w:val="24"/>
        </w:rPr>
        <w:fldChar w:fldCharType="end"/>
      </w:r>
      <w:r w:rsidRPr="004A211D">
        <w:rPr>
          <w:szCs w:val="24"/>
        </w:rPr>
        <w:t xml:space="preserve"> The surface area of the photocatalyst can also be increased by adding polymers during the synthesis. The calcination that follows removes the polymer chains, leaving behind a mesoporous framework of TiO</w:t>
      </w:r>
      <w:r w:rsidRPr="004A211D">
        <w:rPr>
          <w:szCs w:val="24"/>
          <w:vertAlign w:val="subscript"/>
        </w:rPr>
        <w:t>2</w:t>
      </w:r>
      <w:r w:rsidRPr="004A211D">
        <w:rPr>
          <w:szCs w:val="24"/>
        </w:rPr>
        <w:t>, with an increased surface area</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{"citationItems":[{"id":"ITEM-1","itemData":{"DOI":"10.1002/chem.201304689","ISSN":"15213765","abstract":"Thermally stable mesoporous TiO 2 /SiO 2 hybrid films with pore size of 50 nm have been synthesized by adopting the polymeric micelle-assembly method. A triblock copolymer, poly(styrene-b-2-vinyl pyridine-b-ethylene oxide), which serves as a template for the mesopores, was utilized to form polymeric micelles. The effective interaction of titanium tetraisopropoxide (TTIP) and tetraethyl orthosilicate (TEOS) with the polymeric micelles enabled us to fabricate stable mesoporous films. By changing the molar ratio of TEOS and TTIP, several mesoporous TiO 2 /SiO 2 hybrid films with different compositions can be synthesized. The presence of amorphous SiO 2 phase effectively retards the growth of anatase TiO 2 crystal in the pore walls and retains the original mesoporous structure, even at higher temperature (650°C). These TiO 2 / SiO 2 hybrid films are of very high quality, without any cracks or voids. The addition of SiO 2 phase to mesoporous TiO 2 films not only adsorbs more organic dyes, but also significantly enhances the photocatalytic activity compared to mesoporous pure TiO 2 film without SiO 2 phase. Photoactive hybrids: Thermally stable mesoporous TiO 2 /SiO 2 hybrid films with pore size of 50 nm have been synthesized by adopting the polymeric micelle-assembly method. A trib lock copolymer, poly(styrene-b-2-vinyl pyridine-b-ethylene oxide), which serves as a template for the mesopores, was utilized to form polymeric micelles (see figure). © 2014 WILEY-VCH Verlag GmbH &amp; Co. KGaA, Weinheim.","author":[{"dropping-particle":"","family":"Li","given":"Yunqi","non-dropping-particle":"","parse-names":false,"suffix":""},{"dropping-particle":"","family":"Bastakoti","given":"Bishnu Prasad","non-dropping-particle":"","parse-names":false,"suffix":""},{"dropping-particle":"","family":"Imura","given":"Masataka","non-dropping-particle":"","parse-names":false,"suffix":""},{"dropping-particle":"","family":"Hwang","given":"Soo Min","non-dropping-particle":"","parse-names":false,"suffix":""},{"dropping-particle":"","family":"Sun","given":"Ziqi","non-dropping-particle":"","parse-names":false,"suffix":""},{"dropping-particle":"","family":"Kim","given":"Jung Ho","non-dropping-particle":"","parse-names":false,"suffix":""},{"dropping-particle":"","family":"Dou","given":"Shi Xue","non-dropping-particle":"","parse-names":false,"suffix":""},{"dropping-particle":"","family":"Yamauchi","given":"Yusuke","non-dropping-particle":"","parse-names":false,"suffix":""}],"container-title":"Chemistry - A European Journal","id":"ITEM-1","issue":"20","issued":{"date-parts":[["2014"]]},"page":"6027-6032","title":"Synthesis of mesoporous TiO&lt;sub&gt;2&lt;/sub&gt; /SiO&lt;sub&gt;2&lt;/sub&gt; hybrid films as an efficient photocatalyst by polymeric micelle assembly","type":"article-journal","volume":"20"},"uris":["http://www.mendeley.com/documents/?uuid=d0c25b51-25d9-4151-a71c-fefc23a4454e"]},{"id":"ITEM-2","itemData":{"DOI":"10.1021/JA073804O","abstract":"In this article, we report a controllable and reproducible approach to prepare highly ordered 2-D hexagonal mesoporous crystalline TiO2−SiO2 nanocomposites with variable Ti/Si ratios (0 to ∞). XRD, TEM, and N2 sorption techniques have been used to systematically investigate the pore wall structure, and thermal stability functioned with the synthetic conditions. The resultant materials are ultra highly stable (over 900 °C), have large uniform pore diameters (</w:instrText>
      </w:r>
      <w:r w:rsidR="00AE1B1C" w:rsidRPr="004A211D">
        <w:rPr>
          <w:rFonts w:ascii="Cambria Math" w:hAnsi="Cambria Math" w:cs="Cambria Math"/>
          <w:szCs w:val="24"/>
        </w:rPr>
        <w:instrText>∼</w:instrText>
      </w:r>
      <w:r w:rsidR="00AE1B1C" w:rsidRPr="004A211D">
        <w:rPr>
          <w:szCs w:val="24"/>
        </w:rPr>
        <w:instrText>6.8 nm), and have high Brunauer−Emmett−Teller specific surface areas (</w:instrText>
      </w:r>
      <w:r w:rsidR="00AE1B1C" w:rsidRPr="004A211D">
        <w:rPr>
          <w:rFonts w:ascii="Cambria Math" w:hAnsi="Cambria Math" w:cs="Cambria Math"/>
          <w:szCs w:val="24"/>
        </w:rPr>
        <w:instrText>∼</w:instrText>
      </w:r>
      <w:r w:rsidR="00AE1B1C" w:rsidRPr="004A211D">
        <w:rPr>
          <w:szCs w:val="24"/>
        </w:rPr>
        <w:instrText>290 m2/g). These mesostructured TiO2−SiO2 composites were obtained using titanium isopropoxide (TIPO) and tetraethyl orthosilicate (TEOS) as precursors and triblock copolymer P123 as a template based on the solvent evaporation-induced co-self-assembly process under a large amount of HCl. Our strategy was the synchronous assembly of titanate and silicate oligomers with triblock copolymer P123 by finely tuning the relative humidity of the surrounding atmosphere and evaporation temper...","author":[{"dropping-particle":"","family":"Dong","given":"Weiyang","non-dropping-particle":"","parse-names":false,"suffix":""},{"dropping-particle":"","family":"Sun","given":"Yaojun","non-dropping-particle":"","parse-names":false,"suffix":""},{"dropping-particle":"","family":"Lee","given":"Chul Wee","non-dropping-particle":"","parse-names":false,"suffix":""},{"dropping-particle":"","family":"Hua","given":"Weiming","non-dropping-particle":"","parse-names":false,"suffix":""},{"dropping-particle":"","family":"Lu","given":"Xinchun","non-dropping-particle":"","parse-names":false,"suffix":""},{"dropping-particle":"","family":"Shi","given":"Yifeng","non-dropping-particle":"","parse-names":false,"suffix":""},{"dropping-particle":"","family":"Zhang","given":"Shicheng","non-dropping-particle":"","parse-names":false,"suffix":""},{"dropping-particle":"","family":"Chen","given":"Jianmin","non-dropping-particle":"","parse-names":false,"suffix":""},{"dropping-particle":"","family":"Zhao","given":"Dongyuan","non-dropping-particle":"","parse-names":false,"suffix":""}],"container-title":"Journal of the American Chemical Society","id":"ITEM-2","issue":"45","issued":{"date-parts":[["2007"]]},"page":"13894-13904","title":"Controllable and Repeatable Synthesis of Thermally Stable Anatase Nanocrystal−Silica Composites with Highly Ordered Hexagonal Mesostructures","type":"article-journal","volume":"129"},"uris":["http://www.mendeley.com/documents/?uuid=fd869540-329b-45d3-aa88-8afa024e78ea"]},{"id":"ITEM-3","itemData":{"DOI":"10.1007/BF00356349","ISSN":"0022-2461","author":[{"dropping-particle":"","family":"Kato","given":"K.","non-dropping-particle":"","parse-names":false,"suffix":""},{"dropping-particle":"","family":"Tsuzuki","given":"A.","non-dropping-particle":"","parse-names":false,"suffix":""},{"dropping-particle":"","family":"Torii","given":"Y.","non-dropping-particle":"","parse-names":false,"suffix":""},{"dropping-particle":"","family":"Taoda","given":"H.","non-dropping-particle":"","parse-names":false,"suffix":""},{"dropping-particle":"","family":"Kato","given":"T.","non-dropping-particle":"","parse-names":false,"suffix":""},{"dropping-particle":"","family":"Butsugan","given":"Y.","non-dropping-particle":"","parse-names":false,"suffix":""}],"container-title":"Journal of Materials Science","id":"ITEM-3","issue":"3","issued":{"date-parts":[["1995"]]},"page":"837-841","title":"Morphology of thin anatase coatings prepared from alkoxide solutions containing organic polymer, affecting the photocatalytic decomposition of aqueous acetic acid","type":"article-journal","volume":"30"},"uris":["http://www.mendeley.com/documents/?uuid=71f08ebb-de6c-43be-8236-9ccaf150f3e2"]},{"id":"ITEM-4","itemData":{"DOI":"10.1002/aenm.201000004","ISSN":"16146832","abstract":"A novel ligand-assisted assembly approach is demonstrated for the synthesis of thermally stable and large-pore ordered mesoporous titanium dioxide with a highly crystalline framework by using diblock copolymer poly(ethylene oxide)-b-polystyrene (PEO-b-PS) as a template and titanium isopropoxide (TIPO) as a precursor. Small-angle X-ray scattering, X-ray diffraction (XRD), transmission electron microscopy (TEM), high-resolution scanning electron microscopy, and N 2-sorption measurements indicate that the obtained TiO 2 materials possess an ordered primary cubic mesostructure with large, uniform pore diameters of about 16.0 nm, and high Brunauer-Emmett-Teller surface areas of?112 m 2 g -1, as well as high thermal stability (?700?C). High resolution TEM and wide-angle XRD measurements clearly illustrate the high crystallinity of the mesoporous titania with an anatase structure in the pore walls. It is worth mentioning that, in this process, in addition to tetrahydrofuran as a solvent, acetylacetone was employed as a coordination agent to avoid rapid hydrolysis of the titanium precursor. Additionally, stepped evaporation and heating processes were adopted to control the condensation rate and facilitate the assembly of the ordered mesostructure, and ensure the formation of fully polycrystalline anatase titania frameworks without collapse of the mesostructure. By employing the obtained mesoporous and crystallized TiO 2 as the photoanode in a dye-sensitized solar cell, a high power-conversion efficiency (5.45%) can be achieved in combination with the N719 dye, which shows that this mesoprous titania is a great potential candidate as a catalyst support for photonic-conversion applications. ? 2011 WILEY-VCH Verlag GmbH &amp; Co. KGaA.","author":[{"dropping-particle":"","family":"Zhang","given":"Junyong","non-dropping-particle":"","parse-names":false,"suffix":""},{"dropping-particle":"","family":"Deng","given":"Yonghui","non-dropping-particle":"","parse-names":false,"suffix":""},{"dropping-particle":"","family":"Gu","given":"Dong","non-dropping-particle":"","parse-names":false,"suffix":""},{"dropping-particle":"","family":"Wang","given":"Shutao","non-dropping-particle":"","parse-names":false,"suffix":""},{"dropping-particle":"","family":"She","given":"Lan","non-dropping-particle":"","parse-names":false,"suffix":""},{"dropping-particle":"","family":"Che","given":"Renchao","non-dropping-particle":"","parse-names":false,"suffix":""},{"dropping-particle":"","family":"Wang","given":"Zhong Sheng","non-dropping-particle":"","parse-names":false,"suffix":""},{"dropping-particle":"","family":"Tu","given":"Bo","non-dropping-particle":"","parse-names":false,"suffix":""},{"dropping-particle":"","family":"Xie","given":"Songhai","non-dropping-particle":"","parse-names":false,"suffix":""},{"dropping-particle":"","family":"Zhao","given":"Dongyuan","non-dropping-particle":"","parse-names":false,"suffix":""}],"container-title":"Advanced Energy Materials","id":"ITEM-4","issue":"2","issued":{"date-parts":[["2011"]]},"page":"241-248","title":"Ligand-assisted assembly approach to synthesize large-pore ordered mesoporous titania with thermally stable and crystalline framework","type":"article-journal","volume":"1"},"uris":["http://www.mendeley.com/documents/?uuid=83a6e2dc-59d3-4fa6-907d-bd0851705060"]}],"mendeley":{"formattedCitation":"&lt;sup&gt;19–22&lt;/sup&gt;","plainTextFormattedCitation":"19–22","previouslyFormattedCitation":"&lt;sup&gt;19–22&lt;/sup&gt;"},"properties":{"noteIndex":0},"schema":"https://github.com/citation-style-language/schema/raw/master/csl-citation.json"}</w:instrText>
      </w:r>
      <w:r w:rsidRPr="004A211D">
        <w:rPr>
          <w:szCs w:val="24"/>
        </w:rPr>
        <w:fldChar w:fldCharType="separate"/>
      </w:r>
      <w:r w:rsidR="00AE1B1C" w:rsidRPr="004A211D">
        <w:rPr>
          <w:szCs w:val="24"/>
          <w:vertAlign w:val="superscript"/>
        </w:rPr>
        <w:t>19–22</w:t>
      </w:r>
      <w:r w:rsidRPr="004A211D">
        <w:rPr>
          <w:szCs w:val="24"/>
        </w:rPr>
        <w:fldChar w:fldCharType="end"/>
      </w:r>
      <w:r w:rsidRPr="004A211D">
        <w:rPr>
          <w:szCs w:val="24"/>
        </w:rPr>
        <w:t xml:space="preserve"> </w:t>
      </w:r>
    </w:p>
    <w:p w14:paraId="105D3889" w14:textId="0ED28808" w:rsidR="00F945A9" w:rsidRPr="004A211D" w:rsidRDefault="00F945A9" w:rsidP="004A211D">
      <w:pPr>
        <w:spacing w:line="360" w:lineRule="auto"/>
        <w:ind w:firstLine="425"/>
        <w:contextualSpacing/>
        <w:rPr>
          <w:szCs w:val="24"/>
        </w:rPr>
      </w:pPr>
      <w:r w:rsidRPr="004A211D">
        <w:rPr>
          <w:szCs w:val="24"/>
        </w:rPr>
        <w:t>Doping TiO</w:t>
      </w:r>
      <w:r w:rsidRPr="004A211D">
        <w:rPr>
          <w:szCs w:val="24"/>
          <w:vertAlign w:val="subscript"/>
        </w:rPr>
        <w:t>2</w:t>
      </w:r>
      <w:r w:rsidRPr="004A211D">
        <w:rPr>
          <w:szCs w:val="24"/>
        </w:rPr>
        <w:t xml:space="preserve"> with metals also increases its photocatalytic activity, by facilitating free electron capture and thus extending the lifetime of photogenerated electron-hole pairs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{"citationItems":[{"id":"ITEM-1","itemData":{"DOI":"10.1016/j.jallcom.2017.03.275","ISSN":"09258388","abstract":"The effects of metal doping (M = Cu, Ag and Eu) were investigated in nanostructured (M-TiO2) with the objectives to define the location of metal ions in the host matrices, identifying their stable valence states and environments as well as the incidence on the structural, electronic and optical properties of M-TiO2. Sol-gel method was used for the synthesis based on the reactants as metal-acetate and titanium alkoxide with defined experimental conditions to achieve the formation of nanostructured anatase phase with metallic doping ratios about 1, 2 and 3 mol.%. The investigations of doped structures were carried out by using x-ray diffraction, Raman spectroscopy, UV–Vis absorption and electron paramagnetic resonance (EPR) which contributes to precise insights on the metal behavior in M-TiO2. Correlations of the metal states such as the stable valence and local environments were made with the crystalline domains sizes, stability of anatase phase, electrical conductivity and optical features of the different M-TiO2 samples. The photocatalytic activity of 3 mol.% doped structures was compared through a heterogeneous photocatalysis carried out for the degradation of organic dyes in solutions under Xe-source irradiation. The efficiency of this process was discussed as function of the doping peculiarities.","author":[{"dropping-particle":"","family":"Vargas Hernández","given":"Jesús","non-dropping-particle":"","parse-names":false,"suffix":""},{"dropping-particle":"","family":"Coste","given":"Sandrine","non-dropping-particle":"","parse-names":false,"suffix":""},{"dropping-particle":"","family":"García Murillo","given":"Antonieta","non-dropping-particle":"","parse-names":false,"suffix":""},{"dropping-particle":"","family":"Carrillo Romo","given":"Felipe","non-dropping-particle":"","parse-names":false,"suffix":""},{"dropping-particle":"","family":"Kassiba","given":"Abdelhadi","non-dropping-particle":"","parse-names":false,"suffix":""}],"container-title":"Journal of Alloys and Compounds","id":"ITEM-1","issued":{"date-parts":[["2017"]]},"page":"355-363","publisher":"Elsevier B.V.","title":"Effects of metal doping (Cu, Ag, Eu) on the electronic and optical behavior of nanostructured TiO&lt;sub&gt;2&lt;/sub&gt;","type":"article-journal","volume":"710"},"uris":["http://www.mendeley.com/documents/?uuid=fdcc2c57-c37e-4463-856e-e3309fa23b51"]}],"mendeley":{"formattedCitation":"&lt;sup&gt;23&lt;/sup&gt;","plainTextFormattedCitation":"23","previouslyFormattedCitation":"&lt;sup&gt;23&lt;/sup&gt;"},"properties":{"noteIndex":0},"schema":"https://github.com/citation-style-language/schema/raw/master/csl-citation.json"}</w:instrText>
      </w:r>
      <w:r w:rsidRPr="004A211D">
        <w:rPr>
          <w:szCs w:val="24"/>
        </w:rPr>
        <w:fldChar w:fldCharType="separate"/>
      </w:r>
      <w:r w:rsidR="00AE1B1C" w:rsidRPr="004A211D">
        <w:rPr>
          <w:szCs w:val="24"/>
          <w:vertAlign w:val="superscript"/>
        </w:rPr>
        <w:t>23</w:t>
      </w:r>
      <w:r w:rsidRPr="004A211D">
        <w:rPr>
          <w:szCs w:val="24"/>
        </w:rPr>
        <w:fldChar w:fldCharType="end"/>
      </w:r>
      <w:r w:rsidRPr="004A211D">
        <w:rPr>
          <w:szCs w:val="24"/>
        </w:rPr>
        <w:t xml:space="preserve"> The capture results in an efficient separation of electron-hole pairs, thus inhibiting recombination and increasing the photocatalytic activity of TiO</w:t>
      </w:r>
      <w:r w:rsidRPr="004A211D">
        <w:rPr>
          <w:szCs w:val="24"/>
          <w:vertAlign w:val="subscript"/>
        </w:rPr>
        <w:t>2</w:t>
      </w:r>
      <w:r w:rsidRPr="004A211D">
        <w:rPr>
          <w:szCs w:val="24"/>
        </w:rPr>
        <w:t xml:space="preserve"> by enhancing the mass transfer of holes and possibly electrons to the surface</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{"citationItems":[{"id":"ITEM-1","itemData":{"DOI":"10.1016/j.molcata.2012.10.012","ISSN":"13811169","abstract":"In this study, the influence of the temperature on the photodegradation process using Ag-doped TiO2 nanostructures was investigated. Two morphologies were used; nanoparticles and nanofibers. The nanofibers were synthesized by electrospinning of a sol-gel consisting of titanium isopropoxide, silver nitrate and poly(vinyl acetate). The silver nitrate amount was changed to produce nanofibers having different silver contents. Typically, sol-gels containing 0.5, 1.0, 1.5, 2.0 and 2.5 wt% silver nitrate were utilized. Calcination of the electrospun mats at 700°C led to produce well morphology Ag-doped TiO2 nanofibers for all formulations. The nanoparticles were prepared from the same sol-gels, however, instead of spinning the gels were dried, grinded and sintered at 700°C. Photodegradation under UV irradiation for the rhodamine B at 5, 15, 25, 45 and 55°C were performed. For the nanoparticles, increasing the temperature has positive impact as the best degradation was obtained at 55°C. In contrast to the known influence of the temperature on the chemical reactions, in case of the nanofibrous morphology, the temperature has negative impact as the experimental work indicated that the optimum temperature is 25°C. The observed strange effect of the temperature in case of the nanofibrous morphology indicates instant degradation of the dye molecules in the active zones surrounding the nanofibers. Therefore, the increase of temperature results in increase the kinetic energy of the dye molecules so the molecules escape from the active thin film surrounding the photocatalyst. Overall, this study shows that the nanofibrous morphology strongly enhances the surface activity of the photocatalyst which generates negative influence of the temperature. © 2012 Elsevier B.V.","author":[{"dropping-particle":"","family":"Barakat","given":"Nasser A.M.","non-dropping-particle":"","parse-names":false,"suffix":""},{"dropping-particle":"","family":"Kanjwal","given":"Muzafar A.","non-dropping-particle":"","parse-names":false,"suffix":""},{"dropping-particle":"","family":"Chronakis","given":"Ioannis S.","non-dropping-particle":"","parse-names":false,"suffix":""},{"dropping-particle":"","family":"Kim","given":"Hak Yong","non-dropping-particle":"","parse-names":false,"suffix":""}],"container-title":"Journal of Molecular Catalysis A: Chemical","id":"ITEM-1","issued":{"date-parts":[["2013"]]},"page":"333-340","publisher":"Elsevier B.V.","title":"Influence of temperature on the photodegradation process using Ag-doped TiO&lt;sub&gt;2&lt;/sub&gt; nanostructures: Negative impact with the nanofibers","type":"article-journal","volume":"366"},"uris":["http://www.mendeley.com/documents/?uuid=b86942d4-b1dc-4b6d-8a0c-c681d2c6d1be"]}],"mendeley":{"formattedCitation":"&lt;sup&gt;24&lt;/sup&gt;","plainTextFormattedCitation":"24","previouslyFormattedCitation":"&lt;sup&gt;24&lt;/sup&gt;"},"properties":{"noteIndex":0},"schema":"https://github.com/citation-style-language/schema/raw/master/csl-citation.json"}</w:instrText>
      </w:r>
      <w:r w:rsidRPr="004A211D">
        <w:rPr>
          <w:szCs w:val="24"/>
        </w:rPr>
        <w:fldChar w:fldCharType="separate"/>
      </w:r>
      <w:r w:rsidR="00AE1B1C" w:rsidRPr="004A211D">
        <w:rPr>
          <w:szCs w:val="24"/>
          <w:vertAlign w:val="superscript"/>
        </w:rPr>
        <w:t>24</w:t>
      </w:r>
      <w:r w:rsidRPr="004A211D">
        <w:rPr>
          <w:szCs w:val="24"/>
        </w:rPr>
        <w:fldChar w:fldCharType="end"/>
      </w:r>
      <w:r w:rsidRPr="004A211D">
        <w:rPr>
          <w:szCs w:val="24"/>
        </w:rPr>
        <w:t xml:space="preserve"> It has to be mentioned, however, that metal centres can also act as recombination centres and thus lower the photocatalytic activity. </w:t>
      </w:r>
      <w:r w:rsidRPr="004A211D">
        <w:rPr>
          <w:szCs w:val="24"/>
        </w:rPr>
        <w:lastRenderedPageBreak/>
        <w:t>TiO</w:t>
      </w:r>
      <w:r w:rsidRPr="004A211D">
        <w:rPr>
          <w:szCs w:val="24"/>
          <w:vertAlign w:val="subscript"/>
        </w:rPr>
        <w:t>2</w:t>
      </w:r>
      <w:r w:rsidRPr="004A211D">
        <w:rPr>
          <w:szCs w:val="24"/>
        </w:rPr>
        <w:t xml:space="preserve"> is usually doped with noble metals, such as Ag, Pt and Pd</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{"citationItems":[{"id":"ITEM-1","itemData":{"DOI":"10.1016/j.molcata.2006.05.013","ISSN":"13811169","abstract":"Silver nanoparticles doped TiO2 has been prepared and characterised by surface analytical methods such as BET surface area, scanning electron micrographs (SEM), X-ray diffraction (XRD), energy dispersive X-ray micro analysis (EDX), electron spin resonance (ESR) and diffuse reflectance spectroscopy (DRS). We have investigated the photocatalytic degradation of two Direct diazo dyes, Direct red 23 (DR 23) and Direct blue 53 (DB 53) in the aqueous suspensions of TiO2 and Ag deposited TiO2 nanoparticles under UV-A light irradiation in order to evaluate the various effects of silver deposition on the photocatalytic activity of TiO2. The presence of silver in TiO2 was found to enhance the photodegradation of DR 23 and DB 53. The higher activity of silver doped TiO2 is due to the enhancement of electron-hole separation by the electron trapping of silver particles. © 2006 Elsevier B.V. All rights reserved.","author":[{"dropping-particle":"","family":"Sobana","given":"N.","non-dropping-particle":"","parse-names":false,"suffix":""},{"dropping-particle":"","family":"Muruganadham","given":"M.","non-dropping-particle":"","parse-names":false,"suffix":""},{"dropping-particle":"","family":"Swaminathan","given":"M.","non-dropping-particle":"","parse-names":false,"suffix":""}],"container-title":"Journal of Molecular Catalysis A: Chemical","id":"ITEM-1","issue":"1-2","issued":{"date-parts":[["2006"]]},"page":"124-132","title":"Nano-Ag particles doped TiO&lt;sub&gt;2&lt;/sub&gt; for efficient photodegradation of Direct azo dyes","type":"article-journal","volume":"258"},"uris":["http://www.mendeley.com/documents/?uuid=36a874e3-8522-4e0c-9b12-fa3c6459bb6a"]},{"id":"ITEM-2","itemData":{"DOI":"10.1016/S1010-6030(02)00048-5","ISSN":"10106030","abstract":"In the present work, three commercially available TiO2-catalysts, namely Degussa P25, Sachtleben Hombikat UV100 and Millennium TiONA PC50, were platinised by a photochemical impregnation method in two ratios of platinum deposits (0.5 and 1 wt.%). The physical characterisation of the new synthesised catalysts was carried out by measurements of the BET-surface area, the light absorption properties and the adsorption of the model compounds. The photocatalytic activities of these samples were determined using three different model compounds: EDTA, 4-chlorophenol (4-CP), and dichloroacetic acid (DCA). While in the case of EDTA its disappearance was studied, total mineralisation was measured for 4-CP and DCA. In all cases, the photocatalytical activity was found to increase with rising amounts of Pt, e.g., the photonic efficiency for DCA degradation increased from 12.2% for pure Hombikat UV100 to 32.1% for Hombikat UV100/0.5 wt.% Pt and to 42.7% for Hombikat UV100/1 wt.% Pt. Promising results were also achieved for the total mineralisation of 4-CP. The photonic efficiency rised from 0.82% using unmodified PC50 to 1.14% with PC50/0.5 wt.% Pt (zero-order kinetics assumed in all cases). Similar results were obtained with the other new synthesised catalyst samples and for the model compound EDTA. No immediate relationship between the photocatalytic activity of the catalyst samples and their physical properties (surface area, adsorption of pollutants, absorption of light) could be observed. © 2002 Elsevier Science B.V. All rights reserved.","author":[{"dropping-particle":"","family":"Hufschmidt","given":"Dirk","non-dropping-particle":"","parse-names":false,"suffix":""},{"dropping-particle":"","family":"Bahnemann","given":"Detlef","non-dropping-particle":"","parse-names":false,"suffix":""},{"dropping-particle":"","family":"Testa","given":"Juan J.","non-dropping-particle":"","parse-names":false,"suffix":""},{"dropping-particle":"","family":"Emilio","given":"Carina A.","non-dropping-particle":"","parse-names":false,"suffix":""},{"dropping-particle":"","family":"Litter","given":"Marta I.","non-dropping-particle":"","parse-names":false,"suffix":""}],"container-title":"Journal of Photochemistry and Photobiology A: Chemistry","id":"ITEM-2","issue":"1-3","issued":{"date-parts":[["2002"]]},"page":"223-231","title":"Enhancement of the photocatalytic activity of various TiO&lt;sub&gt;2&lt;/sub&gt; materials by platinisation","type":"article-journal","volume":"148"},"uris":["http://www.mendeley.com/documents/?uuid=fa01ab34-4b15-44ac-a7b2-62282f4a1bf5"]},{"id":"ITEM-3","itemData":{"DOI":"10.1016/j.watres.2004.04.046","ISSN":"00431354","abstract":"Pt, Au and Pd deposited TiO2 have been prepared and characterised by surface analytical methods such as surface area, XRD, and scanning electron micrograph and photophysical characterisation by diffuse reflectance spectroscopy. The photocatalytic activity of the doped catalysts was ascertained by the photo-oxidation of leather dye, acid green 16 in aqueous solution illuminated with low-pressure mercury lamp (</w:instrText>
      </w:r>
      <w:r w:rsidR="00AE1B1C" w:rsidRPr="004A211D">
        <w:rPr>
          <w:rFonts w:ascii="Cambria Math" w:hAnsi="Cambria Math" w:cs="Cambria Math"/>
          <w:szCs w:val="24"/>
        </w:rPr>
        <w:instrText>∼</w:instrText>
      </w:r>
      <w:r w:rsidR="00AE1B1C" w:rsidRPr="004A211D">
        <w:rPr>
          <w:szCs w:val="24"/>
        </w:rPr>
        <w:instrText>254nm). The effect of metal contents on the photocatalytic activity was investigated. The highest photonic efficiency was observed with metal deposition level of less than 1wt%. © 2004 Elsevier Ltd. All rights reserved.","author":[{"dropping-particle":"","family":"Sakthivel","given":"S.","non-dropping-particle":"","parse-names":false,"suffix":""},{"dropping-particle":"V.","family":"Shankar","given":"M.","non-dropping-particle":"","parse-names":false,"suffix":""},{"dropping-particle":"","family":"Palanichamy","given":"M.","non-dropping-particle":"","parse-names":false,"suffix":""},{"dropping-particle":"","family":"Arabindoo","given":"Banumathi","non-dropping-particle":"","parse-names":false,"suffix":""},{"dropping-particle":"","family":"Bahnemann","given":"D. W.","non-dropping-particle":"","parse-names":false,"suffix":""},{"dropping-particle":"","family":"Murugesan","given":"V.","non-dropping-particle":"","parse-names":false,"suffix":""}],"container-title":"Water Research","id":"ITEM-3","issue":"13","issued":{"date-parts":[["2004"]]},"page":"3001-3008","title":"Enhancement of photocatalytic activity by metal deposition: Characterisation and photonic efficiency of Pt, Au and Pd deposited on TiO&lt;sub&gt;2&lt;/sub&gt; catalyst","type":"article-journal","volume":"38"},"uris":["http://www.mendeley.com/documents/?uuid=9e72eb34-e3f0-4a53-acce-8ebde8fddabc"]}],"mendeley":{"formattedCitation":"&lt;sup&gt;25–27&lt;/sup&gt;","plainTextFormattedCitation":"25–27","previouslyFormattedCitation":"&lt;sup&gt;25–27&lt;/sup&gt;"},"properties":{"noteIndex":0},"schema":"https://github.com/citation-style-language/schema/raw/master/csl-citation.json"}</w:instrText>
      </w:r>
      <w:r w:rsidRPr="004A211D">
        <w:rPr>
          <w:szCs w:val="24"/>
        </w:rPr>
        <w:fldChar w:fldCharType="separate"/>
      </w:r>
      <w:r w:rsidR="00AE1B1C" w:rsidRPr="004A211D">
        <w:rPr>
          <w:szCs w:val="24"/>
          <w:vertAlign w:val="superscript"/>
        </w:rPr>
        <w:t>25–27</w:t>
      </w:r>
      <w:r w:rsidRPr="004A211D">
        <w:rPr>
          <w:szCs w:val="24"/>
        </w:rPr>
        <w:fldChar w:fldCharType="end"/>
      </w:r>
      <w:r w:rsidRPr="004A211D">
        <w:rPr>
          <w:szCs w:val="24"/>
        </w:rPr>
        <w:t xml:space="preserve"> Other metals include Cu, V, Cr, Ni, as well as In</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{"citationItems":[{"id":"ITEM-1","itemData":{"DOI":"10.1016/j.jpowsour.2016.04.019","ISSN":"03787753","abstract":"High cost and low durability are unresolved issues that impede the commercialization of proton exchange membrane fuel cells (PEMFCs). To overcome these limitations, Pt/TiO2 is reported as an alternative electrocatalyst for enhancing the oxygen reduction reaction (ORR) activity and/or durability of the system. However, the low electrical conductivity of TiO2 is a drawback that may be addressed by doping. To date, most reports related to Pt/doped-TiO2 focus on changes in the catalyst activity caused by the Pt-TiO2 interaction (metal-support interaction), instead of the effect of doping itself; doping is merely considered to enhance the electrical conductivity of TiO2. In this study, we discuss the variation in the electronic fine structure of Pt caused by the dopant, and its correlation with the ORR activity. More extensive contraction of the Pt lattice in Pt/M-TiO2 (M = V, Cr, and Nb) relative to Pt/TiO2 and Pt/C leads to outstanding ORR specific activity of Pt/M-TiO2. Notably, a fourfold increase of the specific activity is achieved with Pt/V-TiO2 relative to Pt/C. Furthermore, an accelerated durability test (ADT) of Pt/V-TiO2 demonstrates that this system is three times more durable than conventional Pt/C due to the metal-support interaction.","author":[{"dropping-particle":"","family":"Kim","given":"Jun Hyuk","non-dropping-particle":"","parse-names":false,"suffix":""},{"dropping-particle":"","family":"Kwon","given":"Gihan","non-dropping-particle":"","parse-names":false,"suffix":""},{"dropping-particle":"","family":"Lim","given":"Hankwon","non-dropping-particle":"","parse-names":false,"suffix":""},{"dropping-particle":"","family":"Zhu","given":"Chenhui","non-dropping-particle":"","parse-names":false,"suffix":""},{"dropping-particle":"","family":"You","given":"Hoydoo","non-dropping-particle":"","parse-names":false,"suffix":""},{"dropping-particle":"","family":"Kim","given":"Yong Tae","non-dropping-particle":"","parse-names":false,"suffix":""}],"container-title":"Journal of Power Sources","id":"ITEM-1","issued":{"date-parts":[["2016"]]},"page":"188-195","title":"Effects of transition metal doping in Pt/M-TiO&lt;sub&gt;2&lt;/sub&gt; (M = V, Cr, and Nb) on oxygen reduction reaction activity","type":"article-journal","volume":"320"},"uris":["http://www.mendeley.com/documents/?uuid=df582626-4c5a-4de4-8524-e0147f5d89b9"]},{"id":"ITEM-2","itemData":{"DOI":"10.1016/j.apcatb.2014.06.037","ISSN":"09263373","abstract":"Indium (In)-doped titanium dioxide (TiO2) nanoparticles were synthesized using a controlled sol-gel method. The structures and properties of the catalysts were characterized by XRD, FE-SEM, TEM, XPS, BET, UV-vis and PL spectroscopy. Indium, present over the TiO2 in metal state, inhibited crystal growth and produced anatase phase of mesoporous TiO2 nanoparticles. Doping In in TiO2 also increased the surface area and enlarged the band gap. The photocatalytic activities of In-doped TiO2 nanoparticles were considerably improved for CO2 reduction with H2O vapors in a cell type photoreactor. CO was observed as the main product over TiO2, but doping In in TiO2 remarkably increased the CH4 yield. CH4 production rate over 10wt.% In-doped TiO 2 was 7.9-fold higher than the bare TiO2 at 100°C and CO2/H2O ratio of 1.43. In addition, C1-3 higher hydrocarbons namely C2H4, C2H6, C3H6 and C3H8 were detected in the product mixture. The enhanced photoactivity in mesoporous In-doped TiO2 nanoparticles can be attributed to interfacial transfer of photogenerated charges, which led to effective charge separation and inhibited recombination of photogenerated electron-hole (e-/h+) pairs. Langmuir-Hinshelwood model, developed to investigate reaction rate parameters, fitted well with the experimental data. © 2014 Elsevier B.V.","author":[{"dropping-particle":"","family":"Tahir","given":"Muhammad","non-dropping-particle":"","parse-names":false,"suffix":""},{"dropping-particle":"","family":"Amin","given":"Nor Aishah Saidina","non-dropping-particle":"","parse-names":false,"suffix":""}],"container-title":"Applied Catalysis B: Environmental","id":"ITEM-2","issued":{"date-parts":[["2015"]]},"page":"98-109","publisher":"Elsevier B.V.","title":"Indium-doped TiO&lt;sub&gt;2&lt;/sub&gt; nanoparticles for photocatalytic CO&lt;sub&gt;2&lt;/sub&gt; reduction with H&lt;sub&gt;2&lt;/sub&gt; O vapors to CH&lt;sub&gt;4&lt;/sub&gt;","type":"article-journal","volume":"162"},"uris":["http://www.mendeley.com/documents/?uuid=04ede3b6-5d7c-4742-983b-63744652f98e"]},{"id":"ITEM-3","itemData":{"DOI":"10.1016/j.apcatb.2015.08.006","ISSN":"09263373","abstract":"Ni (1wt%)-, Pt (1wt%)- and [Ni (0.5wt%)/Pt (0.5wt%)]-doped TiO&lt;inf&gt;2&lt;/inf&gt; nanoporous catalysts have been successfully obtained through a facile two-step hydrothermal route. TiO&lt;inf&gt;2&lt;/inf&gt; crystallizes mostly in the anatase phase and acts as a mesoporous matrix. Meanwhile, Ni, Pt and Ni/Pt dopants form small nanoparticles (NPs) (3-95nm in diameter) which are hosted by the TiO&lt;inf&gt;2&lt;/inf&gt; framework. The resulting composites exhibit a rather large surface area, in the range of 186-200m&lt;sup&gt;2&lt;/sup&gt;/g. The band gap energy reduces from 3.03eV for the undoped TiO&lt;inf&gt;2&lt;/inf&gt; to 2.15eV for the Pt-loaded TiO&lt;inf&gt;2&lt;/inf&gt;. As a consequence, absorption expands toward the visible light range. The photodegradation of Rhodamine B dye in aqueous medium has been investigated under UV-vis light irradiation. The presence of Ni, Pt and Ni/Pt NPs significantly enhances the photocatalytic activity of the material. Furthermore, the Ni-doped TiO&lt;inf&gt;2&lt;/inf&gt; shows ferromagnetic behavior at room temperature, which makes its recovery and subsequent fast reutilization possible. Interestingly, this sample also exhibits the best stability upon recycling. Considering all the current challenges in sustainable water remediation, these new photocatalysts could find applications in real environmental contexts in the near future.","author":[{"dropping-particle":"","family":"Pol","given":"Roberto","non-dropping-particle":"","parse-names":false,"suffix":""},{"dropping-particle":"","family":"Guerrero","given":"Miguel","non-dropping-particle":"","parse-names":false,"suffix":""},{"dropping-particle":"","family":"García-Lecina","given":"Eva","non-dropping-particle":"","parse-names":false,"suffix":""},{"dropping-particle":"","family":"Altube","given":"Ainhoa","non-dropping-particle":"","parse-names":false,"suffix":""},{"dropping-particle":"","family":"Rossinyol","given":"Emma","non-dropping-particle":"","parse-names":false,"suffix":""},{"dropping-particle":"","family":"Garroni","given":"Sebastiano","non-dropping-particle":"","parse-names":false,"suffix":""},{"dropping-particle":"","family":"Baró","given":"Maria Dolors","non-dropping-particle":"","parse-names":false,"suffix":""},{"dropping-particle":"","family":"Pons","given":"Josefina","non-dropping-particle":"","parse-names":false,"suffix":""},{"dropping-particle":"","family":"Sort","given":"Jordi","non-dropping-particle":"","parse-names":false,"suffix":""},{"dropping-particle":"","family":"Pellicer","given":"Eva","non-dropping-particle":"","parse-names":false,"suffix":""}],"container-title":"Applied Catalysis B: Environmental","id":"ITEM-3","issued":{"date-parts":[["2016"]]},"page":"270-278","publisher":"Elsevier B.V.","title":"Ni-, Pt- and (Ni/Pt)-doped TiO&lt;sub&gt;2&lt;/sub&gt; nanophotocatalysts: A smart approach for sustainable degradation of Rhodamine B dye","type":"article-journal","volume":"181"},"uris":["http://www.mendeley.com/documents/?uuid=49975c70-2ea2-47b7-aa67-565e58aebd28"]}],"mendeley":{"formattedCitation":"&lt;sup&gt;28–30&lt;/sup&gt;","plainTextFormattedCitation":"28–30","previouslyFormattedCitation":"&lt;sup&gt;28–30&lt;/sup&gt;"},"properties":{"noteIndex":0},"schema":"https://github.com/citation-style-language/schema/raw/master/csl-citation.json"}</w:instrText>
      </w:r>
      <w:r w:rsidRPr="004A211D">
        <w:rPr>
          <w:szCs w:val="24"/>
        </w:rPr>
        <w:fldChar w:fldCharType="separate"/>
      </w:r>
      <w:r w:rsidR="00AE1B1C" w:rsidRPr="004A211D">
        <w:rPr>
          <w:szCs w:val="24"/>
          <w:vertAlign w:val="superscript"/>
        </w:rPr>
        <w:t>28–30</w:t>
      </w:r>
      <w:r w:rsidRPr="004A211D">
        <w:rPr>
          <w:szCs w:val="24"/>
        </w:rPr>
        <w:fldChar w:fldCharType="end"/>
      </w:r>
      <w:r w:rsidRPr="004A211D">
        <w:rPr>
          <w:szCs w:val="24"/>
        </w:rPr>
        <w:t xml:space="preserve"> </w:t>
      </w:r>
    </w:p>
    <w:p w14:paraId="634EA454" w14:textId="350E7F21" w:rsidR="00F945A9" w:rsidRPr="004A211D" w:rsidRDefault="00F945A9" w:rsidP="004A211D">
      <w:pPr>
        <w:spacing w:line="360" w:lineRule="auto"/>
        <w:ind w:firstLine="425"/>
        <w:contextualSpacing/>
        <w:rPr>
          <w:szCs w:val="24"/>
        </w:rPr>
      </w:pPr>
      <w:r w:rsidRPr="004A211D">
        <w:rPr>
          <w:szCs w:val="24"/>
        </w:rPr>
        <w:t>TiO</w:t>
      </w:r>
      <w:r w:rsidRPr="004A211D">
        <w:rPr>
          <w:szCs w:val="24"/>
          <w:vertAlign w:val="subscript"/>
        </w:rPr>
        <w:t>2</w:t>
      </w:r>
      <w:r w:rsidRPr="004A211D">
        <w:rPr>
          <w:szCs w:val="24"/>
        </w:rPr>
        <w:t xml:space="preserve"> can be synthesized using various synthetic procedures, including hydrothermal, microwave-assisted and sonochemical methods, and miniemulsion techniques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{"citationItems":[{"id":"ITEM-1","itemData":{"DOI":"10.1021/ja036505h","ISBN":"0002-7863","ISSN":"00027863","PMID":"14624603","abstract":"We demonstrate the controlled growth of high aspect ratio anatase TiO2 nanorods by hydrolysis of titanium tetraisopropoxide (TTIP) in oleic acid (OLEA) as surfactant at a temperature as low as 80 degrees C. Chemical modification of TTIP by OLEA is proven to be a rational strategy to tune the reactivity of the precursor toward water. The most influential factors in shape control of the nanoparticles are investigated by simply manipulating their growth kinetics. The presence of tertiary amines or quaternary ammonium hydroxides as catalysts is essential to promote fast crystallization under mild conditions. The novelty of the present approach relies on the large-scale production of organic-capped TiO2 nanocrystals to which standard processing of colloidal nanocrystals, such as surface ligand exchange, can be applied for the first time. Concentrated colloidal titania dispersions can be prepared for a number of fundamental studies in homogeneous solutions and represent a new source of easily processable oxide material for many technological applications.","author":[{"dropping-particle":"","family":"Cozzoli","given":"P. Davide","non-dropping-particle":"","parse-names":false,"suffix":""},{"dropping-particle":"","family":"Kornowski","given":"Andreas","non-dropping-particle":"","parse-names":false,"suffix":""},{"dropping-particle":"","family":"Weller","given":"Horst","non-dropping-particle":"","parse-names":false,"suffix":""}],"container-title":"Journal of the American Chemical Society","id":"ITEM-1","issue":"47","issued":{"date-parts":[["2003"]]},"page":"14539-14548","title":"Low-Temperature Synthesis of Soluble and Processable Organic-Capped Anatase TiO2 Nanorods","type":"article-journal","volume":"125"},"uris":["http://www.mendeley.com/documents/?uuid=f9838ecc-1b5b-4d4a-8438-dddc577acfe9"]},{"id":"ITEM-2","itemData":{"DOI":"10.1088/0957-4484/18/7/075602","ISSN":"0957-4484","author":[{"dropping-particle":"","family":"Jia","given":"Xingtao","non-dropping-particle":"","parse-names":false,"suffix":""},{"dropping-particle":"","family":"He","given":"Wen","non-dropping-particle":"","parse-names":false,"suffix":""},{"dropping-particle":"","family":"Zhang","given":"Xudong","non-dropping-particle":"","parse-names":false,"suffix":""},{"dropping-particle":"","family":"Zhao","given":"Hongshi","non-dropping-particle":"","parse-names":false,"suffix":""},{"dropping-particle":"","family":"Li","given":"Zhengmao","non-dropping-particle":"","parse-names":false,"suffix":""},{"dropping-particle":"","family":"Feng","given":"Yingjun","non-dropping-particle":"","parse-names":false,"suffix":""}],"container-title":"Nanotechnology","id":"ITEM-2","issue":"7","issued":{"date-parts":[["2007"]]},"page":"075602","title":"Microwave-assisted synthesis of anatase TiO&lt;sub&gt;2&lt;/sub&gt; nanorods with mesopores","type":"article-journal","volume":"18"},"uris":["http://www.mendeley.com/documents/?uuid=14da079f-85e8-4850-ab26-2dad872a4d1a"]},{"id":"ITEM-3","itemData":{"DOI":"10.1039/c2cs35282f","ISBN":"10.1039/C2CS35282F","ISSN":"03060012","PMID":"23165883","abstract":"High intensity ultrasound can be used for the production of novel materials and provides an unusual route to known materials without bulk high temperatures, high pressures, or long reaction times. Several phenomena are responsible for sonochemistry and specifically the production or modification of nanomaterials during ultrasonic irradiation. The most notable effects are consequences of acoustic cavitation (the formation, growth, and implosive collapse of bubbles), and can be categorized as primary sonochemistry (gas-phase chemistry occurring inside collapsing bubbles), secondary sonochemistry (solution-phase chemistry occurring outside the bubbles), and physical modifications (caused by high-speed jets or shock waves derived from bubble collapse). This tutorial review provides examples of how the chemical and physical effects of high intensity ultrasound can be exploited for the preparation or modification of a wide range of nanostructured materials.","author":[{"dropping-particle":"","family":"Xu","given":"Hangxun","non-dropping-particle":"","parse-names":false,"suffix":""},{"dropping-particle":"","family":"Zeiger","given":"Brad W.","non-dropping-particle":"","parse-names":false,"suffix":""},{"dropping-particle":"","family":"Suslick","given":"Kenneth S.","non-dropping-particle":"","parse-names":false,"suffix":""}],"container-title":"Chemical Society Reviews","id":"ITEM-3","issue":"7","issued":{"date-parts":[["2013"]]},"page":"2555-2567","title":"Sonochemical synthesis of nanomaterials","type":"article-journal","volume":"42"},"uris":["http://www.mendeley.com/documents/?uuid=464efb09-4df9-409f-a991-a19b7f47b79e"]},{"id":"ITEM-4","itemData":{"DOI":"10.1021/cm800533a","ISBN":"0897-4756","ISSN":"08974756","abstract":"A simple template-free approach to generate spherical porous anatase nanoparticles by combining the sol-gel process with the inverse miniemulsion technique is reported. These as-synthesized particles of about 200 nm in diameter consist of aggregated small anatase crystallites of several nanometers, thus leading to a high specific surface area of more than 300 m 2·g_1, even after calcination at 400°C. The only employed surfactant is a block copolymer (P(E/B-b-EO)), which stabilizes the aqueous droplets with the water-soluble precursor bis(2-hydroxyethyl) titanate (EGMT) in the organic phase but also leads to aggregation and pore formation inside the particles. The lower relative rates of hydrolysis and condensation compared to the commonly used titanium alkoxides allow convenient handling in miniemulsion. Here we report the effects of synthesis conditions, such as the amount of surfactant, the composition of the dispersed phase, and the reaction and calcination temperature, on the particle size, porosity, crystallite size, crystallite phase, and specific surface area of the obtained nanoparticulate material. After removing the continuous phase, the obtained powders were characterized before and after calcination by transmission (TEM) and scanning electron microscopy (SEM), X-ray diffraction (XRD), and nitrogen sorption (BET). © 2008 American Chemical Society.","author":[{"dropping-particle":"","family":"Rossmanith","given":"Renate","non-dropping-particle":"","parse-names":false,"suffix":""},{"dropping-particle":"","family":"Weiss","given":"Clemens K.","non-dropping-particle":"","parse-names":false,"suffix":""},{"dropping-particle":"","family":"Geserick","given":"Jasmin","non-dropping-particle":"","parse-names":false,"suffix":""},{"dropping-particle":"","family":"Hüsing","given":"Nicola","non-dropping-particle":"","parse-names":false,"suffix":""},{"dropping-particle":"","family":"Hörmann","given":"Ute","non-dropping-particle":"","parse-names":false,"suffix":""},{"dropping-particle":"","family":"Kaiser","given":"Ute","non-dropping-particle":"","parse-names":false,"suffix":""},{"dropping-particle":"","family":"Landfester","given":"Katharina","non-dropping-particle":"","parse-names":false,"suffix":""}],"container-title":"Chemistry of Materials","id":"ITEM-4","issue":"10","issued":{"date-parts":[["2008"]]},"page":"5768-5780","title":"Porous anatase nanoparticles with high specific surface area prepared by miniemulsion technique","type":"article-journal","volume":"20"},"uris":["http://www.mendeley.com/documents/?uuid=1f8f7837-0d51-452f-bfa4-060c51841250"]}],"mendeley":{"formattedCitation":"&lt;sup&gt;31–34&lt;/sup&gt;","plainTextFormattedCitation":"31–34","previouslyFormattedCitation":"&lt;sup&gt;31–34&lt;/sup&gt;"},"properties":{"noteIndex":0},"schema":"https://github.com/citation-style-language/schema/raw/master/csl-citation.json"}</w:instrText>
      </w:r>
      <w:r w:rsidRPr="004A211D">
        <w:rPr>
          <w:szCs w:val="24"/>
        </w:rPr>
        <w:fldChar w:fldCharType="separate"/>
      </w:r>
      <w:r w:rsidR="00AE1B1C" w:rsidRPr="004A211D">
        <w:rPr>
          <w:szCs w:val="24"/>
          <w:vertAlign w:val="superscript"/>
        </w:rPr>
        <w:t>31–34</w:t>
      </w:r>
      <w:r w:rsidRPr="004A211D">
        <w:rPr>
          <w:szCs w:val="24"/>
        </w:rPr>
        <w:fldChar w:fldCharType="end"/>
      </w:r>
      <w:r w:rsidRPr="004A211D">
        <w:rPr>
          <w:szCs w:val="24"/>
        </w:rPr>
        <w:t xml:space="preserve"> Sol-gel synthesis offers many benefits compared to the synthetic methods mentioned above, including low cost, simplicity and low preparation temperatures. Because of this, it is a well-established procedure for the preparation of metal oxide nanoparticles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{"citationItems":[{"id":"ITEM-1","itemData":{"ISBN":"978-0-323-46144-3","author":[{"dropping-particle":"","family":"Rao","given":"Bolla G.","non-dropping-particle":"","parse-names":false,"suffix":""},{"dropping-particle":"","family":"Mukherjee","given":"D.","non-dropping-particle":"","parse-names":false,"suffix":""},{"dropping-particle":"","family":"Reddy","given":"Benjamin M.","non-dropping-particle":"","parse-names":false,"suffix":""}],"container-title":"Nanostructures for Novel Therapy: Synthesis, Characterization and Applications","edition":"first ed.","editor":[{"dropping-particle":"","family":"Ficai","given":"D.","non-dropping-particle":"","parse-names":false,"suffix":""},{"dropping-particle":"","family":"Grumezescu","given":"A. M.","non-dropping-particle":"","parse-names":false,"suffix":""}],"id":"ITEM-1","issued":{"date-parts":[["2017"]]},"page":"1-31","publisher":"Elsevier Inc.","publisher-place":"Oxford","title":"Novel Approaches for preparation of Nanoparticles","type":"chapter"},"uris":["http://www.mendeley.com/documents/?uuid=54771fba-592a-4834-b4f1-fe18d44aecc4"]}],"mendeley":{"formattedCitation":"&lt;sup&gt;35&lt;/sup&gt;","plainTextFormattedCitation":"35","previouslyFormattedCitation":"&lt;sup&gt;35&lt;/sup&gt;"},"properties":{"noteIndex":0},"schema":"https://github.com/citation-style-language/schema/raw/master/csl-citation.json"}</w:instrText>
      </w:r>
      <w:r w:rsidRPr="004A211D">
        <w:rPr>
          <w:szCs w:val="24"/>
        </w:rPr>
        <w:fldChar w:fldCharType="separate"/>
      </w:r>
      <w:r w:rsidR="00AE1B1C" w:rsidRPr="004A211D">
        <w:rPr>
          <w:szCs w:val="24"/>
          <w:vertAlign w:val="superscript"/>
        </w:rPr>
        <w:t>35</w:t>
      </w:r>
      <w:r w:rsidRPr="004A211D">
        <w:rPr>
          <w:szCs w:val="24"/>
        </w:rPr>
        <w:fldChar w:fldCharType="end"/>
      </w:r>
      <w:r w:rsidRPr="004A211D">
        <w:rPr>
          <w:szCs w:val="24"/>
        </w:rPr>
        <w:t xml:space="preserve"> The method is based on initial hydrolysis of a precursor (e.g. TiCl</w:t>
      </w:r>
      <w:r w:rsidRPr="004A211D">
        <w:rPr>
          <w:szCs w:val="24"/>
          <w:vertAlign w:val="subscript"/>
        </w:rPr>
        <w:t>4</w:t>
      </w:r>
      <w:r w:rsidRPr="004A211D">
        <w:rPr>
          <w:szCs w:val="24"/>
        </w:rPr>
        <w:t>, titanium alkoxides), which is followed by reactions of condensation (oxolation and olation). Reactions result in the formation of sols, which are defined as stable suspensions of colloidal particles, which under certain conditions polymerize to gel. On the other hand, stable sol can be deposited by dip- or spin coating onto a substrate and subject to a drying process, during which the free –OH groups start to link together, resulting in xerogels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author":[{"dropping-particle":"","family":"Schubert","given":"Ulrich","non-dropping-particle":"","parse-names":false,"suffix":""},{"dropping-particle":"","family":"Hüsing","given":"Nicola","non-dropping-particle":"","parse-names":false,"suffix":""}],"edition":"3rd ed.","id":"ITEM-1","issued":{"date-parts":[["2012"]]},"publisher":"Wiley-VCH Verlag","publisher-place":"Weinheim","title":"Synthesis of Inorganic Materials","type":"book"},"uris":["http://www.mendeley.com/documents/?uuid=6a5ba685-8b93-4a5d-9259-382c0145527e"]}],"mendeley":{"formattedCitation":"&lt;sup&gt;36&lt;/sup&gt;","plainTextFormattedCitation":"36","previouslyFormattedCitation":"&lt;sup&gt;36&lt;/sup&gt;"},"properties":{"noteIndex":0},"schema":"https://github.com/citation-style-language/schema/raw/master/csl-citation.json"}</w:instrText>
      </w:r>
      <w:r w:rsidRPr="004A211D">
        <w:rPr>
          <w:szCs w:val="24"/>
        </w:rPr>
        <w:fldChar w:fldCharType="separate"/>
      </w:r>
      <w:r w:rsidR="00AE1B1C" w:rsidRPr="004A211D">
        <w:rPr>
          <w:szCs w:val="24"/>
          <w:vertAlign w:val="superscript"/>
        </w:rPr>
        <w:t>36</w:t>
      </w:r>
      <w:r w:rsidRPr="004A211D">
        <w:rPr>
          <w:szCs w:val="24"/>
        </w:rPr>
        <w:fldChar w:fldCharType="end"/>
      </w:r>
    </w:p>
    <w:p w14:paraId="25A9EB2A" w14:textId="7593C3A2" w:rsidR="00F945A9" w:rsidRPr="004A211D" w:rsidRDefault="00F945A9" w:rsidP="004A211D">
      <w:pPr>
        <w:spacing w:line="360" w:lineRule="auto"/>
        <w:ind w:firstLine="425"/>
        <w:contextualSpacing/>
        <w:rPr>
          <w:szCs w:val="24"/>
        </w:rPr>
      </w:pPr>
      <w:r w:rsidRPr="004A211D">
        <w:rPr>
          <w:szCs w:val="24"/>
        </w:rPr>
        <w:t>In this work, we focussed on the preparation and characterization of sulfur and nitrogen doped and co-doped and platinum modified TiO</w:t>
      </w:r>
      <w:r w:rsidRPr="004A211D">
        <w:rPr>
          <w:szCs w:val="24"/>
          <w:vertAlign w:val="subscript"/>
        </w:rPr>
        <w:t>2</w:t>
      </w:r>
      <w:r w:rsidRPr="004A211D">
        <w:rPr>
          <w:szCs w:val="24"/>
        </w:rPr>
        <w:t xml:space="preserve"> powders. </w:t>
      </w:r>
      <w:r w:rsidRPr="004A211D">
        <w:rPr>
          <w:color w:val="000000" w:themeColor="text1"/>
          <w:szCs w:val="24"/>
          <w:lang w:val="en-GB" w:eastAsia="en-SI"/>
        </w:rPr>
        <w:t>Synthesis, structural properties and photocatalytic efficiency of the corresponding thin film was already published</w:t>
      </w:r>
      <w:r w:rsidR="00251FE8" w:rsidRPr="004A211D">
        <w:rPr>
          <w:color w:val="000000" w:themeColor="text1"/>
          <w:szCs w:val="24"/>
          <w:lang w:val="en-SI" w:eastAsia="en-SI"/>
        </w:rPr>
        <w:t>.</w:t>
      </w:r>
      <w:r w:rsidR="00251FE8" w:rsidRPr="004A211D">
        <w:rPr>
          <w:color w:val="000000" w:themeColor="text1"/>
          <w:szCs w:val="24"/>
          <w:lang w:val="en-SI" w:eastAsia="en-SI"/>
        </w:rPr>
        <w:fldChar w:fldCharType="begin" w:fldLock="1"/>
      </w:r>
      <w:r w:rsidR="00AE1B1C" w:rsidRPr="004A211D">
        <w:rPr>
          <w:color w:val="000000" w:themeColor="text1"/>
          <w:szCs w:val="24"/>
          <w:lang w:val="en-SI" w:eastAsia="en-SI"/>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00251FE8" w:rsidRPr="004A211D">
        <w:rPr>
          <w:color w:val="000000" w:themeColor="text1"/>
          <w:szCs w:val="24"/>
          <w:lang w:val="en-SI" w:eastAsia="en-SI"/>
        </w:rPr>
        <w:fldChar w:fldCharType="separate"/>
      </w:r>
      <w:r w:rsidR="00AE1B1C" w:rsidRPr="004A211D">
        <w:rPr>
          <w:color w:val="000000" w:themeColor="text1"/>
          <w:szCs w:val="24"/>
          <w:vertAlign w:val="superscript"/>
          <w:lang w:val="en-SI" w:eastAsia="en-SI"/>
        </w:rPr>
        <w:t>37</w:t>
      </w:r>
      <w:r w:rsidR="00251FE8" w:rsidRPr="004A211D">
        <w:rPr>
          <w:color w:val="000000" w:themeColor="text1"/>
          <w:szCs w:val="24"/>
          <w:lang w:val="en-SI" w:eastAsia="en-SI"/>
        </w:rPr>
        <w:fldChar w:fldCharType="end"/>
      </w:r>
      <w:r w:rsidR="00251FE8" w:rsidRPr="004A211D">
        <w:rPr>
          <w:color w:val="000000" w:themeColor="text1"/>
          <w:szCs w:val="24"/>
          <w:lang w:val="en-SI" w:eastAsia="en-SI"/>
        </w:rPr>
        <w:t xml:space="preserve"> </w:t>
      </w:r>
      <w:r w:rsidRPr="004A211D">
        <w:rPr>
          <w:color w:val="000000" w:themeColor="text1"/>
          <w:szCs w:val="24"/>
          <w:lang w:val="en-GB" w:eastAsia="en-SI"/>
        </w:rPr>
        <w:t>Since chemically equivalent thin films and powders behave many times in different way, we systematically studied also powdered samples what is the main focus in presented paper. Different analytical methods were used for their characterization and determination of the photocatalytic activity.</w:t>
      </w:r>
      <w:r w:rsidRPr="004A211D">
        <w:rPr>
          <w:szCs w:val="24"/>
        </w:rPr>
        <w:t xml:space="preserve"> Prepared samples were characterized by X-ray diffraction (XRD), specific surface area (BET) and photocurrent measurements. Morphology of the powders was examined using a field emission scanning electron microscopy. The photocatalytic activity of the powders was determined by monitoring the rate of oxidation of isopropanol to acetone using FTIR spectroscopy.</w:t>
      </w:r>
    </w:p>
    <w:p w14:paraId="6FBB6C8A" w14:textId="515D1E80" w:rsidR="00632A8C" w:rsidRPr="00686A29" w:rsidRDefault="00686A29" w:rsidP="00632A8C">
      <w:pPr>
        <w:pStyle w:val="MDPI21heading1"/>
        <w:ind w:left="0"/>
        <w:rPr>
          <w:rFonts w:ascii="Times New Roman" w:hAnsi="Times New Roman"/>
          <w:sz w:val="36"/>
          <w:szCs w:val="36"/>
          <w:lang w:val="en-SI"/>
        </w:rPr>
      </w:pPr>
      <w:r>
        <w:rPr>
          <w:rFonts w:ascii="Times New Roman" w:hAnsi="Times New Roman"/>
          <w:sz w:val="36"/>
          <w:szCs w:val="36"/>
          <w:lang w:val="en-SI"/>
        </w:rPr>
        <w:t>Experimental</w:t>
      </w:r>
    </w:p>
    <w:p w14:paraId="043FD9B4" w14:textId="77777777" w:rsidR="00632A8C" w:rsidRPr="00632A8C" w:rsidRDefault="00632A8C" w:rsidP="00632A8C">
      <w:pPr>
        <w:pStyle w:val="MDPI21heading1"/>
        <w:ind w:left="0"/>
        <w:rPr>
          <w:rFonts w:ascii="Times New Roman" w:hAnsi="Times New Roman"/>
          <w:sz w:val="28"/>
          <w:szCs w:val="28"/>
        </w:rPr>
      </w:pPr>
      <w:r w:rsidRPr="00632A8C">
        <w:rPr>
          <w:rFonts w:ascii="Times New Roman" w:hAnsi="Times New Roman"/>
          <w:sz w:val="28"/>
          <w:szCs w:val="28"/>
        </w:rPr>
        <w:t>Synthesis</w:t>
      </w:r>
    </w:p>
    <w:p w14:paraId="208F93B4" w14:textId="356AD487" w:rsidR="00632A8C" w:rsidRPr="00632A8C" w:rsidRDefault="00632A8C" w:rsidP="004A211D">
      <w:pPr>
        <w:pStyle w:val="MDPI31text"/>
        <w:spacing w:line="360" w:lineRule="auto"/>
        <w:ind w:left="0"/>
        <w:rPr>
          <w:rFonts w:ascii="Times New Roman" w:hAnsi="Times New Roman"/>
          <w:sz w:val="24"/>
          <w:szCs w:val="24"/>
        </w:rPr>
      </w:pPr>
      <w:r w:rsidRPr="00632A8C">
        <w:rPr>
          <w:rFonts w:ascii="Times New Roman" w:hAnsi="Times New Roman"/>
          <w:sz w:val="24"/>
          <w:szCs w:val="24"/>
        </w:rPr>
        <w:t>The method of synthesis, as used to synthesize metal and non-metal doped and co-doped TiO</w:t>
      </w:r>
      <w:r w:rsidRPr="00632A8C">
        <w:rPr>
          <w:rFonts w:ascii="Times New Roman" w:hAnsi="Times New Roman"/>
          <w:sz w:val="24"/>
          <w:szCs w:val="24"/>
          <w:vertAlign w:val="subscript"/>
        </w:rPr>
        <w:t>2</w:t>
      </w:r>
      <w:r w:rsidRPr="00632A8C">
        <w:rPr>
          <w:rFonts w:ascii="Times New Roman" w:hAnsi="Times New Roman"/>
          <w:sz w:val="24"/>
          <w:szCs w:val="24"/>
        </w:rPr>
        <w:t xml:space="preserve"> powders, has been described previously in detail elsewhere</w:t>
      </w:r>
      <w:r w:rsidR="00251FE8">
        <w:rPr>
          <w:rFonts w:ascii="Times New Roman" w:hAnsi="Times New Roman"/>
          <w:sz w:val="24"/>
          <w:szCs w:val="24"/>
          <w:lang w:val="en-SI"/>
        </w:rPr>
        <w:t>.</w:t>
      </w:r>
      <w:r w:rsidRPr="00632A8C">
        <w:rPr>
          <w:rFonts w:ascii="Times New Roman" w:hAnsi="Times New Roman"/>
          <w:sz w:val="24"/>
          <w:szCs w:val="24"/>
        </w:rPr>
        <w:fldChar w:fldCharType="begin" w:fldLock="1"/>
      </w:r>
      <w:r w:rsidR="00AE1B1C">
        <w:rPr>
          <w:rFonts w:ascii="Times New Roman" w:hAnsi="Times New Roman"/>
          <w:sz w:val="24"/>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632A8C">
        <w:rPr>
          <w:rFonts w:ascii="Times New Roman" w:hAnsi="Times New Roman"/>
          <w:sz w:val="24"/>
          <w:szCs w:val="24"/>
        </w:rPr>
        <w:fldChar w:fldCharType="separate"/>
      </w:r>
      <w:r w:rsidR="00AE1B1C" w:rsidRPr="00AE1B1C">
        <w:rPr>
          <w:rFonts w:ascii="Times New Roman" w:hAnsi="Times New Roman"/>
          <w:noProof/>
          <w:sz w:val="24"/>
          <w:szCs w:val="24"/>
          <w:vertAlign w:val="superscript"/>
        </w:rPr>
        <w:t>37</w:t>
      </w:r>
      <w:r w:rsidRPr="00632A8C">
        <w:rPr>
          <w:rFonts w:ascii="Times New Roman" w:hAnsi="Times New Roman"/>
          <w:sz w:val="24"/>
          <w:szCs w:val="24"/>
        </w:rPr>
        <w:fldChar w:fldCharType="end"/>
      </w:r>
      <w:r w:rsidRPr="00632A8C">
        <w:rPr>
          <w:rFonts w:ascii="Times New Roman" w:hAnsi="Times New Roman"/>
          <w:sz w:val="24"/>
          <w:szCs w:val="24"/>
        </w:rPr>
        <w:t xml:space="preserve"> The synthesis procedure is described in the </w:t>
      </w:r>
      <w:r w:rsidR="00E102F0">
        <w:rPr>
          <w:rFonts w:ascii="Times New Roman" w:hAnsi="Times New Roman"/>
          <w:sz w:val="24"/>
          <w:szCs w:val="24"/>
          <w:lang w:val="en-SI"/>
        </w:rPr>
        <w:t>supplementary material</w:t>
      </w:r>
      <w:r w:rsidRPr="00632A8C">
        <w:rPr>
          <w:rFonts w:ascii="Times New Roman" w:hAnsi="Times New Roman"/>
          <w:sz w:val="24"/>
          <w:szCs w:val="24"/>
        </w:rPr>
        <w:t>.</w:t>
      </w:r>
    </w:p>
    <w:p w14:paraId="3F22148B" w14:textId="1138AFBC" w:rsidR="00632A8C" w:rsidRPr="00632A8C" w:rsidRDefault="00632A8C" w:rsidP="004A211D">
      <w:pPr>
        <w:spacing w:line="360" w:lineRule="auto"/>
        <w:ind w:firstLine="425"/>
        <w:rPr>
          <w:szCs w:val="24"/>
        </w:rPr>
      </w:pPr>
      <w:r w:rsidRPr="00632A8C">
        <w:rPr>
          <w:szCs w:val="24"/>
        </w:rPr>
        <w:t>Sample names, types and amounts of dopants and acids added during the synthesis are presented in Table 1. The measured amounts of different dopants were determined with XPS measurements and are given in</w:t>
      </w:r>
      <w:r w:rsidR="00251FE8">
        <w:rPr>
          <w:szCs w:val="24"/>
          <w:lang w:val="en-SI"/>
        </w:rPr>
        <w:t>.</w:t>
      </w:r>
      <w:r w:rsidRPr="00632A8C">
        <w:rPr>
          <w:szCs w:val="24"/>
        </w:rPr>
        <w:fldChar w:fldCharType="begin" w:fldLock="1"/>
      </w:r>
      <w:r w:rsidR="00AE1B1C">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632A8C">
        <w:rPr>
          <w:szCs w:val="24"/>
        </w:rPr>
        <w:fldChar w:fldCharType="separate"/>
      </w:r>
      <w:r w:rsidR="00AE1B1C" w:rsidRPr="00AE1B1C">
        <w:rPr>
          <w:szCs w:val="24"/>
          <w:vertAlign w:val="superscript"/>
        </w:rPr>
        <w:t>37</w:t>
      </w:r>
      <w:r w:rsidRPr="00632A8C">
        <w:rPr>
          <w:szCs w:val="24"/>
        </w:rPr>
        <w:fldChar w:fldCharType="end"/>
      </w:r>
    </w:p>
    <w:p w14:paraId="197ADC29" w14:textId="77777777" w:rsidR="00632A8C" w:rsidRPr="00632A8C" w:rsidRDefault="00632A8C" w:rsidP="00632A8C">
      <w:pPr>
        <w:spacing w:line="228" w:lineRule="auto"/>
        <w:ind w:firstLine="425"/>
        <w:rPr>
          <w:szCs w:val="24"/>
        </w:rPr>
      </w:pPr>
    </w:p>
    <w:p w14:paraId="195CC532" w14:textId="77777777" w:rsidR="00632A8C" w:rsidRPr="004A211D" w:rsidRDefault="00632A8C" w:rsidP="00632A8C">
      <w:pPr>
        <w:pStyle w:val="Caption"/>
        <w:keepNext/>
        <w:rPr>
          <w:rFonts w:ascii="Times New Roman" w:hAnsi="Times New Roman"/>
          <w:color w:val="auto"/>
          <w:sz w:val="24"/>
          <w:szCs w:val="24"/>
        </w:rPr>
      </w:pPr>
      <w:r w:rsidRPr="004A211D">
        <w:rPr>
          <w:rFonts w:ascii="Times New Roman" w:hAnsi="Times New Roman"/>
          <w:b/>
          <w:i w:val="0"/>
          <w:color w:val="auto"/>
          <w:sz w:val="24"/>
          <w:szCs w:val="24"/>
        </w:rPr>
        <w:lastRenderedPageBreak/>
        <w:t xml:space="preserve">Table </w:t>
      </w:r>
      <w:r w:rsidRPr="004A211D">
        <w:rPr>
          <w:rFonts w:ascii="Times New Roman" w:hAnsi="Times New Roman"/>
          <w:b/>
          <w:i w:val="0"/>
          <w:color w:val="auto"/>
          <w:sz w:val="24"/>
          <w:szCs w:val="24"/>
        </w:rPr>
        <w:fldChar w:fldCharType="begin"/>
      </w:r>
      <w:r w:rsidRPr="004A211D">
        <w:rPr>
          <w:rFonts w:ascii="Times New Roman" w:hAnsi="Times New Roman"/>
          <w:b/>
          <w:i w:val="0"/>
          <w:color w:val="auto"/>
          <w:sz w:val="24"/>
          <w:szCs w:val="24"/>
        </w:rPr>
        <w:instrText xml:space="preserve"> SEQ Table \* ARABIC </w:instrText>
      </w:r>
      <w:r w:rsidRPr="004A211D">
        <w:rPr>
          <w:rFonts w:ascii="Times New Roman" w:hAnsi="Times New Roman"/>
          <w:b/>
          <w:i w:val="0"/>
          <w:color w:val="auto"/>
          <w:sz w:val="24"/>
          <w:szCs w:val="24"/>
        </w:rPr>
        <w:fldChar w:fldCharType="separate"/>
      </w:r>
      <w:r w:rsidRPr="004A211D">
        <w:rPr>
          <w:rFonts w:ascii="Times New Roman" w:hAnsi="Times New Roman"/>
          <w:b/>
          <w:i w:val="0"/>
          <w:noProof/>
          <w:color w:val="auto"/>
          <w:sz w:val="24"/>
          <w:szCs w:val="24"/>
        </w:rPr>
        <w:t>1</w:t>
      </w:r>
      <w:r w:rsidRPr="004A211D">
        <w:rPr>
          <w:rFonts w:ascii="Times New Roman" w:hAnsi="Times New Roman"/>
          <w:b/>
          <w:i w:val="0"/>
          <w:color w:val="auto"/>
          <w:sz w:val="24"/>
          <w:szCs w:val="24"/>
        </w:rPr>
        <w:fldChar w:fldCharType="end"/>
      </w:r>
      <w:r w:rsidRPr="004A211D">
        <w:rPr>
          <w:rFonts w:ascii="Times New Roman" w:hAnsi="Times New Roman"/>
          <w:b/>
          <w:i w:val="0"/>
          <w:color w:val="auto"/>
          <w:sz w:val="24"/>
          <w:szCs w:val="24"/>
        </w:rPr>
        <w:t>.</w:t>
      </w:r>
      <w:r w:rsidRPr="004A211D">
        <w:rPr>
          <w:rFonts w:ascii="Times New Roman" w:hAnsi="Times New Roman"/>
          <w:i w:val="0"/>
          <w:color w:val="auto"/>
          <w:sz w:val="24"/>
          <w:szCs w:val="24"/>
        </w:rPr>
        <w:t xml:space="preserve"> </w:t>
      </w:r>
      <w:r w:rsidRPr="004A211D">
        <w:rPr>
          <w:rFonts w:ascii="Times New Roman" w:hAnsi="Times New Roman"/>
          <w:i w:val="0"/>
          <w:color w:val="auto"/>
          <w:sz w:val="24"/>
          <w:szCs w:val="24"/>
          <w:lang w:val="en-US"/>
        </w:rPr>
        <w:t xml:space="preserve">Sample names, </w:t>
      </w:r>
      <w:proofErr w:type="gramStart"/>
      <w:r w:rsidRPr="004A211D">
        <w:rPr>
          <w:rFonts w:ascii="Times New Roman" w:hAnsi="Times New Roman"/>
          <w:i w:val="0"/>
          <w:color w:val="auto"/>
          <w:sz w:val="24"/>
          <w:szCs w:val="24"/>
          <w:lang w:val="en-US"/>
        </w:rPr>
        <w:t>types</w:t>
      </w:r>
      <w:proofErr w:type="gramEnd"/>
      <w:r w:rsidRPr="004A211D">
        <w:rPr>
          <w:rFonts w:ascii="Times New Roman" w:hAnsi="Times New Roman"/>
          <w:i w:val="0"/>
          <w:color w:val="auto"/>
          <w:sz w:val="24"/>
          <w:szCs w:val="24"/>
          <w:lang w:val="en-US"/>
        </w:rPr>
        <w:t xml:space="preserve"> and amounts of dopants and acids added during the synthesis.</w:t>
      </w:r>
    </w:p>
    <w:tbl>
      <w:tblPr>
        <w:tblW w:w="10057" w:type="dxa"/>
        <w:tblBorders>
          <w:top w:val="single" w:sz="4" w:space="0" w:color="7F7F7F"/>
          <w:bottom w:val="single" w:sz="4" w:space="0" w:color="7F7F7F"/>
        </w:tblBorders>
        <w:tblLook w:val="04A0" w:firstRow="1" w:lastRow="0" w:firstColumn="1" w:lastColumn="0" w:noHBand="0" w:noVBand="1"/>
      </w:tblPr>
      <w:tblGrid>
        <w:gridCol w:w="3261"/>
        <w:gridCol w:w="2265"/>
        <w:gridCol w:w="2265"/>
        <w:gridCol w:w="2266"/>
      </w:tblGrid>
      <w:tr w:rsidR="00632A8C" w:rsidRPr="00632A8C" w14:paraId="2C6A64ED" w14:textId="77777777" w:rsidTr="004A211D">
        <w:tc>
          <w:tcPr>
            <w:tcW w:w="3261" w:type="dxa"/>
            <w:tcBorders>
              <w:top w:val="single" w:sz="4" w:space="0" w:color="auto"/>
              <w:bottom w:val="single" w:sz="4" w:space="0" w:color="7F7F7F"/>
            </w:tcBorders>
            <w:shd w:val="clear" w:color="auto" w:fill="auto"/>
            <w:vAlign w:val="center"/>
          </w:tcPr>
          <w:p w14:paraId="1705E0C4"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Sample</w:t>
            </w:r>
          </w:p>
        </w:tc>
        <w:tc>
          <w:tcPr>
            <w:tcW w:w="2265" w:type="dxa"/>
            <w:tcBorders>
              <w:top w:val="single" w:sz="4" w:space="0" w:color="auto"/>
              <w:bottom w:val="single" w:sz="4" w:space="0" w:color="7F7F7F"/>
            </w:tcBorders>
            <w:shd w:val="clear" w:color="auto" w:fill="auto"/>
            <w:vAlign w:val="center"/>
          </w:tcPr>
          <w:p w14:paraId="578C6B43" w14:textId="77777777" w:rsidR="00632A8C" w:rsidRPr="004A211D" w:rsidRDefault="00632A8C" w:rsidP="004A211D">
            <w:pPr>
              <w:spacing w:line="276" w:lineRule="auto"/>
              <w:jc w:val="center"/>
              <w:rPr>
                <w:rFonts w:eastAsia="Calibri"/>
                <w:b/>
                <w:bCs/>
                <w:szCs w:val="24"/>
              </w:rPr>
            </w:pPr>
            <w:r w:rsidRPr="004A211D">
              <w:rPr>
                <w:rFonts w:eastAsia="Calibri"/>
                <w:b/>
                <w:bCs/>
                <w:szCs w:val="24"/>
              </w:rPr>
              <w:t>Dopant; dopant source</w:t>
            </w:r>
          </w:p>
        </w:tc>
        <w:tc>
          <w:tcPr>
            <w:tcW w:w="2265" w:type="dxa"/>
            <w:tcBorders>
              <w:top w:val="single" w:sz="4" w:space="0" w:color="auto"/>
              <w:bottom w:val="single" w:sz="4" w:space="0" w:color="7F7F7F"/>
            </w:tcBorders>
            <w:shd w:val="clear" w:color="auto" w:fill="auto"/>
            <w:vAlign w:val="center"/>
          </w:tcPr>
          <w:p w14:paraId="40FBBBB0" w14:textId="77777777" w:rsidR="00632A8C" w:rsidRPr="004A211D" w:rsidRDefault="00632A8C" w:rsidP="004A211D">
            <w:pPr>
              <w:spacing w:line="276" w:lineRule="auto"/>
              <w:ind w:left="43" w:right="-256" w:hanging="43"/>
              <w:jc w:val="center"/>
              <w:rPr>
                <w:rFonts w:eastAsia="Calibri"/>
                <w:b/>
                <w:bCs/>
                <w:szCs w:val="24"/>
              </w:rPr>
            </w:pPr>
            <w:r w:rsidRPr="004A211D">
              <w:rPr>
                <w:rFonts w:eastAsia="Calibri"/>
                <w:b/>
                <w:bCs/>
                <w:szCs w:val="24"/>
              </w:rPr>
              <w:t>Nominal amount of dopant relative to TiO</w:t>
            </w:r>
            <w:r w:rsidRPr="004A211D">
              <w:rPr>
                <w:rFonts w:eastAsia="Calibri"/>
                <w:b/>
                <w:bCs/>
                <w:szCs w:val="24"/>
                <w:vertAlign w:val="subscript"/>
              </w:rPr>
              <w:t>2</w:t>
            </w:r>
            <w:r w:rsidRPr="004A211D">
              <w:rPr>
                <w:rFonts w:eastAsia="Calibri"/>
                <w:b/>
                <w:bCs/>
                <w:szCs w:val="24"/>
              </w:rPr>
              <w:t xml:space="preserve"> (atom %)</w:t>
            </w:r>
          </w:p>
        </w:tc>
        <w:tc>
          <w:tcPr>
            <w:tcW w:w="2266" w:type="dxa"/>
            <w:tcBorders>
              <w:top w:val="single" w:sz="4" w:space="0" w:color="auto"/>
              <w:bottom w:val="single" w:sz="4" w:space="0" w:color="7F7F7F"/>
            </w:tcBorders>
            <w:shd w:val="clear" w:color="auto" w:fill="auto"/>
            <w:vAlign w:val="center"/>
          </w:tcPr>
          <w:p w14:paraId="145C1A51" w14:textId="77777777" w:rsidR="00632A8C" w:rsidRPr="004A211D" w:rsidRDefault="00632A8C" w:rsidP="004A211D">
            <w:pPr>
              <w:spacing w:line="276" w:lineRule="auto"/>
              <w:jc w:val="center"/>
              <w:rPr>
                <w:rFonts w:eastAsia="Calibri"/>
                <w:b/>
                <w:bCs/>
                <w:szCs w:val="24"/>
              </w:rPr>
            </w:pPr>
            <w:r w:rsidRPr="004A211D">
              <w:rPr>
                <w:rFonts w:eastAsia="Calibri"/>
                <w:b/>
                <w:bCs/>
                <w:szCs w:val="24"/>
              </w:rPr>
              <w:t>Amount (mL) and type of acid added</w:t>
            </w:r>
          </w:p>
        </w:tc>
      </w:tr>
      <w:tr w:rsidR="00632A8C" w:rsidRPr="00632A8C" w14:paraId="02B2D5F3" w14:textId="77777777" w:rsidTr="004A211D">
        <w:tc>
          <w:tcPr>
            <w:tcW w:w="3261" w:type="dxa"/>
            <w:tcBorders>
              <w:top w:val="single" w:sz="4" w:space="0" w:color="7F7F7F"/>
              <w:bottom w:val="single" w:sz="4" w:space="0" w:color="7F7F7F"/>
            </w:tcBorders>
            <w:shd w:val="clear" w:color="auto" w:fill="auto"/>
            <w:vAlign w:val="center"/>
          </w:tcPr>
          <w:p w14:paraId="08AEA73A" w14:textId="77777777" w:rsidR="00632A8C" w:rsidRPr="004A211D" w:rsidRDefault="00632A8C" w:rsidP="004A211D">
            <w:pPr>
              <w:spacing w:line="276" w:lineRule="auto"/>
              <w:jc w:val="center"/>
              <w:rPr>
                <w:rFonts w:eastAsia="Calibri"/>
                <w:b/>
                <w:bCs/>
                <w:szCs w:val="24"/>
              </w:rPr>
            </w:pPr>
            <w:r w:rsidRPr="004A211D">
              <w:rPr>
                <w:rFonts w:eastAsia="Calibri"/>
                <w:b/>
                <w:bCs/>
                <w:szCs w:val="24"/>
              </w:rPr>
              <w:t>REF</w:t>
            </w:r>
          </w:p>
        </w:tc>
        <w:tc>
          <w:tcPr>
            <w:tcW w:w="2265" w:type="dxa"/>
            <w:tcBorders>
              <w:top w:val="single" w:sz="4" w:space="0" w:color="7F7F7F"/>
              <w:bottom w:val="single" w:sz="4" w:space="0" w:color="7F7F7F"/>
            </w:tcBorders>
            <w:shd w:val="clear" w:color="auto" w:fill="auto"/>
          </w:tcPr>
          <w:p w14:paraId="2F52085B" w14:textId="77777777" w:rsidR="00632A8C" w:rsidRPr="004A211D" w:rsidRDefault="00632A8C" w:rsidP="004A211D">
            <w:pPr>
              <w:spacing w:line="276" w:lineRule="auto"/>
              <w:jc w:val="center"/>
              <w:rPr>
                <w:rFonts w:eastAsia="Calibri"/>
                <w:szCs w:val="24"/>
              </w:rPr>
            </w:pPr>
            <w:r w:rsidRPr="004A211D">
              <w:rPr>
                <w:rFonts w:eastAsia="Calibri"/>
                <w:szCs w:val="24"/>
              </w:rPr>
              <w:t>/</w:t>
            </w:r>
          </w:p>
        </w:tc>
        <w:tc>
          <w:tcPr>
            <w:tcW w:w="2265" w:type="dxa"/>
            <w:tcBorders>
              <w:top w:val="single" w:sz="4" w:space="0" w:color="7F7F7F"/>
              <w:bottom w:val="single" w:sz="4" w:space="0" w:color="7F7F7F"/>
            </w:tcBorders>
            <w:shd w:val="clear" w:color="auto" w:fill="auto"/>
          </w:tcPr>
          <w:p w14:paraId="79174BF1" w14:textId="77777777" w:rsidR="00632A8C" w:rsidRPr="004A211D" w:rsidRDefault="00632A8C" w:rsidP="004A211D">
            <w:pPr>
              <w:spacing w:line="276" w:lineRule="auto"/>
              <w:jc w:val="center"/>
              <w:rPr>
                <w:rFonts w:eastAsia="Calibri"/>
                <w:szCs w:val="24"/>
              </w:rPr>
            </w:pPr>
            <w:r w:rsidRPr="004A211D">
              <w:rPr>
                <w:rFonts w:eastAsia="Calibri"/>
                <w:szCs w:val="24"/>
              </w:rPr>
              <w:t>/</w:t>
            </w:r>
          </w:p>
        </w:tc>
        <w:tc>
          <w:tcPr>
            <w:tcW w:w="2266" w:type="dxa"/>
            <w:tcBorders>
              <w:top w:val="single" w:sz="4" w:space="0" w:color="7F7F7F"/>
              <w:bottom w:val="single" w:sz="4" w:space="0" w:color="7F7F7F"/>
            </w:tcBorders>
            <w:shd w:val="clear" w:color="auto" w:fill="auto"/>
          </w:tcPr>
          <w:p w14:paraId="0DC9684C" w14:textId="77777777" w:rsidR="00632A8C" w:rsidRPr="004A211D" w:rsidRDefault="00632A8C" w:rsidP="004A211D">
            <w:pPr>
              <w:spacing w:line="276" w:lineRule="auto"/>
              <w:jc w:val="center"/>
              <w:rPr>
                <w:rFonts w:eastAsia="Calibri"/>
                <w:szCs w:val="24"/>
              </w:rPr>
            </w:pPr>
            <w:r w:rsidRPr="004A211D">
              <w:rPr>
                <w:rFonts w:eastAsia="Calibri"/>
                <w:szCs w:val="24"/>
              </w:rPr>
              <w:t>18; HCl</w:t>
            </w:r>
          </w:p>
        </w:tc>
      </w:tr>
      <w:tr w:rsidR="00632A8C" w:rsidRPr="00632A8C" w14:paraId="2D71BE39" w14:textId="77777777" w:rsidTr="004A211D">
        <w:tc>
          <w:tcPr>
            <w:tcW w:w="3261" w:type="dxa"/>
            <w:shd w:val="clear" w:color="auto" w:fill="auto"/>
            <w:vAlign w:val="center"/>
          </w:tcPr>
          <w:p w14:paraId="21C67072" w14:textId="77777777" w:rsidR="00632A8C" w:rsidRPr="004A211D" w:rsidRDefault="00632A8C" w:rsidP="004A211D">
            <w:pPr>
              <w:spacing w:line="276" w:lineRule="auto"/>
              <w:jc w:val="center"/>
              <w:rPr>
                <w:rFonts w:eastAsia="Calibri"/>
                <w:b/>
                <w:bCs/>
                <w:szCs w:val="24"/>
              </w:rPr>
            </w:pPr>
            <w:r w:rsidRPr="004A211D">
              <w:rPr>
                <w:rFonts w:eastAsia="Calibri"/>
                <w:b/>
                <w:bCs/>
                <w:szCs w:val="24"/>
              </w:rPr>
              <w:t>Urea_15</w:t>
            </w:r>
          </w:p>
        </w:tc>
        <w:tc>
          <w:tcPr>
            <w:tcW w:w="2265" w:type="dxa"/>
            <w:shd w:val="clear" w:color="auto" w:fill="auto"/>
          </w:tcPr>
          <w:p w14:paraId="54D47C7D" w14:textId="77777777" w:rsidR="00632A8C" w:rsidRPr="004A211D" w:rsidRDefault="00632A8C" w:rsidP="004A211D">
            <w:pPr>
              <w:spacing w:line="276" w:lineRule="auto"/>
              <w:jc w:val="center"/>
              <w:rPr>
                <w:rFonts w:eastAsia="Calibri"/>
                <w:szCs w:val="24"/>
              </w:rPr>
            </w:pPr>
            <w:r w:rsidRPr="004A211D">
              <w:rPr>
                <w:rFonts w:eastAsia="Calibri"/>
                <w:szCs w:val="24"/>
              </w:rPr>
              <w:t>N; urea</w:t>
            </w:r>
          </w:p>
        </w:tc>
        <w:tc>
          <w:tcPr>
            <w:tcW w:w="2265" w:type="dxa"/>
            <w:shd w:val="clear" w:color="auto" w:fill="auto"/>
          </w:tcPr>
          <w:p w14:paraId="76B8A54B" w14:textId="77777777" w:rsidR="00632A8C" w:rsidRPr="004A211D" w:rsidRDefault="00632A8C" w:rsidP="004A211D">
            <w:pPr>
              <w:spacing w:line="276" w:lineRule="auto"/>
              <w:jc w:val="center"/>
              <w:rPr>
                <w:rFonts w:eastAsia="Calibri"/>
                <w:szCs w:val="24"/>
              </w:rPr>
            </w:pPr>
            <w:r w:rsidRPr="004A211D">
              <w:rPr>
                <w:rFonts w:eastAsia="Calibri"/>
                <w:szCs w:val="24"/>
              </w:rPr>
              <w:t>15</w:t>
            </w:r>
          </w:p>
        </w:tc>
        <w:tc>
          <w:tcPr>
            <w:tcW w:w="2266" w:type="dxa"/>
            <w:shd w:val="clear" w:color="auto" w:fill="auto"/>
          </w:tcPr>
          <w:p w14:paraId="24AA1EF1" w14:textId="77777777" w:rsidR="00632A8C" w:rsidRPr="004A211D" w:rsidRDefault="00632A8C" w:rsidP="004A211D">
            <w:pPr>
              <w:spacing w:line="276" w:lineRule="auto"/>
              <w:jc w:val="center"/>
              <w:rPr>
                <w:rFonts w:eastAsia="Calibri"/>
                <w:szCs w:val="24"/>
              </w:rPr>
            </w:pPr>
            <w:r w:rsidRPr="004A211D">
              <w:rPr>
                <w:rFonts w:eastAsia="Calibri"/>
                <w:szCs w:val="24"/>
              </w:rPr>
              <w:t>18; HCl</w:t>
            </w:r>
          </w:p>
        </w:tc>
      </w:tr>
      <w:tr w:rsidR="00632A8C" w:rsidRPr="00632A8C" w14:paraId="346D0B65" w14:textId="77777777" w:rsidTr="004A211D">
        <w:tc>
          <w:tcPr>
            <w:tcW w:w="3261" w:type="dxa"/>
            <w:tcBorders>
              <w:top w:val="single" w:sz="4" w:space="0" w:color="7F7F7F"/>
              <w:bottom w:val="single" w:sz="4" w:space="0" w:color="7F7F7F"/>
            </w:tcBorders>
            <w:shd w:val="clear" w:color="auto" w:fill="auto"/>
            <w:vAlign w:val="center"/>
          </w:tcPr>
          <w:p w14:paraId="7F9B4CCC" w14:textId="77777777" w:rsidR="00632A8C" w:rsidRPr="004A211D" w:rsidRDefault="00632A8C" w:rsidP="004A211D">
            <w:pPr>
              <w:spacing w:line="276" w:lineRule="auto"/>
              <w:jc w:val="center"/>
              <w:rPr>
                <w:rFonts w:eastAsia="Calibri"/>
                <w:b/>
                <w:bCs/>
                <w:szCs w:val="24"/>
              </w:rPr>
            </w:pPr>
            <w:r w:rsidRPr="004A211D">
              <w:rPr>
                <w:rFonts w:eastAsia="Calibri"/>
                <w:b/>
                <w:bCs/>
                <w:szCs w:val="24"/>
              </w:rPr>
              <w:t>Thiourea_15</w:t>
            </w:r>
          </w:p>
        </w:tc>
        <w:tc>
          <w:tcPr>
            <w:tcW w:w="2265" w:type="dxa"/>
            <w:tcBorders>
              <w:top w:val="single" w:sz="4" w:space="0" w:color="7F7F7F"/>
              <w:bottom w:val="single" w:sz="4" w:space="0" w:color="7F7F7F"/>
            </w:tcBorders>
            <w:shd w:val="clear" w:color="auto" w:fill="auto"/>
          </w:tcPr>
          <w:p w14:paraId="03DE21E1" w14:textId="77777777" w:rsidR="00632A8C" w:rsidRPr="004A211D" w:rsidRDefault="00632A8C" w:rsidP="004A211D">
            <w:pPr>
              <w:spacing w:line="276" w:lineRule="auto"/>
              <w:jc w:val="center"/>
              <w:rPr>
                <w:rFonts w:eastAsia="Calibri"/>
                <w:szCs w:val="24"/>
              </w:rPr>
            </w:pPr>
            <w:r w:rsidRPr="004A211D">
              <w:rPr>
                <w:rFonts w:eastAsia="Calibri"/>
                <w:szCs w:val="24"/>
              </w:rPr>
              <w:t>S; Thiourea</w:t>
            </w:r>
          </w:p>
        </w:tc>
        <w:tc>
          <w:tcPr>
            <w:tcW w:w="2265" w:type="dxa"/>
            <w:tcBorders>
              <w:top w:val="single" w:sz="4" w:space="0" w:color="7F7F7F"/>
              <w:bottom w:val="single" w:sz="4" w:space="0" w:color="7F7F7F"/>
            </w:tcBorders>
            <w:shd w:val="clear" w:color="auto" w:fill="auto"/>
          </w:tcPr>
          <w:p w14:paraId="7BC65A46" w14:textId="77777777" w:rsidR="00632A8C" w:rsidRPr="004A211D" w:rsidRDefault="00632A8C" w:rsidP="004A211D">
            <w:pPr>
              <w:spacing w:line="276" w:lineRule="auto"/>
              <w:jc w:val="center"/>
              <w:rPr>
                <w:rFonts w:eastAsia="Calibri"/>
                <w:szCs w:val="24"/>
              </w:rPr>
            </w:pPr>
            <w:r w:rsidRPr="004A211D">
              <w:rPr>
                <w:rFonts w:eastAsia="Calibri"/>
                <w:szCs w:val="24"/>
              </w:rPr>
              <w:t>15</w:t>
            </w:r>
          </w:p>
        </w:tc>
        <w:tc>
          <w:tcPr>
            <w:tcW w:w="2266" w:type="dxa"/>
            <w:tcBorders>
              <w:top w:val="single" w:sz="4" w:space="0" w:color="7F7F7F"/>
              <w:bottom w:val="single" w:sz="4" w:space="0" w:color="7F7F7F"/>
            </w:tcBorders>
            <w:shd w:val="clear" w:color="auto" w:fill="auto"/>
          </w:tcPr>
          <w:p w14:paraId="03822FB6" w14:textId="77777777" w:rsidR="00632A8C" w:rsidRPr="004A211D" w:rsidRDefault="00632A8C" w:rsidP="004A211D">
            <w:pPr>
              <w:spacing w:line="276" w:lineRule="auto"/>
              <w:jc w:val="center"/>
              <w:rPr>
                <w:rFonts w:eastAsia="Calibri"/>
                <w:szCs w:val="24"/>
              </w:rPr>
            </w:pPr>
            <w:r w:rsidRPr="004A211D">
              <w:rPr>
                <w:rFonts w:eastAsia="Calibri"/>
                <w:szCs w:val="24"/>
              </w:rPr>
              <w:t>18; HCl</w:t>
            </w:r>
          </w:p>
        </w:tc>
      </w:tr>
      <w:tr w:rsidR="00632A8C" w:rsidRPr="00632A8C" w14:paraId="1C7C0F39" w14:textId="77777777" w:rsidTr="004A211D">
        <w:tc>
          <w:tcPr>
            <w:tcW w:w="3261" w:type="dxa"/>
            <w:shd w:val="clear" w:color="auto" w:fill="auto"/>
            <w:vAlign w:val="center"/>
          </w:tcPr>
          <w:p w14:paraId="565AF6F5"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S2</w:t>
            </w:r>
          </w:p>
        </w:tc>
        <w:tc>
          <w:tcPr>
            <w:tcW w:w="2265" w:type="dxa"/>
            <w:shd w:val="clear" w:color="auto" w:fill="auto"/>
          </w:tcPr>
          <w:p w14:paraId="7AC109F7" w14:textId="77777777" w:rsidR="00632A8C" w:rsidRPr="004A211D" w:rsidRDefault="00632A8C" w:rsidP="004A211D">
            <w:pPr>
              <w:spacing w:line="276" w:lineRule="auto"/>
              <w:jc w:val="center"/>
              <w:rPr>
                <w:rFonts w:eastAsia="Calibri"/>
                <w:szCs w:val="24"/>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c>
          <w:tcPr>
            <w:tcW w:w="2265" w:type="dxa"/>
            <w:shd w:val="clear" w:color="auto" w:fill="auto"/>
          </w:tcPr>
          <w:p w14:paraId="5AA83753" w14:textId="77777777" w:rsidR="00632A8C" w:rsidRPr="004A211D" w:rsidRDefault="00632A8C" w:rsidP="004A211D">
            <w:pPr>
              <w:spacing w:line="276" w:lineRule="auto"/>
              <w:jc w:val="center"/>
              <w:rPr>
                <w:rFonts w:eastAsia="Calibri"/>
                <w:szCs w:val="24"/>
              </w:rPr>
            </w:pPr>
            <w:r w:rsidRPr="004A211D">
              <w:rPr>
                <w:rFonts w:eastAsia="Calibri"/>
                <w:szCs w:val="24"/>
              </w:rPr>
              <w:t>/</w:t>
            </w:r>
          </w:p>
        </w:tc>
        <w:tc>
          <w:tcPr>
            <w:tcW w:w="2266" w:type="dxa"/>
            <w:shd w:val="clear" w:color="auto" w:fill="auto"/>
          </w:tcPr>
          <w:p w14:paraId="025F48E4" w14:textId="77777777" w:rsidR="00632A8C" w:rsidRPr="004A211D" w:rsidRDefault="00632A8C" w:rsidP="004A211D">
            <w:pPr>
              <w:spacing w:line="276" w:lineRule="auto"/>
              <w:jc w:val="center"/>
              <w:rPr>
                <w:rFonts w:eastAsia="Calibri"/>
                <w:szCs w:val="24"/>
              </w:rPr>
            </w:pPr>
            <w:r w:rsidRPr="004A211D">
              <w:rPr>
                <w:rFonts w:eastAsia="Calibri"/>
                <w:szCs w:val="24"/>
              </w:rPr>
              <w:t>3.3;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03E05B56" w14:textId="77777777" w:rsidTr="004A211D">
        <w:tc>
          <w:tcPr>
            <w:tcW w:w="3261" w:type="dxa"/>
            <w:tcBorders>
              <w:top w:val="single" w:sz="4" w:space="0" w:color="7F7F7F"/>
              <w:bottom w:val="single" w:sz="4" w:space="0" w:color="7F7F7F"/>
            </w:tcBorders>
            <w:shd w:val="clear" w:color="auto" w:fill="auto"/>
            <w:vAlign w:val="center"/>
          </w:tcPr>
          <w:p w14:paraId="5E60C09E"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w:t>
            </w:r>
          </w:p>
        </w:tc>
        <w:tc>
          <w:tcPr>
            <w:tcW w:w="2265" w:type="dxa"/>
            <w:tcBorders>
              <w:top w:val="single" w:sz="4" w:space="0" w:color="7F7F7F"/>
              <w:bottom w:val="single" w:sz="4" w:space="0" w:color="7F7F7F"/>
            </w:tcBorders>
            <w:shd w:val="clear" w:color="auto" w:fill="auto"/>
          </w:tcPr>
          <w:p w14:paraId="40CA661C" w14:textId="77777777" w:rsidR="00632A8C" w:rsidRPr="004A211D" w:rsidRDefault="00632A8C" w:rsidP="004A211D">
            <w:pPr>
              <w:spacing w:line="276" w:lineRule="auto"/>
              <w:jc w:val="center"/>
              <w:rPr>
                <w:rFonts w:eastAsia="Calibri"/>
                <w:szCs w:val="24"/>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c>
          <w:tcPr>
            <w:tcW w:w="2265" w:type="dxa"/>
            <w:tcBorders>
              <w:top w:val="single" w:sz="4" w:space="0" w:color="7F7F7F"/>
              <w:bottom w:val="single" w:sz="4" w:space="0" w:color="7F7F7F"/>
            </w:tcBorders>
            <w:shd w:val="clear" w:color="auto" w:fill="auto"/>
          </w:tcPr>
          <w:p w14:paraId="2FBC0B8D" w14:textId="77777777" w:rsidR="00632A8C" w:rsidRPr="004A211D" w:rsidRDefault="00632A8C" w:rsidP="004A211D">
            <w:pPr>
              <w:spacing w:line="276" w:lineRule="auto"/>
              <w:jc w:val="center"/>
              <w:rPr>
                <w:rFonts w:eastAsia="Calibri"/>
                <w:szCs w:val="24"/>
              </w:rPr>
            </w:pPr>
            <w:r w:rsidRPr="004A211D">
              <w:rPr>
                <w:rFonts w:eastAsia="Calibri"/>
                <w:szCs w:val="24"/>
              </w:rPr>
              <w:t>/</w:t>
            </w:r>
          </w:p>
        </w:tc>
        <w:tc>
          <w:tcPr>
            <w:tcW w:w="2266" w:type="dxa"/>
            <w:tcBorders>
              <w:top w:val="single" w:sz="4" w:space="0" w:color="7F7F7F"/>
              <w:bottom w:val="single" w:sz="4" w:space="0" w:color="7F7F7F"/>
            </w:tcBorders>
            <w:shd w:val="clear" w:color="auto" w:fill="auto"/>
          </w:tcPr>
          <w:p w14:paraId="5C13EFB8"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6F14A862" w14:textId="77777777" w:rsidTr="004A211D">
        <w:tc>
          <w:tcPr>
            <w:tcW w:w="3261" w:type="dxa"/>
            <w:shd w:val="clear" w:color="auto" w:fill="auto"/>
            <w:vAlign w:val="center"/>
          </w:tcPr>
          <w:p w14:paraId="511C9E86"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S3_N0.5</w:t>
            </w:r>
          </w:p>
        </w:tc>
        <w:tc>
          <w:tcPr>
            <w:tcW w:w="2265" w:type="dxa"/>
            <w:shd w:val="clear" w:color="auto" w:fill="auto"/>
          </w:tcPr>
          <w:p w14:paraId="51FA61EE"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0D8BCCD8" w14:textId="77777777" w:rsidR="00632A8C" w:rsidRPr="004A211D" w:rsidRDefault="00632A8C" w:rsidP="004A211D">
            <w:pPr>
              <w:spacing w:line="276" w:lineRule="auto"/>
              <w:jc w:val="center"/>
              <w:rPr>
                <w:rFonts w:eastAsia="Calibri"/>
                <w:szCs w:val="24"/>
              </w:rPr>
            </w:pPr>
            <w:r w:rsidRPr="004A211D">
              <w:rPr>
                <w:rFonts w:eastAsia="Calibri"/>
                <w:szCs w:val="24"/>
              </w:rPr>
              <w:t>N; NH</w:t>
            </w:r>
            <w:r w:rsidRPr="004A211D">
              <w:rPr>
                <w:rFonts w:eastAsia="Calibri"/>
                <w:szCs w:val="24"/>
                <w:vertAlign w:val="subscript"/>
              </w:rPr>
              <w:t>4</w:t>
            </w:r>
            <w:r w:rsidRPr="004A211D">
              <w:rPr>
                <w:rFonts w:eastAsia="Calibri"/>
                <w:szCs w:val="24"/>
              </w:rPr>
              <w:t>NO</w:t>
            </w:r>
            <w:r w:rsidRPr="004A211D">
              <w:rPr>
                <w:rFonts w:eastAsia="Calibri"/>
                <w:szCs w:val="24"/>
                <w:vertAlign w:val="subscript"/>
              </w:rPr>
              <w:t>3</w:t>
            </w:r>
          </w:p>
        </w:tc>
        <w:tc>
          <w:tcPr>
            <w:tcW w:w="2265" w:type="dxa"/>
            <w:shd w:val="clear" w:color="auto" w:fill="auto"/>
          </w:tcPr>
          <w:p w14:paraId="473E24BA"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3613DE7E" w14:textId="77777777" w:rsidR="00632A8C" w:rsidRPr="004A211D" w:rsidRDefault="00632A8C" w:rsidP="004A211D">
            <w:pPr>
              <w:spacing w:line="276" w:lineRule="auto"/>
              <w:jc w:val="center"/>
              <w:rPr>
                <w:rFonts w:eastAsia="Calibri"/>
                <w:szCs w:val="24"/>
              </w:rPr>
            </w:pPr>
            <w:r w:rsidRPr="004A211D">
              <w:rPr>
                <w:rFonts w:eastAsia="Calibri"/>
                <w:szCs w:val="24"/>
              </w:rPr>
              <w:t>0.5</w:t>
            </w:r>
          </w:p>
        </w:tc>
        <w:tc>
          <w:tcPr>
            <w:tcW w:w="2266" w:type="dxa"/>
            <w:shd w:val="clear" w:color="auto" w:fill="auto"/>
            <w:vAlign w:val="center"/>
          </w:tcPr>
          <w:p w14:paraId="334B6955"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0AC51558" w14:textId="77777777" w:rsidTr="004A211D">
        <w:tc>
          <w:tcPr>
            <w:tcW w:w="3261" w:type="dxa"/>
            <w:tcBorders>
              <w:top w:val="single" w:sz="4" w:space="0" w:color="7F7F7F"/>
              <w:bottom w:val="single" w:sz="4" w:space="0" w:color="7F7F7F"/>
            </w:tcBorders>
            <w:shd w:val="clear" w:color="auto" w:fill="auto"/>
            <w:vAlign w:val="center"/>
          </w:tcPr>
          <w:p w14:paraId="068CB4E3"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S3_N2</w:t>
            </w:r>
          </w:p>
        </w:tc>
        <w:tc>
          <w:tcPr>
            <w:tcW w:w="2265" w:type="dxa"/>
            <w:tcBorders>
              <w:top w:val="single" w:sz="4" w:space="0" w:color="7F7F7F"/>
              <w:bottom w:val="single" w:sz="4" w:space="0" w:color="7F7F7F"/>
            </w:tcBorders>
            <w:shd w:val="clear" w:color="auto" w:fill="auto"/>
          </w:tcPr>
          <w:p w14:paraId="5F04108D"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39FBD1E1" w14:textId="77777777" w:rsidR="00632A8C" w:rsidRPr="004A211D" w:rsidRDefault="00632A8C" w:rsidP="004A211D">
            <w:pPr>
              <w:spacing w:line="276" w:lineRule="auto"/>
              <w:jc w:val="center"/>
              <w:rPr>
                <w:rFonts w:eastAsia="Calibri"/>
                <w:szCs w:val="24"/>
              </w:rPr>
            </w:pPr>
            <w:r w:rsidRPr="004A211D">
              <w:rPr>
                <w:rFonts w:eastAsia="Calibri"/>
                <w:szCs w:val="24"/>
              </w:rPr>
              <w:t>N; NH</w:t>
            </w:r>
            <w:r w:rsidRPr="004A211D">
              <w:rPr>
                <w:rFonts w:eastAsia="Calibri"/>
                <w:szCs w:val="24"/>
                <w:vertAlign w:val="subscript"/>
              </w:rPr>
              <w:t>4</w:t>
            </w:r>
            <w:r w:rsidRPr="004A211D">
              <w:rPr>
                <w:rFonts w:eastAsia="Calibri"/>
                <w:szCs w:val="24"/>
              </w:rPr>
              <w:t>NO</w:t>
            </w:r>
            <w:r w:rsidRPr="004A211D">
              <w:rPr>
                <w:rFonts w:eastAsia="Calibri"/>
                <w:szCs w:val="24"/>
                <w:vertAlign w:val="subscript"/>
              </w:rPr>
              <w:t>3</w:t>
            </w:r>
          </w:p>
        </w:tc>
        <w:tc>
          <w:tcPr>
            <w:tcW w:w="2265" w:type="dxa"/>
            <w:tcBorders>
              <w:top w:val="single" w:sz="4" w:space="0" w:color="7F7F7F"/>
              <w:bottom w:val="single" w:sz="4" w:space="0" w:color="7F7F7F"/>
            </w:tcBorders>
            <w:shd w:val="clear" w:color="auto" w:fill="auto"/>
          </w:tcPr>
          <w:p w14:paraId="0CAF8AB8"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4569707D" w14:textId="77777777" w:rsidR="00632A8C" w:rsidRPr="004A211D" w:rsidRDefault="00632A8C" w:rsidP="004A211D">
            <w:pPr>
              <w:spacing w:line="276" w:lineRule="auto"/>
              <w:jc w:val="center"/>
              <w:rPr>
                <w:rFonts w:eastAsia="Calibri"/>
                <w:szCs w:val="24"/>
              </w:rPr>
            </w:pPr>
            <w:r w:rsidRPr="004A211D">
              <w:rPr>
                <w:rFonts w:eastAsia="Calibri"/>
                <w:szCs w:val="24"/>
              </w:rPr>
              <w:t>2</w:t>
            </w:r>
          </w:p>
        </w:tc>
        <w:tc>
          <w:tcPr>
            <w:tcW w:w="2266" w:type="dxa"/>
            <w:tcBorders>
              <w:top w:val="single" w:sz="4" w:space="0" w:color="7F7F7F"/>
              <w:bottom w:val="single" w:sz="4" w:space="0" w:color="7F7F7F"/>
            </w:tcBorders>
            <w:shd w:val="clear" w:color="auto" w:fill="auto"/>
            <w:vAlign w:val="center"/>
          </w:tcPr>
          <w:p w14:paraId="790D355C"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5E4C84D8" w14:textId="77777777" w:rsidTr="004A211D">
        <w:tc>
          <w:tcPr>
            <w:tcW w:w="3261" w:type="dxa"/>
            <w:shd w:val="clear" w:color="auto" w:fill="auto"/>
            <w:vAlign w:val="center"/>
          </w:tcPr>
          <w:p w14:paraId="45D07B74"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S3_urea15</w:t>
            </w:r>
          </w:p>
        </w:tc>
        <w:tc>
          <w:tcPr>
            <w:tcW w:w="2265" w:type="dxa"/>
            <w:shd w:val="clear" w:color="auto" w:fill="auto"/>
          </w:tcPr>
          <w:p w14:paraId="6A1CEA9A"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72611180" w14:textId="77777777" w:rsidR="00632A8C" w:rsidRPr="004A211D" w:rsidRDefault="00632A8C" w:rsidP="004A211D">
            <w:pPr>
              <w:spacing w:line="276" w:lineRule="auto"/>
              <w:jc w:val="center"/>
              <w:rPr>
                <w:rFonts w:eastAsia="Calibri"/>
                <w:szCs w:val="24"/>
              </w:rPr>
            </w:pPr>
            <w:r w:rsidRPr="004A211D">
              <w:rPr>
                <w:rFonts w:eastAsia="Calibri"/>
                <w:szCs w:val="24"/>
              </w:rPr>
              <w:t>N; urea</w:t>
            </w:r>
          </w:p>
        </w:tc>
        <w:tc>
          <w:tcPr>
            <w:tcW w:w="2265" w:type="dxa"/>
            <w:shd w:val="clear" w:color="auto" w:fill="auto"/>
          </w:tcPr>
          <w:p w14:paraId="10E9497F"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60B5597D" w14:textId="77777777" w:rsidR="00632A8C" w:rsidRPr="004A211D" w:rsidRDefault="00632A8C" w:rsidP="004A211D">
            <w:pPr>
              <w:spacing w:line="276" w:lineRule="auto"/>
              <w:jc w:val="center"/>
              <w:rPr>
                <w:rFonts w:eastAsia="Calibri"/>
                <w:szCs w:val="24"/>
              </w:rPr>
            </w:pPr>
            <w:r w:rsidRPr="004A211D">
              <w:rPr>
                <w:rFonts w:eastAsia="Calibri"/>
                <w:szCs w:val="24"/>
              </w:rPr>
              <w:t>15</w:t>
            </w:r>
          </w:p>
        </w:tc>
        <w:tc>
          <w:tcPr>
            <w:tcW w:w="2266" w:type="dxa"/>
            <w:shd w:val="clear" w:color="auto" w:fill="auto"/>
            <w:vAlign w:val="center"/>
          </w:tcPr>
          <w:p w14:paraId="2836EDC6"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3788472C" w14:textId="77777777" w:rsidTr="004A211D">
        <w:tc>
          <w:tcPr>
            <w:tcW w:w="3261" w:type="dxa"/>
            <w:tcBorders>
              <w:top w:val="single" w:sz="4" w:space="0" w:color="7F7F7F"/>
              <w:bottom w:val="single" w:sz="4" w:space="0" w:color="7F7F7F"/>
            </w:tcBorders>
            <w:shd w:val="clear" w:color="auto" w:fill="auto"/>
            <w:vAlign w:val="center"/>
          </w:tcPr>
          <w:p w14:paraId="389129FC"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S3_thiourea15</w:t>
            </w:r>
          </w:p>
        </w:tc>
        <w:tc>
          <w:tcPr>
            <w:tcW w:w="2265" w:type="dxa"/>
            <w:tcBorders>
              <w:top w:val="single" w:sz="4" w:space="0" w:color="7F7F7F"/>
              <w:bottom w:val="single" w:sz="4" w:space="0" w:color="7F7F7F"/>
            </w:tcBorders>
            <w:shd w:val="clear" w:color="auto" w:fill="auto"/>
          </w:tcPr>
          <w:p w14:paraId="34048862"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2CF0D74B" w14:textId="77777777" w:rsidR="00632A8C" w:rsidRPr="004A211D" w:rsidRDefault="00632A8C" w:rsidP="004A211D">
            <w:pPr>
              <w:spacing w:line="276" w:lineRule="auto"/>
              <w:jc w:val="center"/>
              <w:rPr>
                <w:rFonts w:eastAsia="Calibri"/>
                <w:szCs w:val="24"/>
              </w:rPr>
            </w:pPr>
            <w:r w:rsidRPr="004A211D">
              <w:rPr>
                <w:rFonts w:eastAsia="Calibri"/>
                <w:szCs w:val="24"/>
              </w:rPr>
              <w:t>S; Thiourea</w:t>
            </w:r>
          </w:p>
        </w:tc>
        <w:tc>
          <w:tcPr>
            <w:tcW w:w="2265" w:type="dxa"/>
            <w:tcBorders>
              <w:top w:val="single" w:sz="4" w:space="0" w:color="7F7F7F"/>
              <w:bottom w:val="single" w:sz="4" w:space="0" w:color="7F7F7F"/>
            </w:tcBorders>
            <w:shd w:val="clear" w:color="auto" w:fill="auto"/>
          </w:tcPr>
          <w:p w14:paraId="2E801ADC"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03932FC2" w14:textId="77777777" w:rsidR="00632A8C" w:rsidRPr="004A211D" w:rsidRDefault="00632A8C" w:rsidP="004A211D">
            <w:pPr>
              <w:spacing w:line="276" w:lineRule="auto"/>
              <w:jc w:val="center"/>
              <w:rPr>
                <w:rFonts w:eastAsia="Calibri"/>
                <w:szCs w:val="24"/>
              </w:rPr>
            </w:pPr>
            <w:r w:rsidRPr="004A211D">
              <w:rPr>
                <w:rFonts w:eastAsia="Calibri"/>
                <w:szCs w:val="24"/>
              </w:rPr>
              <w:t>15</w:t>
            </w:r>
          </w:p>
        </w:tc>
        <w:tc>
          <w:tcPr>
            <w:tcW w:w="2266" w:type="dxa"/>
            <w:tcBorders>
              <w:top w:val="single" w:sz="4" w:space="0" w:color="7F7F7F"/>
              <w:bottom w:val="single" w:sz="4" w:space="0" w:color="7F7F7F"/>
            </w:tcBorders>
            <w:shd w:val="clear" w:color="auto" w:fill="auto"/>
            <w:vAlign w:val="center"/>
          </w:tcPr>
          <w:p w14:paraId="409BE40B"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276DE4DE" w14:textId="77777777" w:rsidTr="004A211D">
        <w:tc>
          <w:tcPr>
            <w:tcW w:w="3261" w:type="dxa"/>
            <w:shd w:val="clear" w:color="auto" w:fill="auto"/>
            <w:vAlign w:val="center"/>
          </w:tcPr>
          <w:p w14:paraId="021F4046"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S3_N0.5+1%Pt</w:t>
            </w:r>
          </w:p>
        </w:tc>
        <w:tc>
          <w:tcPr>
            <w:tcW w:w="2265" w:type="dxa"/>
            <w:shd w:val="clear" w:color="auto" w:fill="auto"/>
          </w:tcPr>
          <w:p w14:paraId="03F17661"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61571C83"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N; NH</w:t>
            </w:r>
            <w:r w:rsidRPr="004A211D">
              <w:rPr>
                <w:rFonts w:eastAsia="Calibri"/>
                <w:szCs w:val="24"/>
                <w:vertAlign w:val="subscript"/>
              </w:rPr>
              <w:t>4</w:t>
            </w:r>
            <w:r w:rsidRPr="004A211D">
              <w:rPr>
                <w:rFonts w:eastAsia="Calibri"/>
                <w:szCs w:val="24"/>
              </w:rPr>
              <w:t>NO</w:t>
            </w:r>
            <w:r w:rsidRPr="004A211D">
              <w:rPr>
                <w:rFonts w:eastAsia="Calibri"/>
                <w:szCs w:val="24"/>
                <w:vertAlign w:val="subscript"/>
              </w:rPr>
              <w:t>3</w:t>
            </w:r>
          </w:p>
          <w:p w14:paraId="65EDC40A" w14:textId="77777777" w:rsidR="00632A8C" w:rsidRPr="004A211D" w:rsidRDefault="00632A8C" w:rsidP="004A211D">
            <w:pPr>
              <w:spacing w:line="276" w:lineRule="auto"/>
              <w:jc w:val="center"/>
              <w:rPr>
                <w:rFonts w:eastAsia="Calibri"/>
                <w:szCs w:val="24"/>
              </w:rPr>
            </w:pPr>
            <w:r w:rsidRPr="004A211D">
              <w:rPr>
                <w:rFonts w:eastAsia="Calibri"/>
                <w:szCs w:val="24"/>
              </w:rPr>
              <w:t>Pt; H</w:t>
            </w:r>
            <w:r w:rsidRPr="004A211D">
              <w:rPr>
                <w:rFonts w:eastAsia="Calibri"/>
                <w:szCs w:val="24"/>
                <w:vertAlign w:val="subscript"/>
              </w:rPr>
              <w:t>2</w:t>
            </w:r>
            <w:r w:rsidRPr="004A211D">
              <w:rPr>
                <w:rFonts w:eastAsia="Calibri"/>
                <w:szCs w:val="24"/>
              </w:rPr>
              <w:t>PtCl</w:t>
            </w:r>
            <w:r w:rsidRPr="004A211D">
              <w:rPr>
                <w:rFonts w:eastAsia="Calibri"/>
                <w:szCs w:val="24"/>
                <w:vertAlign w:val="subscript"/>
              </w:rPr>
              <w:t>6</w:t>
            </w:r>
          </w:p>
        </w:tc>
        <w:tc>
          <w:tcPr>
            <w:tcW w:w="2265" w:type="dxa"/>
            <w:shd w:val="clear" w:color="auto" w:fill="auto"/>
          </w:tcPr>
          <w:p w14:paraId="6D86AB37"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62635949" w14:textId="77777777" w:rsidR="00632A8C" w:rsidRPr="004A211D" w:rsidRDefault="00632A8C" w:rsidP="004A211D">
            <w:pPr>
              <w:spacing w:line="276" w:lineRule="auto"/>
              <w:jc w:val="center"/>
              <w:rPr>
                <w:rFonts w:eastAsia="Calibri"/>
                <w:szCs w:val="24"/>
              </w:rPr>
            </w:pPr>
            <w:r w:rsidRPr="004A211D">
              <w:rPr>
                <w:rFonts w:eastAsia="Calibri"/>
                <w:szCs w:val="24"/>
              </w:rPr>
              <w:t>0.5</w:t>
            </w:r>
          </w:p>
          <w:p w14:paraId="18652C8C" w14:textId="77777777" w:rsidR="00632A8C" w:rsidRPr="004A211D" w:rsidRDefault="00632A8C" w:rsidP="004A211D">
            <w:pPr>
              <w:spacing w:line="276" w:lineRule="auto"/>
              <w:jc w:val="center"/>
              <w:rPr>
                <w:rFonts w:eastAsia="Calibri"/>
                <w:szCs w:val="24"/>
              </w:rPr>
            </w:pPr>
            <w:r w:rsidRPr="004A211D">
              <w:rPr>
                <w:rFonts w:eastAsia="Calibri"/>
                <w:szCs w:val="24"/>
              </w:rPr>
              <w:t>1</w:t>
            </w:r>
          </w:p>
        </w:tc>
        <w:tc>
          <w:tcPr>
            <w:tcW w:w="2266" w:type="dxa"/>
            <w:shd w:val="clear" w:color="auto" w:fill="auto"/>
            <w:vAlign w:val="center"/>
          </w:tcPr>
          <w:p w14:paraId="7C6AC754"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0F018392" w14:textId="77777777" w:rsidTr="004A211D">
        <w:tc>
          <w:tcPr>
            <w:tcW w:w="3261" w:type="dxa"/>
            <w:tcBorders>
              <w:top w:val="single" w:sz="4" w:space="0" w:color="7F7F7F"/>
              <w:bottom w:val="single" w:sz="4" w:space="0" w:color="7F7F7F"/>
            </w:tcBorders>
            <w:shd w:val="clear" w:color="auto" w:fill="auto"/>
            <w:vAlign w:val="center"/>
          </w:tcPr>
          <w:p w14:paraId="3DF1DC29"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S3_N0.5+2%Pt</w:t>
            </w:r>
          </w:p>
        </w:tc>
        <w:tc>
          <w:tcPr>
            <w:tcW w:w="2265" w:type="dxa"/>
            <w:tcBorders>
              <w:top w:val="single" w:sz="4" w:space="0" w:color="7F7F7F"/>
              <w:bottom w:val="single" w:sz="4" w:space="0" w:color="7F7F7F"/>
            </w:tcBorders>
            <w:shd w:val="clear" w:color="auto" w:fill="auto"/>
          </w:tcPr>
          <w:p w14:paraId="0297DDA0"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171DF69B" w14:textId="77777777" w:rsidR="00632A8C" w:rsidRPr="004A211D" w:rsidRDefault="00632A8C" w:rsidP="004A211D">
            <w:pPr>
              <w:spacing w:line="276" w:lineRule="auto"/>
              <w:jc w:val="center"/>
              <w:rPr>
                <w:rFonts w:eastAsia="Calibri"/>
                <w:szCs w:val="24"/>
              </w:rPr>
            </w:pPr>
            <w:r w:rsidRPr="004A211D">
              <w:rPr>
                <w:rFonts w:eastAsia="Calibri"/>
                <w:szCs w:val="24"/>
              </w:rPr>
              <w:t>N; NH</w:t>
            </w:r>
            <w:r w:rsidRPr="004A211D">
              <w:rPr>
                <w:rFonts w:eastAsia="Calibri"/>
                <w:szCs w:val="24"/>
                <w:vertAlign w:val="subscript"/>
              </w:rPr>
              <w:t>4</w:t>
            </w:r>
            <w:r w:rsidRPr="004A211D">
              <w:rPr>
                <w:rFonts w:eastAsia="Calibri"/>
                <w:szCs w:val="24"/>
              </w:rPr>
              <w:t>NO</w:t>
            </w:r>
            <w:r w:rsidRPr="004A211D">
              <w:rPr>
                <w:rFonts w:eastAsia="Calibri"/>
                <w:szCs w:val="24"/>
                <w:vertAlign w:val="subscript"/>
              </w:rPr>
              <w:t>3</w:t>
            </w:r>
          </w:p>
          <w:p w14:paraId="738A439E" w14:textId="77777777" w:rsidR="00632A8C" w:rsidRPr="004A211D" w:rsidRDefault="00632A8C" w:rsidP="004A211D">
            <w:pPr>
              <w:spacing w:line="276" w:lineRule="auto"/>
              <w:jc w:val="center"/>
              <w:rPr>
                <w:rFonts w:eastAsia="Calibri"/>
                <w:szCs w:val="24"/>
              </w:rPr>
            </w:pPr>
            <w:r w:rsidRPr="004A211D">
              <w:rPr>
                <w:rFonts w:eastAsia="Calibri"/>
                <w:szCs w:val="24"/>
              </w:rPr>
              <w:t>Pt; H</w:t>
            </w:r>
            <w:r w:rsidRPr="004A211D">
              <w:rPr>
                <w:rFonts w:eastAsia="Calibri"/>
                <w:szCs w:val="24"/>
                <w:vertAlign w:val="subscript"/>
              </w:rPr>
              <w:t>2</w:t>
            </w:r>
            <w:r w:rsidRPr="004A211D">
              <w:rPr>
                <w:rFonts w:eastAsia="Calibri"/>
                <w:szCs w:val="24"/>
              </w:rPr>
              <w:t>PtCl</w:t>
            </w:r>
            <w:r w:rsidRPr="004A211D">
              <w:rPr>
                <w:rFonts w:eastAsia="Calibri"/>
                <w:szCs w:val="24"/>
                <w:vertAlign w:val="subscript"/>
              </w:rPr>
              <w:t>6</w:t>
            </w:r>
          </w:p>
        </w:tc>
        <w:tc>
          <w:tcPr>
            <w:tcW w:w="2265" w:type="dxa"/>
            <w:tcBorders>
              <w:top w:val="single" w:sz="4" w:space="0" w:color="7F7F7F"/>
              <w:bottom w:val="single" w:sz="4" w:space="0" w:color="7F7F7F"/>
            </w:tcBorders>
            <w:shd w:val="clear" w:color="auto" w:fill="auto"/>
          </w:tcPr>
          <w:p w14:paraId="1A50F4CB"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2ECBD4E8" w14:textId="77777777" w:rsidR="00632A8C" w:rsidRPr="004A211D" w:rsidRDefault="00632A8C" w:rsidP="004A211D">
            <w:pPr>
              <w:spacing w:line="276" w:lineRule="auto"/>
              <w:jc w:val="center"/>
              <w:rPr>
                <w:rFonts w:eastAsia="Calibri"/>
                <w:szCs w:val="24"/>
              </w:rPr>
            </w:pPr>
            <w:r w:rsidRPr="004A211D">
              <w:rPr>
                <w:rFonts w:eastAsia="Calibri"/>
                <w:szCs w:val="24"/>
              </w:rPr>
              <w:t>0.5</w:t>
            </w:r>
          </w:p>
          <w:p w14:paraId="5CB394DB" w14:textId="77777777" w:rsidR="00632A8C" w:rsidRPr="004A211D" w:rsidRDefault="00632A8C" w:rsidP="004A211D">
            <w:pPr>
              <w:spacing w:line="276" w:lineRule="auto"/>
              <w:jc w:val="center"/>
              <w:rPr>
                <w:rFonts w:eastAsia="Calibri"/>
                <w:szCs w:val="24"/>
              </w:rPr>
            </w:pPr>
            <w:r w:rsidRPr="004A211D">
              <w:rPr>
                <w:rFonts w:eastAsia="Calibri"/>
                <w:szCs w:val="24"/>
              </w:rPr>
              <w:t>2</w:t>
            </w:r>
          </w:p>
        </w:tc>
        <w:tc>
          <w:tcPr>
            <w:tcW w:w="2266" w:type="dxa"/>
            <w:tcBorders>
              <w:top w:val="single" w:sz="4" w:space="0" w:color="7F7F7F"/>
              <w:bottom w:val="single" w:sz="4" w:space="0" w:color="7F7F7F"/>
            </w:tcBorders>
            <w:shd w:val="clear" w:color="auto" w:fill="auto"/>
            <w:vAlign w:val="center"/>
          </w:tcPr>
          <w:p w14:paraId="706287D2"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0F5CB0D2" w14:textId="77777777" w:rsidTr="004A211D">
        <w:tc>
          <w:tcPr>
            <w:tcW w:w="3261" w:type="dxa"/>
            <w:shd w:val="clear" w:color="auto" w:fill="auto"/>
            <w:vAlign w:val="center"/>
          </w:tcPr>
          <w:p w14:paraId="48212A51"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S3_N0.5+3%Pt</w:t>
            </w:r>
          </w:p>
        </w:tc>
        <w:tc>
          <w:tcPr>
            <w:tcW w:w="2265" w:type="dxa"/>
            <w:shd w:val="clear" w:color="auto" w:fill="auto"/>
          </w:tcPr>
          <w:p w14:paraId="3B613AB2"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1C158D44" w14:textId="77777777" w:rsidR="00632A8C" w:rsidRPr="004A211D" w:rsidRDefault="00632A8C" w:rsidP="004A211D">
            <w:pPr>
              <w:spacing w:line="276" w:lineRule="auto"/>
              <w:jc w:val="center"/>
              <w:rPr>
                <w:rFonts w:eastAsia="Calibri"/>
                <w:szCs w:val="24"/>
              </w:rPr>
            </w:pPr>
            <w:r w:rsidRPr="004A211D">
              <w:rPr>
                <w:rFonts w:eastAsia="Calibri"/>
                <w:szCs w:val="24"/>
              </w:rPr>
              <w:t>N; NH</w:t>
            </w:r>
            <w:r w:rsidRPr="004A211D">
              <w:rPr>
                <w:rFonts w:eastAsia="Calibri"/>
                <w:szCs w:val="24"/>
                <w:vertAlign w:val="subscript"/>
              </w:rPr>
              <w:t>4</w:t>
            </w:r>
            <w:r w:rsidRPr="004A211D">
              <w:rPr>
                <w:rFonts w:eastAsia="Calibri"/>
                <w:szCs w:val="24"/>
              </w:rPr>
              <w:t>NO</w:t>
            </w:r>
            <w:r w:rsidRPr="004A211D">
              <w:rPr>
                <w:rFonts w:eastAsia="Calibri"/>
                <w:szCs w:val="24"/>
                <w:vertAlign w:val="subscript"/>
              </w:rPr>
              <w:t>3</w:t>
            </w:r>
          </w:p>
          <w:p w14:paraId="01D931F0" w14:textId="77777777" w:rsidR="00632A8C" w:rsidRPr="004A211D" w:rsidRDefault="00632A8C" w:rsidP="004A211D">
            <w:pPr>
              <w:spacing w:line="276" w:lineRule="auto"/>
              <w:jc w:val="center"/>
              <w:rPr>
                <w:rFonts w:eastAsia="Calibri"/>
                <w:szCs w:val="24"/>
              </w:rPr>
            </w:pPr>
            <w:r w:rsidRPr="004A211D">
              <w:rPr>
                <w:rFonts w:eastAsia="Calibri"/>
                <w:szCs w:val="24"/>
              </w:rPr>
              <w:t>Pt; H</w:t>
            </w:r>
            <w:r w:rsidRPr="004A211D">
              <w:rPr>
                <w:rFonts w:eastAsia="Calibri"/>
                <w:szCs w:val="24"/>
                <w:vertAlign w:val="subscript"/>
              </w:rPr>
              <w:t>2</w:t>
            </w:r>
            <w:r w:rsidRPr="004A211D">
              <w:rPr>
                <w:rFonts w:eastAsia="Calibri"/>
                <w:szCs w:val="24"/>
              </w:rPr>
              <w:t>PtCl</w:t>
            </w:r>
            <w:r w:rsidRPr="004A211D">
              <w:rPr>
                <w:rFonts w:eastAsia="Calibri"/>
                <w:szCs w:val="24"/>
                <w:vertAlign w:val="subscript"/>
              </w:rPr>
              <w:t>6</w:t>
            </w:r>
          </w:p>
        </w:tc>
        <w:tc>
          <w:tcPr>
            <w:tcW w:w="2265" w:type="dxa"/>
            <w:shd w:val="clear" w:color="auto" w:fill="auto"/>
          </w:tcPr>
          <w:p w14:paraId="045D7B90"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1159FFB6" w14:textId="77777777" w:rsidR="00632A8C" w:rsidRPr="004A211D" w:rsidRDefault="00632A8C" w:rsidP="004A211D">
            <w:pPr>
              <w:spacing w:line="276" w:lineRule="auto"/>
              <w:jc w:val="center"/>
              <w:rPr>
                <w:rFonts w:eastAsia="Calibri"/>
                <w:szCs w:val="24"/>
              </w:rPr>
            </w:pPr>
            <w:r w:rsidRPr="004A211D">
              <w:rPr>
                <w:rFonts w:eastAsia="Calibri"/>
                <w:szCs w:val="24"/>
              </w:rPr>
              <w:t>0.5</w:t>
            </w:r>
          </w:p>
          <w:p w14:paraId="44B39CA9" w14:textId="77777777" w:rsidR="00632A8C" w:rsidRPr="004A211D" w:rsidRDefault="00632A8C" w:rsidP="004A211D">
            <w:pPr>
              <w:spacing w:line="276" w:lineRule="auto"/>
              <w:jc w:val="center"/>
              <w:rPr>
                <w:rFonts w:eastAsia="Calibri"/>
                <w:szCs w:val="24"/>
              </w:rPr>
            </w:pPr>
            <w:r w:rsidRPr="004A211D">
              <w:rPr>
                <w:rFonts w:eastAsia="Calibri"/>
                <w:szCs w:val="24"/>
              </w:rPr>
              <w:t>3</w:t>
            </w:r>
          </w:p>
        </w:tc>
        <w:tc>
          <w:tcPr>
            <w:tcW w:w="2266" w:type="dxa"/>
            <w:shd w:val="clear" w:color="auto" w:fill="auto"/>
            <w:vAlign w:val="center"/>
          </w:tcPr>
          <w:p w14:paraId="398DC8CA"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045A21AC" w14:textId="77777777" w:rsidTr="004A211D">
        <w:tc>
          <w:tcPr>
            <w:tcW w:w="3261" w:type="dxa"/>
            <w:tcBorders>
              <w:top w:val="single" w:sz="4" w:space="0" w:color="7F7F7F"/>
              <w:bottom w:val="single" w:sz="4" w:space="0" w:color="7F7F7F"/>
            </w:tcBorders>
            <w:shd w:val="clear" w:color="auto" w:fill="auto"/>
            <w:vAlign w:val="center"/>
          </w:tcPr>
          <w:p w14:paraId="71F82E0B"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S3_urea15+1%Pt</w:t>
            </w:r>
          </w:p>
        </w:tc>
        <w:tc>
          <w:tcPr>
            <w:tcW w:w="2265" w:type="dxa"/>
            <w:tcBorders>
              <w:top w:val="single" w:sz="4" w:space="0" w:color="7F7F7F"/>
              <w:bottom w:val="single" w:sz="4" w:space="0" w:color="7F7F7F"/>
            </w:tcBorders>
            <w:shd w:val="clear" w:color="auto" w:fill="auto"/>
          </w:tcPr>
          <w:p w14:paraId="590B6051"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247AFB3D" w14:textId="77777777" w:rsidR="00632A8C" w:rsidRPr="004A211D" w:rsidRDefault="00632A8C" w:rsidP="004A211D">
            <w:pPr>
              <w:spacing w:line="276" w:lineRule="auto"/>
              <w:jc w:val="center"/>
              <w:rPr>
                <w:rFonts w:eastAsia="Calibri"/>
                <w:szCs w:val="24"/>
              </w:rPr>
            </w:pPr>
            <w:r w:rsidRPr="004A211D">
              <w:rPr>
                <w:rFonts w:eastAsia="Calibri"/>
                <w:szCs w:val="24"/>
              </w:rPr>
              <w:t>N; urea</w:t>
            </w:r>
          </w:p>
          <w:p w14:paraId="1D0517A6" w14:textId="77777777" w:rsidR="00632A8C" w:rsidRPr="004A211D" w:rsidRDefault="00632A8C" w:rsidP="004A211D">
            <w:pPr>
              <w:spacing w:line="276" w:lineRule="auto"/>
              <w:jc w:val="center"/>
              <w:rPr>
                <w:rFonts w:eastAsia="Calibri"/>
                <w:szCs w:val="24"/>
              </w:rPr>
            </w:pPr>
            <w:r w:rsidRPr="004A211D">
              <w:rPr>
                <w:rFonts w:eastAsia="Calibri"/>
                <w:szCs w:val="24"/>
              </w:rPr>
              <w:t>Pt; H</w:t>
            </w:r>
            <w:r w:rsidRPr="004A211D">
              <w:rPr>
                <w:rFonts w:eastAsia="Calibri"/>
                <w:szCs w:val="24"/>
                <w:vertAlign w:val="subscript"/>
              </w:rPr>
              <w:t>2</w:t>
            </w:r>
            <w:r w:rsidRPr="004A211D">
              <w:rPr>
                <w:rFonts w:eastAsia="Calibri"/>
                <w:szCs w:val="24"/>
              </w:rPr>
              <w:t>PtCl</w:t>
            </w:r>
            <w:r w:rsidRPr="004A211D">
              <w:rPr>
                <w:rFonts w:eastAsia="Calibri"/>
                <w:szCs w:val="24"/>
                <w:vertAlign w:val="subscript"/>
              </w:rPr>
              <w:t>6</w:t>
            </w:r>
          </w:p>
        </w:tc>
        <w:tc>
          <w:tcPr>
            <w:tcW w:w="2265" w:type="dxa"/>
            <w:tcBorders>
              <w:top w:val="single" w:sz="4" w:space="0" w:color="7F7F7F"/>
              <w:bottom w:val="single" w:sz="4" w:space="0" w:color="7F7F7F"/>
            </w:tcBorders>
            <w:shd w:val="clear" w:color="auto" w:fill="auto"/>
          </w:tcPr>
          <w:p w14:paraId="6768EF87"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3FB9FF09" w14:textId="77777777" w:rsidR="00632A8C" w:rsidRPr="004A211D" w:rsidRDefault="00632A8C" w:rsidP="004A211D">
            <w:pPr>
              <w:spacing w:line="276" w:lineRule="auto"/>
              <w:jc w:val="center"/>
              <w:rPr>
                <w:rFonts w:eastAsia="Calibri"/>
                <w:szCs w:val="24"/>
              </w:rPr>
            </w:pPr>
            <w:r w:rsidRPr="004A211D">
              <w:rPr>
                <w:rFonts w:eastAsia="Calibri"/>
                <w:szCs w:val="24"/>
              </w:rPr>
              <w:t>15</w:t>
            </w:r>
          </w:p>
          <w:p w14:paraId="5D79D2CF" w14:textId="77777777" w:rsidR="00632A8C" w:rsidRPr="004A211D" w:rsidRDefault="00632A8C" w:rsidP="004A211D">
            <w:pPr>
              <w:spacing w:line="276" w:lineRule="auto"/>
              <w:jc w:val="center"/>
              <w:rPr>
                <w:rFonts w:eastAsia="Calibri"/>
                <w:szCs w:val="24"/>
              </w:rPr>
            </w:pPr>
            <w:r w:rsidRPr="004A211D">
              <w:rPr>
                <w:rFonts w:eastAsia="Calibri"/>
                <w:szCs w:val="24"/>
              </w:rPr>
              <w:t>1</w:t>
            </w:r>
          </w:p>
        </w:tc>
        <w:tc>
          <w:tcPr>
            <w:tcW w:w="2266" w:type="dxa"/>
            <w:tcBorders>
              <w:top w:val="single" w:sz="4" w:space="0" w:color="7F7F7F"/>
              <w:bottom w:val="single" w:sz="4" w:space="0" w:color="7F7F7F"/>
            </w:tcBorders>
            <w:shd w:val="clear" w:color="auto" w:fill="auto"/>
            <w:vAlign w:val="center"/>
          </w:tcPr>
          <w:p w14:paraId="25994789"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r w:rsidR="00632A8C" w:rsidRPr="00632A8C" w14:paraId="00FC1F71" w14:textId="77777777" w:rsidTr="004A211D">
        <w:tc>
          <w:tcPr>
            <w:tcW w:w="3261" w:type="dxa"/>
            <w:shd w:val="clear" w:color="auto" w:fill="auto"/>
            <w:vAlign w:val="center"/>
          </w:tcPr>
          <w:p w14:paraId="10CA813A" w14:textId="77777777" w:rsidR="00632A8C" w:rsidRPr="004A211D" w:rsidRDefault="00632A8C" w:rsidP="004A211D">
            <w:pPr>
              <w:spacing w:line="276" w:lineRule="auto"/>
              <w:jc w:val="center"/>
              <w:rPr>
                <w:rFonts w:eastAsia="Calibri"/>
                <w:b/>
                <w:bCs/>
                <w:szCs w:val="24"/>
              </w:rPr>
            </w:pPr>
            <w:r w:rsidRPr="004A211D">
              <w:rPr>
                <w:rFonts w:eastAsia="Calibri"/>
                <w:b/>
                <w:bCs/>
                <w:szCs w:val="24"/>
              </w:rPr>
              <w:t>S3_urea15+2%Pt</w:t>
            </w:r>
          </w:p>
        </w:tc>
        <w:tc>
          <w:tcPr>
            <w:tcW w:w="2265" w:type="dxa"/>
            <w:shd w:val="clear" w:color="auto" w:fill="auto"/>
          </w:tcPr>
          <w:p w14:paraId="43CC5B52"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S;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p w14:paraId="11D83D0C" w14:textId="77777777" w:rsidR="00632A8C" w:rsidRPr="004A211D" w:rsidRDefault="00632A8C" w:rsidP="004A211D">
            <w:pPr>
              <w:spacing w:line="276" w:lineRule="auto"/>
              <w:jc w:val="center"/>
              <w:rPr>
                <w:rFonts w:eastAsia="Calibri"/>
                <w:szCs w:val="24"/>
                <w:vertAlign w:val="subscript"/>
              </w:rPr>
            </w:pPr>
            <w:r w:rsidRPr="004A211D">
              <w:rPr>
                <w:rFonts w:eastAsia="Calibri"/>
                <w:szCs w:val="24"/>
              </w:rPr>
              <w:t>N; urea</w:t>
            </w:r>
          </w:p>
          <w:p w14:paraId="2FAAAA2F" w14:textId="77777777" w:rsidR="00632A8C" w:rsidRPr="004A211D" w:rsidRDefault="00632A8C" w:rsidP="004A211D">
            <w:pPr>
              <w:spacing w:line="276" w:lineRule="auto"/>
              <w:jc w:val="center"/>
              <w:rPr>
                <w:rFonts w:eastAsia="Calibri"/>
                <w:szCs w:val="24"/>
              </w:rPr>
            </w:pPr>
            <w:r w:rsidRPr="004A211D">
              <w:rPr>
                <w:rFonts w:eastAsia="Calibri"/>
                <w:szCs w:val="24"/>
              </w:rPr>
              <w:t>Pt; H</w:t>
            </w:r>
            <w:r w:rsidRPr="004A211D">
              <w:rPr>
                <w:rFonts w:eastAsia="Calibri"/>
                <w:szCs w:val="24"/>
                <w:vertAlign w:val="subscript"/>
              </w:rPr>
              <w:t>2</w:t>
            </w:r>
            <w:r w:rsidRPr="004A211D">
              <w:rPr>
                <w:rFonts w:eastAsia="Calibri"/>
                <w:szCs w:val="24"/>
              </w:rPr>
              <w:t>PtCl</w:t>
            </w:r>
            <w:r w:rsidRPr="004A211D">
              <w:rPr>
                <w:rFonts w:eastAsia="Calibri"/>
                <w:szCs w:val="24"/>
                <w:vertAlign w:val="subscript"/>
              </w:rPr>
              <w:t>6</w:t>
            </w:r>
          </w:p>
        </w:tc>
        <w:tc>
          <w:tcPr>
            <w:tcW w:w="2265" w:type="dxa"/>
            <w:shd w:val="clear" w:color="auto" w:fill="auto"/>
          </w:tcPr>
          <w:p w14:paraId="414FA916" w14:textId="77777777" w:rsidR="00632A8C" w:rsidRPr="004A211D" w:rsidRDefault="00632A8C" w:rsidP="004A211D">
            <w:pPr>
              <w:spacing w:line="276" w:lineRule="auto"/>
              <w:jc w:val="center"/>
              <w:rPr>
                <w:rFonts w:eastAsia="Calibri"/>
                <w:szCs w:val="24"/>
              </w:rPr>
            </w:pPr>
            <w:r w:rsidRPr="004A211D">
              <w:rPr>
                <w:rFonts w:eastAsia="Calibri"/>
                <w:szCs w:val="24"/>
              </w:rPr>
              <w:t>/</w:t>
            </w:r>
          </w:p>
          <w:p w14:paraId="28168CEE" w14:textId="77777777" w:rsidR="00632A8C" w:rsidRPr="004A211D" w:rsidRDefault="00632A8C" w:rsidP="004A211D">
            <w:pPr>
              <w:spacing w:line="276" w:lineRule="auto"/>
              <w:jc w:val="center"/>
              <w:rPr>
                <w:rFonts w:eastAsia="Calibri"/>
                <w:szCs w:val="24"/>
              </w:rPr>
            </w:pPr>
            <w:r w:rsidRPr="004A211D">
              <w:rPr>
                <w:rFonts w:eastAsia="Calibri"/>
                <w:szCs w:val="24"/>
              </w:rPr>
              <w:t>15</w:t>
            </w:r>
          </w:p>
          <w:p w14:paraId="04295B6F" w14:textId="77777777" w:rsidR="00632A8C" w:rsidRPr="004A211D" w:rsidRDefault="00632A8C" w:rsidP="004A211D">
            <w:pPr>
              <w:spacing w:line="276" w:lineRule="auto"/>
              <w:jc w:val="center"/>
              <w:rPr>
                <w:rFonts w:eastAsia="Calibri"/>
                <w:szCs w:val="24"/>
              </w:rPr>
            </w:pPr>
            <w:r w:rsidRPr="004A211D">
              <w:rPr>
                <w:rFonts w:eastAsia="Calibri"/>
                <w:szCs w:val="24"/>
              </w:rPr>
              <w:t>2</w:t>
            </w:r>
          </w:p>
        </w:tc>
        <w:tc>
          <w:tcPr>
            <w:tcW w:w="2266" w:type="dxa"/>
            <w:shd w:val="clear" w:color="auto" w:fill="auto"/>
            <w:vAlign w:val="center"/>
          </w:tcPr>
          <w:p w14:paraId="41A5640D" w14:textId="77777777" w:rsidR="00632A8C" w:rsidRPr="004A211D" w:rsidRDefault="00632A8C" w:rsidP="004A211D">
            <w:pPr>
              <w:spacing w:line="276" w:lineRule="auto"/>
              <w:jc w:val="center"/>
              <w:rPr>
                <w:rFonts w:eastAsia="Calibri"/>
                <w:szCs w:val="24"/>
              </w:rPr>
            </w:pPr>
            <w:r w:rsidRPr="004A211D">
              <w:rPr>
                <w:rFonts w:eastAsia="Calibri"/>
                <w:szCs w:val="24"/>
              </w:rPr>
              <w:t>4.95; H</w:t>
            </w:r>
            <w:r w:rsidRPr="004A211D">
              <w:rPr>
                <w:rFonts w:eastAsia="Calibri"/>
                <w:szCs w:val="24"/>
                <w:vertAlign w:val="subscript"/>
              </w:rPr>
              <w:t>2</w:t>
            </w:r>
            <w:r w:rsidRPr="004A211D">
              <w:rPr>
                <w:rFonts w:eastAsia="Calibri"/>
                <w:szCs w:val="24"/>
              </w:rPr>
              <w:t>SO</w:t>
            </w:r>
            <w:r w:rsidRPr="004A211D">
              <w:rPr>
                <w:rFonts w:eastAsia="Calibri"/>
                <w:szCs w:val="24"/>
                <w:vertAlign w:val="subscript"/>
              </w:rPr>
              <w:t>4</w:t>
            </w:r>
          </w:p>
        </w:tc>
      </w:tr>
    </w:tbl>
    <w:p w14:paraId="634EE7EC" w14:textId="77777777" w:rsidR="00632A8C" w:rsidRPr="00632A8C" w:rsidRDefault="00632A8C" w:rsidP="00632A8C">
      <w:pPr>
        <w:spacing w:line="276" w:lineRule="auto"/>
        <w:rPr>
          <w:szCs w:val="24"/>
        </w:rPr>
      </w:pPr>
    </w:p>
    <w:p w14:paraId="1CD20C20" w14:textId="77777777" w:rsidR="004A211D" w:rsidRDefault="004A211D" w:rsidP="004A211D">
      <w:pPr>
        <w:pStyle w:val="Heading2"/>
        <w:numPr>
          <w:ilvl w:val="0"/>
          <w:numId w:val="0"/>
        </w:numPr>
        <w:spacing w:after="0" w:line="360" w:lineRule="auto"/>
        <w:ind w:left="576" w:hanging="576"/>
        <w:rPr>
          <w:b w:val="0"/>
          <w:bCs/>
          <w:i/>
          <w:iCs/>
        </w:rPr>
      </w:pPr>
    </w:p>
    <w:p w14:paraId="32BF5297" w14:textId="77777777" w:rsidR="004A211D" w:rsidRDefault="004A211D" w:rsidP="004A211D">
      <w:pPr>
        <w:pStyle w:val="Heading2"/>
        <w:numPr>
          <w:ilvl w:val="0"/>
          <w:numId w:val="0"/>
        </w:numPr>
        <w:spacing w:after="0" w:line="360" w:lineRule="auto"/>
        <w:ind w:left="576" w:hanging="576"/>
        <w:rPr>
          <w:b w:val="0"/>
          <w:bCs/>
          <w:i/>
          <w:iCs/>
        </w:rPr>
      </w:pPr>
    </w:p>
    <w:p w14:paraId="7F9221B9" w14:textId="77777777" w:rsidR="004A211D" w:rsidRDefault="004A211D" w:rsidP="004A211D">
      <w:pPr>
        <w:pStyle w:val="Heading2"/>
        <w:numPr>
          <w:ilvl w:val="0"/>
          <w:numId w:val="0"/>
        </w:numPr>
        <w:spacing w:after="0" w:line="360" w:lineRule="auto"/>
        <w:ind w:left="576" w:hanging="576"/>
        <w:rPr>
          <w:b w:val="0"/>
          <w:bCs/>
          <w:i/>
          <w:iCs/>
        </w:rPr>
      </w:pPr>
    </w:p>
    <w:p w14:paraId="65243993" w14:textId="70D03BC6" w:rsidR="00632A8C" w:rsidRPr="004A211D" w:rsidRDefault="00632A8C" w:rsidP="004A211D">
      <w:pPr>
        <w:pStyle w:val="Heading2"/>
        <w:numPr>
          <w:ilvl w:val="0"/>
          <w:numId w:val="0"/>
        </w:numPr>
        <w:spacing w:after="0" w:line="360" w:lineRule="auto"/>
        <w:ind w:left="576" w:hanging="576"/>
        <w:rPr>
          <w:b w:val="0"/>
          <w:bCs/>
          <w:i/>
          <w:iCs/>
        </w:rPr>
      </w:pPr>
      <w:r w:rsidRPr="004A211D">
        <w:rPr>
          <w:b w:val="0"/>
          <w:bCs/>
          <w:i/>
          <w:iCs/>
        </w:rPr>
        <w:lastRenderedPageBreak/>
        <w:t>Characterization</w:t>
      </w:r>
    </w:p>
    <w:p w14:paraId="39C1B6D6" w14:textId="77777777" w:rsidR="00632A8C" w:rsidRPr="004A211D" w:rsidRDefault="00632A8C" w:rsidP="004A211D">
      <w:pPr>
        <w:spacing w:line="360" w:lineRule="auto"/>
        <w:ind w:firstLine="425"/>
        <w:rPr>
          <w:szCs w:val="24"/>
        </w:rPr>
      </w:pPr>
      <w:r w:rsidRPr="004A211D">
        <w:rPr>
          <w:szCs w:val="24"/>
        </w:rPr>
        <w:t>XRD patterns were measured using a PANalytical X’Pert PRO MPD instrument in the 2</w:t>
      </w:r>
      <w:r w:rsidRPr="004A211D">
        <w:rPr>
          <w:i/>
          <w:szCs w:val="24"/>
        </w:rPr>
        <w:t>θ</w:t>
      </w:r>
      <w:r w:rsidRPr="004A211D">
        <w:rPr>
          <w:szCs w:val="24"/>
        </w:rPr>
        <w:t xml:space="preserve"> range of 20-80° </w:t>
      </w:r>
      <w:bookmarkStart w:id="1" w:name="_Hlk69462197"/>
      <w:r w:rsidRPr="004A211D">
        <w:rPr>
          <w:szCs w:val="24"/>
        </w:rPr>
        <w:t xml:space="preserve">with a step of 0.034°. </w:t>
      </w:r>
      <w:bookmarkEnd w:id="1"/>
      <w:r w:rsidRPr="004A211D">
        <w:rPr>
          <w:szCs w:val="24"/>
        </w:rPr>
        <w:t xml:space="preserve">The average diameter of crystallites was calculated using the </w:t>
      </w:r>
      <w:r w:rsidRPr="004A211D">
        <w:rPr>
          <w:i/>
          <w:szCs w:val="24"/>
        </w:rPr>
        <w:t>Scherrer equation</w:t>
      </w:r>
      <w:r w:rsidRPr="004A211D">
        <w:rPr>
          <w:szCs w:val="24"/>
        </w:rPr>
        <w:t>, presented in Equation (1):</w:t>
      </w:r>
    </w:p>
    <w:p w14:paraId="579001F0" w14:textId="77777777" w:rsidR="00632A8C" w:rsidRPr="004A211D" w:rsidRDefault="00632A8C" w:rsidP="004A211D">
      <w:pPr>
        <w:spacing w:line="360" w:lineRule="auto"/>
        <w:ind w:firstLine="425"/>
        <w:jc w:val="center"/>
        <w:rPr>
          <w:szCs w:val="24"/>
        </w:rPr>
      </w:pPr>
      <w:r w:rsidRPr="004A211D">
        <w:rPr>
          <w:rFonts w:eastAsia="Times New Roman"/>
          <w:szCs w:val="24"/>
        </w:rPr>
        <w:fldChar w:fldCharType="begin"/>
      </w:r>
      <w:r w:rsidRPr="004A211D">
        <w:rPr>
          <w:rFonts w:eastAsia="Times New Roman"/>
          <w:szCs w:val="24"/>
        </w:rPr>
        <w:instrText xml:space="preserve"> QUOTE </w:instrText>
      </w:r>
      <m:oMath>
        <m:r>
          <m:rPr>
            <m:sty m:val="p"/>
          </m:rPr>
          <w:rPr>
            <w:rFonts w:ascii="Cambria Math" w:hAnsi="Cambria Math"/>
            <w:szCs w:val="24"/>
          </w:rPr>
          <m:t>L=</m:t>
        </m:r>
        <m:f>
          <m:fPr>
            <m:ctrlPr>
              <w:rPr>
                <w:rFonts w:ascii="Cambria Math" w:hAnsi="Cambria Math"/>
                <w:i/>
                <w:szCs w:val="24"/>
              </w:rPr>
            </m:ctrlPr>
          </m:fPr>
          <m:num>
            <m:r>
              <m:rPr>
                <m:sty m:val="p"/>
              </m:rPr>
              <w:rPr>
                <w:rFonts w:ascii="Cambria Math" w:hAnsi="Cambria Math"/>
                <w:szCs w:val="24"/>
              </w:rPr>
              <m:t>Kλ</m:t>
            </m:r>
          </m:num>
          <m:den>
            <m:r>
              <m:rPr>
                <m:sty m:val="p"/>
              </m:rPr>
              <w:rPr>
                <w:rFonts w:ascii="Cambria Math" w:hAnsi="Cambria Math"/>
                <w:szCs w:val="24"/>
              </w:rPr>
              <m:t>βcosθ</m:t>
            </m:r>
          </m:den>
        </m:f>
      </m:oMath>
      <w:r w:rsidRPr="004A211D">
        <w:rPr>
          <w:rFonts w:eastAsia="Times New Roman"/>
          <w:szCs w:val="24"/>
        </w:rPr>
        <w:instrText xml:space="preserve"> </w:instrText>
      </w:r>
      <w:r w:rsidRPr="004A211D">
        <w:rPr>
          <w:rFonts w:eastAsia="Times New Roman"/>
          <w:szCs w:val="24"/>
        </w:rPr>
        <w:fldChar w:fldCharType="end"/>
      </w:r>
      <w:r w:rsidRPr="004A211D">
        <w:rPr>
          <w:rFonts w:eastAsia="Times New Roman"/>
          <w:szCs w:val="24"/>
        </w:rPr>
        <w:t xml:space="preserve">                </w:t>
      </w:r>
      <m:oMath>
        <m:r>
          <w:rPr>
            <w:rFonts w:ascii="Cambria Math" w:hAnsi="Cambria Math"/>
            <w:szCs w:val="24"/>
          </w:rPr>
          <m:t>L=</m:t>
        </m:r>
        <m:f>
          <m:fPr>
            <m:ctrlPr>
              <w:rPr>
                <w:rFonts w:ascii="Cambria Math" w:hAnsi="Cambria Math"/>
                <w:i/>
                <w:szCs w:val="24"/>
              </w:rPr>
            </m:ctrlPr>
          </m:fPr>
          <m:num>
            <m:r>
              <w:rPr>
                <w:rFonts w:ascii="Cambria Math" w:hAnsi="Cambria Math"/>
                <w:szCs w:val="24"/>
              </w:rPr>
              <m:t>Kλ</m:t>
            </m:r>
          </m:num>
          <m:den>
            <m:r>
              <w:rPr>
                <w:rFonts w:ascii="Cambria Math" w:hAnsi="Cambria Math"/>
                <w:szCs w:val="24"/>
              </w:rPr>
              <m:t>βcosθ</m:t>
            </m:r>
          </m:den>
        </m:f>
      </m:oMath>
      <w:r w:rsidRPr="004A211D">
        <w:rPr>
          <w:rFonts w:eastAsia="Times New Roman"/>
          <w:szCs w:val="24"/>
        </w:rPr>
        <w:t xml:space="preserve">                                                  (1)</w:t>
      </w:r>
    </w:p>
    <w:p w14:paraId="4AA737FE" w14:textId="77777777" w:rsidR="00632A8C" w:rsidRPr="004A211D" w:rsidRDefault="00632A8C" w:rsidP="004A211D">
      <w:pPr>
        <w:spacing w:line="360" w:lineRule="auto"/>
        <w:ind w:firstLine="425"/>
        <w:rPr>
          <w:szCs w:val="24"/>
        </w:rPr>
      </w:pPr>
      <w:r w:rsidRPr="004A211D">
        <w:rPr>
          <w:szCs w:val="24"/>
        </w:rPr>
        <w:t xml:space="preserve">In this equation, </w:t>
      </w:r>
      <w:r w:rsidRPr="004A211D">
        <w:rPr>
          <w:i/>
          <w:szCs w:val="24"/>
        </w:rPr>
        <w:t>L</w:t>
      </w:r>
      <w:r w:rsidRPr="004A211D">
        <w:rPr>
          <w:szCs w:val="24"/>
        </w:rPr>
        <w:t xml:space="preserve"> represents the diameter of the crystallite (Å), </w:t>
      </w:r>
      <w:r w:rsidRPr="004A211D">
        <w:rPr>
          <w:i/>
          <w:szCs w:val="24"/>
        </w:rPr>
        <w:t>K</w:t>
      </w:r>
      <w:r w:rsidRPr="004A211D">
        <w:rPr>
          <w:szCs w:val="24"/>
        </w:rPr>
        <w:t xml:space="preserve"> is a dimensionless shape factor (0.9 for spherical particles), </w:t>
      </w:r>
      <w:r w:rsidRPr="004A211D">
        <w:rPr>
          <w:i/>
          <w:szCs w:val="24"/>
        </w:rPr>
        <w:t>λ</w:t>
      </w:r>
      <w:r w:rsidRPr="004A211D">
        <w:rPr>
          <w:szCs w:val="24"/>
        </w:rPr>
        <w:t xml:space="preserve"> is the X-Ray wavelength (Å), </w:t>
      </w:r>
      <w:r w:rsidRPr="004A211D">
        <w:rPr>
          <w:i/>
          <w:szCs w:val="24"/>
        </w:rPr>
        <w:t xml:space="preserve">β </w:t>
      </w:r>
      <w:r w:rsidRPr="004A211D">
        <w:rPr>
          <w:szCs w:val="24"/>
        </w:rPr>
        <w:t xml:space="preserve">is the peak width at half the maximum intensity and </w:t>
      </w:r>
      <w:r w:rsidRPr="004A211D">
        <w:rPr>
          <w:i/>
          <w:szCs w:val="24"/>
        </w:rPr>
        <w:t>θ</w:t>
      </w:r>
      <w:r w:rsidRPr="004A211D">
        <w:rPr>
          <w:szCs w:val="24"/>
        </w:rPr>
        <w:t xml:space="preserve"> is the Bragg angle. Phase compositions of the samples were determined using </w:t>
      </w:r>
      <w:r w:rsidRPr="004A211D">
        <w:rPr>
          <w:i/>
          <w:szCs w:val="24"/>
        </w:rPr>
        <w:t>Rietveld analysis</w:t>
      </w:r>
      <w:r w:rsidRPr="004A211D">
        <w:rPr>
          <w:szCs w:val="24"/>
        </w:rPr>
        <w:t>.</w:t>
      </w:r>
    </w:p>
    <w:p w14:paraId="0C1BE305" w14:textId="77777777" w:rsidR="00632A8C" w:rsidRPr="004A211D" w:rsidRDefault="00632A8C" w:rsidP="004A211D">
      <w:pPr>
        <w:spacing w:line="360" w:lineRule="auto"/>
        <w:ind w:firstLine="425"/>
        <w:rPr>
          <w:szCs w:val="24"/>
        </w:rPr>
      </w:pPr>
      <w:r w:rsidRPr="004A211D">
        <w:rPr>
          <w:szCs w:val="24"/>
        </w:rPr>
        <w:t>The specific surface area of the powders was determined through the measurement of nitrogen adsorption-desorption isotherms by a Tristar 3000, Micromeritics (USA) instrument. The measurements were performed at -196 °C (77 K). The samples were outgassed under vacuum for 16 h at 110 °C (383 K). The mass of the samples in the analyser was ≈ 0.1 g. The specific surface area was calculated from the adsorption measurements in the relative pressure (</w:t>
      </w:r>
      <w:r w:rsidRPr="004A211D">
        <w:rPr>
          <w:i/>
          <w:iCs/>
          <w:szCs w:val="24"/>
        </w:rPr>
        <w:t>p</w:t>
      </w:r>
      <w:r w:rsidRPr="004A211D">
        <w:rPr>
          <w:szCs w:val="24"/>
        </w:rPr>
        <w:t>/</w:t>
      </w:r>
      <w:r w:rsidRPr="004A211D">
        <w:rPr>
          <w:i/>
          <w:iCs/>
          <w:szCs w:val="24"/>
        </w:rPr>
        <w:t>p</w:t>
      </w:r>
      <w:r w:rsidRPr="004A211D">
        <w:rPr>
          <w:szCs w:val="24"/>
        </w:rPr>
        <w:t>0) range of 0.05–0.25.</w:t>
      </w:r>
    </w:p>
    <w:p w14:paraId="24E0DED5" w14:textId="33FC4FD5" w:rsidR="00632A8C" w:rsidRPr="004A211D" w:rsidRDefault="00632A8C" w:rsidP="004A211D">
      <w:pPr>
        <w:spacing w:line="360" w:lineRule="auto"/>
        <w:ind w:firstLine="425"/>
        <w:rPr>
          <w:rFonts w:eastAsia="Times New Roman"/>
          <w:color w:val="auto"/>
          <w:szCs w:val="24"/>
        </w:rPr>
      </w:pPr>
      <w:bookmarkStart w:id="2" w:name="_Hlk69390507"/>
      <w:r w:rsidRPr="004A211D">
        <w:rPr>
          <w:szCs w:val="24"/>
        </w:rPr>
        <w:t>Photocurrent responses were recorded using a three electrode system, where Ag/AgCl and a Pt wire were used as reference and counter electrodes, respectively. The working electrode was prepared by depositing the measured sample on the conductive side of an ITO foil. 0.1 M KNO</w:t>
      </w:r>
      <w:r w:rsidRPr="004A211D">
        <w:rPr>
          <w:szCs w:val="24"/>
          <w:vertAlign w:val="subscript"/>
        </w:rPr>
        <w:t>3</w:t>
      </w:r>
      <w:r w:rsidRPr="004A211D">
        <w:rPr>
          <w:szCs w:val="24"/>
        </w:rPr>
        <w:t xml:space="preserve"> was used as an electrolyte. The measurements were carried out in the range of wavelengths from 250 nm to 450 nm at an applied external potential of 1 V. This ensures that the highest number of photogenerated electrons travel to the working electrode. In this way the charge carriers (free electrons and holes) were successfully separated, thus preventing recombination. Before each measurement, the cell was purged with argon in order to ensure an oxygen free environment</w:t>
      </w:r>
      <w:bookmarkStart w:id="3" w:name="_Hlk69460680"/>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{"citationItems":[{"id":"ITEM-1","itemData":{"DOI":"10.1016/j.apsusc.2018.10.255","ISSN":"01694332","abstract":"The pure g-C 3 N 4 and BiVO 4 were prepared by heating of melamine and sol-gel method, respectively. Their composites with various weight ratios (4:1; 1:1; 1:4) were obtained by simple mechanical mixing. Each photocatalyst was immobilized on Al 2 O 3 foam (VUKOPOR A). Powder forms of photocatalysts were characterized by several characterization methods, such as X-ray diffraction, N 2 physisorption, diffuse reflectance UV–vis spectroscopy, photoluminescence spectroscopy, infrared spectroscopy, X-ray photoelectron spectroscopy and photoelectrochemical measurements to obtain their properties. Their photocatalytic activity was evaluated for the photocatalytic decomposition of N 2 O which was carried out in homemade batch reactor. The experimental data and XPS results confirmed significant influence of oxygen species present on surface of the photocatalyst on their photocatalytic activity. Moreover, the immobilization of the photocatalyst on a macroscopic support such as foam, allow effortless manipulation with them and also their repeated using.","author":[{"dropping-particle":"","family":"Reli","given":"Martin","non-dropping-particle":"","parse-names":false,"suffix":""},{"dropping-particle":"","family":"Troppová","given":"Ivana","non-dropping-particle":"","parse-names":false,"suffix":""},{"dropping-particle":"","family":"Šihor","given":"Marcel","non-dropping-particle":"","parse-names":false,"suffix":""},{"dropping-particle":"","family":"Pavlovský","given":"Jiří","non-dropping-particle":"","parse-names":false,"suffix":""},{"dropping-particle":"","family":"Praus","given":"Petr","non-dropping-particle":"","parse-names":false,"suffix":""},{"dropping-particle":"","family":"Kočí","given":"Kamila","non-dropping-particle":"","parse-names":false,"suffix":""}],"container-title":"Applied Surface Science","id":"ITEM-1","issue":"October 2018","issued":{"date-parts":[["2019"]]},"page":"181-191","title":"Photocatalytic decomposition of N&lt;sub&gt;2&lt;/sub&gt;O over g-C&lt;sub&gt;3&lt;/sub&gt;N&lt;sub&gt;4&lt;/sub&gt;/BiVO&lt;sub&gt;4&lt;/sub&gt; composite","type":"article-journal","volume":"469"},"uris":["http://www.mendeley.com/documents/?uuid=9db30108-69eb-4b36-a050-1ebc37eefab2"]},{"id":"ITEM-2","itemData":{"DOI":"10.1021/acs.jpca.6b07236","ISSN":"15205215","abstract":"TiO2/g-C3N4 photocatalysts with the ratio of TiO2 to g-C3N4 ranging from 0.3/1 to 2/1 were prepared by simple mechanical mixing of pure g-C3N4 and commercial TiO2 Evonik P25. All the nanocomposites were characterized by X-ray powder diffraction, UV-vis diffuse reflectance spectroscopy, photoluminescence, X-ray photoelectron spectroscopy, Raman spectroscopy, infrared spectroscopy, transmission electron microscopy, photoelectrochemical measurements, and nitrogen physisorption. The prepared mixtures along with pure TiO2 and g-C3N4 were tested for the photocatalytic reduction of carbon dioxide and photocatalytic decomposition of nitrous oxide. The pure g-C3N4 exhibited the lowest photocatalytic activity in both cases, pointing to a very high recombination rate of charge carriers. On the other hand, the most active photocatalyst toward all the products was (0.3/1)TiO2/g-C3N4. The highest activity is achieved by combination of a number of factors: (i) specific surface area, (ii) adsorption edge energy, (iii) crystallite size, and (iv) efficient separation of the charge carriers, where the efficient charge separation is the most decisive parameter. (Graph Presented).","author":[{"dropping-particle":"","family":"Reli","given":"Martin","non-dropping-particle":"","parse-names":false,"suffix":""},{"dropping-particle":"","family":"Huo","given":"Pengwei","non-dropping-particle":"","parse-names":false,"suffix":""},{"dropping-particle":"","family":"Šihor","given":"Marcel","non-dropping-particle":"","parse-names":false,"suffix":""},{"dropping-particle":"","family":"Ambrožová","given":"Nela","non-dropping-particle":"","parse-names":false,"suffix":""},{"dropping-particle":"","family":"Troppová","given":"Ivana","non-dropping-particle":"","parse-names":false,"suffix":""},{"dropping-particle":"","family":"Matějová","given":"Lenka","non-dropping-particle":"","parse-names":false,"suffix":""},{"dropping-particle":"","family":"Lang","given":"Jaroslav","non-dropping-particle":"","parse-names":false,"suffix":""},{"dropping-particle":"","family":"Svoboda","given":"Ladislav","non-dropping-particle":"","parse-names":false,"suffix":""},{"dropping-particle":"","family":"Kuśtrowski","given":"Piotr","non-dropping-particle":"","parse-names":false,"suffix":""},{"dropping-particle":"","family":"Ritz","given":"Michal","non-dropping-particle":"","parse-names":false,"suffix":""},{"dropping-particle":"","family":"Praus","given":"Petr","non-dropping-particle":"","parse-names":false,"suffix":""},{"dropping-particle":"","family":"Kočí","given":"Kamila","non-dropping-particle":"","parse-names":false,"suffix":""}],"container-title":"Journal of Physical Chemistry A","id":"ITEM-2","issue":"43","issued":{"date-parts":[["2016"]]},"page":"8564-8573","title":"Novel TiO&lt;sub&gt;2&lt;/sub&gt;/C&lt;sub&gt;3&lt;/sub&gt;N&lt;sub&gt;4&lt;/sub&gt; Photocatalysts for Photocatalytic Reduction of CO&lt;sub&gt;2&lt;/sub&gt; and for Photocatalytic Decomposition of N&lt;sub&gt;2&lt;/sub&gt;O","type":"article-journal","volume":"120"},"uris":["http://www.mendeley.com/documents/?uuid=38903c4c-c715-480f-b051-ce4b55a4d504"]}],"mendeley":{"formattedCitation":"&lt;sup&gt;38,39&lt;/sup&gt;","plainTextFormattedCitation":"38,39","previouslyFormattedCitation":"&lt;sup&gt;38,39&lt;/sup&gt;"},"properties":{"noteIndex":0},"schema":"https://github.com/citation-style-language/schema/raw/master/csl-citation.json"}</w:instrText>
      </w:r>
      <w:r w:rsidRPr="004A211D">
        <w:rPr>
          <w:szCs w:val="24"/>
        </w:rPr>
        <w:fldChar w:fldCharType="separate"/>
      </w:r>
      <w:r w:rsidR="00AE1B1C" w:rsidRPr="004A211D">
        <w:rPr>
          <w:szCs w:val="24"/>
          <w:vertAlign w:val="superscript"/>
        </w:rPr>
        <w:t>38,39</w:t>
      </w:r>
      <w:r w:rsidRPr="004A211D">
        <w:rPr>
          <w:szCs w:val="24"/>
        </w:rPr>
        <w:fldChar w:fldCharType="end"/>
      </w:r>
      <w:r w:rsidRPr="004A211D">
        <w:rPr>
          <w:szCs w:val="24"/>
        </w:rPr>
        <w:t xml:space="preserve"> </w:t>
      </w:r>
      <w:bookmarkStart w:id="4" w:name="_Hlk69462413"/>
      <w:r w:rsidRPr="004A211D">
        <w:rPr>
          <w:rFonts w:eastAsia="Times New Roman"/>
          <w:color w:val="auto"/>
          <w:szCs w:val="24"/>
        </w:rPr>
        <w:t xml:space="preserve">In the measured range from 250 nm to 450 nm, the wavelength is being changed by 10 nm step. </w:t>
      </w:r>
      <w:r w:rsidRPr="004A211D">
        <w:rPr>
          <w:color w:val="auto"/>
          <w:szCs w:val="24"/>
        </w:rPr>
        <w:t>The photocurrent signal drops down</w:t>
      </w:r>
      <w:r w:rsidRPr="004A211D">
        <w:rPr>
          <w:rFonts w:eastAsia="Times New Roman"/>
          <w:color w:val="auto"/>
          <w:szCs w:val="24"/>
        </w:rPr>
        <w:t xml:space="preserve"> when the shutter closes to switch the </w:t>
      </w:r>
      <w:r w:rsidRPr="004A211D">
        <w:rPr>
          <w:color w:val="auto"/>
          <w:szCs w:val="24"/>
        </w:rPr>
        <w:t>wavelength for another 10 nm.</w:t>
      </w:r>
      <w:bookmarkEnd w:id="3"/>
      <w:bookmarkEnd w:id="4"/>
    </w:p>
    <w:bookmarkEnd w:id="2"/>
    <w:p w14:paraId="61D144B4" w14:textId="77777777" w:rsidR="00632A8C" w:rsidRPr="004A211D" w:rsidRDefault="00632A8C" w:rsidP="004A211D">
      <w:pPr>
        <w:spacing w:line="360" w:lineRule="auto"/>
        <w:ind w:firstLine="425"/>
        <w:rPr>
          <w:szCs w:val="24"/>
        </w:rPr>
      </w:pPr>
      <w:r w:rsidRPr="004A211D">
        <w:rPr>
          <w:szCs w:val="24"/>
        </w:rPr>
        <w:t>The morphology and the size of the particles of prepared powders were examined using a field-emission scanning electron microscope FE-SEM (FEI Inspect</w:t>
      </w:r>
      <w:r w:rsidRPr="004A211D">
        <w:rPr>
          <w:szCs w:val="24"/>
          <w:vertAlign w:val="superscript"/>
        </w:rPr>
        <w:t xml:space="preserve">TM </w:t>
      </w:r>
      <w:r w:rsidRPr="004A211D">
        <w:rPr>
          <w:szCs w:val="24"/>
        </w:rPr>
        <w:t xml:space="preserve">F50 and Ultra Plus Zeiss). </w:t>
      </w:r>
      <w:bookmarkStart w:id="5" w:name="_Hlk69462327"/>
      <w:r w:rsidRPr="004A211D">
        <w:rPr>
          <w:szCs w:val="24"/>
        </w:rPr>
        <w:t>Accelerating voltage was set to 2 kV. Images were obtained with detection of secondary electrons.</w:t>
      </w:r>
    </w:p>
    <w:bookmarkEnd w:id="5"/>
    <w:p w14:paraId="3445977D" w14:textId="77777777" w:rsidR="00632A8C" w:rsidRPr="00632A8C" w:rsidRDefault="00632A8C" w:rsidP="00632A8C">
      <w:pPr>
        <w:spacing w:line="228" w:lineRule="auto"/>
        <w:ind w:firstLine="425"/>
        <w:rPr>
          <w:bCs/>
          <w:i/>
          <w:iCs/>
          <w:szCs w:val="24"/>
        </w:rPr>
      </w:pPr>
    </w:p>
    <w:p w14:paraId="6CD1780A" w14:textId="77777777" w:rsidR="00632A8C" w:rsidRPr="00632A8C" w:rsidRDefault="00632A8C" w:rsidP="00632A8C">
      <w:pPr>
        <w:spacing w:line="228" w:lineRule="auto"/>
        <w:ind w:firstLine="425"/>
        <w:rPr>
          <w:bCs/>
          <w:i/>
          <w:iCs/>
          <w:szCs w:val="24"/>
        </w:rPr>
      </w:pPr>
    </w:p>
    <w:p w14:paraId="636DB47D" w14:textId="77777777" w:rsidR="004A211D" w:rsidRDefault="004A211D" w:rsidP="00632A8C">
      <w:pPr>
        <w:pStyle w:val="Heading2"/>
        <w:numPr>
          <w:ilvl w:val="0"/>
          <w:numId w:val="0"/>
        </w:numPr>
        <w:ind w:left="576" w:hanging="576"/>
        <w:rPr>
          <w:sz w:val="28"/>
          <w:szCs w:val="28"/>
          <w:lang w:val="en-US"/>
        </w:rPr>
      </w:pPr>
    </w:p>
    <w:p w14:paraId="3AF70B79" w14:textId="6636E7F6" w:rsidR="00632A8C" w:rsidRPr="00632A8C" w:rsidRDefault="00632A8C" w:rsidP="00632A8C">
      <w:pPr>
        <w:pStyle w:val="Heading2"/>
        <w:numPr>
          <w:ilvl w:val="0"/>
          <w:numId w:val="0"/>
        </w:numPr>
        <w:ind w:left="576" w:hanging="576"/>
        <w:rPr>
          <w:sz w:val="28"/>
          <w:szCs w:val="28"/>
          <w:lang w:val="en-US"/>
        </w:rPr>
      </w:pPr>
      <w:r w:rsidRPr="00632A8C">
        <w:rPr>
          <w:sz w:val="28"/>
          <w:szCs w:val="28"/>
          <w:lang w:val="en-US"/>
        </w:rPr>
        <w:lastRenderedPageBreak/>
        <w:t>Photocatalytic activity tests</w:t>
      </w:r>
    </w:p>
    <w:p w14:paraId="327FF3E7" w14:textId="46F4DD44" w:rsidR="00632A8C" w:rsidRPr="004A211D" w:rsidRDefault="00632A8C" w:rsidP="004A211D">
      <w:pPr>
        <w:spacing w:line="360" w:lineRule="auto"/>
        <w:ind w:firstLine="425"/>
        <w:rPr>
          <w:szCs w:val="24"/>
        </w:rPr>
      </w:pPr>
      <w:r w:rsidRPr="004A211D">
        <w:rPr>
          <w:szCs w:val="24"/>
        </w:rPr>
        <w:t>The photocatalytic activity of the powder samples under UV and visible light exposure was determined by measuring the rate constant of oxidation of isopropanol to acetone and further oxidation leading to CO</w:t>
      </w:r>
      <w:r w:rsidRPr="004A211D">
        <w:rPr>
          <w:szCs w:val="24"/>
          <w:vertAlign w:val="subscript"/>
        </w:rPr>
        <w:t>2</w:t>
      </w:r>
      <w:r w:rsidRPr="004A211D">
        <w:rPr>
          <w:szCs w:val="24"/>
        </w:rPr>
        <w:t xml:space="preserve"> and H</w:t>
      </w:r>
      <w:r w:rsidRPr="004A211D">
        <w:rPr>
          <w:szCs w:val="24"/>
          <w:vertAlign w:val="subscript"/>
        </w:rPr>
        <w:t>2</w:t>
      </w:r>
      <w:r w:rsidRPr="004A211D">
        <w:rPr>
          <w:szCs w:val="24"/>
        </w:rPr>
        <w:t>O as the final products using FTIR spectroscopy. Commercially available Hombikat UV 100 (DE) — anatase nanopowder, with a primary crystal size &lt;10 nm and specific surface area &gt;250 m</w:t>
      </w:r>
      <w:r w:rsidRPr="004A211D">
        <w:rPr>
          <w:szCs w:val="24"/>
          <w:vertAlign w:val="superscript"/>
        </w:rPr>
        <w:t>2</w:t>
      </w:r>
      <w:r w:rsidRPr="004A211D">
        <w:rPr>
          <w:szCs w:val="24"/>
        </w:rPr>
        <w:t>/g was used for comparison. The reactions are presented in Equation (2)</w:t>
      </w:r>
      <w:r w:rsidR="001E7A24" w:rsidRPr="004A211D">
        <w:rPr>
          <w:szCs w:val="24"/>
          <w:lang w:val="en-SI"/>
        </w:rPr>
        <w:t>:</w:t>
      </w:r>
      <w:r w:rsidRPr="004A211D">
        <w:rPr>
          <w:szCs w:val="24"/>
        </w:rPr>
        <w:fldChar w:fldCharType="begin" w:fldLock="1"/>
      </w:r>
      <w:r w:rsidR="00AE1B1C" w:rsidRPr="004A211D">
        <w:rPr>
          <w:szCs w:val="24"/>
        </w:rPr>
        <w:instrText>ADDIN CSL_CITATION {"citationItems":[{"id":"ITEM-1","itemData":{"DOI":"10.3762/bjnano.6.86","ISSN":"2190-4286","author":[{"dropping-particle":"","family":"Rutar","given":"Melita","non-dropping-particle":"","parse-names":false,"suffix":""},{"dropping-particle":"","family":"Rozman","given":"Nejc","non-dropping-particle":"","parse-names":false,"suffix":""},{"dropping-particle":"","family":"Pregelj","given":"Matej","non-dropping-particle":"","parse-names":false,"suffix":""},{"dropping-particle":"","family":"Bittencourt","given":"Carla","non-dropping-particle":"","parse-names":false,"suffix":""},{"dropping-particle":"","family":"Cerc Korošec","given":"Romana","non-dropping-particle":"","parse-names":false,"suffix":""},{"dropping-particle":"","family":"Sever Škapin","given":"Andrijana","non-dropping-particle":"","parse-names":false,"suffix":""},{"dropping-particle":"","family":"Mrzel","given":"Aleš","non-dropping-particle":"","parse-names":false,"suffix":""},{"dropping-particle":"","family":"Škapin","given":"Srečo D","non-dropping-particle":"","parse-names":false,"suffix":""},{"dropping-particle":"","family":"Umek","given":"Polona","non-dropping-particle":"","parse-names":false,"suffix":""}],"container-title":"Beilstein Journal of Nanotechnology","id":"ITEM-1","issued":{"date-parts":[["2015","3","27"]]},"page":"831-844","title":"Transformation of hydrogen titanate nanoribbons to TiO&lt;sub&gt;2&lt;/sub&gt; nanoribbons and the influence of the transformation strategies on the photocatalytic performance","type":"article-journal","volume":"6"},"uris":["http://www.mendeley.com/documents/?uuid=8b850fe2-0d82-4060-b0cc-d75beff007e4"]}],"mendeley":{"formattedCitation":"&lt;sup&gt;40&lt;/sup&gt;","plainTextFormattedCitation":"40","previouslyFormattedCitation":"&lt;sup&gt;40&lt;/sup&gt;"},"properties":{"noteIndex":0},"schema":"https://github.com/citation-style-language/schema/raw/master/csl-citation.json"}</w:instrText>
      </w:r>
      <w:r w:rsidRPr="004A211D">
        <w:rPr>
          <w:szCs w:val="24"/>
        </w:rPr>
        <w:fldChar w:fldCharType="separate"/>
      </w:r>
      <w:r w:rsidR="00AE1B1C" w:rsidRPr="004A211D">
        <w:rPr>
          <w:szCs w:val="24"/>
          <w:vertAlign w:val="superscript"/>
        </w:rPr>
        <w:t>40</w:t>
      </w:r>
      <w:r w:rsidRPr="004A211D">
        <w:rPr>
          <w:szCs w:val="24"/>
        </w:rPr>
        <w:fldChar w:fldCharType="end"/>
      </w:r>
    </w:p>
    <w:p w14:paraId="71BCC1AD" w14:textId="630A7253" w:rsidR="00632A8C" w:rsidRPr="004A211D" w:rsidRDefault="007967F6" w:rsidP="004A211D">
      <w:pPr>
        <w:spacing w:line="360" w:lineRule="auto"/>
        <w:ind w:firstLine="425"/>
        <w:jc w:val="center"/>
        <w:rPr>
          <w:rFonts w:eastAsia="Times New Roman"/>
          <w:szCs w:val="24"/>
        </w:rPr>
      </w:pPr>
      <w:r w:rsidRPr="004A211D">
        <w:rPr>
          <w:szCs w:val="24"/>
          <w:lang w:val="en-SI"/>
        </w:rPr>
        <w:t xml:space="preserve">                 </w:t>
      </w:r>
      <m:oMath>
        <m:r>
          <w:rPr>
            <w:rFonts w:ascii="Cambria Math" w:hAnsi="Cambria Math"/>
            <w:szCs w:val="24"/>
          </w:rPr>
          <m:t xml:space="preserve">isopropanol </m:t>
        </m:r>
        <m:box>
          <m:boxPr>
            <m:opEmu m:val="1"/>
            <m:ctrlPr>
              <w:rPr>
                <w:rFonts w:ascii="Cambria Math" w:hAnsi="Cambria Math"/>
                <w:i/>
                <w:szCs w:val="24"/>
              </w:rPr>
            </m:ctrlPr>
          </m:boxPr>
          <m:e>
            <m:groupChr>
              <m:groupChrPr>
                <m:chr m:val="→"/>
                <m:vertJc m:val="bot"/>
                <m:ctrlPr>
                  <w:rPr>
                    <w:rFonts w:ascii="Cambria Math" w:hAnsi="Cambria Math"/>
                    <w:i/>
                    <w:szCs w:val="24"/>
                  </w:rPr>
                </m:ctrlPr>
              </m:groupCh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groupChr>
          </m:e>
        </m:box>
        <m:r>
          <w:rPr>
            <w:rFonts w:ascii="Cambria Math" w:hAnsi="Cambria Math"/>
            <w:szCs w:val="24"/>
          </w:rPr>
          <m:t>acetone</m:t>
        </m:r>
        <m:box>
          <m:boxPr>
            <m:opEmu m:val="1"/>
            <m:ctrlPr>
              <w:rPr>
                <w:rFonts w:ascii="Cambria Math" w:hAnsi="Cambria Math"/>
                <w:i/>
                <w:szCs w:val="24"/>
              </w:rPr>
            </m:ctrlPr>
          </m:boxPr>
          <m:e>
            <m:groupChr>
              <m:groupChrPr>
                <m:chr m:val="→"/>
                <m:vertJc m:val="bot"/>
                <m:ctrlPr>
                  <w:rPr>
                    <w:rFonts w:ascii="Cambria Math" w:hAnsi="Cambria Math"/>
                    <w:i/>
                    <w:szCs w:val="24"/>
                  </w:rPr>
                </m:ctrlPr>
              </m:groupCh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e>
            </m:groupChr>
          </m:e>
        </m:box>
        <m:r>
          <w:rPr>
            <w:rFonts w:ascii="Cambria Math" w:hAnsi="Cambria Math"/>
            <w:szCs w:val="24"/>
          </w:rPr>
          <m:t>further oxidation products</m:t>
        </m:r>
      </m:oMath>
      <w:r w:rsidR="00632A8C" w:rsidRPr="004A211D">
        <w:rPr>
          <w:rFonts w:eastAsia="Times New Roman"/>
          <w:szCs w:val="24"/>
        </w:rPr>
        <w:t xml:space="preserve">                  (2)</w:t>
      </w:r>
    </w:p>
    <w:p w14:paraId="715F051A" w14:textId="7EF8B565" w:rsidR="00632A8C" w:rsidRPr="004A211D" w:rsidRDefault="00632A8C" w:rsidP="004A211D">
      <w:pPr>
        <w:spacing w:line="360" w:lineRule="auto"/>
        <w:ind w:firstLine="425"/>
        <w:rPr>
          <w:szCs w:val="24"/>
        </w:rPr>
      </w:pPr>
      <w:r w:rsidRPr="004A211D">
        <w:rPr>
          <w:szCs w:val="24"/>
        </w:rPr>
        <w:t>Generally, the first step (</w:t>
      </w:r>
      <w:r w:rsidRPr="004A211D">
        <w:rPr>
          <w:i/>
          <w:szCs w:val="24"/>
        </w:rPr>
        <w:t>k</w:t>
      </w:r>
      <w:r w:rsidRPr="004A211D">
        <w:rPr>
          <w:i/>
          <w:szCs w:val="24"/>
          <w:vertAlign w:val="subscript"/>
        </w:rPr>
        <w:t>0</w:t>
      </w:r>
      <w:r w:rsidRPr="004A211D">
        <w:rPr>
          <w:szCs w:val="24"/>
        </w:rPr>
        <w:t>) is considered to be a zero order reaction, whereas the second step (</w:t>
      </w:r>
      <w:r w:rsidRPr="004A211D">
        <w:rPr>
          <w:i/>
          <w:szCs w:val="24"/>
        </w:rPr>
        <w:t>k</w:t>
      </w:r>
      <w:r w:rsidRPr="004A211D">
        <w:rPr>
          <w:i/>
          <w:szCs w:val="24"/>
          <w:vertAlign w:val="subscript"/>
        </w:rPr>
        <w:t>1</w:t>
      </w:r>
      <w:r w:rsidRPr="004A211D">
        <w:rPr>
          <w:szCs w:val="24"/>
        </w:rPr>
        <w:t>) is considered to be first order reaction. The method is presented in detail elsewhere</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{"citationItems":[{"id":"ITEM-1","itemData":{"DOI":"10.1016/j.surfcoat.2011.08.053","ISSN":"02578972","abstract":"The photocatalytic activity of a nano-anatase-containing paint has been studied. It was found that after a certain period of initial UV irradiation, the photocatalytic activity of such a paint significantly increases. To understand the underlying mechanisms, the pigment volume concentrations (PVCs) were varied in different ways, e.g. by varying the content of the inorganic filler, or by adjusting the content of the polymeric binder. The results were compared with the photocatalytic activity of a commercially available paint. The formulations which exhibit a good compromise between photocatalytic activity and other essential paint properties are discussed. The effect of relative humidity on the photocatalytic activity was also measured and is commented upon. © 2011 Elsevier B.V.","author":[{"dropping-particle":"","family":"Marolt","given":"Tina","non-dropping-particle":"","parse-names":false,"suffix":""},{"dropping-particle":"","family":"Škapin","given":"Andrijana Sever","non-dropping-particle":"","parse-names":false,"suffix":""},{"dropping-particle":"","family":"Bernard","given":"Janez","non-dropping-particle":"","parse-names":false,"suffix":""},{"dropping-particle":"","family":"Živec","given":"Petra","non-dropping-particle":"","parse-names":false,"suffix":""},{"dropping-particle":"","family":"Gaberšček","given":"Miran","non-dropping-particle":"","parse-names":false,"suffix":""}],"container-title":"Surface and Coatings Technology","id":"ITEM-1","issue":"6","issued":{"date-parts":[["2011"]]},"page":"1355-1361","title":"Photocatalytic activity of anatase-containing facade coatings","type":"article-journal","volume":"206"},"uris":["http://www.mendeley.com/documents/?uuid=a2419507-2921-4821-8c9f-2f0bb3e19588"]}],"mendeley":{"formattedCitation":"&lt;sup&gt;41&lt;/sup&gt;","plainTextFormattedCitation":"41","previouslyFormattedCitation":"&lt;sup&gt;41&lt;/sup&gt;"},"properties":{"noteIndex":0},"schema":"https://github.com/citation-style-language/schema/raw/master/csl-citation.json"}</w:instrText>
      </w:r>
      <w:r w:rsidRPr="004A211D">
        <w:rPr>
          <w:szCs w:val="24"/>
        </w:rPr>
        <w:fldChar w:fldCharType="separate"/>
      </w:r>
      <w:r w:rsidR="00AE1B1C" w:rsidRPr="004A211D">
        <w:rPr>
          <w:szCs w:val="24"/>
          <w:vertAlign w:val="superscript"/>
          <w:lang w:val="en-SI"/>
        </w:rPr>
        <w:t>41</w:t>
      </w:r>
      <w:r w:rsidRPr="004A211D">
        <w:rPr>
          <w:szCs w:val="24"/>
        </w:rPr>
        <w:fldChar w:fldCharType="end"/>
      </w:r>
      <w:r w:rsidRPr="004A211D">
        <w:rPr>
          <w:szCs w:val="24"/>
        </w:rPr>
        <w:t xml:space="preserve"> In the first step, approximately 50 mg of the powder was suspended in 3 mL of 1-butanol. This suspension was then evenly distributed in a standard Petri dish and dried for 2 hours at 50 °C. Each dried sample was then put in a sealed gas-solid flow reactor system and then injected with 8 µL of isopropanol. Once the adsorption equilibrium was reached, as indicated by flat line in the isopropanol concentration profile, the sample was illuminated with a 300 W Xe lamp (Newport Oriel Instrument) with an infrared ﬁlter. The spectrum of this Xe lamp is similar to sun illumination. The working distance between the Petri dish and the lamp was 6 cm. The temperature and relative humidity were set to 23±2 °C and 25±5 %, respectively. The isopropanol degradation and acetone formation and degradation processes (see equation 2) were followed by  monitoring the calculated area of their characteristic peaks at 951 cm</w:t>
      </w:r>
      <w:r w:rsidRPr="004A211D">
        <w:rPr>
          <w:szCs w:val="24"/>
          <w:vertAlign w:val="superscript"/>
        </w:rPr>
        <w:t>−1</w:t>
      </w:r>
      <w:r w:rsidRPr="004A211D">
        <w:rPr>
          <w:szCs w:val="24"/>
        </w:rPr>
        <w:t xml:space="preserve"> and 1207 cm</w:t>
      </w:r>
      <w:r w:rsidRPr="004A211D">
        <w:rPr>
          <w:szCs w:val="24"/>
          <w:vertAlign w:val="superscript"/>
        </w:rPr>
        <w:t>−1</w:t>
      </w:r>
      <w:r w:rsidRPr="004A211D">
        <w:rPr>
          <w:szCs w:val="24"/>
        </w:rPr>
        <w:t xml:space="preserve">, respectively, in the IR spectra obtained by a FT-IR spectrometer (Perkin-Elmer Spectrum BX II). The examples of characteristic FTIR output at three diferent reaction times with related explanations are presented in Figure S1 (Supplementary </w:t>
      </w:r>
      <w:r w:rsidR="00E102F0" w:rsidRPr="004A211D">
        <w:rPr>
          <w:szCs w:val="24"/>
          <w:lang w:val="en-SI"/>
        </w:rPr>
        <w:t>material</w:t>
      </w:r>
      <w:r w:rsidRPr="004A211D">
        <w:rPr>
          <w:szCs w:val="24"/>
        </w:rPr>
        <w:t>).</w:t>
      </w:r>
    </w:p>
    <w:p w14:paraId="596DA61C" w14:textId="77777777" w:rsidR="006B1A68" w:rsidRPr="00632A8C" w:rsidRDefault="006B1A68" w:rsidP="00FD391B">
      <w:pPr>
        <w:spacing w:line="228" w:lineRule="auto"/>
        <w:rPr>
          <w:szCs w:val="24"/>
        </w:rPr>
      </w:pPr>
    </w:p>
    <w:p w14:paraId="02AF7E42" w14:textId="65D5FF53" w:rsidR="00F945A9" w:rsidRPr="00905F1B" w:rsidRDefault="00F945A9" w:rsidP="00FD4CC0">
      <w:pPr>
        <w:pStyle w:val="Heading1"/>
        <w:rPr>
          <w:rFonts w:ascii="Times New Roman" w:hAnsi="Times New Roman" w:cs="Times New Roman"/>
          <w:lang w:val="en-SI"/>
        </w:rPr>
      </w:pPr>
      <w:r w:rsidRPr="00632A8C">
        <w:rPr>
          <w:rFonts w:ascii="Times New Roman" w:hAnsi="Times New Roman" w:cs="Times New Roman"/>
        </w:rPr>
        <w:t>Results</w:t>
      </w:r>
      <w:r w:rsidR="00905F1B">
        <w:rPr>
          <w:rFonts w:ascii="Times New Roman" w:hAnsi="Times New Roman" w:cs="Times New Roman"/>
          <w:lang w:val="en-SI"/>
        </w:rPr>
        <w:t xml:space="preserve"> and discussion</w:t>
      </w:r>
    </w:p>
    <w:p w14:paraId="218B4ED8" w14:textId="77777777" w:rsidR="00F945A9" w:rsidRPr="00632A8C" w:rsidRDefault="00F945A9" w:rsidP="00C11F89">
      <w:pPr>
        <w:pStyle w:val="Heading2"/>
        <w:numPr>
          <w:ilvl w:val="0"/>
          <w:numId w:val="0"/>
        </w:numPr>
        <w:spacing w:before="240" w:after="60" w:line="228" w:lineRule="auto"/>
        <w:ind w:left="576" w:hanging="576"/>
        <w:jc w:val="left"/>
        <w:rPr>
          <w:sz w:val="28"/>
          <w:szCs w:val="28"/>
        </w:rPr>
      </w:pPr>
      <w:r w:rsidRPr="00632A8C">
        <w:rPr>
          <w:sz w:val="28"/>
          <w:szCs w:val="28"/>
        </w:rPr>
        <w:t>X-Ray diffraction (XRD)</w:t>
      </w:r>
    </w:p>
    <w:p w14:paraId="785C7608" w14:textId="57A24DC4" w:rsidR="00F945A9" w:rsidRPr="00632A8C" w:rsidRDefault="00F945A9" w:rsidP="004A211D">
      <w:pPr>
        <w:spacing w:line="360" w:lineRule="auto"/>
        <w:ind w:firstLine="806"/>
        <w:rPr>
          <w:szCs w:val="24"/>
        </w:rPr>
      </w:pPr>
      <w:r w:rsidRPr="00632A8C">
        <w:rPr>
          <w:szCs w:val="24"/>
        </w:rPr>
        <w:t>XRD patterns of the prepared powders are presented in Figure 1. It can be seen from the results that anatase is the only polymorphic modification present in samples synthesized with HCl (</w:t>
      </w:r>
      <w:r w:rsidRPr="00632A8C">
        <w:rPr>
          <w:b/>
          <w:szCs w:val="24"/>
        </w:rPr>
        <w:t>REF</w:t>
      </w:r>
      <w:r w:rsidRPr="00632A8C">
        <w:rPr>
          <w:szCs w:val="24"/>
        </w:rPr>
        <w:t xml:space="preserve">, </w:t>
      </w:r>
      <w:r w:rsidRPr="00632A8C">
        <w:rPr>
          <w:b/>
          <w:szCs w:val="24"/>
        </w:rPr>
        <w:t>Urea_15</w:t>
      </w:r>
      <w:r w:rsidRPr="00632A8C">
        <w:rPr>
          <w:szCs w:val="24"/>
        </w:rPr>
        <w:t xml:space="preserve"> and </w:t>
      </w:r>
      <w:r w:rsidRPr="00632A8C">
        <w:rPr>
          <w:b/>
          <w:szCs w:val="24"/>
        </w:rPr>
        <w:t>Thiourea_15</w:t>
      </w:r>
      <w:r w:rsidRPr="00632A8C">
        <w:rPr>
          <w:szCs w:val="24"/>
        </w:rPr>
        <w:t>). On the contrary, patterns of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include peaks of β-TiO</w:t>
      </w:r>
      <w:r w:rsidRPr="00632A8C">
        <w:rPr>
          <w:szCs w:val="24"/>
          <w:vertAlign w:val="subscript"/>
        </w:rPr>
        <w:t>2</w:t>
      </w:r>
      <w:r w:rsidRPr="00632A8C">
        <w:rPr>
          <w:szCs w:val="24"/>
        </w:rPr>
        <w:t>, which crystallizes in a monoclinic crystal system and cannot be found in nature. Table 2 shows the share of polymorphic phases (</w:t>
      </w:r>
      <w:r w:rsidRPr="00632A8C">
        <w:rPr>
          <w:i/>
          <w:szCs w:val="24"/>
        </w:rPr>
        <w:t>Rietveld analysis</w:t>
      </w:r>
      <w:r w:rsidRPr="00632A8C">
        <w:rPr>
          <w:szCs w:val="24"/>
        </w:rPr>
        <w:t xml:space="preserve">) and calculated diameters of crystallites (determined using the </w:t>
      </w:r>
      <w:r w:rsidRPr="00632A8C">
        <w:rPr>
          <w:i/>
          <w:szCs w:val="24"/>
        </w:rPr>
        <w:t xml:space="preserve">Scherrer </w:t>
      </w:r>
      <w:r w:rsidRPr="00632A8C">
        <w:rPr>
          <w:i/>
          <w:szCs w:val="24"/>
        </w:rPr>
        <w:lastRenderedPageBreak/>
        <w:t>equation</w:t>
      </w:r>
      <w:r w:rsidRPr="00632A8C">
        <w:rPr>
          <w:szCs w:val="24"/>
        </w:rPr>
        <w:t>) in characterized samples. The results show that the amount of β-TiO</w:t>
      </w:r>
      <w:r w:rsidRPr="00632A8C">
        <w:rPr>
          <w:szCs w:val="24"/>
          <w:vertAlign w:val="subscript"/>
        </w:rPr>
        <w:t>2</w:t>
      </w:r>
      <w:r w:rsidRPr="00632A8C">
        <w:rPr>
          <w:szCs w:val="24"/>
        </w:rPr>
        <w:t xml:space="preserve"> in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varies from 16 % to 45 %. The highest amounts are present in samples </w:t>
      </w:r>
      <w:r w:rsidRPr="00632A8C">
        <w:rPr>
          <w:b/>
          <w:szCs w:val="24"/>
        </w:rPr>
        <w:t>S3_urea15</w:t>
      </w:r>
      <w:r w:rsidRPr="00632A8C">
        <w:rPr>
          <w:szCs w:val="24"/>
        </w:rPr>
        <w:t xml:space="preserve"> and </w:t>
      </w:r>
      <w:r w:rsidRPr="00632A8C">
        <w:rPr>
          <w:b/>
          <w:szCs w:val="24"/>
        </w:rPr>
        <w:t xml:space="preserve">S3_thiourea15 </w:t>
      </w:r>
      <w:r w:rsidRPr="00632A8C">
        <w:rPr>
          <w:szCs w:val="24"/>
        </w:rPr>
        <w:t xml:space="preserve">(39 % and 45 %), whereas samples </w:t>
      </w:r>
      <w:r w:rsidRPr="00632A8C">
        <w:rPr>
          <w:b/>
          <w:szCs w:val="24"/>
        </w:rPr>
        <w:t>S3</w:t>
      </w:r>
      <w:r w:rsidRPr="00632A8C">
        <w:rPr>
          <w:szCs w:val="24"/>
        </w:rPr>
        <w:t xml:space="preserve"> and </w:t>
      </w:r>
      <w:r w:rsidRPr="00632A8C">
        <w:rPr>
          <w:b/>
          <w:szCs w:val="24"/>
        </w:rPr>
        <w:t xml:space="preserve">S3_N0.5 </w:t>
      </w:r>
      <w:r w:rsidRPr="00632A8C">
        <w:rPr>
          <w:szCs w:val="24"/>
        </w:rPr>
        <w:t>exhibit the lowest (16 %). Moreover, crystallites found in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(18-25 nm) were smaller compared to samples synthesized with HCl (31-32 nm). The same trend was observed in our previously published work, which focused on thin films</w:t>
      </w:r>
      <w:r w:rsidR="001E7A24">
        <w:rPr>
          <w:szCs w:val="24"/>
          <w:lang w:val="en-SI"/>
        </w:rPr>
        <w:t>.</w:t>
      </w:r>
      <w:r w:rsidRPr="00632A8C">
        <w:rPr>
          <w:szCs w:val="24"/>
        </w:rPr>
        <w:fldChar w:fldCharType="begin" w:fldLock="1"/>
      </w:r>
      <w:r w:rsidR="00AE1B1C">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632A8C">
        <w:rPr>
          <w:szCs w:val="24"/>
        </w:rPr>
        <w:fldChar w:fldCharType="separate"/>
      </w:r>
      <w:r w:rsidR="00AE1B1C" w:rsidRPr="00AE1B1C">
        <w:rPr>
          <w:szCs w:val="24"/>
          <w:vertAlign w:val="superscript"/>
        </w:rPr>
        <w:t>37</w:t>
      </w:r>
      <w:r w:rsidRPr="00632A8C">
        <w:rPr>
          <w:szCs w:val="24"/>
        </w:rPr>
        <w:fldChar w:fldCharType="end"/>
      </w:r>
      <w:r w:rsidRPr="00632A8C">
        <w:rPr>
          <w:szCs w:val="24"/>
        </w:rPr>
        <w:t xml:space="preserve"> As with thin film systems, this can be attributed to the formation of TiOSO</w:t>
      </w:r>
      <w:r w:rsidRPr="00632A8C">
        <w:rPr>
          <w:szCs w:val="24"/>
          <w:vertAlign w:val="subscript"/>
        </w:rPr>
        <w:t>4</w:t>
      </w:r>
      <w:r w:rsidRPr="00632A8C">
        <w:rPr>
          <w:szCs w:val="24"/>
        </w:rPr>
        <w:t xml:space="preserve"> in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which inhibits the crystallization of anatase. The smallest crystallites were found in samples </w:t>
      </w:r>
      <w:r w:rsidRPr="00632A8C">
        <w:rPr>
          <w:b/>
          <w:szCs w:val="24"/>
        </w:rPr>
        <w:t>S3_N2</w:t>
      </w:r>
      <w:r w:rsidRPr="00632A8C">
        <w:rPr>
          <w:szCs w:val="24"/>
        </w:rPr>
        <w:t xml:space="preserve">, </w:t>
      </w:r>
      <w:r w:rsidRPr="00632A8C">
        <w:rPr>
          <w:b/>
          <w:szCs w:val="24"/>
        </w:rPr>
        <w:t>S3_urea15</w:t>
      </w:r>
      <w:r w:rsidRPr="00632A8C">
        <w:rPr>
          <w:szCs w:val="24"/>
        </w:rPr>
        <w:t xml:space="preserve">, </w:t>
      </w:r>
      <w:r w:rsidRPr="00632A8C">
        <w:rPr>
          <w:b/>
          <w:szCs w:val="24"/>
        </w:rPr>
        <w:t>S3_N0.5+2% Pt</w:t>
      </w:r>
      <w:r w:rsidRPr="00632A8C">
        <w:rPr>
          <w:szCs w:val="24"/>
        </w:rPr>
        <w:t xml:space="preserve"> and </w:t>
      </w:r>
      <w:r w:rsidRPr="00632A8C">
        <w:rPr>
          <w:b/>
          <w:szCs w:val="24"/>
        </w:rPr>
        <w:t xml:space="preserve">S3_N0.5+3% Pt </w:t>
      </w:r>
      <w:r w:rsidRPr="00632A8C">
        <w:rPr>
          <w:szCs w:val="24"/>
        </w:rPr>
        <w:t>(18-19 nm). Decreasing the crystallite size of TiO</w:t>
      </w:r>
      <w:r w:rsidRPr="00632A8C">
        <w:rPr>
          <w:szCs w:val="24"/>
          <w:vertAlign w:val="subscript"/>
        </w:rPr>
        <w:t>2</w:t>
      </w:r>
      <w:r w:rsidRPr="00632A8C">
        <w:rPr>
          <w:szCs w:val="24"/>
        </w:rPr>
        <w:t xml:space="preserve"> usually results in an increase in surface area, which can have a positive effect on the photocatalytic activity of the samples. The calculated crystallite sizes of β-TiO</w:t>
      </w:r>
      <w:r w:rsidRPr="00632A8C">
        <w:rPr>
          <w:szCs w:val="24"/>
          <w:vertAlign w:val="subscript"/>
        </w:rPr>
        <w:t>2</w:t>
      </w:r>
      <w:r w:rsidRPr="00632A8C">
        <w:rPr>
          <w:szCs w:val="24"/>
        </w:rPr>
        <w:t xml:space="preserve"> are similar to those of anatase.</w:t>
      </w:r>
    </w:p>
    <w:p w14:paraId="0E28FF47" w14:textId="6B0B2350" w:rsidR="00F945A9" w:rsidRPr="00632A8C" w:rsidRDefault="00F945A9" w:rsidP="004A211D">
      <w:pPr>
        <w:spacing w:line="360" w:lineRule="auto"/>
        <w:ind w:firstLine="993"/>
        <w:rPr>
          <w:szCs w:val="24"/>
        </w:rPr>
      </w:pPr>
      <w:r w:rsidRPr="00632A8C">
        <w:rPr>
          <w:szCs w:val="24"/>
        </w:rPr>
        <w:t>When comparing the size of crystallites in powders to those in thin films (as published in our previous work), we observed an interesting phenomenon. In the case of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we found larger crystallites in powder form (sizes of 18-25 nm in powders compared to 8-12 nm in thin films). This can be explained by the unlimited growth of crystallites in powders, unlike in thin films, where growth is limited by the thickness of the film and the substrate. In direct contrast, when analysing samples synthesized with HCl we found larger crystallites in thin film samples compared to powders (sizes of 40-60 nm and 31-32 nm, respectively). We attribute this to the partial crystallization and subsequent growth of TiO</w:t>
      </w:r>
      <w:r w:rsidRPr="00632A8C">
        <w:rPr>
          <w:szCs w:val="24"/>
          <w:vertAlign w:val="subscript"/>
        </w:rPr>
        <w:t>2</w:t>
      </w:r>
      <w:r w:rsidRPr="00632A8C">
        <w:rPr>
          <w:szCs w:val="24"/>
        </w:rPr>
        <w:t xml:space="preserve"> nanoparticles during the thermal treatment after each deposition (a final layer was prepared from three successive depositions, after each deposition thermal treatment was performed at 300 °C</w:t>
      </w:r>
      <w:r w:rsidR="001E7A24">
        <w:rPr>
          <w:szCs w:val="24"/>
          <w:lang w:val="en-SI"/>
        </w:rPr>
        <w:t>.</w:t>
      </w:r>
      <w:r w:rsidRPr="00632A8C">
        <w:rPr>
          <w:szCs w:val="24"/>
        </w:rPr>
        <w:fldChar w:fldCharType="begin" w:fldLock="1"/>
      </w:r>
      <w:r w:rsidR="00AE1B1C">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632A8C">
        <w:rPr>
          <w:szCs w:val="24"/>
        </w:rPr>
        <w:fldChar w:fldCharType="separate"/>
      </w:r>
      <w:r w:rsidR="00AE1B1C" w:rsidRPr="00AE1B1C">
        <w:rPr>
          <w:szCs w:val="24"/>
          <w:vertAlign w:val="superscript"/>
        </w:rPr>
        <w:t>37</w:t>
      </w:r>
      <w:r w:rsidRPr="00632A8C">
        <w:rPr>
          <w:szCs w:val="24"/>
        </w:rPr>
        <w:fldChar w:fldCharType="end"/>
      </w:r>
    </w:p>
    <w:p w14:paraId="55D60FB2" w14:textId="77777777" w:rsidR="00F945A9" w:rsidRPr="00632A8C" w:rsidRDefault="00F945A9" w:rsidP="004A211D">
      <w:pPr>
        <w:spacing w:line="360" w:lineRule="auto"/>
        <w:ind w:firstLine="709"/>
        <w:rPr>
          <w:szCs w:val="24"/>
        </w:rPr>
      </w:pPr>
      <w:r w:rsidRPr="00632A8C">
        <w:rPr>
          <w:szCs w:val="24"/>
        </w:rPr>
        <w:t xml:space="preserve">Samples with added platinum also exhibit peaks at 40, 47.5 and 67.5° </w:t>
      </w:r>
      <w:r w:rsidRPr="00632A8C">
        <w:rPr>
          <w:i/>
          <w:szCs w:val="24"/>
        </w:rPr>
        <w:t>2θ</w:t>
      </w:r>
      <w:r w:rsidRPr="00632A8C">
        <w:rPr>
          <w:szCs w:val="24"/>
        </w:rPr>
        <w:t>, which correspond to metallic platinum.</w:t>
      </w:r>
    </w:p>
    <w:p w14:paraId="102515C1" w14:textId="77777777" w:rsidR="00F945A9" w:rsidRPr="00632A8C" w:rsidRDefault="00F945A9" w:rsidP="00C11F89">
      <w:pPr>
        <w:keepNext/>
        <w:rPr>
          <w:szCs w:val="24"/>
        </w:rPr>
      </w:pPr>
      <w:r w:rsidRPr="00632A8C">
        <w:rPr>
          <w:szCs w:val="24"/>
        </w:rPr>
        <w:lastRenderedPageBreak/>
        <w:drawing>
          <wp:inline distT="0" distB="0" distL="0" distR="0" wp14:anchorId="019DF9FF" wp14:editId="248C5F57">
            <wp:extent cx="5600700" cy="8162925"/>
            <wp:effectExtent l="0" t="0" r="0" b="9525"/>
            <wp:docPr id="5" name="Picture 5" descr="xrd_powders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rd_powders_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8162925"/>
                    </a:xfrm>
                    <a:prstGeom prst="rect">
                      <a:avLst/>
                    </a:prstGeom>
                    <a:noFill/>
                    <a:ln>
                      <a:noFill/>
                    </a:ln>
                  </pic:spPr>
                </pic:pic>
              </a:graphicData>
            </a:graphic>
          </wp:inline>
        </w:drawing>
      </w:r>
    </w:p>
    <w:p w14:paraId="79C04AC7" w14:textId="0B6A8759" w:rsidR="00F945A9" w:rsidRPr="004A211D" w:rsidRDefault="00F945A9" w:rsidP="00C11F89">
      <w:pPr>
        <w:pStyle w:val="Caption"/>
        <w:jc w:val="center"/>
        <w:rPr>
          <w:rFonts w:ascii="Times New Roman" w:hAnsi="Times New Roman"/>
          <w:color w:val="auto"/>
          <w:sz w:val="24"/>
          <w:szCs w:val="24"/>
        </w:rPr>
      </w:pPr>
      <w:r w:rsidRPr="004A211D">
        <w:rPr>
          <w:rFonts w:ascii="Times New Roman" w:hAnsi="Times New Roman"/>
          <w:b/>
          <w:i w:val="0"/>
          <w:color w:val="auto"/>
          <w:sz w:val="24"/>
          <w:szCs w:val="24"/>
        </w:rPr>
        <w:t xml:space="preserve">Figure </w:t>
      </w:r>
      <w:r w:rsidRPr="004A211D">
        <w:rPr>
          <w:rFonts w:ascii="Times New Roman" w:hAnsi="Times New Roman"/>
          <w:b/>
          <w:i w:val="0"/>
          <w:color w:val="auto"/>
          <w:sz w:val="24"/>
          <w:szCs w:val="24"/>
        </w:rPr>
        <w:fldChar w:fldCharType="begin"/>
      </w:r>
      <w:r w:rsidRPr="004A211D">
        <w:rPr>
          <w:rFonts w:ascii="Times New Roman" w:hAnsi="Times New Roman"/>
          <w:b/>
          <w:i w:val="0"/>
          <w:color w:val="auto"/>
          <w:sz w:val="24"/>
          <w:szCs w:val="24"/>
        </w:rPr>
        <w:instrText xml:space="preserve"> SEQ Figure \* ARABIC </w:instrText>
      </w:r>
      <w:r w:rsidRPr="004A211D">
        <w:rPr>
          <w:rFonts w:ascii="Times New Roman" w:hAnsi="Times New Roman"/>
          <w:b/>
          <w:i w:val="0"/>
          <w:color w:val="auto"/>
          <w:sz w:val="24"/>
          <w:szCs w:val="24"/>
        </w:rPr>
        <w:fldChar w:fldCharType="separate"/>
      </w:r>
      <w:r w:rsidR="00A35F1B" w:rsidRPr="004A211D">
        <w:rPr>
          <w:rFonts w:ascii="Times New Roman" w:hAnsi="Times New Roman"/>
          <w:b/>
          <w:i w:val="0"/>
          <w:noProof/>
          <w:color w:val="auto"/>
          <w:sz w:val="24"/>
          <w:szCs w:val="24"/>
        </w:rPr>
        <w:t>1</w:t>
      </w:r>
      <w:r w:rsidRPr="004A211D">
        <w:rPr>
          <w:rFonts w:ascii="Times New Roman" w:hAnsi="Times New Roman"/>
          <w:b/>
          <w:i w:val="0"/>
          <w:color w:val="auto"/>
          <w:sz w:val="24"/>
          <w:szCs w:val="24"/>
        </w:rPr>
        <w:fldChar w:fldCharType="end"/>
      </w:r>
      <w:r w:rsidRPr="004A211D">
        <w:rPr>
          <w:rFonts w:ascii="Times New Roman" w:hAnsi="Times New Roman"/>
          <w:b/>
          <w:i w:val="0"/>
          <w:color w:val="auto"/>
          <w:sz w:val="24"/>
          <w:szCs w:val="24"/>
        </w:rPr>
        <w:t>.</w:t>
      </w:r>
      <w:r w:rsidRPr="004A211D">
        <w:rPr>
          <w:rFonts w:ascii="Times New Roman" w:hAnsi="Times New Roman"/>
          <w:color w:val="auto"/>
          <w:sz w:val="24"/>
          <w:szCs w:val="24"/>
        </w:rPr>
        <w:t xml:space="preserve"> X-Ray diffraction patterns of powders.</w:t>
      </w:r>
    </w:p>
    <w:p w14:paraId="6101A0F0" w14:textId="5D7C17A9" w:rsidR="00F945A9" w:rsidRPr="004A211D" w:rsidRDefault="00F945A9" w:rsidP="00C11F89">
      <w:pPr>
        <w:pStyle w:val="Caption"/>
        <w:keepNext/>
        <w:rPr>
          <w:rFonts w:ascii="Times New Roman" w:hAnsi="Times New Roman"/>
          <w:i w:val="0"/>
          <w:iCs w:val="0"/>
          <w:color w:val="auto"/>
          <w:sz w:val="24"/>
          <w:szCs w:val="24"/>
        </w:rPr>
      </w:pPr>
      <w:r w:rsidRPr="004A211D">
        <w:rPr>
          <w:rFonts w:ascii="Times New Roman" w:hAnsi="Times New Roman"/>
          <w:b/>
          <w:bCs/>
          <w:i w:val="0"/>
          <w:iCs w:val="0"/>
          <w:color w:val="auto"/>
          <w:sz w:val="24"/>
          <w:szCs w:val="24"/>
        </w:rPr>
        <w:lastRenderedPageBreak/>
        <w:t xml:space="preserve">Table </w:t>
      </w:r>
      <w:r w:rsidRPr="004A211D">
        <w:rPr>
          <w:rFonts w:ascii="Times New Roman" w:hAnsi="Times New Roman"/>
          <w:b/>
          <w:bCs/>
          <w:i w:val="0"/>
          <w:iCs w:val="0"/>
          <w:noProof/>
          <w:color w:val="auto"/>
          <w:sz w:val="24"/>
          <w:szCs w:val="24"/>
        </w:rPr>
        <w:fldChar w:fldCharType="begin"/>
      </w:r>
      <w:r w:rsidRPr="004A211D">
        <w:rPr>
          <w:rFonts w:ascii="Times New Roman" w:hAnsi="Times New Roman"/>
          <w:b/>
          <w:bCs/>
          <w:i w:val="0"/>
          <w:iCs w:val="0"/>
          <w:noProof/>
          <w:color w:val="auto"/>
          <w:sz w:val="24"/>
          <w:szCs w:val="24"/>
        </w:rPr>
        <w:instrText xml:space="preserve"> SEQ Table \* ARABIC </w:instrText>
      </w:r>
      <w:r w:rsidRPr="004A211D">
        <w:rPr>
          <w:rFonts w:ascii="Times New Roman" w:hAnsi="Times New Roman"/>
          <w:b/>
          <w:bCs/>
          <w:i w:val="0"/>
          <w:iCs w:val="0"/>
          <w:noProof/>
          <w:color w:val="auto"/>
          <w:sz w:val="24"/>
          <w:szCs w:val="24"/>
        </w:rPr>
        <w:fldChar w:fldCharType="separate"/>
      </w:r>
      <w:r w:rsidR="00A35F1B" w:rsidRPr="004A211D">
        <w:rPr>
          <w:rFonts w:ascii="Times New Roman" w:hAnsi="Times New Roman"/>
          <w:b/>
          <w:bCs/>
          <w:i w:val="0"/>
          <w:iCs w:val="0"/>
          <w:noProof/>
          <w:color w:val="auto"/>
          <w:sz w:val="24"/>
          <w:szCs w:val="24"/>
        </w:rPr>
        <w:t>2</w:t>
      </w:r>
      <w:r w:rsidRPr="004A211D">
        <w:rPr>
          <w:rFonts w:ascii="Times New Roman" w:hAnsi="Times New Roman"/>
          <w:b/>
          <w:bCs/>
          <w:i w:val="0"/>
          <w:iCs w:val="0"/>
          <w:noProof/>
          <w:color w:val="auto"/>
          <w:sz w:val="24"/>
          <w:szCs w:val="24"/>
        </w:rPr>
        <w:fldChar w:fldCharType="end"/>
      </w:r>
      <w:r w:rsidRPr="004A211D">
        <w:rPr>
          <w:rFonts w:ascii="Times New Roman" w:hAnsi="Times New Roman"/>
          <w:b/>
          <w:bCs/>
          <w:i w:val="0"/>
          <w:iCs w:val="0"/>
          <w:color w:val="auto"/>
          <w:sz w:val="24"/>
          <w:szCs w:val="24"/>
        </w:rPr>
        <w:t>.</w:t>
      </w:r>
      <w:r w:rsidRPr="004A211D">
        <w:rPr>
          <w:rFonts w:ascii="Times New Roman" w:hAnsi="Times New Roman"/>
          <w:i w:val="0"/>
          <w:iCs w:val="0"/>
          <w:color w:val="auto"/>
          <w:sz w:val="24"/>
          <w:szCs w:val="24"/>
        </w:rPr>
        <w:t xml:space="preserve"> The share of different polymorphic modifications, sizes of crystallites in powder samples calculated from XRD patterns using the Scherrer equation and the specific surface areas for examined samples.</w:t>
      </w:r>
    </w:p>
    <w:tbl>
      <w:tblPr>
        <w:tblW w:w="9355" w:type="dxa"/>
        <w:tblBorders>
          <w:top w:val="single" w:sz="4" w:space="0" w:color="7F7F7F"/>
          <w:bottom w:val="single" w:sz="4" w:space="0" w:color="7F7F7F"/>
        </w:tblBorders>
        <w:tblLayout w:type="fixed"/>
        <w:tblLook w:val="04A0" w:firstRow="1" w:lastRow="0" w:firstColumn="1" w:lastColumn="0" w:noHBand="0" w:noVBand="1"/>
      </w:tblPr>
      <w:tblGrid>
        <w:gridCol w:w="2268"/>
        <w:gridCol w:w="1417"/>
        <w:gridCol w:w="1417"/>
        <w:gridCol w:w="1418"/>
        <w:gridCol w:w="1417"/>
        <w:gridCol w:w="1418"/>
      </w:tblGrid>
      <w:tr w:rsidR="00F945A9" w:rsidRPr="00632A8C" w14:paraId="60DC751B" w14:textId="77777777" w:rsidTr="004A211D">
        <w:tc>
          <w:tcPr>
            <w:tcW w:w="2268" w:type="dxa"/>
            <w:tcBorders>
              <w:bottom w:val="single" w:sz="4" w:space="0" w:color="7F7F7F"/>
            </w:tcBorders>
            <w:shd w:val="clear" w:color="auto" w:fill="auto"/>
            <w:vAlign w:val="center"/>
          </w:tcPr>
          <w:p w14:paraId="1687FFB7" w14:textId="77777777" w:rsidR="00F945A9" w:rsidRPr="004A211D" w:rsidRDefault="00F945A9" w:rsidP="00F945A9">
            <w:pPr>
              <w:jc w:val="center"/>
              <w:rPr>
                <w:rFonts w:eastAsia="Calibri"/>
                <w:b/>
                <w:bCs/>
                <w:szCs w:val="24"/>
              </w:rPr>
            </w:pPr>
            <w:r w:rsidRPr="004A211D">
              <w:rPr>
                <w:rFonts w:eastAsia="Calibri"/>
                <w:b/>
                <w:bCs/>
                <w:szCs w:val="24"/>
              </w:rPr>
              <w:t>Sample</w:t>
            </w:r>
          </w:p>
        </w:tc>
        <w:tc>
          <w:tcPr>
            <w:tcW w:w="1417" w:type="dxa"/>
            <w:tcBorders>
              <w:bottom w:val="single" w:sz="4" w:space="0" w:color="7F7F7F"/>
            </w:tcBorders>
            <w:shd w:val="clear" w:color="auto" w:fill="auto"/>
            <w:vAlign w:val="center"/>
          </w:tcPr>
          <w:p w14:paraId="7A69D1DD" w14:textId="77777777" w:rsidR="00F945A9" w:rsidRPr="004A211D" w:rsidRDefault="00F945A9" w:rsidP="004A211D">
            <w:pPr>
              <w:ind w:left="42" w:hanging="42"/>
              <w:jc w:val="center"/>
              <w:rPr>
                <w:rFonts w:eastAsia="Calibri"/>
                <w:b/>
                <w:bCs/>
                <w:szCs w:val="24"/>
              </w:rPr>
            </w:pPr>
            <w:r w:rsidRPr="004A211D">
              <w:rPr>
                <w:rFonts w:eastAsia="Calibri"/>
                <w:b/>
                <w:bCs/>
                <w:szCs w:val="24"/>
              </w:rPr>
              <w:t>Amount of anatase</w:t>
            </w:r>
          </w:p>
          <w:p w14:paraId="48A508F1" w14:textId="77777777" w:rsidR="00F945A9" w:rsidRPr="004A211D" w:rsidRDefault="00F945A9" w:rsidP="00F945A9">
            <w:pPr>
              <w:jc w:val="center"/>
              <w:rPr>
                <w:rFonts w:eastAsia="Calibri"/>
                <w:b/>
                <w:bCs/>
                <w:szCs w:val="24"/>
              </w:rPr>
            </w:pPr>
            <w:r w:rsidRPr="004A211D">
              <w:rPr>
                <w:rFonts w:eastAsia="Calibri"/>
                <w:b/>
                <w:bCs/>
                <w:szCs w:val="24"/>
              </w:rPr>
              <w:t>(wt%)</w:t>
            </w:r>
          </w:p>
        </w:tc>
        <w:tc>
          <w:tcPr>
            <w:tcW w:w="1417" w:type="dxa"/>
            <w:tcBorders>
              <w:bottom w:val="single" w:sz="4" w:space="0" w:color="7F7F7F"/>
            </w:tcBorders>
            <w:shd w:val="clear" w:color="auto" w:fill="auto"/>
            <w:vAlign w:val="center"/>
          </w:tcPr>
          <w:p w14:paraId="7E54D08D" w14:textId="77777777" w:rsidR="00F945A9" w:rsidRPr="004A211D" w:rsidRDefault="00F945A9" w:rsidP="00F945A9">
            <w:pPr>
              <w:jc w:val="center"/>
              <w:rPr>
                <w:rFonts w:eastAsia="Calibri"/>
                <w:b/>
                <w:bCs/>
                <w:szCs w:val="24"/>
              </w:rPr>
            </w:pPr>
            <w:r w:rsidRPr="004A211D">
              <w:rPr>
                <w:rFonts w:eastAsia="Calibri"/>
                <w:b/>
                <w:bCs/>
                <w:szCs w:val="24"/>
              </w:rPr>
              <w:t>Calculated diameters of anatase crystallites (nm)</w:t>
            </w:r>
          </w:p>
        </w:tc>
        <w:tc>
          <w:tcPr>
            <w:tcW w:w="1418" w:type="dxa"/>
            <w:tcBorders>
              <w:top w:val="single" w:sz="4" w:space="0" w:color="auto"/>
              <w:bottom w:val="single" w:sz="4" w:space="0" w:color="7F7F7F"/>
            </w:tcBorders>
            <w:shd w:val="clear" w:color="auto" w:fill="auto"/>
            <w:vAlign w:val="center"/>
          </w:tcPr>
          <w:p w14:paraId="16D1AA9C" w14:textId="77777777" w:rsidR="00F945A9" w:rsidRPr="004A211D" w:rsidRDefault="00F945A9" w:rsidP="00F945A9">
            <w:pPr>
              <w:jc w:val="center"/>
              <w:rPr>
                <w:rFonts w:eastAsia="Calibri"/>
                <w:b/>
                <w:bCs/>
                <w:szCs w:val="24"/>
                <w:vertAlign w:val="subscript"/>
              </w:rPr>
            </w:pPr>
            <w:r w:rsidRPr="004A211D">
              <w:rPr>
                <w:rFonts w:eastAsia="Calibri"/>
                <w:b/>
                <w:bCs/>
                <w:szCs w:val="24"/>
              </w:rPr>
              <w:t>Amount of β-TiO</w:t>
            </w:r>
            <w:r w:rsidRPr="004A211D">
              <w:rPr>
                <w:rFonts w:eastAsia="Calibri"/>
                <w:b/>
                <w:bCs/>
                <w:szCs w:val="24"/>
                <w:vertAlign w:val="subscript"/>
              </w:rPr>
              <w:t>2</w:t>
            </w:r>
          </w:p>
          <w:p w14:paraId="048AE00B" w14:textId="77777777" w:rsidR="00F945A9" w:rsidRPr="004A211D" w:rsidRDefault="00F945A9" w:rsidP="00F945A9">
            <w:pPr>
              <w:jc w:val="center"/>
              <w:rPr>
                <w:rFonts w:eastAsia="Calibri"/>
                <w:b/>
                <w:bCs/>
                <w:szCs w:val="24"/>
              </w:rPr>
            </w:pPr>
            <w:r w:rsidRPr="004A211D">
              <w:rPr>
                <w:rFonts w:eastAsia="Calibri"/>
                <w:b/>
                <w:bCs/>
                <w:szCs w:val="24"/>
              </w:rPr>
              <w:t>(wt%)</w:t>
            </w:r>
          </w:p>
        </w:tc>
        <w:tc>
          <w:tcPr>
            <w:tcW w:w="1417" w:type="dxa"/>
            <w:tcBorders>
              <w:bottom w:val="single" w:sz="4" w:space="0" w:color="7F7F7F"/>
            </w:tcBorders>
            <w:shd w:val="clear" w:color="auto" w:fill="auto"/>
            <w:vAlign w:val="center"/>
          </w:tcPr>
          <w:p w14:paraId="5EC1B067" w14:textId="77777777" w:rsidR="00F945A9" w:rsidRPr="004A211D" w:rsidRDefault="00F945A9" w:rsidP="00F945A9">
            <w:pPr>
              <w:jc w:val="center"/>
              <w:rPr>
                <w:rFonts w:eastAsia="Calibri"/>
                <w:b/>
                <w:bCs/>
                <w:szCs w:val="24"/>
              </w:rPr>
            </w:pPr>
            <w:r w:rsidRPr="004A211D">
              <w:rPr>
                <w:rFonts w:eastAsia="Calibri"/>
                <w:b/>
                <w:bCs/>
                <w:szCs w:val="24"/>
              </w:rPr>
              <w:t>Calculated diameters of β-TiO</w:t>
            </w:r>
            <w:r w:rsidRPr="004A211D">
              <w:rPr>
                <w:rFonts w:eastAsia="Calibri"/>
                <w:b/>
                <w:bCs/>
                <w:szCs w:val="24"/>
                <w:vertAlign w:val="subscript"/>
              </w:rPr>
              <w:t>2</w:t>
            </w:r>
            <w:r w:rsidRPr="004A211D">
              <w:rPr>
                <w:rFonts w:eastAsia="Calibri"/>
                <w:b/>
                <w:bCs/>
                <w:szCs w:val="24"/>
              </w:rPr>
              <w:t xml:space="preserve"> crystallites (nm)</w:t>
            </w:r>
          </w:p>
        </w:tc>
        <w:tc>
          <w:tcPr>
            <w:tcW w:w="1418" w:type="dxa"/>
            <w:tcBorders>
              <w:bottom w:val="single" w:sz="4" w:space="0" w:color="7F7F7F"/>
            </w:tcBorders>
            <w:shd w:val="clear" w:color="auto" w:fill="auto"/>
            <w:vAlign w:val="center"/>
          </w:tcPr>
          <w:p w14:paraId="47995847" w14:textId="77777777" w:rsidR="00F945A9" w:rsidRPr="004A211D" w:rsidRDefault="00F945A9" w:rsidP="00F945A9">
            <w:pPr>
              <w:jc w:val="center"/>
              <w:rPr>
                <w:rFonts w:eastAsia="Calibri"/>
                <w:b/>
                <w:bCs/>
                <w:szCs w:val="24"/>
              </w:rPr>
            </w:pPr>
            <w:r w:rsidRPr="004A211D">
              <w:rPr>
                <w:rFonts w:eastAsia="Calibri"/>
                <w:b/>
                <w:bCs/>
                <w:szCs w:val="24"/>
              </w:rPr>
              <w:t>BET specific surface area (m</w:t>
            </w:r>
            <w:r w:rsidRPr="004A211D">
              <w:rPr>
                <w:rFonts w:eastAsia="Calibri"/>
                <w:b/>
                <w:bCs/>
                <w:szCs w:val="24"/>
                <w:vertAlign w:val="superscript"/>
              </w:rPr>
              <w:t>2</w:t>
            </w:r>
            <w:r w:rsidRPr="004A211D">
              <w:rPr>
                <w:rFonts w:eastAsia="Calibri"/>
                <w:b/>
                <w:bCs/>
                <w:szCs w:val="24"/>
              </w:rPr>
              <w:t>/g)</w:t>
            </w:r>
          </w:p>
        </w:tc>
      </w:tr>
      <w:tr w:rsidR="00F945A9" w:rsidRPr="00632A8C" w14:paraId="09E7F71C" w14:textId="77777777" w:rsidTr="004A211D">
        <w:tc>
          <w:tcPr>
            <w:tcW w:w="2268" w:type="dxa"/>
            <w:tcBorders>
              <w:top w:val="single" w:sz="4" w:space="0" w:color="7F7F7F"/>
              <w:bottom w:val="single" w:sz="4" w:space="0" w:color="7F7F7F"/>
            </w:tcBorders>
            <w:shd w:val="clear" w:color="auto" w:fill="auto"/>
          </w:tcPr>
          <w:p w14:paraId="04857A6F" w14:textId="77777777" w:rsidR="00F945A9" w:rsidRPr="004A211D" w:rsidRDefault="00F945A9" w:rsidP="00F945A9">
            <w:pPr>
              <w:jc w:val="center"/>
              <w:rPr>
                <w:rFonts w:eastAsia="Calibri"/>
                <w:b/>
                <w:bCs/>
                <w:szCs w:val="24"/>
              </w:rPr>
            </w:pPr>
            <w:r w:rsidRPr="004A211D">
              <w:rPr>
                <w:rFonts w:eastAsia="Calibri"/>
                <w:b/>
                <w:bCs/>
                <w:szCs w:val="24"/>
              </w:rPr>
              <w:t>REF</w:t>
            </w:r>
          </w:p>
        </w:tc>
        <w:tc>
          <w:tcPr>
            <w:tcW w:w="1417" w:type="dxa"/>
            <w:tcBorders>
              <w:top w:val="single" w:sz="4" w:space="0" w:color="7F7F7F"/>
              <w:bottom w:val="single" w:sz="4" w:space="0" w:color="7F7F7F"/>
            </w:tcBorders>
            <w:shd w:val="clear" w:color="auto" w:fill="auto"/>
          </w:tcPr>
          <w:p w14:paraId="0FB69DD6" w14:textId="77777777" w:rsidR="00F945A9" w:rsidRPr="004A211D" w:rsidRDefault="00F945A9" w:rsidP="00F945A9">
            <w:pPr>
              <w:jc w:val="center"/>
              <w:rPr>
                <w:rFonts w:eastAsia="Calibri"/>
                <w:szCs w:val="24"/>
              </w:rPr>
            </w:pPr>
            <w:r w:rsidRPr="004A211D">
              <w:rPr>
                <w:rFonts w:eastAsia="Calibri"/>
                <w:szCs w:val="24"/>
              </w:rPr>
              <w:t>100</w:t>
            </w:r>
          </w:p>
        </w:tc>
        <w:tc>
          <w:tcPr>
            <w:tcW w:w="1417" w:type="dxa"/>
            <w:tcBorders>
              <w:top w:val="single" w:sz="4" w:space="0" w:color="7F7F7F"/>
              <w:bottom w:val="single" w:sz="4" w:space="0" w:color="7F7F7F"/>
            </w:tcBorders>
            <w:shd w:val="clear" w:color="auto" w:fill="auto"/>
          </w:tcPr>
          <w:p w14:paraId="6BD1E658" w14:textId="77777777" w:rsidR="00F945A9" w:rsidRPr="004A211D" w:rsidRDefault="00F945A9" w:rsidP="00F945A9">
            <w:pPr>
              <w:jc w:val="center"/>
              <w:rPr>
                <w:rFonts w:eastAsia="Calibri"/>
                <w:szCs w:val="24"/>
              </w:rPr>
            </w:pPr>
            <w:r w:rsidRPr="004A211D">
              <w:rPr>
                <w:rFonts w:eastAsia="Calibri"/>
                <w:szCs w:val="24"/>
              </w:rPr>
              <w:t>31</w:t>
            </w:r>
          </w:p>
        </w:tc>
        <w:tc>
          <w:tcPr>
            <w:tcW w:w="1418" w:type="dxa"/>
            <w:tcBorders>
              <w:top w:val="single" w:sz="4" w:space="0" w:color="7F7F7F"/>
              <w:bottom w:val="single" w:sz="4" w:space="0" w:color="7F7F7F"/>
            </w:tcBorders>
            <w:shd w:val="clear" w:color="auto" w:fill="auto"/>
          </w:tcPr>
          <w:p w14:paraId="6E7EA25F" w14:textId="77777777" w:rsidR="00F945A9" w:rsidRPr="004A211D" w:rsidRDefault="00F945A9" w:rsidP="00F945A9">
            <w:pPr>
              <w:jc w:val="center"/>
              <w:rPr>
                <w:rFonts w:eastAsia="Calibri"/>
                <w:szCs w:val="24"/>
              </w:rPr>
            </w:pPr>
            <w:r w:rsidRPr="004A211D">
              <w:rPr>
                <w:rFonts w:eastAsia="Calibri"/>
                <w:szCs w:val="24"/>
              </w:rPr>
              <w:t>/</w:t>
            </w:r>
          </w:p>
        </w:tc>
        <w:tc>
          <w:tcPr>
            <w:tcW w:w="1417" w:type="dxa"/>
            <w:tcBorders>
              <w:top w:val="single" w:sz="4" w:space="0" w:color="7F7F7F"/>
              <w:bottom w:val="single" w:sz="4" w:space="0" w:color="7F7F7F"/>
            </w:tcBorders>
            <w:shd w:val="clear" w:color="auto" w:fill="auto"/>
          </w:tcPr>
          <w:p w14:paraId="0B27FFA4" w14:textId="77777777" w:rsidR="00F945A9" w:rsidRPr="004A211D" w:rsidRDefault="00F945A9" w:rsidP="00F945A9">
            <w:pPr>
              <w:jc w:val="center"/>
              <w:rPr>
                <w:rFonts w:eastAsia="Calibri"/>
                <w:szCs w:val="24"/>
              </w:rPr>
            </w:pPr>
            <w:r w:rsidRPr="004A211D">
              <w:rPr>
                <w:rFonts w:eastAsia="Calibri"/>
                <w:szCs w:val="24"/>
              </w:rPr>
              <w:t>/</w:t>
            </w:r>
          </w:p>
        </w:tc>
        <w:tc>
          <w:tcPr>
            <w:tcW w:w="1418" w:type="dxa"/>
            <w:tcBorders>
              <w:top w:val="single" w:sz="4" w:space="0" w:color="7F7F7F"/>
              <w:bottom w:val="single" w:sz="4" w:space="0" w:color="7F7F7F"/>
            </w:tcBorders>
            <w:shd w:val="clear" w:color="auto" w:fill="auto"/>
          </w:tcPr>
          <w:p w14:paraId="1886E410" w14:textId="77777777" w:rsidR="00F945A9" w:rsidRPr="004A211D" w:rsidRDefault="00F945A9" w:rsidP="00F945A9">
            <w:pPr>
              <w:jc w:val="center"/>
              <w:rPr>
                <w:rFonts w:eastAsia="Calibri"/>
                <w:szCs w:val="24"/>
              </w:rPr>
            </w:pPr>
            <w:r w:rsidRPr="004A211D">
              <w:rPr>
                <w:rFonts w:eastAsia="Calibri"/>
                <w:szCs w:val="24"/>
              </w:rPr>
              <w:t>44.1</w:t>
            </w:r>
          </w:p>
        </w:tc>
      </w:tr>
      <w:tr w:rsidR="00F945A9" w:rsidRPr="00632A8C" w14:paraId="00C2CB57" w14:textId="77777777" w:rsidTr="004A211D">
        <w:tc>
          <w:tcPr>
            <w:tcW w:w="2268" w:type="dxa"/>
            <w:shd w:val="clear" w:color="auto" w:fill="auto"/>
          </w:tcPr>
          <w:p w14:paraId="22FF909D" w14:textId="77777777" w:rsidR="00F945A9" w:rsidRPr="004A211D" w:rsidRDefault="00F945A9" w:rsidP="00F945A9">
            <w:pPr>
              <w:jc w:val="center"/>
              <w:rPr>
                <w:rFonts w:eastAsia="Calibri"/>
                <w:b/>
                <w:bCs/>
                <w:szCs w:val="24"/>
              </w:rPr>
            </w:pPr>
            <w:r w:rsidRPr="004A211D">
              <w:rPr>
                <w:rFonts w:eastAsia="Calibri"/>
                <w:b/>
                <w:bCs/>
                <w:szCs w:val="24"/>
              </w:rPr>
              <w:t>Urea_15</w:t>
            </w:r>
          </w:p>
        </w:tc>
        <w:tc>
          <w:tcPr>
            <w:tcW w:w="1417" w:type="dxa"/>
            <w:shd w:val="clear" w:color="auto" w:fill="auto"/>
          </w:tcPr>
          <w:p w14:paraId="415BADA7" w14:textId="77777777" w:rsidR="00F945A9" w:rsidRPr="004A211D" w:rsidRDefault="00F945A9" w:rsidP="00F945A9">
            <w:pPr>
              <w:jc w:val="center"/>
              <w:rPr>
                <w:rFonts w:eastAsia="Calibri"/>
                <w:szCs w:val="24"/>
              </w:rPr>
            </w:pPr>
            <w:r w:rsidRPr="004A211D">
              <w:rPr>
                <w:rFonts w:eastAsia="Calibri"/>
                <w:szCs w:val="24"/>
              </w:rPr>
              <w:t>100</w:t>
            </w:r>
          </w:p>
        </w:tc>
        <w:tc>
          <w:tcPr>
            <w:tcW w:w="1417" w:type="dxa"/>
            <w:shd w:val="clear" w:color="auto" w:fill="auto"/>
          </w:tcPr>
          <w:p w14:paraId="7521B89B" w14:textId="77777777" w:rsidR="00F945A9" w:rsidRPr="004A211D" w:rsidRDefault="00F945A9" w:rsidP="00F945A9">
            <w:pPr>
              <w:jc w:val="center"/>
              <w:rPr>
                <w:rFonts w:eastAsia="Calibri"/>
                <w:szCs w:val="24"/>
              </w:rPr>
            </w:pPr>
            <w:r w:rsidRPr="004A211D">
              <w:rPr>
                <w:rFonts w:eastAsia="Calibri"/>
                <w:szCs w:val="24"/>
              </w:rPr>
              <w:t>32</w:t>
            </w:r>
          </w:p>
        </w:tc>
        <w:tc>
          <w:tcPr>
            <w:tcW w:w="1418" w:type="dxa"/>
            <w:shd w:val="clear" w:color="auto" w:fill="auto"/>
          </w:tcPr>
          <w:p w14:paraId="29B40374" w14:textId="77777777" w:rsidR="00F945A9" w:rsidRPr="004A211D" w:rsidRDefault="00F945A9" w:rsidP="00F945A9">
            <w:pPr>
              <w:jc w:val="center"/>
              <w:rPr>
                <w:rFonts w:eastAsia="Calibri"/>
                <w:szCs w:val="24"/>
              </w:rPr>
            </w:pPr>
            <w:r w:rsidRPr="004A211D">
              <w:rPr>
                <w:rFonts w:eastAsia="Calibri"/>
                <w:szCs w:val="24"/>
              </w:rPr>
              <w:t>/</w:t>
            </w:r>
          </w:p>
        </w:tc>
        <w:tc>
          <w:tcPr>
            <w:tcW w:w="1417" w:type="dxa"/>
            <w:shd w:val="clear" w:color="auto" w:fill="auto"/>
          </w:tcPr>
          <w:p w14:paraId="79F53767" w14:textId="77777777" w:rsidR="00F945A9" w:rsidRPr="004A211D" w:rsidRDefault="00F945A9" w:rsidP="00F945A9">
            <w:pPr>
              <w:jc w:val="center"/>
              <w:rPr>
                <w:rFonts w:eastAsia="Calibri"/>
                <w:szCs w:val="24"/>
              </w:rPr>
            </w:pPr>
            <w:r w:rsidRPr="004A211D">
              <w:rPr>
                <w:rFonts w:eastAsia="Calibri"/>
                <w:szCs w:val="24"/>
              </w:rPr>
              <w:t>/</w:t>
            </w:r>
          </w:p>
        </w:tc>
        <w:tc>
          <w:tcPr>
            <w:tcW w:w="1418" w:type="dxa"/>
            <w:shd w:val="clear" w:color="auto" w:fill="auto"/>
          </w:tcPr>
          <w:p w14:paraId="4F5B6872" w14:textId="77777777" w:rsidR="00F945A9" w:rsidRPr="004A211D" w:rsidRDefault="00F945A9" w:rsidP="00F945A9">
            <w:pPr>
              <w:jc w:val="center"/>
              <w:rPr>
                <w:rFonts w:eastAsia="Calibri"/>
                <w:szCs w:val="24"/>
              </w:rPr>
            </w:pPr>
            <w:r w:rsidRPr="004A211D">
              <w:rPr>
                <w:rFonts w:eastAsia="Calibri"/>
                <w:szCs w:val="24"/>
              </w:rPr>
              <w:t>24.2</w:t>
            </w:r>
          </w:p>
        </w:tc>
      </w:tr>
      <w:tr w:rsidR="00F945A9" w:rsidRPr="00632A8C" w14:paraId="14800397" w14:textId="77777777" w:rsidTr="004A211D">
        <w:tc>
          <w:tcPr>
            <w:tcW w:w="2268" w:type="dxa"/>
            <w:tcBorders>
              <w:top w:val="single" w:sz="4" w:space="0" w:color="7F7F7F"/>
              <w:bottom w:val="single" w:sz="4" w:space="0" w:color="7F7F7F"/>
            </w:tcBorders>
            <w:shd w:val="clear" w:color="auto" w:fill="auto"/>
          </w:tcPr>
          <w:p w14:paraId="4BFF67A0" w14:textId="77777777" w:rsidR="00F945A9" w:rsidRPr="004A211D" w:rsidRDefault="00F945A9" w:rsidP="00F945A9">
            <w:pPr>
              <w:jc w:val="center"/>
              <w:rPr>
                <w:rFonts w:eastAsia="Calibri"/>
                <w:b/>
                <w:bCs/>
                <w:szCs w:val="24"/>
              </w:rPr>
            </w:pPr>
            <w:r w:rsidRPr="004A211D">
              <w:rPr>
                <w:rFonts w:eastAsia="Calibri"/>
                <w:b/>
                <w:bCs/>
                <w:szCs w:val="24"/>
              </w:rPr>
              <w:t>Thiourea_15</w:t>
            </w:r>
          </w:p>
        </w:tc>
        <w:tc>
          <w:tcPr>
            <w:tcW w:w="1417" w:type="dxa"/>
            <w:tcBorders>
              <w:top w:val="single" w:sz="4" w:space="0" w:color="7F7F7F"/>
              <w:bottom w:val="single" w:sz="4" w:space="0" w:color="7F7F7F"/>
            </w:tcBorders>
            <w:shd w:val="clear" w:color="auto" w:fill="auto"/>
          </w:tcPr>
          <w:p w14:paraId="2037469C" w14:textId="77777777" w:rsidR="00F945A9" w:rsidRPr="004A211D" w:rsidRDefault="00F945A9" w:rsidP="00F945A9">
            <w:pPr>
              <w:jc w:val="center"/>
              <w:rPr>
                <w:rFonts w:eastAsia="Calibri"/>
                <w:szCs w:val="24"/>
              </w:rPr>
            </w:pPr>
            <w:r w:rsidRPr="004A211D">
              <w:rPr>
                <w:rFonts w:eastAsia="Calibri"/>
                <w:szCs w:val="24"/>
              </w:rPr>
              <w:t>100</w:t>
            </w:r>
          </w:p>
        </w:tc>
        <w:tc>
          <w:tcPr>
            <w:tcW w:w="1417" w:type="dxa"/>
            <w:tcBorders>
              <w:top w:val="single" w:sz="4" w:space="0" w:color="7F7F7F"/>
              <w:bottom w:val="single" w:sz="4" w:space="0" w:color="7F7F7F"/>
            </w:tcBorders>
            <w:shd w:val="clear" w:color="auto" w:fill="auto"/>
          </w:tcPr>
          <w:p w14:paraId="039C99AE" w14:textId="77777777" w:rsidR="00F945A9" w:rsidRPr="004A211D" w:rsidRDefault="00F945A9" w:rsidP="00F945A9">
            <w:pPr>
              <w:jc w:val="center"/>
              <w:rPr>
                <w:rFonts w:eastAsia="Calibri"/>
                <w:szCs w:val="24"/>
              </w:rPr>
            </w:pPr>
            <w:r w:rsidRPr="004A211D">
              <w:rPr>
                <w:rFonts w:eastAsia="Calibri"/>
                <w:szCs w:val="24"/>
              </w:rPr>
              <w:t>32</w:t>
            </w:r>
          </w:p>
        </w:tc>
        <w:tc>
          <w:tcPr>
            <w:tcW w:w="1418" w:type="dxa"/>
            <w:tcBorders>
              <w:top w:val="single" w:sz="4" w:space="0" w:color="7F7F7F"/>
              <w:bottom w:val="single" w:sz="4" w:space="0" w:color="7F7F7F"/>
            </w:tcBorders>
            <w:shd w:val="clear" w:color="auto" w:fill="auto"/>
          </w:tcPr>
          <w:p w14:paraId="29C054DF" w14:textId="77777777" w:rsidR="00F945A9" w:rsidRPr="004A211D" w:rsidRDefault="00F945A9" w:rsidP="00F945A9">
            <w:pPr>
              <w:jc w:val="center"/>
              <w:rPr>
                <w:rFonts w:eastAsia="Calibri"/>
                <w:szCs w:val="24"/>
              </w:rPr>
            </w:pPr>
            <w:r w:rsidRPr="004A211D">
              <w:rPr>
                <w:rFonts w:eastAsia="Calibri"/>
                <w:szCs w:val="24"/>
              </w:rPr>
              <w:t>/</w:t>
            </w:r>
          </w:p>
        </w:tc>
        <w:tc>
          <w:tcPr>
            <w:tcW w:w="1417" w:type="dxa"/>
            <w:tcBorders>
              <w:top w:val="single" w:sz="4" w:space="0" w:color="7F7F7F"/>
              <w:bottom w:val="single" w:sz="4" w:space="0" w:color="7F7F7F"/>
            </w:tcBorders>
            <w:shd w:val="clear" w:color="auto" w:fill="auto"/>
          </w:tcPr>
          <w:p w14:paraId="5284AC61" w14:textId="77777777" w:rsidR="00F945A9" w:rsidRPr="004A211D" w:rsidRDefault="00F945A9" w:rsidP="00F945A9">
            <w:pPr>
              <w:jc w:val="center"/>
              <w:rPr>
                <w:rFonts w:eastAsia="Calibri"/>
                <w:szCs w:val="24"/>
              </w:rPr>
            </w:pPr>
            <w:r w:rsidRPr="004A211D">
              <w:rPr>
                <w:rFonts w:eastAsia="Calibri"/>
                <w:szCs w:val="24"/>
              </w:rPr>
              <w:t>/</w:t>
            </w:r>
          </w:p>
        </w:tc>
        <w:tc>
          <w:tcPr>
            <w:tcW w:w="1418" w:type="dxa"/>
            <w:tcBorders>
              <w:top w:val="single" w:sz="4" w:space="0" w:color="7F7F7F"/>
              <w:bottom w:val="single" w:sz="4" w:space="0" w:color="7F7F7F"/>
            </w:tcBorders>
            <w:shd w:val="clear" w:color="auto" w:fill="auto"/>
          </w:tcPr>
          <w:p w14:paraId="46D5D603" w14:textId="77777777" w:rsidR="00F945A9" w:rsidRPr="004A211D" w:rsidRDefault="00F945A9" w:rsidP="00F945A9">
            <w:pPr>
              <w:jc w:val="center"/>
              <w:rPr>
                <w:rFonts w:eastAsia="Calibri"/>
                <w:szCs w:val="24"/>
              </w:rPr>
            </w:pPr>
            <w:r w:rsidRPr="004A211D">
              <w:rPr>
                <w:rFonts w:eastAsia="Calibri"/>
                <w:szCs w:val="24"/>
              </w:rPr>
              <w:t>49.5</w:t>
            </w:r>
          </w:p>
        </w:tc>
      </w:tr>
      <w:tr w:rsidR="00F945A9" w:rsidRPr="00632A8C" w14:paraId="64D05277" w14:textId="77777777" w:rsidTr="004A211D">
        <w:tc>
          <w:tcPr>
            <w:tcW w:w="2268" w:type="dxa"/>
            <w:shd w:val="clear" w:color="auto" w:fill="auto"/>
          </w:tcPr>
          <w:p w14:paraId="0E166ACF" w14:textId="77777777" w:rsidR="00F945A9" w:rsidRPr="004A211D" w:rsidRDefault="00F945A9" w:rsidP="00F945A9">
            <w:pPr>
              <w:jc w:val="center"/>
              <w:rPr>
                <w:rFonts w:eastAsia="Calibri"/>
                <w:b/>
                <w:bCs/>
                <w:szCs w:val="24"/>
              </w:rPr>
            </w:pPr>
            <w:r w:rsidRPr="004A211D">
              <w:rPr>
                <w:rFonts w:eastAsia="Calibri"/>
                <w:b/>
                <w:bCs/>
                <w:szCs w:val="24"/>
              </w:rPr>
              <w:t>S2</w:t>
            </w:r>
          </w:p>
        </w:tc>
        <w:tc>
          <w:tcPr>
            <w:tcW w:w="1417" w:type="dxa"/>
            <w:shd w:val="clear" w:color="auto" w:fill="auto"/>
          </w:tcPr>
          <w:p w14:paraId="0D0C4E76" w14:textId="77777777" w:rsidR="00F945A9" w:rsidRPr="004A211D" w:rsidRDefault="00F945A9" w:rsidP="00F945A9">
            <w:pPr>
              <w:jc w:val="center"/>
              <w:rPr>
                <w:rFonts w:eastAsia="Calibri"/>
                <w:szCs w:val="24"/>
              </w:rPr>
            </w:pPr>
            <w:r w:rsidRPr="004A211D">
              <w:rPr>
                <w:rFonts w:eastAsia="Calibri"/>
                <w:szCs w:val="24"/>
              </w:rPr>
              <w:t xml:space="preserve">75 </w:t>
            </w:r>
          </w:p>
        </w:tc>
        <w:tc>
          <w:tcPr>
            <w:tcW w:w="1417" w:type="dxa"/>
            <w:shd w:val="clear" w:color="auto" w:fill="auto"/>
          </w:tcPr>
          <w:p w14:paraId="2C2AAE61" w14:textId="77777777" w:rsidR="00F945A9" w:rsidRPr="004A211D" w:rsidRDefault="00F945A9" w:rsidP="00F945A9">
            <w:pPr>
              <w:jc w:val="center"/>
              <w:rPr>
                <w:rFonts w:eastAsia="Calibri"/>
                <w:szCs w:val="24"/>
              </w:rPr>
            </w:pPr>
            <w:r w:rsidRPr="004A211D">
              <w:rPr>
                <w:rFonts w:eastAsia="Calibri"/>
                <w:szCs w:val="24"/>
              </w:rPr>
              <w:t>22</w:t>
            </w:r>
          </w:p>
        </w:tc>
        <w:tc>
          <w:tcPr>
            <w:tcW w:w="1418" w:type="dxa"/>
            <w:shd w:val="clear" w:color="auto" w:fill="auto"/>
          </w:tcPr>
          <w:p w14:paraId="7C708AD6" w14:textId="77777777" w:rsidR="00F945A9" w:rsidRPr="004A211D" w:rsidRDefault="00F945A9" w:rsidP="00F945A9">
            <w:pPr>
              <w:jc w:val="center"/>
              <w:rPr>
                <w:rFonts w:eastAsia="Calibri"/>
                <w:szCs w:val="24"/>
              </w:rPr>
            </w:pPr>
            <w:r w:rsidRPr="004A211D">
              <w:rPr>
                <w:rFonts w:eastAsia="Calibri"/>
                <w:szCs w:val="24"/>
              </w:rPr>
              <w:t>25</w:t>
            </w:r>
          </w:p>
        </w:tc>
        <w:tc>
          <w:tcPr>
            <w:tcW w:w="1417" w:type="dxa"/>
            <w:shd w:val="clear" w:color="auto" w:fill="auto"/>
          </w:tcPr>
          <w:p w14:paraId="048B3E83" w14:textId="77777777" w:rsidR="00F945A9" w:rsidRPr="004A211D" w:rsidRDefault="00F945A9" w:rsidP="00F945A9">
            <w:pPr>
              <w:jc w:val="center"/>
              <w:rPr>
                <w:rFonts w:eastAsia="Calibri"/>
                <w:szCs w:val="24"/>
              </w:rPr>
            </w:pPr>
            <w:r w:rsidRPr="004A211D">
              <w:rPr>
                <w:rFonts w:eastAsia="Calibri"/>
                <w:szCs w:val="24"/>
              </w:rPr>
              <w:t>22</w:t>
            </w:r>
          </w:p>
        </w:tc>
        <w:tc>
          <w:tcPr>
            <w:tcW w:w="1418" w:type="dxa"/>
            <w:shd w:val="clear" w:color="auto" w:fill="auto"/>
          </w:tcPr>
          <w:p w14:paraId="6CE9EA59" w14:textId="77777777" w:rsidR="00F945A9" w:rsidRPr="004A211D" w:rsidRDefault="00F945A9" w:rsidP="00F945A9">
            <w:pPr>
              <w:jc w:val="center"/>
              <w:rPr>
                <w:rFonts w:eastAsia="Calibri"/>
                <w:szCs w:val="24"/>
              </w:rPr>
            </w:pPr>
            <w:r w:rsidRPr="004A211D">
              <w:rPr>
                <w:rFonts w:eastAsia="Calibri"/>
                <w:szCs w:val="24"/>
              </w:rPr>
              <w:t>63.2</w:t>
            </w:r>
          </w:p>
        </w:tc>
      </w:tr>
      <w:tr w:rsidR="00F945A9" w:rsidRPr="00632A8C" w14:paraId="560D812E" w14:textId="77777777" w:rsidTr="004A211D">
        <w:tc>
          <w:tcPr>
            <w:tcW w:w="2268" w:type="dxa"/>
            <w:tcBorders>
              <w:top w:val="single" w:sz="4" w:space="0" w:color="7F7F7F"/>
              <w:bottom w:val="single" w:sz="4" w:space="0" w:color="7F7F7F"/>
            </w:tcBorders>
            <w:shd w:val="clear" w:color="auto" w:fill="auto"/>
          </w:tcPr>
          <w:p w14:paraId="26F87C12" w14:textId="77777777" w:rsidR="00F945A9" w:rsidRPr="004A211D" w:rsidRDefault="00F945A9" w:rsidP="00F945A9">
            <w:pPr>
              <w:jc w:val="center"/>
              <w:rPr>
                <w:rFonts w:eastAsia="Calibri"/>
                <w:b/>
                <w:bCs/>
                <w:szCs w:val="24"/>
              </w:rPr>
            </w:pPr>
            <w:r w:rsidRPr="004A211D">
              <w:rPr>
                <w:rFonts w:eastAsia="Calibri"/>
                <w:b/>
                <w:bCs/>
                <w:szCs w:val="24"/>
              </w:rPr>
              <w:t>S3</w:t>
            </w:r>
          </w:p>
        </w:tc>
        <w:tc>
          <w:tcPr>
            <w:tcW w:w="1417" w:type="dxa"/>
            <w:tcBorders>
              <w:top w:val="single" w:sz="4" w:space="0" w:color="7F7F7F"/>
              <w:bottom w:val="single" w:sz="4" w:space="0" w:color="7F7F7F"/>
            </w:tcBorders>
            <w:shd w:val="clear" w:color="auto" w:fill="auto"/>
          </w:tcPr>
          <w:p w14:paraId="25BC740A" w14:textId="77777777" w:rsidR="00F945A9" w:rsidRPr="004A211D" w:rsidRDefault="00F945A9" w:rsidP="00F945A9">
            <w:pPr>
              <w:jc w:val="center"/>
              <w:rPr>
                <w:rFonts w:eastAsia="Calibri"/>
                <w:szCs w:val="24"/>
              </w:rPr>
            </w:pPr>
            <w:r w:rsidRPr="004A211D">
              <w:rPr>
                <w:rFonts w:eastAsia="Calibri"/>
                <w:szCs w:val="24"/>
              </w:rPr>
              <w:t>84</w:t>
            </w:r>
          </w:p>
        </w:tc>
        <w:tc>
          <w:tcPr>
            <w:tcW w:w="1417" w:type="dxa"/>
            <w:tcBorders>
              <w:top w:val="single" w:sz="4" w:space="0" w:color="7F7F7F"/>
              <w:bottom w:val="single" w:sz="4" w:space="0" w:color="7F7F7F"/>
            </w:tcBorders>
            <w:shd w:val="clear" w:color="auto" w:fill="auto"/>
          </w:tcPr>
          <w:p w14:paraId="49BC71A2" w14:textId="77777777" w:rsidR="00F945A9" w:rsidRPr="004A211D" w:rsidRDefault="00F945A9" w:rsidP="00F945A9">
            <w:pPr>
              <w:jc w:val="center"/>
              <w:rPr>
                <w:rFonts w:eastAsia="Calibri"/>
                <w:szCs w:val="24"/>
              </w:rPr>
            </w:pPr>
            <w:r w:rsidRPr="004A211D">
              <w:rPr>
                <w:rFonts w:eastAsia="Calibri"/>
                <w:szCs w:val="24"/>
              </w:rPr>
              <w:t>25</w:t>
            </w:r>
          </w:p>
        </w:tc>
        <w:tc>
          <w:tcPr>
            <w:tcW w:w="1418" w:type="dxa"/>
            <w:tcBorders>
              <w:top w:val="single" w:sz="4" w:space="0" w:color="7F7F7F"/>
              <w:bottom w:val="single" w:sz="4" w:space="0" w:color="7F7F7F"/>
            </w:tcBorders>
            <w:shd w:val="clear" w:color="auto" w:fill="auto"/>
          </w:tcPr>
          <w:p w14:paraId="5D603110" w14:textId="77777777" w:rsidR="00F945A9" w:rsidRPr="004A211D" w:rsidRDefault="00F945A9" w:rsidP="00F945A9">
            <w:pPr>
              <w:jc w:val="center"/>
              <w:rPr>
                <w:rFonts w:eastAsia="Calibri"/>
                <w:szCs w:val="24"/>
              </w:rPr>
            </w:pPr>
            <w:r w:rsidRPr="004A211D">
              <w:rPr>
                <w:rFonts w:eastAsia="Calibri"/>
                <w:szCs w:val="24"/>
              </w:rPr>
              <w:t>16</w:t>
            </w:r>
          </w:p>
        </w:tc>
        <w:tc>
          <w:tcPr>
            <w:tcW w:w="1417" w:type="dxa"/>
            <w:tcBorders>
              <w:top w:val="single" w:sz="4" w:space="0" w:color="7F7F7F"/>
              <w:bottom w:val="single" w:sz="4" w:space="0" w:color="7F7F7F"/>
            </w:tcBorders>
            <w:shd w:val="clear" w:color="auto" w:fill="auto"/>
          </w:tcPr>
          <w:p w14:paraId="4E470B27" w14:textId="77777777" w:rsidR="00F945A9" w:rsidRPr="004A211D" w:rsidRDefault="00F945A9" w:rsidP="00F945A9">
            <w:pPr>
              <w:jc w:val="center"/>
              <w:rPr>
                <w:rFonts w:eastAsia="Calibri"/>
                <w:szCs w:val="24"/>
              </w:rPr>
            </w:pPr>
            <w:r w:rsidRPr="004A211D">
              <w:rPr>
                <w:rFonts w:eastAsia="Calibri"/>
                <w:szCs w:val="24"/>
              </w:rPr>
              <w:t>24</w:t>
            </w:r>
          </w:p>
        </w:tc>
        <w:tc>
          <w:tcPr>
            <w:tcW w:w="1418" w:type="dxa"/>
            <w:tcBorders>
              <w:top w:val="single" w:sz="4" w:space="0" w:color="7F7F7F"/>
              <w:bottom w:val="single" w:sz="4" w:space="0" w:color="7F7F7F"/>
            </w:tcBorders>
            <w:shd w:val="clear" w:color="auto" w:fill="auto"/>
          </w:tcPr>
          <w:p w14:paraId="1683B6EE" w14:textId="77777777" w:rsidR="00F945A9" w:rsidRPr="004A211D" w:rsidRDefault="00F945A9" w:rsidP="00F945A9">
            <w:pPr>
              <w:jc w:val="center"/>
              <w:rPr>
                <w:rFonts w:eastAsia="Calibri"/>
                <w:szCs w:val="24"/>
              </w:rPr>
            </w:pPr>
            <w:r w:rsidRPr="004A211D">
              <w:rPr>
                <w:rFonts w:eastAsia="Calibri"/>
                <w:szCs w:val="24"/>
              </w:rPr>
              <w:t>80.2</w:t>
            </w:r>
          </w:p>
        </w:tc>
      </w:tr>
      <w:tr w:rsidR="00F945A9" w:rsidRPr="00632A8C" w14:paraId="0093B0B7" w14:textId="77777777" w:rsidTr="004A211D">
        <w:tc>
          <w:tcPr>
            <w:tcW w:w="2268" w:type="dxa"/>
            <w:shd w:val="clear" w:color="auto" w:fill="auto"/>
          </w:tcPr>
          <w:p w14:paraId="5F21AECE" w14:textId="77777777" w:rsidR="00F945A9" w:rsidRPr="004A211D" w:rsidRDefault="00F945A9" w:rsidP="00F945A9">
            <w:pPr>
              <w:jc w:val="center"/>
              <w:rPr>
                <w:rFonts w:eastAsia="Calibri"/>
                <w:b/>
                <w:bCs/>
                <w:szCs w:val="24"/>
              </w:rPr>
            </w:pPr>
            <w:r w:rsidRPr="004A211D">
              <w:rPr>
                <w:rFonts w:eastAsia="Calibri"/>
                <w:b/>
                <w:bCs/>
                <w:szCs w:val="24"/>
              </w:rPr>
              <w:t>S3_N0.5</w:t>
            </w:r>
          </w:p>
        </w:tc>
        <w:tc>
          <w:tcPr>
            <w:tcW w:w="1417" w:type="dxa"/>
            <w:shd w:val="clear" w:color="auto" w:fill="auto"/>
          </w:tcPr>
          <w:p w14:paraId="2A3C00A9" w14:textId="77777777" w:rsidR="00F945A9" w:rsidRPr="004A211D" w:rsidRDefault="00F945A9" w:rsidP="00F945A9">
            <w:pPr>
              <w:jc w:val="center"/>
              <w:rPr>
                <w:rFonts w:eastAsia="Calibri"/>
                <w:szCs w:val="24"/>
              </w:rPr>
            </w:pPr>
            <w:r w:rsidRPr="004A211D">
              <w:rPr>
                <w:rFonts w:eastAsia="Calibri"/>
                <w:szCs w:val="24"/>
              </w:rPr>
              <w:t>84</w:t>
            </w:r>
          </w:p>
        </w:tc>
        <w:tc>
          <w:tcPr>
            <w:tcW w:w="1417" w:type="dxa"/>
            <w:shd w:val="clear" w:color="auto" w:fill="auto"/>
          </w:tcPr>
          <w:p w14:paraId="5AF2157B" w14:textId="77777777" w:rsidR="00F945A9" w:rsidRPr="004A211D" w:rsidRDefault="00F945A9" w:rsidP="00F945A9">
            <w:pPr>
              <w:jc w:val="center"/>
              <w:rPr>
                <w:rFonts w:eastAsia="Calibri"/>
                <w:szCs w:val="24"/>
              </w:rPr>
            </w:pPr>
            <w:r w:rsidRPr="004A211D">
              <w:rPr>
                <w:rFonts w:eastAsia="Calibri"/>
                <w:szCs w:val="24"/>
              </w:rPr>
              <w:t>24</w:t>
            </w:r>
          </w:p>
        </w:tc>
        <w:tc>
          <w:tcPr>
            <w:tcW w:w="1418" w:type="dxa"/>
            <w:shd w:val="clear" w:color="auto" w:fill="auto"/>
          </w:tcPr>
          <w:p w14:paraId="142EF178" w14:textId="77777777" w:rsidR="00F945A9" w:rsidRPr="004A211D" w:rsidRDefault="00F945A9" w:rsidP="00F945A9">
            <w:pPr>
              <w:jc w:val="center"/>
              <w:rPr>
                <w:rFonts w:eastAsia="Calibri"/>
                <w:szCs w:val="24"/>
              </w:rPr>
            </w:pPr>
            <w:r w:rsidRPr="004A211D">
              <w:rPr>
                <w:rFonts w:eastAsia="Calibri"/>
                <w:szCs w:val="24"/>
              </w:rPr>
              <w:t>16</w:t>
            </w:r>
          </w:p>
        </w:tc>
        <w:tc>
          <w:tcPr>
            <w:tcW w:w="1417" w:type="dxa"/>
            <w:shd w:val="clear" w:color="auto" w:fill="auto"/>
          </w:tcPr>
          <w:p w14:paraId="67F23DA4" w14:textId="77777777" w:rsidR="00F945A9" w:rsidRPr="004A211D" w:rsidRDefault="00F945A9" w:rsidP="00F945A9">
            <w:pPr>
              <w:jc w:val="center"/>
              <w:rPr>
                <w:rFonts w:eastAsia="Calibri"/>
                <w:szCs w:val="24"/>
              </w:rPr>
            </w:pPr>
            <w:r w:rsidRPr="004A211D">
              <w:rPr>
                <w:rFonts w:eastAsia="Calibri"/>
                <w:szCs w:val="24"/>
              </w:rPr>
              <w:t>22</w:t>
            </w:r>
          </w:p>
        </w:tc>
        <w:tc>
          <w:tcPr>
            <w:tcW w:w="1418" w:type="dxa"/>
            <w:shd w:val="clear" w:color="auto" w:fill="auto"/>
          </w:tcPr>
          <w:p w14:paraId="5333AD7F" w14:textId="77777777" w:rsidR="00F945A9" w:rsidRPr="004A211D" w:rsidRDefault="00F945A9" w:rsidP="00F945A9">
            <w:pPr>
              <w:jc w:val="center"/>
              <w:rPr>
                <w:rFonts w:eastAsia="Calibri"/>
                <w:szCs w:val="24"/>
              </w:rPr>
            </w:pPr>
            <w:r w:rsidRPr="004A211D">
              <w:rPr>
                <w:rFonts w:eastAsia="Calibri"/>
                <w:szCs w:val="24"/>
              </w:rPr>
              <w:t>84.5</w:t>
            </w:r>
          </w:p>
        </w:tc>
      </w:tr>
      <w:tr w:rsidR="00F945A9" w:rsidRPr="00632A8C" w14:paraId="4E7ED6E7" w14:textId="77777777" w:rsidTr="004A211D">
        <w:tc>
          <w:tcPr>
            <w:tcW w:w="2268" w:type="dxa"/>
            <w:tcBorders>
              <w:top w:val="single" w:sz="4" w:space="0" w:color="7F7F7F"/>
              <w:bottom w:val="single" w:sz="4" w:space="0" w:color="7F7F7F"/>
            </w:tcBorders>
            <w:shd w:val="clear" w:color="auto" w:fill="auto"/>
          </w:tcPr>
          <w:p w14:paraId="3CEF0C36" w14:textId="77777777" w:rsidR="00F945A9" w:rsidRPr="004A211D" w:rsidRDefault="00F945A9" w:rsidP="00F945A9">
            <w:pPr>
              <w:jc w:val="center"/>
              <w:rPr>
                <w:rFonts w:eastAsia="Calibri"/>
                <w:b/>
                <w:bCs/>
                <w:szCs w:val="24"/>
              </w:rPr>
            </w:pPr>
            <w:r w:rsidRPr="004A211D">
              <w:rPr>
                <w:rFonts w:eastAsia="Calibri"/>
                <w:b/>
                <w:bCs/>
                <w:szCs w:val="24"/>
              </w:rPr>
              <w:t>S3_N2</w:t>
            </w:r>
          </w:p>
        </w:tc>
        <w:tc>
          <w:tcPr>
            <w:tcW w:w="1417" w:type="dxa"/>
            <w:tcBorders>
              <w:top w:val="single" w:sz="4" w:space="0" w:color="7F7F7F"/>
              <w:bottom w:val="single" w:sz="4" w:space="0" w:color="7F7F7F"/>
            </w:tcBorders>
            <w:shd w:val="clear" w:color="auto" w:fill="auto"/>
          </w:tcPr>
          <w:p w14:paraId="39B44225" w14:textId="77777777" w:rsidR="00F945A9" w:rsidRPr="004A211D" w:rsidRDefault="00F945A9" w:rsidP="00F945A9">
            <w:pPr>
              <w:jc w:val="center"/>
              <w:rPr>
                <w:rFonts w:eastAsia="Calibri"/>
                <w:szCs w:val="24"/>
              </w:rPr>
            </w:pPr>
            <w:r w:rsidRPr="004A211D">
              <w:rPr>
                <w:rFonts w:eastAsia="Calibri"/>
                <w:szCs w:val="24"/>
              </w:rPr>
              <w:t>70</w:t>
            </w:r>
          </w:p>
        </w:tc>
        <w:tc>
          <w:tcPr>
            <w:tcW w:w="1417" w:type="dxa"/>
            <w:tcBorders>
              <w:top w:val="single" w:sz="4" w:space="0" w:color="7F7F7F"/>
              <w:bottom w:val="single" w:sz="4" w:space="0" w:color="7F7F7F"/>
            </w:tcBorders>
            <w:shd w:val="clear" w:color="auto" w:fill="auto"/>
          </w:tcPr>
          <w:p w14:paraId="535A522B" w14:textId="77777777" w:rsidR="00F945A9" w:rsidRPr="004A211D" w:rsidRDefault="00F945A9" w:rsidP="00F945A9">
            <w:pPr>
              <w:jc w:val="center"/>
              <w:rPr>
                <w:rFonts w:eastAsia="Calibri"/>
                <w:szCs w:val="24"/>
              </w:rPr>
            </w:pPr>
            <w:r w:rsidRPr="004A211D">
              <w:rPr>
                <w:rFonts w:eastAsia="Calibri"/>
                <w:szCs w:val="24"/>
              </w:rPr>
              <w:t>18</w:t>
            </w:r>
          </w:p>
        </w:tc>
        <w:tc>
          <w:tcPr>
            <w:tcW w:w="1418" w:type="dxa"/>
            <w:tcBorders>
              <w:top w:val="single" w:sz="4" w:space="0" w:color="7F7F7F"/>
              <w:bottom w:val="single" w:sz="4" w:space="0" w:color="7F7F7F"/>
            </w:tcBorders>
            <w:shd w:val="clear" w:color="auto" w:fill="auto"/>
          </w:tcPr>
          <w:p w14:paraId="4B0F1576" w14:textId="77777777" w:rsidR="00F945A9" w:rsidRPr="004A211D" w:rsidRDefault="00F945A9" w:rsidP="00F945A9">
            <w:pPr>
              <w:jc w:val="center"/>
              <w:rPr>
                <w:rFonts w:eastAsia="Calibri"/>
                <w:szCs w:val="24"/>
              </w:rPr>
            </w:pPr>
            <w:r w:rsidRPr="004A211D">
              <w:rPr>
                <w:rFonts w:eastAsia="Calibri"/>
                <w:szCs w:val="24"/>
              </w:rPr>
              <w:t>30</w:t>
            </w:r>
          </w:p>
        </w:tc>
        <w:tc>
          <w:tcPr>
            <w:tcW w:w="1417" w:type="dxa"/>
            <w:tcBorders>
              <w:top w:val="single" w:sz="4" w:space="0" w:color="7F7F7F"/>
              <w:bottom w:val="single" w:sz="4" w:space="0" w:color="7F7F7F"/>
            </w:tcBorders>
            <w:shd w:val="clear" w:color="auto" w:fill="auto"/>
          </w:tcPr>
          <w:p w14:paraId="1CB7218B" w14:textId="77777777" w:rsidR="00F945A9" w:rsidRPr="004A211D" w:rsidRDefault="00F945A9" w:rsidP="00F945A9">
            <w:pPr>
              <w:jc w:val="center"/>
              <w:rPr>
                <w:rFonts w:eastAsia="Calibri"/>
                <w:szCs w:val="24"/>
              </w:rPr>
            </w:pPr>
            <w:r w:rsidRPr="004A211D">
              <w:rPr>
                <w:rFonts w:eastAsia="Calibri"/>
                <w:szCs w:val="24"/>
              </w:rPr>
              <w:t>17</w:t>
            </w:r>
          </w:p>
        </w:tc>
        <w:tc>
          <w:tcPr>
            <w:tcW w:w="1418" w:type="dxa"/>
            <w:tcBorders>
              <w:top w:val="single" w:sz="4" w:space="0" w:color="7F7F7F"/>
              <w:bottom w:val="single" w:sz="4" w:space="0" w:color="7F7F7F"/>
            </w:tcBorders>
            <w:shd w:val="clear" w:color="auto" w:fill="auto"/>
          </w:tcPr>
          <w:p w14:paraId="388E8486" w14:textId="77777777" w:rsidR="00F945A9" w:rsidRPr="004A211D" w:rsidRDefault="00F945A9" w:rsidP="00F945A9">
            <w:pPr>
              <w:jc w:val="center"/>
              <w:rPr>
                <w:rFonts w:eastAsia="Calibri"/>
                <w:szCs w:val="24"/>
              </w:rPr>
            </w:pPr>
            <w:r w:rsidRPr="004A211D">
              <w:rPr>
                <w:rFonts w:eastAsia="Calibri"/>
                <w:szCs w:val="24"/>
              </w:rPr>
              <w:t>103.4</w:t>
            </w:r>
          </w:p>
        </w:tc>
      </w:tr>
      <w:tr w:rsidR="00F945A9" w:rsidRPr="00632A8C" w14:paraId="0E168338" w14:textId="77777777" w:rsidTr="004A211D">
        <w:tc>
          <w:tcPr>
            <w:tcW w:w="2268" w:type="dxa"/>
            <w:shd w:val="clear" w:color="auto" w:fill="auto"/>
          </w:tcPr>
          <w:p w14:paraId="73074E08" w14:textId="77777777" w:rsidR="00F945A9" w:rsidRPr="004A211D" w:rsidRDefault="00F945A9" w:rsidP="00F945A9">
            <w:pPr>
              <w:jc w:val="center"/>
              <w:rPr>
                <w:rFonts w:eastAsia="Calibri"/>
                <w:b/>
                <w:bCs/>
                <w:szCs w:val="24"/>
              </w:rPr>
            </w:pPr>
            <w:r w:rsidRPr="004A211D">
              <w:rPr>
                <w:rFonts w:eastAsia="Calibri"/>
                <w:b/>
                <w:bCs/>
                <w:szCs w:val="24"/>
              </w:rPr>
              <w:t>S3_urea15</w:t>
            </w:r>
          </w:p>
        </w:tc>
        <w:tc>
          <w:tcPr>
            <w:tcW w:w="1417" w:type="dxa"/>
            <w:shd w:val="clear" w:color="auto" w:fill="auto"/>
          </w:tcPr>
          <w:p w14:paraId="7A497B3E" w14:textId="77777777" w:rsidR="00F945A9" w:rsidRPr="004A211D" w:rsidRDefault="00F945A9" w:rsidP="00F945A9">
            <w:pPr>
              <w:jc w:val="center"/>
              <w:rPr>
                <w:rFonts w:eastAsia="Calibri"/>
                <w:szCs w:val="24"/>
              </w:rPr>
            </w:pPr>
            <w:r w:rsidRPr="004A211D">
              <w:rPr>
                <w:rFonts w:eastAsia="Calibri"/>
                <w:szCs w:val="24"/>
              </w:rPr>
              <w:t>61</w:t>
            </w:r>
          </w:p>
        </w:tc>
        <w:tc>
          <w:tcPr>
            <w:tcW w:w="1417" w:type="dxa"/>
            <w:shd w:val="clear" w:color="auto" w:fill="auto"/>
          </w:tcPr>
          <w:p w14:paraId="700A00EB" w14:textId="77777777" w:rsidR="00F945A9" w:rsidRPr="004A211D" w:rsidRDefault="00F945A9" w:rsidP="00F945A9">
            <w:pPr>
              <w:jc w:val="center"/>
              <w:rPr>
                <w:rFonts w:eastAsia="Calibri"/>
                <w:szCs w:val="24"/>
              </w:rPr>
            </w:pPr>
            <w:r w:rsidRPr="004A211D">
              <w:rPr>
                <w:rFonts w:eastAsia="Calibri"/>
                <w:szCs w:val="24"/>
              </w:rPr>
              <w:t>19</w:t>
            </w:r>
          </w:p>
        </w:tc>
        <w:tc>
          <w:tcPr>
            <w:tcW w:w="1418" w:type="dxa"/>
            <w:shd w:val="clear" w:color="auto" w:fill="auto"/>
          </w:tcPr>
          <w:p w14:paraId="4AD219E7" w14:textId="77777777" w:rsidR="00F945A9" w:rsidRPr="004A211D" w:rsidRDefault="00F945A9" w:rsidP="00F945A9">
            <w:pPr>
              <w:jc w:val="center"/>
              <w:rPr>
                <w:rFonts w:eastAsia="Calibri"/>
                <w:szCs w:val="24"/>
              </w:rPr>
            </w:pPr>
            <w:r w:rsidRPr="004A211D">
              <w:rPr>
                <w:rFonts w:eastAsia="Calibri"/>
                <w:szCs w:val="24"/>
              </w:rPr>
              <w:t>39</w:t>
            </w:r>
          </w:p>
        </w:tc>
        <w:tc>
          <w:tcPr>
            <w:tcW w:w="1417" w:type="dxa"/>
            <w:shd w:val="clear" w:color="auto" w:fill="auto"/>
          </w:tcPr>
          <w:p w14:paraId="7938875C" w14:textId="77777777" w:rsidR="00F945A9" w:rsidRPr="004A211D" w:rsidRDefault="00F945A9" w:rsidP="00F945A9">
            <w:pPr>
              <w:jc w:val="center"/>
              <w:rPr>
                <w:rFonts w:eastAsia="Calibri"/>
                <w:szCs w:val="24"/>
              </w:rPr>
            </w:pPr>
            <w:r w:rsidRPr="004A211D">
              <w:rPr>
                <w:rFonts w:eastAsia="Calibri"/>
                <w:szCs w:val="24"/>
              </w:rPr>
              <w:t>18</w:t>
            </w:r>
          </w:p>
        </w:tc>
        <w:tc>
          <w:tcPr>
            <w:tcW w:w="1418" w:type="dxa"/>
            <w:shd w:val="clear" w:color="auto" w:fill="auto"/>
          </w:tcPr>
          <w:p w14:paraId="08ADC977" w14:textId="77777777" w:rsidR="00F945A9" w:rsidRPr="004A211D" w:rsidRDefault="00F945A9" w:rsidP="00F945A9">
            <w:pPr>
              <w:jc w:val="center"/>
              <w:rPr>
                <w:rFonts w:eastAsia="Calibri"/>
                <w:szCs w:val="24"/>
              </w:rPr>
            </w:pPr>
            <w:r w:rsidRPr="004A211D">
              <w:rPr>
                <w:rFonts w:eastAsia="Calibri"/>
                <w:szCs w:val="24"/>
              </w:rPr>
              <w:t>101.7</w:t>
            </w:r>
          </w:p>
        </w:tc>
      </w:tr>
      <w:tr w:rsidR="00F945A9" w:rsidRPr="00632A8C" w14:paraId="2A87604B" w14:textId="77777777" w:rsidTr="004A211D">
        <w:tc>
          <w:tcPr>
            <w:tcW w:w="2268" w:type="dxa"/>
            <w:tcBorders>
              <w:top w:val="single" w:sz="4" w:space="0" w:color="7F7F7F"/>
              <w:bottom w:val="single" w:sz="4" w:space="0" w:color="7F7F7F"/>
            </w:tcBorders>
            <w:shd w:val="clear" w:color="auto" w:fill="auto"/>
          </w:tcPr>
          <w:p w14:paraId="10B4BC89" w14:textId="77777777" w:rsidR="00F945A9" w:rsidRPr="004A211D" w:rsidRDefault="00F945A9" w:rsidP="00F945A9">
            <w:pPr>
              <w:jc w:val="center"/>
              <w:rPr>
                <w:rFonts w:eastAsia="Calibri"/>
                <w:b/>
                <w:bCs/>
                <w:szCs w:val="24"/>
              </w:rPr>
            </w:pPr>
            <w:r w:rsidRPr="004A211D">
              <w:rPr>
                <w:rFonts w:eastAsia="Calibri"/>
                <w:b/>
                <w:bCs/>
                <w:szCs w:val="24"/>
              </w:rPr>
              <w:t>S3_thiourea15</w:t>
            </w:r>
          </w:p>
        </w:tc>
        <w:tc>
          <w:tcPr>
            <w:tcW w:w="1417" w:type="dxa"/>
            <w:tcBorders>
              <w:top w:val="single" w:sz="4" w:space="0" w:color="7F7F7F"/>
              <w:bottom w:val="single" w:sz="4" w:space="0" w:color="7F7F7F"/>
            </w:tcBorders>
            <w:shd w:val="clear" w:color="auto" w:fill="auto"/>
          </w:tcPr>
          <w:p w14:paraId="00B1884C" w14:textId="77777777" w:rsidR="00F945A9" w:rsidRPr="004A211D" w:rsidRDefault="00F945A9" w:rsidP="00F945A9">
            <w:pPr>
              <w:jc w:val="center"/>
              <w:rPr>
                <w:rFonts w:eastAsia="Calibri"/>
                <w:szCs w:val="24"/>
              </w:rPr>
            </w:pPr>
            <w:r w:rsidRPr="004A211D">
              <w:rPr>
                <w:rFonts w:eastAsia="Calibri"/>
                <w:szCs w:val="24"/>
              </w:rPr>
              <w:t>55</w:t>
            </w:r>
          </w:p>
        </w:tc>
        <w:tc>
          <w:tcPr>
            <w:tcW w:w="1417" w:type="dxa"/>
            <w:tcBorders>
              <w:top w:val="single" w:sz="4" w:space="0" w:color="7F7F7F"/>
              <w:bottom w:val="single" w:sz="4" w:space="0" w:color="7F7F7F"/>
            </w:tcBorders>
            <w:shd w:val="clear" w:color="auto" w:fill="auto"/>
          </w:tcPr>
          <w:p w14:paraId="35C68BC0" w14:textId="77777777" w:rsidR="00F945A9" w:rsidRPr="004A211D" w:rsidRDefault="00F945A9" w:rsidP="00F945A9">
            <w:pPr>
              <w:jc w:val="center"/>
              <w:rPr>
                <w:rFonts w:eastAsia="Calibri"/>
                <w:szCs w:val="24"/>
              </w:rPr>
            </w:pPr>
            <w:r w:rsidRPr="004A211D">
              <w:rPr>
                <w:rFonts w:eastAsia="Calibri"/>
                <w:szCs w:val="24"/>
              </w:rPr>
              <w:t>20</w:t>
            </w:r>
          </w:p>
        </w:tc>
        <w:tc>
          <w:tcPr>
            <w:tcW w:w="1418" w:type="dxa"/>
            <w:tcBorders>
              <w:top w:val="single" w:sz="4" w:space="0" w:color="7F7F7F"/>
              <w:bottom w:val="single" w:sz="4" w:space="0" w:color="7F7F7F"/>
            </w:tcBorders>
            <w:shd w:val="clear" w:color="auto" w:fill="auto"/>
          </w:tcPr>
          <w:p w14:paraId="1CEC0AD0" w14:textId="77777777" w:rsidR="00F945A9" w:rsidRPr="004A211D" w:rsidRDefault="00F945A9" w:rsidP="00F945A9">
            <w:pPr>
              <w:jc w:val="center"/>
              <w:rPr>
                <w:rFonts w:eastAsia="Calibri"/>
                <w:szCs w:val="24"/>
              </w:rPr>
            </w:pPr>
            <w:r w:rsidRPr="004A211D">
              <w:rPr>
                <w:rFonts w:eastAsia="Calibri"/>
                <w:szCs w:val="24"/>
              </w:rPr>
              <w:t>45</w:t>
            </w:r>
          </w:p>
        </w:tc>
        <w:tc>
          <w:tcPr>
            <w:tcW w:w="1417" w:type="dxa"/>
            <w:tcBorders>
              <w:top w:val="single" w:sz="4" w:space="0" w:color="7F7F7F"/>
              <w:bottom w:val="single" w:sz="4" w:space="0" w:color="7F7F7F"/>
            </w:tcBorders>
            <w:shd w:val="clear" w:color="auto" w:fill="auto"/>
          </w:tcPr>
          <w:p w14:paraId="26678623" w14:textId="77777777" w:rsidR="00F945A9" w:rsidRPr="004A211D" w:rsidRDefault="00F945A9" w:rsidP="00F945A9">
            <w:pPr>
              <w:jc w:val="center"/>
              <w:rPr>
                <w:rFonts w:eastAsia="Calibri"/>
                <w:szCs w:val="24"/>
              </w:rPr>
            </w:pPr>
            <w:r w:rsidRPr="004A211D">
              <w:rPr>
                <w:rFonts w:eastAsia="Calibri"/>
                <w:szCs w:val="24"/>
              </w:rPr>
              <w:t>21</w:t>
            </w:r>
          </w:p>
        </w:tc>
        <w:tc>
          <w:tcPr>
            <w:tcW w:w="1418" w:type="dxa"/>
            <w:tcBorders>
              <w:top w:val="single" w:sz="4" w:space="0" w:color="7F7F7F"/>
              <w:bottom w:val="single" w:sz="4" w:space="0" w:color="7F7F7F"/>
            </w:tcBorders>
            <w:shd w:val="clear" w:color="auto" w:fill="auto"/>
          </w:tcPr>
          <w:p w14:paraId="6C91A582" w14:textId="77777777" w:rsidR="00F945A9" w:rsidRPr="004A211D" w:rsidRDefault="00F945A9" w:rsidP="00F945A9">
            <w:pPr>
              <w:jc w:val="center"/>
              <w:rPr>
                <w:rFonts w:eastAsia="Calibri"/>
                <w:szCs w:val="24"/>
              </w:rPr>
            </w:pPr>
            <w:r w:rsidRPr="004A211D">
              <w:rPr>
                <w:rFonts w:eastAsia="Calibri"/>
                <w:szCs w:val="24"/>
              </w:rPr>
              <w:t>92.1</w:t>
            </w:r>
          </w:p>
        </w:tc>
      </w:tr>
      <w:tr w:rsidR="00F945A9" w:rsidRPr="00632A8C" w14:paraId="74F7A73E" w14:textId="77777777" w:rsidTr="004A211D">
        <w:tc>
          <w:tcPr>
            <w:tcW w:w="2268" w:type="dxa"/>
            <w:shd w:val="clear" w:color="auto" w:fill="auto"/>
          </w:tcPr>
          <w:p w14:paraId="2685DEA9" w14:textId="77777777" w:rsidR="00F945A9" w:rsidRPr="004A211D" w:rsidRDefault="00F945A9" w:rsidP="00F945A9">
            <w:pPr>
              <w:jc w:val="center"/>
              <w:rPr>
                <w:rFonts w:eastAsia="Calibri"/>
                <w:b/>
                <w:bCs/>
                <w:szCs w:val="24"/>
              </w:rPr>
            </w:pPr>
            <w:r w:rsidRPr="004A211D">
              <w:rPr>
                <w:rFonts w:eastAsia="Calibri"/>
                <w:b/>
                <w:bCs/>
                <w:szCs w:val="24"/>
              </w:rPr>
              <w:t>S3_N0.5+1%Pt</w:t>
            </w:r>
          </w:p>
        </w:tc>
        <w:tc>
          <w:tcPr>
            <w:tcW w:w="1417" w:type="dxa"/>
            <w:shd w:val="clear" w:color="auto" w:fill="auto"/>
          </w:tcPr>
          <w:p w14:paraId="78BBC2D2" w14:textId="77777777" w:rsidR="00F945A9" w:rsidRPr="004A211D" w:rsidRDefault="00F945A9" w:rsidP="00F945A9">
            <w:pPr>
              <w:jc w:val="center"/>
              <w:rPr>
                <w:rFonts w:eastAsia="Calibri"/>
                <w:szCs w:val="24"/>
              </w:rPr>
            </w:pPr>
            <w:r w:rsidRPr="004A211D">
              <w:rPr>
                <w:rFonts w:eastAsia="Calibri"/>
                <w:szCs w:val="24"/>
              </w:rPr>
              <w:t>79</w:t>
            </w:r>
          </w:p>
        </w:tc>
        <w:tc>
          <w:tcPr>
            <w:tcW w:w="1417" w:type="dxa"/>
            <w:shd w:val="clear" w:color="auto" w:fill="auto"/>
          </w:tcPr>
          <w:p w14:paraId="562DF2CA" w14:textId="77777777" w:rsidR="00F945A9" w:rsidRPr="004A211D" w:rsidRDefault="00F945A9" w:rsidP="00F945A9">
            <w:pPr>
              <w:jc w:val="center"/>
              <w:rPr>
                <w:rFonts w:eastAsia="Calibri"/>
                <w:szCs w:val="24"/>
              </w:rPr>
            </w:pPr>
            <w:r w:rsidRPr="004A211D">
              <w:rPr>
                <w:rFonts w:eastAsia="Calibri"/>
                <w:szCs w:val="24"/>
              </w:rPr>
              <w:t>22</w:t>
            </w:r>
          </w:p>
        </w:tc>
        <w:tc>
          <w:tcPr>
            <w:tcW w:w="1418" w:type="dxa"/>
            <w:shd w:val="clear" w:color="auto" w:fill="auto"/>
          </w:tcPr>
          <w:p w14:paraId="3BC81D01" w14:textId="77777777" w:rsidR="00F945A9" w:rsidRPr="004A211D" w:rsidRDefault="00F945A9" w:rsidP="00F945A9">
            <w:pPr>
              <w:jc w:val="center"/>
              <w:rPr>
                <w:rFonts w:eastAsia="Calibri"/>
                <w:szCs w:val="24"/>
              </w:rPr>
            </w:pPr>
            <w:r w:rsidRPr="004A211D">
              <w:rPr>
                <w:rFonts w:eastAsia="Calibri"/>
                <w:szCs w:val="24"/>
              </w:rPr>
              <w:t>21</w:t>
            </w:r>
          </w:p>
        </w:tc>
        <w:tc>
          <w:tcPr>
            <w:tcW w:w="1417" w:type="dxa"/>
            <w:shd w:val="clear" w:color="auto" w:fill="auto"/>
          </w:tcPr>
          <w:p w14:paraId="070D7F3E" w14:textId="77777777" w:rsidR="00F945A9" w:rsidRPr="004A211D" w:rsidRDefault="00F945A9" w:rsidP="00F945A9">
            <w:pPr>
              <w:jc w:val="center"/>
              <w:rPr>
                <w:rFonts w:eastAsia="Calibri"/>
                <w:szCs w:val="24"/>
              </w:rPr>
            </w:pPr>
            <w:r w:rsidRPr="004A211D">
              <w:rPr>
                <w:rFonts w:eastAsia="Calibri"/>
                <w:szCs w:val="24"/>
              </w:rPr>
              <w:t>21</w:t>
            </w:r>
          </w:p>
        </w:tc>
        <w:tc>
          <w:tcPr>
            <w:tcW w:w="1418" w:type="dxa"/>
            <w:shd w:val="clear" w:color="auto" w:fill="auto"/>
          </w:tcPr>
          <w:p w14:paraId="2BD712C4" w14:textId="77777777" w:rsidR="00F945A9" w:rsidRPr="004A211D" w:rsidRDefault="00F945A9" w:rsidP="00F945A9">
            <w:pPr>
              <w:jc w:val="center"/>
              <w:rPr>
                <w:rFonts w:eastAsia="Calibri"/>
                <w:szCs w:val="24"/>
              </w:rPr>
            </w:pPr>
            <w:r w:rsidRPr="004A211D">
              <w:rPr>
                <w:rFonts w:eastAsia="Calibri"/>
                <w:szCs w:val="24"/>
              </w:rPr>
              <w:t>83.7</w:t>
            </w:r>
          </w:p>
        </w:tc>
      </w:tr>
      <w:tr w:rsidR="00F945A9" w:rsidRPr="00632A8C" w14:paraId="30A23ABF" w14:textId="77777777" w:rsidTr="004A211D">
        <w:tc>
          <w:tcPr>
            <w:tcW w:w="2268" w:type="dxa"/>
            <w:tcBorders>
              <w:top w:val="single" w:sz="4" w:space="0" w:color="7F7F7F"/>
              <w:bottom w:val="single" w:sz="4" w:space="0" w:color="7F7F7F"/>
            </w:tcBorders>
            <w:shd w:val="clear" w:color="auto" w:fill="auto"/>
          </w:tcPr>
          <w:p w14:paraId="5BD7DEA5" w14:textId="77777777" w:rsidR="00F945A9" w:rsidRPr="004A211D" w:rsidRDefault="00F945A9" w:rsidP="00F945A9">
            <w:pPr>
              <w:jc w:val="center"/>
              <w:rPr>
                <w:rFonts w:eastAsia="Calibri"/>
                <w:b/>
                <w:bCs/>
                <w:szCs w:val="24"/>
              </w:rPr>
            </w:pPr>
            <w:r w:rsidRPr="004A211D">
              <w:rPr>
                <w:rFonts w:eastAsia="Calibri"/>
                <w:b/>
                <w:bCs/>
                <w:szCs w:val="24"/>
              </w:rPr>
              <w:t>S3_N0.5+2%Pt</w:t>
            </w:r>
          </w:p>
        </w:tc>
        <w:tc>
          <w:tcPr>
            <w:tcW w:w="1417" w:type="dxa"/>
            <w:tcBorders>
              <w:top w:val="single" w:sz="4" w:space="0" w:color="7F7F7F"/>
              <w:bottom w:val="single" w:sz="4" w:space="0" w:color="7F7F7F"/>
            </w:tcBorders>
            <w:shd w:val="clear" w:color="auto" w:fill="auto"/>
          </w:tcPr>
          <w:p w14:paraId="03855A27" w14:textId="77777777" w:rsidR="00F945A9" w:rsidRPr="004A211D" w:rsidRDefault="00F945A9" w:rsidP="00F945A9">
            <w:pPr>
              <w:jc w:val="center"/>
              <w:rPr>
                <w:rFonts w:eastAsia="Calibri"/>
                <w:szCs w:val="24"/>
              </w:rPr>
            </w:pPr>
            <w:r w:rsidRPr="004A211D">
              <w:rPr>
                <w:rFonts w:eastAsia="Calibri"/>
                <w:szCs w:val="24"/>
              </w:rPr>
              <w:t>78</w:t>
            </w:r>
          </w:p>
        </w:tc>
        <w:tc>
          <w:tcPr>
            <w:tcW w:w="1417" w:type="dxa"/>
            <w:tcBorders>
              <w:top w:val="single" w:sz="4" w:space="0" w:color="7F7F7F"/>
              <w:bottom w:val="single" w:sz="4" w:space="0" w:color="7F7F7F"/>
            </w:tcBorders>
            <w:shd w:val="clear" w:color="auto" w:fill="auto"/>
          </w:tcPr>
          <w:p w14:paraId="2DE04776" w14:textId="77777777" w:rsidR="00F945A9" w:rsidRPr="004A211D" w:rsidRDefault="00F945A9" w:rsidP="00F945A9">
            <w:pPr>
              <w:jc w:val="center"/>
              <w:rPr>
                <w:rFonts w:eastAsia="Calibri"/>
                <w:szCs w:val="24"/>
              </w:rPr>
            </w:pPr>
            <w:r w:rsidRPr="004A211D">
              <w:rPr>
                <w:rFonts w:eastAsia="Calibri"/>
                <w:szCs w:val="24"/>
              </w:rPr>
              <w:t>19</w:t>
            </w:r>
          </w:p>
        </w:tc>
        <w:tc>
          <w:tcPr>
            <w:tcW w:w="1418" w:type="dxa"/>
            <w:tcBorders>
              <w:top w:val="single" w:sz="4" w:space="0" w:color="7F7F7F"/>
              <w:bottom w:val="single" w:sz="4" w:space="0" w:color="7F7F7F"/>
            </w:tcBorders>
            <w:shd w:val="clear" w:color="auto" w:fill="auto"/>
          </w:tcPr>
          <w:p w14:paraId="102243AD" w14:textId="77777777" w:rsidR="00F945A9" w:rsidRPr="004A211D" w:rsidRDefault="00F945A9" w:rsidP="00F945A9">
            <w:pPr>
              <w:jc w:val="center"/>
              <w:rPr>
                <w:rFonts w:eastAsia="Calibri"/>
                <w:szCs w:val="24"/>
              </w:rPr>
            </w:pPr>
            <w:r w:rsidRPr="004A211D">
              <w:rPr>
                <w:rFonts w:eastAsia="Calibri"/>
                <w:szCs w:val="24"/>
              </w:rPr>
              <w:t>22</w:t>
            </w:r>
          </w:p>
        </w:tc>
        <w:tc>
          <w:tcPr>
            <w:tcW w:w="1417" w:type="dxa"/>
            <w:tcBorders>
              <w:top w:val="single" w:sz="4" w:space="0" w:color="7F7F7F"/>
              <w:bottom w:val="single" w:sz="4" w:space="0" w:color="7F7F7F"/>
            </w:tcBorders>
            <w:shd w:val="clear" w:color="auto" w:fill="auto"/>
          </w:tcPr>
          <w:p w14:paraId="0D8AF41B" w14:textId="77777777" w:rsidR="00F945A9" w:rsidRPr="004A211D" w:rsidRDefault="00F945A9" w:rsidP="00F945A9">
            <w:pPr>
              <w:jc w:val="center"/>
              <w:rPr>
                <w:rFonts w:eastAsia="Calibri"/>
                <w:szCs w:val="24"/>
              </w:rPr>
            </w:pPr>
            <w:r w:rsidRPr="004A211D">
              <w:rPr>
                <w:rFonts w:eastAsia="Calibri"/>
                <w:szCs w:val="24"/>
              </w:rPr>
              <w:t>21</w:t>
            </w:r>
          </w:p>
        </w:tc>
        <w:tc>
          <w:tcPr>
            <w:tcW w:w="1418" w:type="dxa"/>
            <w:tcBorders>
              <w:top w:val="single" w:sz="4" w:space="0" w:color="7F7F7F"/>
              <w:bottom w:val="single" w:sz="4" w:space="0" w:color="7F7F7F"/>
            </w:tcBorders>
            <w:shd w:val="clear" w:color="auto" w:fill="auto"/>
          </w:tcPr>
          <w:p w14:paraId="26C36263" w14:textId="77777777" w:rsidR="00F945A9" w:rsidRPr="004A211D" w:rsidRDefault="00F945A9" w:rsidP="00F945A9">
            <w:pPr>
              <w:jc w:val="center"/>
              <w:rPr>
                <w:rFonts w:eastAsia="Calibri"/>
                <w:szCs w:val="24"/>
              </w:rPr>
            </w:pPr>
            <w:r w:rsidRPr="004A211D">
              <w:rPr>
                <w:rFonts w:eastAsia="Calibri"/>
                <w:szCs w:val="24"/>
              </w:rPr>
              <w:t>80.5</w:t>
            </w:r>
          </w:p>
        </w:tc>
      </w:tr>
      <w:tr w:rsidR="00F945A9" w:rsidRPr="00632A8C" w14:paraId="3E44DB8B" w14:textId="77777777" w:rsidTr="004A211D">
        <w:tc>
          <w:tcPr>
            <w:tcW w:w="2268" w:type="dxa"/>
            <w:shd w:val="clear" w:color="auto" w:fill="auto"/>
          </w:tcPr>
          <w:p w14:paraId="5AB46F80" w14:textId="77777777" w:rsidR="00F945A9" w:rsidRPr="004A211D" w:rsidRDefault="00F945A9" w:rsidP="00F945A9">
            <w:pPr>
              <w:jc w:val="center"/>
              <w:rPr>
                <w:rFonts w:eastAsia="Calibri"/>
                <w:b/>
                <w:bCs/>
                <w:szCs w:val="24"/>
              </w:rPr>
            </w:pPr>
            <w:r w:rsidRPr="004A211D">
              <w:rPr>
                <w:rFonts w:eastAsia="Calibri"/>
                <w:b/>
                <w:bCs/>
                <w:szCs w:val="24"/>
              </w:rPr>
              <w:t>S3_N0.5+3%Pt</w:t>
            </w:r>
          </w:p>
        </w:tc>
        <w:tc>
          <w:tcPr>
            <w:tcW w:w="1417" w:type="dxa"/>
            <w:shd w:val="clear" w:color="auto" w:fill="auto"/>
          </w:tcPr>
          <w:p w14:paraId="57267197" w14:textId="77777777" w:rsidR="00F945A9" w:rsidRPr="004A211D" w:rsidRDefault="00F945A9" w:rsidP="00F945A9">
            <w:pPr>
              <w:jc w:val="center"/>
              <w:rPr>
                <w:rFonts w:eastAsia="Calibri"/>
                <w:szCs w:val="24"/>
              </w:rPr>
            </w:pPr>
            <w:r w:rsidRPr="004A211D">
              <w:rPr>
                <w:rFonts w:eastAsia="Calibri"/>
                <w:szCs w:val="24"/>
              </w:rPr>
              <w:t>75</w:t>
            </w:r>
          </w:p>
        </w:tc>
        <w:tc>
          <w:tcPr>
            <w:tcW w:w="1417" w:type="dxa"/>
            <w:shd w:val="clear" w:color="auto" w:fill="auto"/>
          </w:tcPr>
          <w:p w14:paraId="78E0A3DD" w14:textId="77777777" w:rsidR="00F945A9" w:rsidRPr="004A211D" w:rsidRDefault="00F945A9" w:rsidP="00F945A9">
            <w:pPr>
              <w:jc w:val="center"/>
              <w:rPr>
                <w:rFonts w:eastAsia="Calibri"/>
                <w:szCs w:val="24"/>
              </w:rPr>
            </w:pPr>
            <w:r w:rsidRPr="004A211D">
              <w:rPr>
                <w:rFonts w:eastAsia="Calibri"/>
                <w:szCs w:val="24"/>
              </w:rPr>
              <w:t>18</w:t>
            </w:r>
          </w:p>
        </w:tc>
        <w:tc>
          <w:tcPr>
            <w:tcW w:w="1418" w:type="dxa"/>
            <w:shd w:val="clear" w:color="auto" w:fill="auto"/>
          </w:tcPr>
          <w:p w14:paraId="5CFB58B5" w14:textId="77777777" w:rsidR="00F945A9" w:rsidRPr="004A211D" w:rsidRDefault="00F945A9" w:rsidP="00F945A9">
            <w:pPr>
              <w:jc w:val="center"/>
              <w:rPr>
                <w:rFonts w:eastAsia="Calibri"/>
                <w:szCs w:val="24"/>
              </w:rPr>
            </w:pPr>
            <w:r w:rsidRPr="004A211D">
              <w:rPr>
                <w:rFonts w:eastAsia="Calibri"/>
                <w:szCs w:val="24"/>
              </w:rPr>
              <w:t>25</w:t>
            </w:r>
          </w:p>
        </w:tc>
        <w:tc>
          <w:tcPr>
            <w:tcW w:w="1417" w:type="dxa"/>
            <w:shd w:val="clear" w:color="auto" w:fill="auto"/>
          </w:tcPr>
          <w:p w14:paraId="318708AC" w14:textId="77777777" w:rsidR="00F945A9" w:rsidRPr="004A211D" w:rsidRDefault="00F945A9" w:rsidP="00F945A9">
            <w:pPr>
              <w:jc w:val="center"/>
              <w:rPr>
                <w:rFonts w:eastAsia="Calibri"/>
                <w:szCs w:val="24"/>
              </w:rPr>
            </w:pPr>
            <w:r w:rsidRPr="004A211D">
              <w:rPr>
                <w:rFonts w:eastAsia="Calibri"/>
                <w:szCs w:val="24"/>
              </w:rPr>
              <w:t>20</w:t>
            </w:r>
          </w:p>
        </w:tc>
        <w:tc>
          <w:tcPr>
            <w:tcW w:w="1418" w:type="dxa"/>
            <w:shd w:val="clear" w:color="auto" w:fill="auto"/>
          </w:tcPr>
          <w:p w14:paraId="24647E0F" w14:textId="77777777" w:rsidR="00F945A9" w:rsidRPr="004A211D" w:rsidRDefault="00F945A9" w:rsidP="00F945A9">
            <w:pPr>
              <w:jc w:val="center"/>
              <w:rPr>
                <w:rFonts w:eastAsia="Calibri"/>
                <w:szCs w:val="24"/>
              </w:rPr>
            </w:pPr>
            <w:r w:rsidRPr="004A211D">
              <w:rPr>
                <w:rFonts w:eastAsia="Calibri"/>
                <w:szCs w:val="24"/>
              </w:rPr>
              <w:t>84.1</w:t>
            </w:r>
          </w:p>
        </w:tc>
      </w:tr>
      <w:tr w:rsidR="00F945A9" w:rsidRPr="00632A8C" w14:paraId="130F65B1" w14:textId="77777777" w:rsidTr="004A211D">
        <w:tc>
          <w:tcPr>
            <w:tcW w:w="2268" w:type="dxa"/>
            <w:tcBorders>
              <w:top w:val="single" w:sz="4" w:space="0" w:color="7F7F7F"/>
              <w:bottom w:val="single" w:sz="4" w:space="0" w:color="7F7F7F"/>
            </w:tcBorders>
            <w:shd w:val="clear" w:color="auto" w:fill="auto"/>
          </w:tcPr>
          <w:p w14:paraId="72A73205" w14:textId="77777777" w:rsidR="00F945A9" w:rsidRPr="004A211D" w:rsidRDefault="00F945A9" w:rsidP="00F945A9">
            <w:pPr>
              <w:jc w:val="center"/>
              <w:rPr>
                <w:rFonts w:eastAsia="Calibri"/>
                <w:b/>
                <w:bCs/>
                <w:szCs w:val="24"/>
              </w:rPr>
            </w:pPr>
            <w:r w:rsidRPr="004A211D">
              <w:rPr>
                <w:rFonts w:eastAsia="Calibri"/>
                <w:b/>
                <w:bCs/>
                <w:szCs w:val="24"/>
              </w:rPr>
              <w:t>S3_urea15+1%Pt</w:t>
            </w:r>
          </w:p>
        </w:tc>
        <w:tc>
          <w:tcPr>
            <w:tcW w:w="1417" w:type="dxa"/>
            <w:tcBorders>
              <w:top w:val="single" w:sz="4" w:space="0" w:color="7F7F7F"/>
              <w:bottom w:val="single" w:sz="4" w:space="0" w:color="7F7F7F"/>
            </w:tcBorders>
            <w:shd w:val="clear" w:color="auto" w:fill="auto"/>
          </w:tcPr>
          <w:p w14:paraId="1336D172" w14:textId="77777777" w:rsidR="00F945A9" w:rsidRPr="004A211D" w:rsidRDefault="00F945A9" w:rsidP="00F945A9">
            <w:pPr>
              <w:jc w:val="center"/>
              <w:rPr>
                <w:rFonts w:eastAsia="Calibri"/>
                <w:szCs w:val="24"/>
              </w:rPr>
            </w:pPr>
            <w:r w:rsidRPr="004A211D">
              <w:rPr>
                <w:rFonts w:eastAsia="Calibri"/>
                <w:szCs w:val="24"/>
              </w:rPr>
              <w:t>69</w:t>
            </w:r>
          </w:p>
        </w:tc>
        <w:tc>
          <w:tcPr>
            <w:tcW w:w="1417" w:type="dxa"/>
            <w:tcBorders>
              <w:top w:val="single" w:sz="4" w:space="0" w:color="7F7F7F"/>
              <w:bottom w:val="single" w:sz="4" w:space="0" w:color="7F7F7F"/>
            </w:tcBorders>
            <w:shd w:val="clear" w:color="auto" w:fill="auto"/>
          </w:tcPr>
          <w:p w14:paraId="390DBDFC" w14:textId="77777777" w:rsidR="00F945A9" w:rsidRPr="004A211D" w:rsidRDefault="00F945A9" w:rsidP="00F945A9">
            <w:pPr>
              <w:jc w:val="center"/>
              <w:rPr>
                <w:rFonts w:eastAsia="Calibri"/>
                <w:szCs w:val="24"/>
              </w:rPr>
            </w:pPr>
            <w:r w:rsidRPr="004A211D">
              <w:rPr>
                <w:rFonts w:eastAsia="Calibri"/>
                <w:szCs w:val="24"/>
              </w:rPr>
              <w:t>21</w:t>
            </w:r>
          </w:p>
        </w:tc>
        <w:tc>
          <w:tcPr>
            <w:tcW w:w="1418" w:type="dxa"/>
            <w:tcBorders>
              <w:top w:val="single" w:sz="4" w:space="0" w:color="7F7F7F"/>
              <w:bottom w:val="single" w:sz="4" w:space="0" w:color="7F7F7F"/>
            </w:tcBorders>
            <w:shd w:val="clear" w:color="auto" w:fill="auto"/>
          </w:tcPr>
          <w:p w14:paraId="5F3E2F88" w14:textId="77777777" w:rsidR="00F945A9" w:rsidRPr="004A211D" w:rsidRDefault="00F945A9" w:rsidP="00F945A9">
            <w:pPr>
              <w:jc w:val="center"/>
              <w:rPr>
                <w:rFonts w:eastAsia="Calibri"/>
                <w:szCs w:val="24"/>
              </w:rPr>
            </w:pPr>
            <w:r w:rsidRPr="004A211D">
              <w:rPr>
                <w:rFonts w:eastAsia="Calibri"/>
                <w:szCs w:val="24"/>
              </w:rPr>
              <w:t>31</w:t>
            </w:r>
          </w:p>
        </w:tc>
        <w:tc>
          <w:tcPr>
            <w:tcW w:w="1417" w:type="dxa"/>
            <w:tcBorders>
              <w:top w:val="single" w:sz="4" w:space="0" w:color="7F7F7F"/>
              <w:bottom w:val="single" w:sz="4" w:space="0" w:color="7F7F7F"/>
            </w:tcBorders>
            <w:shd w:val="clear" w:color="auto" w:fill="auto"/>
          </w:tcPr>
          <w:p w14:paraId="6FB25D14" w14:textId="77777777" w:rsidR="00F945A9" w:rsidRPr="004A211D" w:rsidRDefault="00F945A9" w:rsidP="00F945A9">
            <w:pPr>
              <w:jc w:val="center"/>
              <w:rPr>
                <w:rFonts w:eastAsia="Calibri"/>
                <w:szCs w:val="24"/>
              </w:rPr>
            </w:pPr>
            <w:r w:rsidRPr="004A211D">
              <w:rPr>
                <w:rFonts w:eastAsia="Calibri"/>
                <w:szCs w:val="24"/>
              </w:rPr>
              <w:t>21</w:t>
            </w:r>
          </w:p>
        </w:tc>
        <w:tc>
          <w:tcPr>
            <w:tcW w:w="1418" w:type="dxa"/>
            <w:tcBorders>
              <w:top w:val="single" w:sz="4" w:space="0" w:color="7F7F7F"/>
              <w:bottom w:val="single" w:sz="4" w:space="0" w:color="7F7F7F"/>
            </w:tcBorders>
            <w:shd w:val="clear" w:color="auto" w:fill="auto"/>
          </w:tcPr>
          <w:p w14:paraId="28A9BEF4" w14:textId="77777777" w:rsidR="00F945A9" w:rsidRPr="004A211D" w:rsidRDefault="00F945A9" w:rsidP="00F945A9">
            <w:pPr>
              <w:jc w:val="center"/>
              <w:rPr>
                <w:rFonts w:eastAsia="Calibri"/>
                <w:szCs w:val="24"/>
              </w:rPr>
            </w:pPr>
            <w:r w:rsidRPr="004A211D">
              <w:rPr>
                <w:rFonts w:eastAsia="Calibri"/>
                <w:szCs w:val="24"/>
              </w:rPr>
              <w:t>82.3</w:t>
            </w:r>
          </w:p>
        </w:tc>
      </w:tr>
      <w:tr w:rsidR="00F945A9" w:rsidRPr="00632A8C" w14:paraId="65992308" w14:textId="77777777" w:rsidTr="004A211D">
        <w:tc>
          <w:tcPr>
            <w:tcW w:w="2268" w:type="dxa"/>
            <w:shd w:val="clear" w:color="auto" w:fill="auto"/>
          </w:tcPr>
          <w:p w14:paraId="50BD02FA" w14:textId="77777777" w:rsidR="00F945A9" w:rsidRPr="004A211D" w:rsidRDefault="00F945A9" w:rsidP="00F945A9">
            <w:pPr>
              <w:jc w:val="center"/>
              <w:rPr>
                <w:rFonts w:eastAsia="Calibri"/>
                <w:b/>
                <w:bCs/>
                <w:szCs w:val="24"/>
              </w:rPr>
            </w:pPr>
            <w:r w:rsidRPr="004A211D">
              <w:rPr>
                <w:rFonts w:eastAsia="Calibri"/>
                <w:b/>
                <w:bCs/>
                <w:szCs w:val="24"/>
              </w:rPr>
              <w:t>S3_urea15+2%Pt</w:t>
            </w:r>
          </w:p>
        </w:tc>
        <w:tc>
          <w:tcPr>
            <w:tcW w:w="1417" w:type="dxa"/>
            <w:shd w:val="clear" w:color="auto" w:fill="auto"/>
          </w:tcPr>
          <w:p w14:paraId="7E281C30" w14:textId="77777777" w:rsidR="00F945A9" w:rsidRPr="004A211D" w:rsidRDefault="00F945A9" w:rsidP="00F945A9">
            <w:pPr>
              <w:jc w:val="center"/>
              <w:rPr>
                <w:rFonts w:eastAsia="Calibri"/>
                <w:szCs w:val="24"/>
              </w:rPr>
            </w:pPr>
            <w:r w:rsidRPr="004A211D">
              <w:rPr>
                <w:rFonts w:eastAsia="Calibri"/>
                <w:szCs w:val="24"/>
              </w:rPr>
              <w:t>72</w:t>
            </w:r>
          </w:p>
        </w:tc>
        <w:tc>
          <w:tcPr>
            <w:tcW w:w="1417" w:type="dxa"/>
            <w:shd w:val="clear" w:color="auto" w:fill="auto"/>
          </w:tcPr>
          <w:p w14:paraId="63CE68CD" w14:textId="77777777" w:rsidR="00F945A9" w:rsidRPr="004A211D" w:rsidRDefault="00F945A9" w:rsidP="00F945A9">
            <w:pPr>
              <w:jc w:val="center"/>
              <w:rPr>
                <w:rFonts w:eastAsia="Calibri"/>
                <w:szCs w:val="24"/>
              </w:rPr>
            </w:pPr>
            <w:r w:rsidRPr="004A211D">
              <w:rPr>
                <w:rFonts w:eastAsia="Calibri"/>
                <w:szCs w:val="24"/>
              </w:rPr>
              <w:t>21</w:t>
            </w:r>
          </w:p>
        </w:tc>
        <w:tc>
          <w:tcPr>
            <w:tcW w:w="1418" w:type="dxa"/>
            <w:shd w:val="clear" w:color="auto" w:fill="auto"/>
          </w:tcPr>
          <w:p w14:paraId="00977AFC" w14:textId="77777777" w:rsidR="00F945A9" w:rsidRPr="004A211D" w:rsidRDefault="00F945A9" w:rsidP="00F945A9">
            <w:pPr>
              <w:jc w:val="center"/>
              <w:rPr>
                <w:rFonts w:eastAsia="Calibri"/>
                <w:szCs w:val="24"/>
              </w:rPr>
            </w:pPr>
            <w:r w:rsidRPr="004A211D">
              <w:rPr>
                <w:rFonts w:eastAsia="Calibri"/>
                <w:szCs w:val="24"/>
              </w:rPr>
              <w:t>28</w:t>
            </w:r>
          </w:p>
        </w:tc>
        <w:tc>
          <w:tcPr>
            <w:tcW w:w="1417" w:type="dxa"/>
            <w:shd w:val="clear" w:color="auto" w:fill="auto"/>
          </w:tcPr>
          <w:p w14:paraId="4E55C859" w14:textId="77777777" w:rsidR="00F945A9" w:rsidRPr="004A211D" w:rsidRDefault="00F945A9" w:rsidP="00F945A9">
            <w:pPr>
              <w:jc w:val="center"/>
              <w:rPr>
                <w:rFonts w:eastAsia="Calibri"/>
                <w:szCs w:val="24"/>
              </w:rPr>
            </w:pPr>
            <w:r w:rsidRPr="004A211D">
              <w:rPr>
                <w:rFonts w:eastAsia="Calibri"/>
                <w:szCs w:val="24"/>
              </w:rPr>
              <w:t>22</w:t>
            </w:r>
          </w:p>
        </w:tc>
        <w:tc>
          <w:tcPr>
            <w:tcW w:w="1418" w:type="dxa"/>
            <w:shd w:val="clear" w:color="auto" w:fill="auto"/>
          </w:tcPr>
          <w:p w14:paraId="4BF3DE04" w14:textId="77777777" w:rsidR="00F945A9" w:rsidRPr="004A211D" w:rsidRDefault="00F945A9" w:rsidP="00F945A9">
            <w:pPr>
              <w:jc w:val="center"/>
              <w:rPr>
                <w:rFonts w:eastAsia="Calibri"/>
                <w:szCs w:val="24"/>
              </w:rPr>
            </w:pPr>
            <w:r w:rsidRPr="004A211D">
              <w:rPr>
                <w:rFonts w:eastAsia="Calibri"/>
                <w:szCs w:val="24"/>
              </w:rPr>
              <w:t>84.2</w:t>
            </w:r>
          </w:p>
        </w:tc>
      </w:tr>
    </w:tbl>
    <w:p w14:paraId="3EE1D31B" w14:textId="77777777" w:rsidR="00F945A9" w:rsidRPr="00632A8C" w:rsidRDefault="00F945A9" w:rsidP="00C11F89">
      <w:pPr>
        <w:rPr>
          <w:szCs w:val="24"/>
        </w:rPr>
      </w:pPr>
    </w:p>
    <w:p w14:paraId="786C8D8B" w14:textId="77777777" w:rsidR="00F945A9" w:rsidRPr="00632A8C" w:rsidRDefault="00F945A9" w:rsidP="00FD4CC0">
      <w:pPr>
        <w:pStyle w:val="MDPI12title"/>
        <w:rPr>
          <w:rFonts w:ascii="Times New Roman" w:hAnsi="Times New Roman" w:cs="Times New Roman"/>
        </w:rPr>
      </w:pPr>
      <w:r w:rsidRPr="00632A8C">
        <w:rPr>
          <w:rFonts w:ascii="Times New Roman" w:hAnsi="Times New Roman" w:cs="Times New Roman"/>
        </w:rPr>
        <w:t>Specific surface area (BET)</w:t>
      </w:r>
    </w:p>
    <w:p w14:paraId="777F0C6C" w14:textId="2740FC57" w:rsidR="00F945A9" w:rsidRPr="004A211D" w:rsidRDefault="00F945A9" w:rsidP="005F2CAD">
      <w:pPr>
        <w:spacing w:line="360" w:lineRule="auto"/>
        <w:ind w:firstLine="510"/>
        <w:rPr>
          <w:szCs w:val="24"/>
        </w:rPr>
      </w:pPr>
      <w:r w:rsidRPr="004A211D">
        <w:rPr>
          <w:szCs w:val="24"/>
        </w:rPr>
        <w:t>Results of surface area measurements are presented in Table 2. Measurements for six of these samples (</w:t>
      </w:r>
      <w:r w:rsidRPr="004A211D">
        <w:rPr>
          <w:b/>
          <w:szCs w:val="24"/>
        </w:rPr>
        <w:t>REF</w:t>
      </w:r>
      <w:r w:rsidRPr="004A211D">
        <w:rPr>
          <w:szCs w:val="24"/>
        </w:rPr>
        <w:t xml:space="preserve">, </w:t>
      </w:r>
      <w:r w:rsidRPr="004A211D">
        <w:rPr>
          <w:b/>
          <w:szCs w:val="24"/>
        </w:rPr>
        <w:t>Urea_15</w:t>
      </w:r>
      <w:r w:rsidRPr="004A211D">
        <w:rPr>
          <w:szCs w:val="24"/>
        </w:rPr>
        <w:t xml:space="preserve">, </w:t>
      </w:r>
      <w:r w:rsidRPr="004A211D">
        <w:rPr>
          <w:b/>
          <w:szCs w:val="24"/>
        </w:rPr>
        <w:t>Thiourea_15</w:t>
      </w:r>
      <w:r w:rsidRPr="004A211D">
        <w:rPr>
          <w:szCs w:val="24"/>
        </w:rPr>
        <w:t xml:space="preserve">, </w:t>
      </w:r>
      <w:r w:rsidRPr="004A211D">
        <w:rPr>
          <w:b/>
          <w:szCs w:val="24"/>
        </w:rPr>
        <w:t>S3</w:t>
      </w:r>
      <w:r w:rsidRPr="004A211D">
        <w:rPr>
          <w:szCs w:val="24"/>
        </w:rPr>
        <w:t xml:space="preserve">, </w:t>
      </w:r>
      <w:r w:rsidRPr="004A211D">
        <w:rPr>
          <w:b/>
          <w:szCs w:val="24"/>
        </w:rPr>
        <w:t xml:space="preserve">S3_N0.5 </w:t>
      </w:r>
      <w:r w:rsidRPr="004A211D">
        <w:rPr>
          <w:szCs w:val="24"/>
        </w:rPr>
        <w:t xml:space="preserve">and </w:t>
      </w:r>
      <w:r w:rsidRPr="004A211D">
        <w:rPr>
          <w:b/>
          <w:szCs w:val="24"/>
        </w:rPr>
        <w:t>S3_N0.5+1% Pt</w:t>
      </w:r>
      <w:r w:rsidRPr="004A211D">
        <w:rPr>
          <w:szCs w:val="24"/>
        </w:rPr>
        <w:t xml:space="preserve">) have already been published in our previous article. This study expands on those results </w:t>
      </w:r>
      <w:r w:rsidRPr="004A211D">
        <w:rPr>
          <w:szCs w:val="24"/>
        </w:rPr>
        <w:fldChar w:fldCharType="begin" w:fldLock="1"/>
      </w:r>
      <w:r w:rsidR="00AE1B1C" w:rsidRPr="004A211D">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4A211D">
        <w:rPr>
          <w:szCs w:val="24"/>
        </w:rPr>
        <w:fldChar w:fldCharType="separate"/>
      </w:r>
      <w:r w:rsidR="00AE1B1C" w:rsidRPr="004A211D">
        <w:rPr>
          <w:szCs w:val="24"/>
          <w:vertAlign w:val="superscript"/>
        </w:rPr>
        <w:t>37</w:t>
      </w:r>
      <w:r w:rsidRPr="004A211D">
        <w:rPr>
          <w:szCs w:val="24"/>
        </w:rPr>
        <w:fldChar w:fldCharType="end"/>
      </w:r>
      <w:r w:rsidRPr="004A211D">
        <w:rPr>
          <w:szCs w:val="24"/>
        </w:rPr>
        <w:t>.</w:t>
      </w:r>
    </w:p>
    <w:p w14:paraId="600C800C" w14:textId="77777777" w:rsidR="00F945A9" w:rsidRPr="004A211D" w:rsidRDefault="00F945A9" w:rsidP="004A211D">
      <w:pPr>
        <w:spacing w:line="360" w:lineRule="auto"/>
        <w:rPr>
          <w:szCs w:val="24"/>
        </w:rPr>
      </w:pPr>
      <w:r w:rsidRPr="004A211D">
        <w:rPr>
          <w:szCs w:val="24"/>
        </w:rPr>
        <w:t>In general, samples synthesized with H</w:t>
      </w:r>
      <w:r w:rsidRPr="004A211D">
        <w:rPr>
          <w:szCs w:val="24"/>
          <w:vertAlign w:val="subscript"/>
        </w:rPr>
        <w:t>2</w:t>
      </w:r>
      <w:r w:rsidRPr="004A211D">
        <w:rPr>
          <w:szCs w:val="24"/>
        </w:rPr>
        <w:t>SO</w:t>
      </w:r>
      <w:r w:rsidRPr="004A211D">
        <w:rPr>
          <w:szCs w:val="24"/>
          <w:vertAlign w:val="subscript"/>
        </w:rPr>
        <w:t>4</w:t>
      </w:r>
      <w:r w:rsidRPr="004A211D">
        <w:rPr>
          <w:szCs w:val="24"/>
        </w:rPr>
        <w:t xml:space="preserve"> have higher surface areas (63.2-103.4 m</w:t>
      </w:r>
      <w:r w:rsidRPr="004A211D">
        <w:rPr>
          <w:szCs w:val="24"/>
          <w:vertAlign w:val="superscript"/>
        </w:rPr>
        <w:t>2</w:t>
      </w:r>
      <w:r w:rsidRPr="004A211D">
        <w:rPr>
          <w:szCs w:val="24"/>
        </w:rPr>
        <w:t>/g) compared to samples synthesized with HCl (24.2-49.5 m</w:t>
      </w:r>
      <w:r w:rsidRPr="004A211D">
        <w:rPr>
          <w:szCs w:val="24"/>
          <w:vertAlign w:val="superscript"/>
        </w:rPr>
        <w:t>2</w:t>
      </w:r>
      <w:r w:rsidRPr="004A211D">
        <w:rPr>
          <w:szCs w:val="24"/>
        </w:rPr>
        <w:t>/g). The higher surface area can be attributed to smaller crystallites found in samples synthesized with the addition of H</w:t>
      </w:r>
      <w:r w:rsidRPr="004A211D">
        <w:rPr>
          <w:szCs w:val="24"/>
          <w:vertAlign w:val="subscript"/>
        </w:rPr>
        <w:t>2</w:t>
      </w:r>
      <w:r w:rsidRPr="004A211D">
        <w:rPr>
          <w:szCs w:val="24"/>
        </w:rPr>
        <w:t>SO</w:t>
      </w:r>
      <w:r w:rsidRPr="004A211D">
        <w:rPr>
          <w:szCs w:val="24"/>
          <w:vertAlign w:val="subscript"/>
        </w:rPr>
        <w:t>4</w:t>
      </w:r>
      <w:r w:rsidRPr="004A211D">
        <w:rPr>
          <w:szCs w:val="24"/>
        </w:rPr>
        <w:t>, which is also observed from the XRD measurements.</w:t>
      </w:r>
    </w:p>
    <w:p w14:paraId="5A992D17" w14:textId="77777777" w:rsidR="00F945A9" w:rsidRPr="004A211D" w:rsidRDefault="00F945A9" w:rsidP="004A211D">
      <w:pPr>
        <w:spacing w:line="360" w:lineRule="auto"/>
        <w:rPr>
          <w:szCs w:val="24"/>
        </w:rPr>
      </w:pPr>
      <w:r w:rsidRPr="004A211D">
        <w:rPr>
          <w:szCs w:val="24"/>
        </w:rPr>
        <w:t xml:space="preserve">It can be seen from the results presented in Table 2 that the addition of urea (sample </w:t>
      </w:r>
      <w:r w:rsidRPr="004A211D">
        <w:rPr>
          <w:b/>
          <w:szCs w:val="24"/>
        </w:rPr>
        <w:t xml:space="preserve">Urea_15 </w:t>
      </w:r>
      <w:r w:rsidRPr="004A211D">
        <w:rPr>
          <w:szCs w:val="24"/>
        </w:rPr>
        <w:t>has specific surface area of 24.2 m</w:t>
      </w:r>
      <w:r w:rsidRPr="004A211D">
        <w:rPr>
          <w:szCs w:val="24"/>
          <w:vertAlign w:val="superscript"/>
        </w:rPr>
        <w:t>2</w:t>
      </w:r>
      <w:r w:rsidRPr="004A211D">
        <w:rPr>
          <w:szCs w:val="24"/>
        </w:rPr>
        <w:t xml:space="preserve">/g) significantly decreases the surface area compared to the undoped sample </w:t>
      </w:r>
      <w:r w:rsidRPr="004A211D">
        <w:rPr>
          <w:b/>
          <w:szCs w:val="24"/>
        </w:rPr>
        <w:t>REF (</w:t>
      </w:r>
      <w:r w:rsidRPr="004A211D">
        <w:rPr>
          <w:szCs w:val="24"/>
        </w:rPr>
        <w:t>44.1 m</w:t>
      </w:r>
      <w:r w:rsidRPr="004A211D">
        <w:rPr>
          <w:szCs w:val="24"/>
          <w:vertAlign w:val="superscript"/>
        </w:rPr>
        <w:t>2</w:t>
      </w:r>
      <w:r w:rsidRPr="004A211D">
        <w:rPr>
          <w:szCs w:val="24"/>
        </w:rPr>
        <w:t>/g). By increasing the volume of H</w:t>
      </w:r>
      <w:r w:rsidRPr="004A211D">
        <w:rPr>
          <w:szCs w:val="24"/>
          <w:vertAlign w:val="subscript"/>
        </w:rPr>
        <w:t>2</w:t>
      </w:r>
      <w:r w:rsidRPr="004A211D">
        <w:rPr>
          <w:szCs w:val="24"/>
        </w:rPr>
        <w:t>SO</w:t>
      </w:r>
      <w:r w:rsidRPr="004A211D">
        <w:rPr>
          <w:szCs w:val="24"/>
          <w:vertAlign w:val="subscript"/>
        </w:rPr>
        <w:t>4</w:t>
      </w:r>
      <w:r w:rsidRPr="004A211D">
        <w:rPr>
          <w:szCs w:val="24"/>
        </w:rPr>
        <w:t xml:space="preserve"> added we also increase the surface area of the sample (63.2 m</w:t>
      </w:r>
      <w:r w:rsidRPr="004A211D">
        <w:rPr>
          <w:szCs w:val="24"/>
          <w:vertAlign w:val="superscript"/>
        </w:rPr>
        <w:t>2</w:t>
      </w:r>
      <w:r w:rsidRPr="004A211D">
        <w:rPr>
          <w:szCs w:val="24"/>
        </w:rPr>
        <w:t xml:space="preserve">/g for </w:t>
      </w:r>
      <w:r w:rsidRPr="004A211D">
        <w:rPr>
          <w:b/>
          <w:szCs w:val="24"/>
        </w:rPr>
        <w:t>S2</w:t>
      </w:r>
      <w:r w:rsidRPr="004A211D">
        <w:rPr>
          <w:szCs w:val="24"/>
        </w:rPr>
        <w:t>, 80.2 m</w:t>
      </w:r>
      <w:r w:rsidRPr="004A211D">
        <w:rPr>
          <w:szCs w:val="24"/>
          <w:vertAlign w:val="superscript"/>
        </w:rPr>
        <w:t>2</w:t>
      </w:r>
      <w:r w:rsidRPr="004A211D">
        <w:rPr>
          <w:szCs w:val="24"/>
        </w:rPr>
        <w:t xml:space="preserve">/g for </w:t>
      </w:r>
      <w:r w:rsidRPr="004A211D">
        <w:rPr>
          <w:b/>
          <w:szCs w:val="24"/>
        </w:rPr>
        <w:t>S3</w:t>
      </w:r>
      <w:r w:rsidRPr="004A211D">
        <w:rPr>
          <w:szCs w:val="24"/>
        </w:rPr>
        <w:t>). The addition of NH</w:t>
      </w:r>
      <w:r w:rsidRPr="004A211D">
        <w:rPr>
          <w:szCs w:val="24"/>
          <w:vertAlign w:val="subscript"/>
        </w:rPr>
        <w:t>4</w:t>
      </w:r>
      <w:r w:rsidRPr="004A211D">
        <w:rPr>
          <w:szCs w:val="24"/>
        </w:rPr>
        <w:t>NO</w:t>
      </w:r>
      <w:r w:rsidRPr="004A211D">
        <w:rPr>
          <w:szCs w:val="24"/>
          <w:vertAlign w:val="subscript"/>
        </w:rPr>
        <w:t>3</w:t>
      </w:r>
      <w:r w:rsidRPr="004A211D">
        <w:rPr>
          <w:szCs w:val="24"/>
        </w:rPr>
        <w:t xml:space="preserve"> (samples </w:t>
      </w:r>
      <w:r w:rsidRPr="004A211D">
        <w:rPr>
          <w:b/>
          <w:szCs w:val="24"/>
        </w:rPr>
        <w:t>S3_N0.5</w:t>
      </w:r>
      <w:r w:rsidRPr="004A211D">
        <w:rPr>
          <w:szCs w:val="24"/>
        </w:rPr>
        <w:t xml:space="preserve"> and </w:t>
      </w:r>
      <w:r w:rsidRPr="004A211D">
        <w:rPr>
          <w:b/>
          <w:szCs w:val="24"/>
        </w:rPr>
        <w:t>S3_N2</w:t>
      </w:r>
      <w:r w:rsidRPr="004A211D">
        <w:rPr>
          <w:szCs w:val="24"/>
        </w:rPr>
        <w:t xml:space="preserve">), urea (sample </w:t>
      </w:r>
      <w:r w:rsidRPr="004A211D">
        <w:rPr>
          <w:b/>
          <w:szCs w:val="24"/>
        </w:rPr>
        <w:t>S3_urea15</w:t>
      </w:r>
      <w:r w:rsidRPr="004A211D">
        <w:rPr>
          <w:szCs w:val="24"/>
        </w:rPr>
        <w:t xml:space="preserve">) and thiourea (sample </w:t>
      </w:r>
      <w:r w:rsidRPr="004A211D">
        <w:rPr>
          <w:b/>
          <w:szCs w:val="24"/>
        </w:rPr>
        <w:t>S3_thiourea15</w:t>
      </w:r>
      <w:r w:rsidRPr="004A211D">
        <w:rPr>
          <w:szCs w:val="24"/>
        </w:rPr>
        <w:t xml:space="preserve">) to sample </w:t>
      </w:r>
      <w:r w:rsidRPr="004A211D">
        <w:rPr>
          <w:b/>
          <w:szCs w:val="24"/>
        </w:rPr>
        <w:t>S3</w:t>
      </w:r>
      <w:r w:rsidRPr="004A211D">
        <w:rPr>
          <w:szCs w:val="24"/>
        </w:rPr>
        <w:t xml:space="preserve"> also increase the surface area of the samples (surface areas </w:t>
      </w:r>
      <w:r w:rsidRPr="004A211D">
        <w:rPr>
          <w:szCs w:val="24"/>
        </w:rPr>
        <w:lastRenderedPageBreak/>
        <w:t>84.5-103.4 m</w:t>
      </w:r>
      <w:r w:rsidRPr="004A211D">
        <w:rPr>
          <w:szCs w:val="24"/>
          <w:vertAlign w:val="superscript"/>
        </w:rPr>
        <w:t>2</w:t>
      </w:r>
      <w:r w:rsidRPr="004A211D">
        <w:rPr>
          <w:szCs w:val="24"/>
        </w:rPr>
        <w:t xml:space="preserve">/g). This can be explained by an additional decrease in the size of crystallites in these samples as compared to those in sample </w:t>
      </w:r>
      <w:r w:rsidRPr="004A211D">
        <w:rPr>
          <w:b/>
          <w:szCs w:val="24"/>
        </w:rPr>
        <w:t>S3</w:t>
      </w:r>
      <w:r w:rsidRPr="004A211D">
        <w:rPr>
          <w:szCs w:val="24"/>
        </w:rPr>
        <w:t>.</w:t>
      </w:r>
    </w:p>
    <w:p w14:paraId="4163B84D" w14:textId="27151549" w:rsidR="00F945A9" w:rsidRDefault="00F945A9" w:rsidP="005F2CAD">
      <w:pPr>
        <w:spacing w:line="360" w:lineRule="auto"/>
        <w:ind w:firstLine="510"/>
        <w:rPr>
          <w:szCs w:val="24"/>
        </w:rPr>
      </w:pPr>
      <w:r w:rsidRPr="004A211D">
        <w:rPr>
          <w:szCs w:val="24"/>
        </w:rPr>
        <w:t xml:space="preserve">The specific surface area does not change significantly when adding 1 % and 3 % of Pt to sample </w:t>
      </w:r>
      <w:r w:rsidRPr="004A211D">
        <w:rPr>
          <w:b/>
          <w:szCs w:val="24"/>
        </w:rPr>
        <w:t>S3_N0.5</w:t>
      </w:r>
      <w:r w:rsidRPr="004A211D">
        <w:rPr>
          <w:szCs w:val="24"/>
        </w:rPr>
        <w:t xml:space="preserve">. On the contrary, a decrease in surface area is observed when adding 2 % of Pt to sample </w:t>
      </w:r>
      <w:r w:rsidRPr="004A211D">
        <w:rPr>
          <w:b/>
          <w:szCs w:val="24"/>
        </w:rPr>
        <w:t>S3_N0.5</w:t>
      </w:r>
      <w:r w:rsidRPr="004A211D">
        <w:rPr>
          <w:szCs w:val="24"/>
        </w:rPr>
        <w:t xml:space="preserve"> (from 84.5 m</w:t>
      </w:r>
      <w:r w:rsidRPr="004A211D">
        <w:rPr>
          <w:szCs w:val="24"/>
          <w:vertAlign w:val="superscript"/>
        </w:rPr>
        <w:t>2</w:t>
      </w:r>
      <w:r w:rsidRPr="004A211D">
        <w:rPr>
          <w:szCs w:val="24"/>
        </w:rPr>
        <w:t xml:space="preserve">/g for sample </w:t>
      </w:r>
      <w:r w:rsidRPr="004A211D">
        <w:rPr>
          <w:b/>
          <w:szCs w:val="24"/>
        </w:rPr>
        <w:t xml:space="preserve">S3_N0.5 </w:t>
      </w:r>
      <w:r w:rsidRPr="004A211D">
        <w:rPr>
          <w:szCs w:val="24"/>
        </w:rPr>
        <w:t>to 80.5 m</w:t>
      </w:r>
      <w:r w:rsidRPr="004A211D">
        <w:rPr>
          <w:szCs w:val="24"/>
          <w:vertAlign w:val="superscript"/>
        </w:rPr>
        <w:t>2</w:t>
      </w:r>
      <w:r w:rsidRPr="004A211D">
        <w:rPr>
          <w:szCs w:val="24"/>
        </w:rPr>
        <w:t xml:space="preserve">/g for sample </w:t>
      </w:r>
      <w:r w:rsidRPr="004A211D">
        <w:rPr>
          <w:b/>
          <w:szCs w:val="24"/>
        </w:rPr>
        <w:t>S3_N0.5+2%Pt</w:t>
      </w:r>
      <w:r w:rsidRPr="004A211D">
        <w:rPr>
          <w:szCs w:val="24"/>
        </w:rPr>
        <w:t xml:space="preserve">) and when adding 1 % or 2 % of Pt to sample </w:t>
      </w:r>
      <w:r w:rsidRPr="004A211D">
        <w:rPr>
          <w:b/>
          <w:szCs w:val="24"/>
        </w:rPr>
        <w:t>S3_urea15</w:t>
      </w:r>
      <w:r w:rsidRPr="004A211D">
        <w:rPr>
          <w:szCs w:val="24"/>
        </w:rPr>
        <w:t xml:space="preserve"> (from 101.7 m</w:t>
      </w:r>
      <w:r w:rsidRPr="004A211D">
        <w:rPr>
          <w:szCs w:val="24"/>
          <w:vertAlign w:val="superscript"/>
        </w:rPr>
        <w:t>2</w:t>
      </w:r>
      <w:r w:rsidRPr="004A211D">
        <w:rPr>
          <w:szCs w:val="24"/>
        </w:rPr>
        <w:t xml:space="preserve">/g for </w:t>
      </w:r>
      <w:r w:rsidRPr="004A211D">
        <w:rPr>
          <w:b/>
          <w:szCs w:val="24"/>
        </w:rPr>
        <w:t>S3_urea15</w:t>
      </w:r>
      <w:r w:rsidRPr="004A211D">
        <w:rPr>
          <w:szCs w:val="24"/>
        </w:rPr>
        <w:t xml:space="preserve"> to 82.3 m</w:t>
      </w:r>
      <w:r w:rsidRPr="004A211D">
        <w:rPr>
          <w:szCs w:val="24"/>
          <w:vertAlign w:val="superscript"/>
        </w:rPr>
        <w:t>2</w:t>
      </w:r>
      <w:r w:rsidRPr="004A211D">
        <w:rPr>
          <w:szCs w:val="24"/>
        </w:rPr>
        <w:t>/g and 84.2 m</w:t>
      </w:r>
      <w:r w:rsidRPr="004A211D">
        <w:rPr>
          <w:szCs w:val="24"/>
          <w:vertAlign w:val="superscript"/>
        </w:rPr>
        <w:t>2</w:t>
      </w:r>
      <w:r w:rsidRPr="004A211D">
        <w:rPr>
          <w:szCs w:val="24"/>
        </w:rPr>
        <w:t xml:space="preserve">/g for sample </w:t>
      </w:r>
      <w:r w:rsidRPr="004A211D">
        <w:rPr>
          <w:b/>
          <w:szCs w:val="24"/>
        </w:rPr>
        <w:t>S3_urea15+1%Pt</w:t>
      </w:r>
      <w:r w:rsidRPr="004A211D">
        <w:rPr>
          <w:szCs w:val="24"/>
        </w:rPr>
        <w:t xml:space="preserve"> and </w:t>
      </w:r>
      <w:r w:rsidRPr="004A211D">
        <w:rPr>
          <w:b/>
          <w:szCs w:val="24"/>
        </w:rPr>
        <w:t>S3_urea15+2%Pt</w:t>
      </w:r>
      <w:r w:rsidRPr="004A211D">
        <w:rPr>
          <w:szCs w:val="24"/>
        </w:rPr>
        <w:t>, respectively). This decrease can be explained by the increase in size of crystallites in these samples, which is also observed in XRD measurements.</w:t>
      </w:r>
    </w:p>
    <w:p w14:paraId="6EDE6536" w14:textId="77777777" w:rsidR="005F2CAD" w:rsidRPr="004A211D" w:rsidRDefault="005F2CAD" w:rsidP="005F2CAD">
      <w:pPr>
        <w:spacing w:line="360" w:lineRule="auto"/>
        <w:ind w:firstLine="510"/>
        <w:rPr>
          <w:szCs w:val="24"/>
        </w:rPr>
      </w:pPr>
    </w:p>
    <w:p w14:paraId="29A23FDC" w14:textId="77777777" w:rsidR="00F945A9" w:rsidRPr="005F2CAD" w:rsidRDefault="00F945A9" w:rsidP="004A211D">
      <w:pPr>
        <w:pStyle w:val="Heading2"/>
        <w:numPr>
          <w:ilvl w:val="0"/>
          <w:numId w:val="0"/>
        </w:numPr>
        <w:spacing w:after="0" w:line="360" w:lineRule="auto"/>
        <w:ind w:left="576" w:hanging="576"/>
        <w:rPr>
          <w:sz w:val="28"/>
          <w:szCs w:val="28"/>
        </w:rPr>
      </w:pPr>
      <w:r w:rsidRPr="005F2CAD">
        <w:rPr>
          <w:sz w:val="28"/>
          <w:szCs w:val="28"/>
        </w:rPr>
        <w:t>Scanning electron microscopy (SEM)</w:t>
      </w:r>
    </w:p>
    <w:p w14:paraId="5078A540" w14:textId="77777777" w:rsidR="00F945A9" w:rsidRPr="004A211D" w:rsidRDefault="00F945A9" w:rsidP="005F2CAD">
      <w:pPr>
        <w:spacing w:line="360" w:lineRule="auto"/>
        <w:ind w:firstLine="510"/>
        <w:rPr>
          <w:szCs w:val="24"/>
        </w:rPr>
      </w:pPr>
      <w:r w:rsidRPr="004A211D">
        <w:rPr>
          <w:szCs w:val="24"/>
        </w:rPr>
        <w:t xml:space="preserve">Figure 2 shows FE-SEM micrographs of samples </w:t>
      </w:r>
      <w:r w:rsidRPr="004A211D">
        <w:rPr>
          <w:b/>
          <w:szCs w:val="24"/>
        </w:rPr>
        <w:t>REF</w:t>
      </w:r>
      <w:r w:rsidRPr="004A211D">
        <w:rPr>
          <w:szCs w:val="24"/>
        </w:rPr>
        <w:t xml:space="preserve">, </w:t>
      </w:r>
      <w:r w:rsidRPr="004A211D">
        <w:rPr>
          <w:b/>
          <w:szCs w:val="24"/>
        </w:rPr>
        <w:t xml:space="preserve">S3_N0.5 </w:t>
      </w:r>
      <w:r w:rsidRPr="004A211D">
        <w:rPr>
          <w:szCs w:val="24"/>
        </w:rPr>
        <w:t xml:space="preserve">and </w:t>
      </w:r>
      <w:r w:rsidRPr="004A211D">
        <w:rPr>
          <w:b/>
          <w:szCs w:val="24"/>
        </w:rPr>
        <w:t>S3_thiourea15</w:t>
      </w:r>
      <w:r w:rsidRPr="004A211D">
        <w:rPr>
          <w:szCs w:val="24"/>
        </w:rPr>
        <w:t xml:space="preserve">. </w:t>
      </w:r>
    </w:p>
    <w:p w14:paraId="3F686948" w14:textId="77777777" w:rsidR="00F945A9" w:rsidRPr="004A211D" w:rsidRDefault="00F945A9" w:rsidP="004A211D">
      <w:pPr>
        <w:spacing w:line="360" w:lineRule="auto"/>
        <w:rPr>
          <w:szCs w:val="24"/>
        </w:rPr>
      </w:pPr>
      <w:r w:rsidRPr="004A211D">
        <w:rPr>
          <w:szCs w:val="24"/>
        </w:rPr>
        <w:t xml:space="preserve">Substituting HCl (sample </w:t>
      </w:r>
      <w:r w:rsidRPr="004A211D">
        <w:rPr>
          <w:b/>
          <w:szCs w:val="24"/>
        </w:rPr>
        <w:t>REF</w:t>
      </w:r>
      <w:r w:rsidRPr="004A211D">
        <w:rPr>
          <w:szCs w:val="24"/>
        </w:rPr>
        <w:t>) with H</w:t>
      </w:r>
      <w:r w:rsidRPr="004A211D">
        <w:rPr>
          <w:szCs w:val="24"/>
          <w:vertAlign w:val="subscript"/>
        </w:rPr>
        <w:t>2</w:t>
      </w:r>
      <w:r w:rsidRPr="004A211D">
        <w:rPr>
          <w:szCs w:val="24"/>
        </w:rPr>
        <w:t>SO</w:t>
      </w:r>
      <w:r w:rsidRPr="004A211D">
        <w:rPr>
          <w:szCs w:val="24"/>
          <w:vertAlign w:val="subscript"/>
        </w:rPr>
        <w:t>4</w:t>
      </w:r>
      <w:r w:rsidRPr="004A211D">
        <w:rPr>
          <w:szCs w:val="24"/>
        </w:rPr>
        <w:t xml:space="preserve"> (samples </w:t>
      </w:r>
      <w:r w:rsidRPr="004A211D">
        <w:rPr>
          <w:b/>
          <w:szCs w:val="24"/>
        </w:rPr>
        <w:t>S3_N0.5</w:t>
      </w:r>
      <w:r w:rsidRPr="004A211D">
        <w:rPr>
          <w:szCs w:val="24"/>
        </w:rPr>
        <w:t xml:space="preserve"> and </w:t>
      </w:r>
      <w:r w:rsidRPr="004A211D">
        <w:rPr>
          <w:b/>
          <w:szCs w:val="24"/>
        </w:rPr>
        <w:t>S3_thiourea15</w:t>
      </w:r>
      <w:r w:rsidRPr="004A211D">
        <w:rPr>
          <w:szCs w:val="24"/>
        </w:rPr>
        <w:t xml:space="preserve">) during the synthesis has resulted in the formation of more porous powders, which is in agreement with the results of BET specific surface area measurements. Furthermore, we have observed crystallites of sizes 31-35 nm in the SEM image of sample </w:t>
      </w:r>
      <w:r w:rsidRPr="004A211D">
        <w:rPr>
          <w:b/>
          <w:szCs w:val="24"/>
        </w:rPr>
        <w:t>REF</w:t>
      </w:r>
      <w:r w:rsidRPr="004A211D">
        <w:rPr>
          <w:szCs w:val="24"/>
        </w:rPr>
        <w:t>, which confirms the results of the XRD measurements. SEM images of samples synthesized with H</w:t>
      </w:r>
      <w:r w:rsidRPr="004A211D">
        <w:rPr>
          <w:szCs w:val="24"/>
          <w:vertAlign w:val="subscript"/>
        </w:rPr>
        <w:t>2</w:t>
      </w:r>
      <w:r w:rsidRPr="004A211D">
        <w:rPr>
          <w:szCs w:val="24"/>
        </w:rPr>
        <w:t>SO</w:t>
      </w:r>
      <w:r w:rsidRPr="004A211D">
        <w:rPr>
          <w:szCs w:val="24"/>
          <w:vertAlign w:val="subscript"/>
        </w:rPr>
        <w:t>4</w:t>
      </w:r>
      <w:r w:rsidRPr="004A211D">
        <w:rPr>
          <w:szCs w:val="24"/>
        </w:rPr>
        <w:t xml:space="preserve"> show crystallites ranging in size from 20-22 nm (sample </w:t>
      </w:r>
      <w:r w:rsidRPr="004A211D">
        <w:rPr>
          <w:b/>
          <w:szCs w:val="24"/>
        </w:rPr>
        <w:t>S3_N0.5</w:t>
      </w:r>
      <w:r w:rsidRPr="004A211D">
        <w:rPr>
          <w:szCs w:val="24"/>
        </w:rPr>
        <w:t xml:space="preserve">) and 18-23 nm (sample </w:t>
      </w:r>
      <w:r w:rsidRPr="004A211D">
        <w:rPr>
          <w:b/>
          <w:szCs w:val="24"/>
        </w:rPr>
        <w:t>S3_thiourea15</w:t>
      </w:r>
      <w:r w:rsidRPr="004A211D">
        <w:rPr>
          <w:szCs w:val="24"/>
        </w:rPr>
        <w:t xml:space="preserve">), which is also in agreement with the results of XRD measurements. We can also observe pores with sizes ranging from 70-100 nm (sample </w:t>
      </w:r>
      <w:r w:rsidRPr="004A211D">
        <w:rPr>
          <w:b/>
          <w:szCs w:val="24"/>
        </w:rPr>
        <w:t>S3_N0.5</w:t>
      </w:r>
      <w:r w:rsidRPr="004A211D">
        <w:rPr>
          <w:szCs w:val="24"/>
        </w:rPr>
        <w:t xml:space="preserve">) and 70-80 nm (sample </w:t>
      </w:r>
      <w:r w:rsidRPr="004A211D">
        <w:rPr>
          <w:b/>
          <w:szCs w:val="24"/>
        </w:rPr>
        <w:t>S3_thiourea15</w:t>
      </w:r>
      <w:r w:rsidRPr="004A211D">
        <w:rPr>
          <w:szCs w:val="24"/>
        </w:rPr>
        <w:t>).</w:t>
      </w:r>
    </w:p>
    <w:p w14:paraId="239BD19D" w14:textId="77777777" w:rsidR="00F945A9" w:rsidRPr="004A211D" w:rsidRDefault="00F945A9" w:rsidP="004A211D">
      <w:pPr>
        <w:keepNext/>
        <w:spacing w:line="360" w:lineRule="auto"/>
        <w:jc w:val="center"/>
        <w:rPr>
          <w:szCs w:val="24"/>
        </w:rPr>
      </w:pPr>
      <w:r w:rsidRPr="004A211D">
        <w:rPr>
          <w:szCs w:val="24"/>
        </w:rPr>
        <w:lastRenderedPageBreak/>
        <w:drawing>
          <wp:inline distT="0" distB="0" distL="0" distR="0" wp14:anchorId="38324CD2" wp14:editId="0A387955">
            <wp:extent cx="2301052" cy="4981575"/>
            <wp:effectExtent l="0" t="0" r="4445" b="0"/>
            <wp:docPr id="6" name="Picture 6" descr="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353" cy="4993051"/>
                    </a:xfrm>
                    <a:prstGeom prst="rect">
                      <a:avLst/>
                    </a:prstGeom>
                    <a:noFill/>
                    <a:ln>
                      <a:noFill/>
                    </a:ln>
                  </pic:spPr>
                </pic:pic>
              </a:graphicData>
            </a:graphic>
          </wp:inline>
        </w:drawing>
      </w:r>
    </w:p>
    <w:p w14:paraId="2BC54170" w14:textId="3E7C3319" w:rsidR="00F945A9" w:rsidRDefault="00F945A9" w:rsidP="004A211D">
      <w:pPr>
        <w:pStyle w:val="Caption"/>
        <w:spacing w:after="0" w:line="360" w:lineRule="auto"/>
        <w:jc w:val="center"/>
        <w:rPr>
          <w:rFonts w:ascii="Times New Roman" w:hAnsi="Times New Roman"/>
          <w:i w:val="0"/>
          <w:iCs w:val="0"/>
          <w:color w:val="auto"/>
          <w:sz w:val="24"/>
          <w:szCs w:val="24"/>
        </w:rPr>
      </w:pPr>
      <w:r w:rsidRPr="004A211D">
        <w:rPr>
          <w:rFonts w:ascii="Times New Roman" w:hAnsi="Times New Roman"/>
          <w:b/>
          <w:bCs/>
          <w:i w:val="0"/>
          <w:iCs w:val="0"/>
          <w:color w:val="auto"/>
          <w:sz w:val="24"/>
          <w:szCs w:val="24"/>
        </w:rPr>
        <w:t xml:space="preserve">Figure </w:t>
      </w:r>
      <w:r w:rsidRPr="004A211D">
        <w:rPr>
          <w:rFonts w:ascii="Times New Roman" w:hAnsi="Times New Roman"/>
          <w:b/>
          <w:bCs/>
          <w:i w:val="0"/>
          <w:iCs w:val="0"/>
          <w:noProof/>
          <w:color w:val="auto"/>
          <w:sz w:val="24"/>
          <w:szCs w:val="24"/>
        </w:rPr>
        <w:fldChar w:fldCharType="begin"/>
      </w:r>
      <w:r w:rsidRPr="004A211D">
        <w:rPr>
          <w:rFonts w:ascii="Times New Roman" w:hAnsi="Times New Roman"/>
          <w:b/>
          <w:bCs/>
          <w:i w:val="0"/>
          <w:iCs w:val="0"/>
          <w:noProof/>
          <w:color w:val="auto"/>
          <w:sz w:val="24"/>
          <w:szCs w:val="24"/>
        </w:rPr>
        <w:instrText xml:space="preserve"> SEQ Figure \* ARABIC </w:instrText>
      </w:r>
      <w:r w:rsidRPr="004A211D">
        <w:rPr>
          <w:rFonts w:ascii="Times New Roman" w:hAnsi="Times New Roman"/>
          <w:b/>
          <w:bCs/>
          <w:i w:val="0"/>
          <w:iCs w:val="0"/>
          <w:noProof/>
          <w:color w:val="auto"/>
          <w:sz w:val="24"/>
          <w:szCs w:val="24"/>
        </w:rPr>
        <w:fldChar w:fldCharType="separate"/>
      </w:r>
      <w:r w:rsidR="00A35F1B" w:rsidRPr="004A211D">
        <w:rPr>
          <w:rFonts w:ascii="Times New Roman" w:hAnsi="Times New Roman"/>
          <w:b/>
          <w:bCs/>
          <w:i w:val="0"/>
          <w:iCs w:val="0"/>
          <w:noProof/>
          <w:color w:val="auto"/>
          <w:sz w:val="24"/>
          <w:szCs w:val="24"/>
        </w:rPr>
        <w:t>2</w:t>
      </w:r>
      <w:r w:rsidRPr="004A211D">
        <w:rPr>
          <w:rFonts w:ascii="Times New Roman" w:hAnsi="Times New Roman"/>
          <w:b/>
          <w:bCs/>
          <w:i w:val="0"/>
          <w:iCs w:val="0"/>
          <w:noProof/>
          <w:color w:val="auto"/>
          <w:sz w:val="24"/>
          <w:szCs w:val="24"/>
        </w:rPr>
        <w:fldChar w:fldCharType="end"/>
      </w:r>
      <w:r w:rsidRPr="004A211D">
        <w:rPr>
          <w:rFonts w:ascii="Times New Roman" w:hAnsi="Times New Roman"/>
          <w:b/>
          <w:bCs/>
          <w:i w:val="0"/>
          <w:iCs w:val="0"/>
          <w:color w:val="auto"/>
          <w:sz w:val="24"/>
          <w:szCs w:val="24"/>
        </w:rPr>
        <w:t>.</w:t>
      </w:r>
      <w:r w:rsidRPr="004A211D">
        <w:rPr>
          <w:rFonts w:ascii="Times New Roman" w:hAnsi="Times New Roman"/>
          <w:i w:val="0"/>
          <w:iCs w:val="0"/>
          <w:color w:val="auto"/>
          <w:sz w:val="24"/>
          <w:szCs w:val="24"/>
        </w:rPr>
        <w:t xml:space="preserve"> FE-SEM micrographs of powders: </w:t>
      </w:r>
      <w:r w:rsidRPr="004A211D">
        <w:rPr>
          <w:rFonts w:ascii="Times New Roman" w:hAnsi="Times New Roman"/>
          <w:b/>
          <w:bCs/>
          <w:i w:val="0"/>
          <w:iCs w:val="0"/>
          <w:color w:val="auto"/>
          <w:sz w:val="24"/>
          <w:szCs w:val="24"/>
        </w:rPr>
        <w:t>REF</w:t>
      </w:r>
      <w:r w:rsidRPr="004A211D">
        <w:rPr>
          <w:rFonts w:ascii="Times New Roman" w:hAnsi="Times New Roman"/>
          <w:i w:val="0"/>
          <w:iCs w:val="0"/>
          <w:color w:val="auto"/>
          <w:sz w:val="24"/>
          <w:szCs w:val="24"/>
        </w:rPr>
        <w:t xml:space="preserve">, </w:t>
      </w:r>
      <w:r w:rsidRPr="004A211D">
        <w:rPr>
          <w:rFonts w:ascii="Times New Roman" w:hAnsi="Times New Roman"/>
          <w:b/>
          <w:bCs/>
          <w:i w:val="0"/>
          <w:iCs w:val="0"/>
          <w:color w:val="auto"/>
          <w:sz w:val="24"/>
          <w:szCs w:val="24"/>
        </w:rPr>
        <w:t>S3_N0.5</w:t>
      </w:r>
      <w:r w:rsidRPr="004A211D">
        <w:rPr>
          <w:rFonts w:ascii="Times New Roman" w:hAnsi="Times New Roman"/>
          <w:i w:val="0"/>
          <w:iCs w:val="0"/>
          <w:color w:val="auto"/>
          <w:sz w:val="24"/>
          <w:szCs w:val="24"/>
        </w:rPr>
        <w:t xml:space="preserve"> and </w:t>
      </w:r>
      <w:r w:rsidRPr="004A211D">
        <w:rPr>
          <w:rFonts w:ascii="Times New Roman" w:hAnsi="Times New Roman"/>
          <w:b/>
          <w:bCs/>
          <w:i w:val="0"/>
          <w:iCs w:val="0"/>
          <w:color w:val="auto"/>
          <w:sz w:val="24"/>
          <w:szCs w:val="24"/>
        </w:rPr>
        <w:t>S3_thiourea15</w:t>
      </w:r>
      <w:r w:rsidRPr="004A211D">
        <w:rPr>
          <w:rFonts w:ascii="Times New Roman" w:hAnsi="Times New Roman"/>
          <w:i w:val="0"/>
          <w:iCs w:val="0"/>
          <w:color w:val="auto"/>
          <w:sz w:val="24"/>
          <w:szCs w:val="24"/>
        </w:rPr>
        <w:t>.</w:t>
      </w:r>
    </w:p>
    <w:p w14:paraId="3DC10C24" w14:textId="77777777" w:rsidR="004A211D" w:rsidRPr="004A211D" w:rsidRDefault="004A211D" w:rsidP="004A211D">
      <w:pPr>
        <w:rPr>
          <w:lang w:val="en-GB" w:eastAsia="en-US"/>
        </w:rPr>
      </w:pPr>
    </w:p>
    <w:p w14:paraId="496C3184" w14:textId="77777777" w:rsidR="00F945A9" w:rsidRPr="005F2CAD" w:rsidRDefault="00F945A9" w:rsidP="004A211D">
      <w:pPr>
        <w:pStyle w:val="MDPI12title"/>
        <w:spacing w:before="0" w:after="0" w:line="360" w:lineRule="auto"/>
        <w:rPr>
          <w:rFonts w:ascii="Times New Roman" w:hAnsi="Times New Roman" w:cs="Times New Roman"/>
        </w:rPr>
      </w:pPr>
      <w:r w:rsidRPr="005F2CAD">
        <w:rPr>
          <w:rFonts w:ascii="Times New Roman" w:hAnsi="Times New Roman" w:cs="Times New Roman"/>
        </w:rPr>
        <w:t>Photocurrent measurements</w:t>
      </w:r>
    </w:p>
    <w:p w14:paraId="56B467E6" w14:textId="77777777" w:rsidR="00F945A9" w:rsidRPr="004A211D" w:rsidRDefault="00F945A9" w:rsidP="005F2CAD">
      <w:pPr>
        <w:spacing w:line="360" w:lineRule="auto"/>
        <w:ind w:firstLine="510"/>
        <w:rPr>
          <w:rFonts w:eastAsia="Times New Roman"/>
          <w:szCs w:val="24"/>
        </w:rPr>
      </w:pPr>
      <w:r w:rsidRPr="004A211D">
        <w:rPr>
          <w:szCs w:val="24"/>
        </w:rPr>
        <w:t xml:space="preserve">Figure 3 shows the results of photocurrent measurements for different samples. </w:t>
      </w:r>
      <w:bookmarkStart w:id="6" w:name="_Hlk69390525"/>
      <w:r w:rsidRPr="004A211D">
        <w:rPr>
          <w:rFonts w:eastAsia="Times New Roman"/>
          <w:szCs w:val="24"/>
        </w:rPr>
        <w:t>The reason why there is a very low photocurrent response in UV region is due to the fact 150 W Xe lamp was used as the light source. Xe lamps have very low intensity in UV region below 300 nm.</w:t>
      </w:r>
    </w:p>
    <w:bookmarkEnd w:id="6"/>
    <w:p w14:paraId="6202BF50" w14:textId="77777777" w:rsidR="00F945A9" w:rsidRPr="00632A8C" w:rsidRDefault="00F945A9" w:rsidP="005F2CAD">
      <w:pPr>
        <w:spacing w:line="360" w:lineRule="auto"/>
        <w:ind w:firstLine="510"/>
        <w:rPr>
          <w:szCs w:val="24"/>
        </w:rPr>
      </w:pPr>
      <w:r w:rsidRPr="004A211D">
        <w:rPr>
          <w:szCs w:val="24"/>
        </w:rPr>
        <w:t xml:space="preserve">By adding urea (sample </w:t>
      </w:r>
      <w:r w:rsidRPr="004A211D">
        <w:rPr>
          <w:b/>
          <w:szCs w:val="24"/>
        </w:rPr>
        <w:t>Urea_15</w:t>
      </w:r>
      <w:r w:rsidRPr="004A211D">
        <w:rPr>
          <w:szCs w:val="24"/>
        </w:rPr>
        <w:t xml:space="preserve">) to the undoped sample </w:t>
      </w:r>
      <w:r w:rsidRPr="004A211D">
        <w:rPr>
          <w:b/>
          <w:szCs w:val="24"/>
        </w:rPr>
        <w:t>REF</w:t>
      </w:r>
      <w:r w:rsidRPr="004A211D">
        <w:rPr>
          <w:szCs w:val="24"/>
        </w:rPr>
        <w:t xml:space="preserve">, the photocurrent response has decreased. We can attribute this to the lower surface area of sample </w:t>
      </w:r>
      <w:r w:rsidRPr="004A211D">
        <w:rPr>
          <w:b/>
          <w:bCs/>
          <w:szCs w:val="24"/>
        </w:rPr>
        <w:t>Urea_15</w:t>
      </w:r>
      <w:r w:rsidRPr="004A211D">
        <w:rPr>
          <w:szCs w:val="24"/>
        </w:rPr>
        <w:t xml:space="preserve">, which was observed from BET measurements. Contrarily, the addition of thiourea (sample </w:t>
      </w:r>
      <w:r w:rsidRPr="004A211D">
        <w:rPr>
          <w:b/>
          <w:szCs w:val="24"/>
        </w:rPr>
        <w:t>Thiourea_15</w:t>
      </w:r>
      <w:r w:rsidRPr="004A211D">
        <w:rPr>
          <w:szCs w:val="24"/>
        </w:rPr>
        <w:t>) has resulted in an increase in photocurren</w:t>
      </w:r>
      <w:r w:rsidRPr="00632A8C">
        <w:rPr>
          <w:szCs w:val="24"/>
        </w:rPr>
        <w:t xml:space="preserve">t response, which is attributed to the higher surface area of the sample </w:t>
      </w:r>
      <w:r w:rsidRPr="00632A8C">
        <w:rPr>
          <w:b/>
          <w:szCs w:val="24"/>
        </w:rPr>
        <w:t>Thiourea_15</w:t>
      </w:r>
      <w:r w:rsidRPr="00632A8C">
        <w:rPr>
          <w:szCs w:val="24"/>
        </w:rPr>
        <w:t>.</w:t>
      </w:r>
    </w:p>
    <w:p w14:paraId="1E725B52" w14:textId="77777777" w:rsidR="00F945A9" w:rsidRPr="00632A8C" w:rsidRDefault="00F945A9" w:rsidP="007967F6">
      <w:pPr>
        <w:keepNext/>
        <w:jc w:val="center"/>
        <w:rPr>
          <w:szCs w:val="24"/>
        </w:rPr>
      </w:pPr>
      <w:r w:rsidRPr="00632A8C">
        <w:rPr>
          <w:szCs w:val="24"/>
        </w:rPr>
        <w:lastRenderedPageBreak/>
        <w:drawing>
          <wp:inline distT="0" distB="0" distL="0" distR="0" wp14:anchorId="03BEEBE4" wp14:editId="4E6C34E9">
            <wp:extent cx="5229225" cy="3933825"/>
            <wp:effectExtent l="0" t="0" r="9525" b="9525"/>
            <wp:docPr id="7" name="Picture 1" descr="photocurre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current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225" cy="3933825"/>
                    </a:xfrm>
                    <a:prstGeom prst="rect">
                      <a:avLst/>
                    </a:prstGeom>
                    <a:noFill/>
                    <a:ln>
                      <a:noFill/>
                    </a:ln>
                  </pic:spPr>
                </pic:pic>
              </a:graphicData>
            </a:graphic>
          </wp:inline>
        </w:drawing>
      </w:r>
    </w:p>
    <w:p w14:paraId="24262AEA" w14:textId="7D752F7F" w:rsidR="00F945A9" w:rsidRDefault="00F945A9" w:rsidP="004A211D">
      <w:pPr>
        <w:pStyle w:val="Caption"/>
        <w:spacing w:after="0" w:line="360" w:lineRule="auto"/>
        <w:jc w:val="center"/>
        <w:rPr>
          <w:rFonts w:ascii="Times New Roman" w:hAnsi="Times New Roman"/>
          <w:i w:val="0"/>
          <w:iCs w:val="0"/>
          <w:color w:val="auto"/>
          <w:sz w:val="24"/>
          <w:szCs w:val="24"/>
        </w:rPr>
      </w:pPr>
      <w:r w:rsidRPr="004A211D">
        <w:rPr>
          <w:rFonts w:ascii="Times New Roman" w:hAnsi="Times New Roman"/>
          <w:b/>
          <w:bCs/>
          <w:i w:val="0"/>
          <w:iCs w:val="0"/>
          <w:color w:val="auto"/>
          <w:sz w:val="24"/>
          <w:szCs w:val="24"/>
        </w:rPr>
        <w:t xml:space="preserve">Figure </w:t>
      </w:r>
      <w:r w:rsidRPr="004A211D">
        <w:rPr>
          <w:rFonts w:ascii="Times New Roman" w:hAnsi="Times New Roman"/>
          <w:b/>
          <w:bCs/>
          <w:i w:val="0"/>
          <w:iCs w:val="0"/>
          <w:noProof/>
          <w:color w:val="auto"/>
          <w:sz w:val="24"/>
          <w:szCs w:val="24"/>
        </w:rPr>
        <w:fldChar w:fldCharType="begin"/>
      </w:r>
      <w:r w:rsidRPr="004A211D">
        <w:rPr>
          <w:rFonts w:ascii="Times New Roman" w:hAnsi="Times New Roman"/>
          <w:b/>
          <w:bCs/>
          <w:i w:val="0"/>
          <w:iCs w:val="0"/>
          <w:noProof/>
          <w:color w:val="auto"/>
          <w:sz w:val="24"/>
          <w:szCs w:val="24"/>
        </w:rPr>
        <w:instrText xml:space="preserve"> SEQ Figure \* ARABIC </w:instrText>
      </w:r>
      <w:r w:rsidRPr="004A211D">
        <w:rPr>
          <w:rFonts w:ascii="Times New Roman" w:hAnsi="Times New Roman"/>
          <w:b/>
          <w:bCs/>
          <w:i w:val="0"/>
          <w:iCs w:val="0"/>
          <w:noProof/>
          <w:color w:val="auto"/>
          <w:sz w:val="24"/>
          <w:szCs w:val="24"/>
        </w:rPr>
        <w:fldChar w:fldCharType="separate"/>
      </w:r>
      <w:r w:rsidR="00A35F1B" w:rsidRPr="004A211D">
        <w:rPr>
          <w:rFonts w:ascii="Times New Roman" w:hAnsi="Times New Roman"/>
          <w:b/>
          <w:bCs/>
          <w:i w:val="0"/>
          <w:iCs w:val="0"/>
          <w:noProof/>
          <w:color w:val="auto"/>
          <w:sz w:val="24"/>
          <w:szCs w:val="24"/>
        </w:rPr>
        <w:t>3</w:t>
      </w:r>
      <w:r w:rsidRPr="004A211D">
        <w:rPr>
          <w:rFonts w:ascii="Times New Roman" w:hAnsi="Times New Roman"/>
          <w:b/>
          <w:bCs/>
          <w:i w:val="0"/>
          <w:iCs w:val="0"/>
          <w:noProof/>
          <w:color w:val="auto"/>
          <w:sz w:val="24"/>
          <w:szCs w:val="24"/>
        </w:rPr>
        <w:fldChar w:fldCharType="end"/>
      </w:r>
      <w:r w:rsidRPr="004A211D">
        <w:rPr>
          <w:rFonts w:ascii="Times New Roman" w:hAnsi="Times New Roman"/>
          <w:b/>
          <w:bCs/>
          <w:i w:val="0"/>
          <w:iCs w:val="0"/>
          <w:color w:val="auto"/>
          <w:sz w:val="24"/>
          <w:szCs w:val="24"/>
        </w:rPr>
        <w:t>.</w:t>
      </w:r>
      <w:r w:rsidRPr="004A211D">
        <w:rPr>
          <w:rFonts w:ascii="Times New Roman" w:hAnsi="Times New Roman"/>
          <w:i w:val="0"/>
          <w:iCs w:val="0"/>
          <w:color w:val="auto"/>
          <w:sz w:val="24"/>
          <w:szCs w:val="24"/>
        </w:rPr>
        <w:t xml:space="preserve"> Photocurrent responses recorded under applied external potential of 1 V.</w:t>
      </w:r>
    </w:p>
    <w:p w14:paraId="13AC16B2" w14:textId="77777777" w:rsidR="005F2CAD" w:rsidRPr="005F2CAD" w:rsidRDefault="005F2CAD" w:rsidP="005F2CAD">
      <w:pPr>
        <w:rPr>
          <w:lang w:val="en-GB" w:eastAsia="en-US"/>
        </w:rPr>
      </w:pPr>
    </w:p>
    <w:p w14:paraId="6749097B" w14:textId="404E7F51" w:rsidR="00F945A9" w:rsidRPr="004A211D" w:rsidRDefault="00F945A9" w:rsidP="005F2CAD">
      <w:pPr>
        <w:spacing w:line="360" w:lineRule="auto"/>
        <w:ind w:firstLine="510"/>
        <w:rPr>
          <w:szCs w:val="24"/>
        </w:rPr>
      </w:pPr>
      <w:r w:rsidRPr="004A211D">
        <w:rPr>
          <w:szCs w:val="24"/>
        </w:rPr>
        <w:t>By substituting HCl with H</w:t>
      </w:r>
      <w:r w:rsidRPr="004A211D">
        <w:rPr>
          <w:szCs w:val="24"/>
          <w:vertAlign w:val="subscript"/>
        </w:rPr>
        <w:t>2</w:t>
      </w:r>
      <w:r w:rsidRPr="004A211D">
        <w:rPr>
          <w:szCs w:val="24"/>
        </w:rPr>
        <w:t>SO</w:t>
      </w:r>
      <w:r w:rsidRPr="004A211D">
        <w:rPr>
          <w:szCs w:val="24"/>
          <w:vertAlign w:val="subscript"/>
        </w:rPr>
        <w:t>4</w:t>
      </w:r>
      <w:r w:rsidRPr="004A211D">
        <w:rPr>
          <w:szCs w:val="24"/>
        </w:rPr>
        <w:t xml:space="preserve"> during the synthesis (samples </w:t>
      </w:r>
      <w:r w:rsidRPr="004A211D">
        <w:rPr>
          <w:b/>
          <w:szCs w:val="24"/>
        </w:rPr>
        <w:t>S2</w:t>
      </w:r>
      <w:r w:rsidRPr="004A211D">
        <w:rPr>
          <w:szCs w:val="24"/>
        </w:rPr>
        <w:t xml:space="preserve"> and </w:t>
      </w:r>
      <w:r w:rsidRPr="004A211D">
        <w:rPr>
          <w:b/>
          <w:szCs w:val="24"/>
        </w:rPr>
        <w:t>S3</w:t>
      </w:r>
      <w:r w:rsidRPr="004A211D">
        <w:rPr>
          <w:szCs w:val="24"/>
        </w:rPr>
        <w:t xml:space="preserve">) the current has increased. As with sample </w:t>
      </w:r>
      <w:r w:rsidRPr="004A211D">
        <w:rPr>
          <w:b/>
          <w:szCs w:val="24"/>
        </w:rPr>
        <w:t>Thiourea_15</w:t>
      </w:r>
      <w:r w:rsidRPr="004A211D">
        <w:rPr>
          <w:szCs w:val="24"/>
        </w:rPr>
        <w:t xml:space="preserve">, this can be explained by the higher surface area of samples </w:t>
      </w:r>
      <w:r w:rsidRPr="004A211D">
        <w:rPr>
          <w:b/>
          <w:szCs w:val="24"/>
        </w:rPr>
        <w:t>S2</w:t>
      </w:r>
      <w:r w:rsidRPr="004A211D">
        <w:rPr>
          <w:szCs w:val="24"/>
        </w:rPr>
        <w:t xml:space="preserve"> and </w:t>
      </w:r>
      <w:r w:rsidRPr="004A211D">
        <w:rPr>
          <w:b/>
          <w:szCs w:val="24"/>
        </w:rPr>
        <w:t>S3</w:t>
      </w:r>
      <w:r w:rsidRPr="004A211D">
        <w:rPr>
          <w:szCs w:val="24"/>
        </w:rPr>
        <w:t xml:space="preserve"> compared to the samples synthesized with HCl. Because sample </w:t>
      </w:r>
      <w:r w:rsidRPr="004A211D">
        <w:rPr>
          <w:b/>
          <w:szCs w:val="24"/>
        </w:rPr>
        <w:t>S3</w:t>
      </w:r>
      <w:r w:rsidRPr="004A211D">
        <w:rPr>
          <w:szCs w:val="24"/>
        </w:rPr>
        <w:t xml:space="preserve"> has a higher surface area than sample </w:t>
      </w:r>
      <w:r w:rsidRPr="004A211D">
        <w:rPr>
          <w:b/>
          <w:szCs w:val="24"/>
        </w:rPr>
        <w:t>S2</w:t>
      </w:r>
      <w:r w:rsidRPr="004A211D">
        <w:rPr>
          <w:szCs w:val="24"/>
        </w:rPr>
        <w:t>, a higher photocurrent is induced when irradiating the former. The results, as presented in Figure 3b, show that the addition of 0.5 % of NH</w:t>
      </w:r>
      <w:r w:rsidRPr="004A211D">
        <w:rPr>
          <w:szCs w:val="24"/>
          <w:vertAlign w:val="subscript"/>
        </w:rPr>
        <w:t>4</w:t>
      </w:r>
      <w:r w:rsidRPr="004A211D">
        <w:rPr>
          <w:szCs w:val="24"/>
        </w:rPr>
        <w:t>NO</w:t>
      </w:r>
      <w:r w:rsidRPr="004A211D">
        <w:rPr>
          <w:szCs w:val="24"/>
          <w:vertAlign w:val="subscript"/>
        </w:rPr>
        <w:t>3</w:t>
      </w:r>
      <w:r w:rsidRPr="004A211D">
        <w:rPr>
          <w:szCs w:val="24"/>
        </w:rPr>
        <w:t xml:space="preserve"> (sample </w:t>
      </w:r>
      <w:r w:rsidRPr="004A211D">
        <w:rPr>
          <w:b/>
          <w:szCs w:val="24"/>
        </w:rPr>
        <w:t>S3_N0.5</w:t>
      </w:r>
      <w:r w:rsidRPr="004A211D">
        <w:rPr>
          <w:szCs w:val="24"/>
        </w:rPr>
        <w:t xml:space="preserve">), urea (sample </w:t>
      </w:r>
      <w:r w:rsidRPr="004A211D">
        <w:rPr>
          <w:b/>
          <w:szCs w:val="24"/>
        </w:rPr>
        <w:t>S3_urea15</w:t>
      </w:r>
      <w:r w:rsidRPr="004A211D">
        <w:rPr>
          <w:szCs w:val="24"/>
        </w:rPr>
        <w:t xml:space="preserve">) or thiourea (sample </w:t>
      </w:r>
      <w:r w:rsidRPr="004A211D">
        <w:rPr>
          <w:b/>
          <w:szCs w:val="24"/>
        </w:rPr>
        <w:t>S3_thiourea15</w:t>
      </w:r>
      <w:r w:rsidRPr="004A211D">
        <w:rPr>
          <w:szCs w:val="24"/>
        </w:rPr>
        <w:t xml:space="preserve">) to sample </w:t>
      </w:r>
      <w:r w:rsidRPr="004A211D">
        <w:rPr>
          <w:b/>
          <w:szCs w:val="24"/>
        </w:rPr>
        <w:t>S3</w:t>
      </w:r>
      <w:r w:rsidRPr="004A211D">
        <w:rPr>
          <w:szCs w:val="24"/>
        </w:rPr>
        <w:t xml:space="preserve"> has resulted in a decrease in photocurrent response, despite the increase in surface area. The response has increased when adding 2 % of NH</w:t>
      </w:r>
      <w:r w:rsidRPr="004A211D">
        <w:rPr>
          <w:szCs w:val="24"/>
          <w:vertAlign w:val="subscript"/>
        </w:rPr>
        <w:t>4</w:t>
      </w:r>
      <w:r w:rsidRPr="004A211D">
        <w:rPr>
          <w:szCs w:val="24"/>
        </w:rPr>
        <w:t>NO</w:t>
      </w:r>
      <w:r w:rsidRPr="004A211D">
        <w:rPr>
          <w:szCs w:val="24"/>
          <w:vertAlign w:val="subscript"/>
        </w:rPr>
        <w:t>3</w:t>
      </w:r>
      <w:r w:rsidRPr="004A211D">
        <w:rPr>
          <w:szCs w:val="24"/>
        </w:rPr>
        <w:t xml:space="preserve"> (sample </w:t>
      </w:r>
      <w:r w:rsidRPr="004A211D">
        <w:rPr>
          <w:b/>
          <w:szCs w:val="24"/>
        </w:rPr>
        <w:t>S3_N2)</w:t>
      </w:r>
      <w:r w:rsidRPr="004A211D">
        <w:rPr>
          <w:szCs w:val="24"/>
        </w:rPr>
        <w:t xml:space="preserve">, which also has the highest surface area of all the samples. From this we can deduce that the amount of induced photocurrent depends not only on the surface area, but also on the amount of added dopants. Band gap energies for selected samples have already been measured and published in </w:t>
      </w:r>
      <w:r w:rsidRPr="004A211D">
        <w:rPr>
          <w:szCs w:val="24"/>
        </w:rPr>
        <w:fldChar w:fldCharType="begin" w:fldLock="1"/>
      </w:r>
      <w:r w:rsidR="00AE1B1C" w:rsidRPr="004A211D">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4A211D">
        <w:rPr>
          <w:szCs w:val="24"/>
        </w:rPr>
        <w:fldChar w:fldCharType="separate"/>
      </w:r>
      <w:r w:rsidR="00AE1B1C" w:rsidRPr="004A211D">
        <w:rPr>
          <w:szCs w:val="24"/>
          <w:vertAlign w:val="superscript"/>
        </w:rPr>
        <w:t>37</w:t>
      </w:r>
      <w:r w:rsidRPr="004A211D">
        <w:rPr>
          <w:szCs w:val="24"/>
        </w:rPr>
        <w:fldChar w:fldCharType="end"/>
      </w:r>
      <w:r w:rsidRPr="004A211D">
        <w:rPr>
          <w:szCs w:val="24"/>
        </w:rPr>
        <w:t>.</w:t>
      </w:r>
    </w:p>
    <w:p w14:paraId="77FD8F8B" w14:textId="27BDBFDB" w:rsidR="00F945A9" w:rsidRDefault="00F945A9" w:rsidP="005F2CAD">
      <w:pPr>
        <w:spacing w:line="360" w:lineRule="auto"/>
        <w:ind w:firstLine="510"/>
        <w:rPr>
          <w:szCs w:val="24"/>
        </w:rPr>
      </w:pPr>
      <w:r w:rsidRPr="004A211D">
        <w:rPr>
          <w:szCs w:val="24"/>
        </w:rPr>
        <w:t xml:space="preserve">Results for samples with added Pt are presented in Figures 3c and 3d. When comparing these samples with those without the added Pt (samples </w:t>
      </w:r>
      <w:r w:rsidRPr="004A211D">
        <w:rPr>
          <w:b/>
          <w:szCs w:val="24"/>
        </w:rPr>
        <w:t>S3_N0.5</w:t>
      </w:r>
      <w:r w:rsidRPr="004A211D">
        <w:rPr>
          <w:szCs w:val="24"/>
        </w:rPr>
        <w:t xml:space="preserve"> and </w:t>
      </w:r>
      <w:r w:rsidRPr="004A211D">
        <w:rPr>
          <w:b/>
          <w:szCs w:val="24"/>
        </w:rPr>
        <w:t>S3_urea15</w:t>
      </w:r>
      <w:r w:rsidRPr="004A211D">
        <w:rPr>
          <w:szCs w:val="24"/>
        </w:rPr>
        <w:t xml:space="preserve">), we can see that the addition of 1 % and 2 % of Pt had a positive effect on the photocatalytic response, despite the lower surface area of these samples. When irradiating the sample with 3 % of added Pt (sample </w:t>
      </w:r>
      <w:r w:rsidRPr="004A211D">
        <w:rPr>
          <w:b/>
          <w:szCs w:val="24"/>
        </w:rPr>
        <w:t>S3_N0.5+3%Pt</w:t>
      </w:r>
      <w:r w:rsidRPr="004A211D">
        <w:rPr>
          <w:szCs w:val="24"/>
        </w:rPr>
        <w:t xml:space="preserve">) the amount of induced </w:t>
      </w:r>
      <w:r w:rsidRPr="004A211D">
        <w:rPr>
          <w:szCs w:val="24"/>
        </w:rPr>
        <w:lastRenderedPageBreak/>
        <w:t>photocurrent has decreased dramatically, which could be due to the increased Pt blocking light to the photocatalyst. Moreover, platinum particles can also act as recombination centres.</w:t>
      </w:r>
    </w:p>
    <w:p w14:paraId="3575EC9B" w14:textId="77777777" w:rsidR="005F2CAD" w:rsidRPr="004A211D" w:rsidRDefault="005F2CAD" w:rsidP="004A211D">
      <w:pPr>
        <w:spacing w:line="360" w:lineRule="auto"/>
        <w:rPr>
          <w:szCs w:val="24"/>
        </w:rPr>
      </w:pPr>
    </w:p>
    <w:p w14:paraId="5578BBDC" w14:textId="77777777" w:rsidR="00F945A9" w:rsidRPr="00632A8C" w:rsidRDefault="00F945A9" w:rsidP="00C11F89">
      <w:pPr>
        <w:pStyle w:val="Heading2"/>
        <w:numPr>
          <w:ilvl w:val="0"/>
          <w:numId w:val="0"/>
        </w:numPr>
        <w:spacing w:before="240" w:after="60" w:line="228" w:lineRule="auto"/>
        <w:ind w:left="576" w:hanging="576"/>
        <w:rPr>
          <w:sz w:val="28"/>
          <w:szCs w:val="28"/>
        </w:rPr>
      </w:pPr>
      <w:r w:rsidRPr="00632A8C">
        <w:rPr>
          <w:sz w:val="28"/>
          <w:szCs w:val="28"/>
        </w:rPr>
        <w:t xml:space="preserve">Photocatalytic activity </w:t>
      </w:r>
    </w:p>
    <w:p w14:paraId="13CBC436" w14:textId="16961018" w:rsidR="00F945A9" w:rsidRPr="004A211D" w:rsidRDefault="00F945A9" w:rsidP="005F2CAD">
      <w:pPr>
        <w:spacing w:line="360" w:lineRule="auto"/>
        <w:ind w:firstLine="510"/>
        <w:rPr>
          <w:szCs w:val="24"/>
        </w:rPr>
      </w:pPr>
      <w:r w:rsidRPr="004A211D">
        <w:rPr>
          <w:szCs w:val="24"/>
        </w:rPr>
        <w:t xml:space="preserve">Concentration profiles for isopropanol and acetone for selected samples are presented in Figure 4. The photocatalytic activity of powders under UV and visible light irradiation was tested by monitoring the oxidation of isopropanol to acetone. It can be seen that the isopropanol curve is unstable before the UV and visible light is switched on, what is due to the adsorption of isopropanol onto the surface of the sample and reactor system. After the UV and visible light is switched on the acetone concentration increases, while the isopropanol concentration decreases. </w:t>
      </w:r>
      <w:bookmarkStart w:id="7" w:name="_Hlk69463131"/>
      <w:r w:rsidRPr="004A211D">
        <w:rPr>
          <w:szCs w:val="24"/>
        </w:rPr>
        <w:t xml:space="preserve">Reactions are presented in Equation (2) in the experimantal section. In the initial steps of the photocatalysis, we can approximate the reaction to be of zero order, because the photocatalytic oxidation of isopropanol to acetone is faster than the subsequent oxidation of acetone. Zero order kinetics can be described with Equation (3): </w:t>
      </w:r>
    </w:p>
    <w:p w14:paraId="15F42676" w14:textId="77777777" w:rsidR="00D74FC2" w:rsidRPr="004A211D" w:rsidRDefault="00D74FC2" w:rsidP="004A211D">
      <w:pPr>
        <w:spacing w:line="360" w:lineRule="auto"/>
        <w:rPr>
          <w:szCs w:val="24"/>
        </w:rPr>
      </w:pPr>
    </w:p>
    <w:p w14:paraId="0B330491" w14:textId="77777777" w:rsidR="00F945A9" w:rsidRPr="004A211D" w:rsidRDefault="00F945A9" w:rsidP="004A211D">
      <w:pPr>
        <w:spacing w:line="360" w:lineRule="auto"/>
        <w:jc w:val="right"/>
        <w:rPr>
          <w:szCs w:val="24"/>
        </w:rPr>
      </w:pPr>
      <m:oMath>
        <m:r>
          <w:rPr>
            <w:rFonts w:ascii="Cambria Math" w:hAnsi="Cambria Math"/>
            <w:szCs w:val="24"/>
          </w:rPr>
          <m:t>c=</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 xml:space="preserve">                                                                                              </m:t>
        </m:r>
      </m:oMath>
      <w:r w:rsidRPr="004A211D">
        <w:rPr>
          <w:szCs w:val="24"/>
        </w:rPr>
        <w:t>(3)</w:t>
      </w:r>
    </w:p>
    <w:p w14:paraId="3F42E3F3" w14:textId="77777777" w:rsidR="00F945A9" w:rsidRPr="004A211D" w:rsidRDefault="00F945A9" w:rsidP="004A211D">
      <w:pPr>
        <w:spacing w:line="360" w:lineRule="auto"/>
        <w:rPr>
          <w:szCs w:val="24"/>
        </w:rPr>
      </w:pPr>
    </w:p>
    <w:p w14:paraId="042FC0BD" w14:textId="50C51075" w:rsidR="00F945A9" w:rsidRPr="004A211D" w:rsidRDefault="00F945A9" w:rsidP="005F2CAD">
      <w:pPr>
        <w:spacing w:line="360" w:lineRule="auto"/>
        <w:ind w:firstLine="510"/>
        <w:rPr>
          <w:szCs w:val="24"/>
        </w:rPr>
      </w:pPr>
      <w:r w:rsidRPr="004A211D">
        <w:rPr>
          <w:szCs w:val="24"/>
        </w:rPr>
        <w:t xml:space="preserve">In this equation </w:t>
      </w:r>
      <w:r w:rsidRPr="004A211D">
        <w:rPr>
          <w:i/>
          <w:szCs w:val="24"/>
        </w:rPr>
        <w:t>c</w:t>
      </w:r>
      <w:r w:rsidRPr="004A211D">
        <w:rPr>
          <w:szCs w:val="24"/>
        </w:rPr>
        <w:t xml:space="preserve"> and</w:t>
      </w:r>
      <w:r w:rsidRPr="004A211D">
        <w:rPr>
          <w:i/>
          <w:iCs/>
          <w:szCs w:val="24"/>
        </w:rPr>
        <w:t xml:space="preserve"> c</w:t>
      </w:r>
      <w:r w:rsidRPr="004A211D">
        <w:rPr>
          <w:i/>
          <w:iCs/>
          <w:szCs w:val="24"/>
          <w:vertAlign w:val="subscript"/>
        </w:rPr>
        <w:t xml:space="preserve">0 </w:t>
      </w:r>
      <w:r w:rsidRPr="004A211D">
        <w:rPr>
          <w:szCs w:val="24"/>
        </w:rPr>
        <w:t>represent concentration of acetone and the initial concentration of acetone, respectively</w:t>
      </w:r>
      <w:r w:rsidRPr="004A211D">
        <w:rPr>
          <w:i/>
          <w:iCs/>
          <w:szCs w:val="24"/>
        </w:rPr>
        <w:t xml:space="preserve"> </w:t>
      </w:r>
      <w:r w:rsidRPr="004A211D">
        <w:rPr>
          <w:szCs w:val="24"/>
        </w:rPr>
        <w:t xml:space="preserve">in ppm, </w:t>
      </w:r>
      <w:r w:rsidRPr="004A211D">
        <w:rPr>
          <w:i/>
          <w:szCs w:val="24"/>
        </w:rPr>
        <w:t xml:space="preserve"> </w:t>
      </w:r>
      <w:r w:rsidRPr="004A211D">
        <w:rPr>
          <w:iCs/>
          <w:szCs w:val="24"/>
        </w:rPr>
        <w:t>while</w:t>
      </w:r>
      <w:r w:rsidRPr="004A211D">
        <w:rPr>
          <w:i/>
          <w:szCs w:val="24"/>
        </w:rPr>
        <w:t xml:space="preserve"> t </w:t>
      </w:r>
      <w:r w:rsidRPr="004A211D">
        <w:rPr>
          <w:szCs w:val="24"/>
        </w:rPr>
        <w:t xml:space="preserve">is time in hours and </w:t>
      </w:r>
      <w:r w:rsidRPr="004A211D">
        <w:rPr>
          <w:i/>
          <w:szCs w:val="24"/>
        </w:rPr>
        <w:t>k</w:t>
      </w:r>
      <w:r w:rsidRPr="004A211D">
        <w:rPr>
          <w:i/>
          <w:szCs w:val="24"/>
          <w:vertAlign w:val="subscript"/>
        </w:rPr>
        <w:t>0</w:t>
      </w:r>
      <w:r w:rsidRPr="004A211D">
        <w:rPr>
          <w:szCs w:val="24"/>
        </w:rPr>
        <w:t xml:space="preserve"> is the zero-order rate constant (units ppm/h). Therefore, the initial slope of the acetone concentration curve is equal to </w:t>
      </w:r>
      <w:r w:rsidRPr="004A211D">
        <w:rPr>
          <w:i/>
          <w:szCs w:val="24"/>
        </w:rPr>
        <w:t>k</w:t>
      </w:r>
      <w:r w:rsidRPr="004A211D">
        <w:rPr>
          <w:i/>
          <w:szCs w:val="24"/>
          <w:vertAlign w:val="subscript"/>
        </w:rPr>
        <w:t>0</w:t>
      </w:r>
      <w:r w:rsidRPr="004A211D">
        <w:rPr>
          <w:szCs w:val="24"/>
        </w:rPr>
        <w:t xml:space="preserve"> (Equation (3)), which was determined from line equations in Figure 4. This presents a good basis to compare photocatalytic activity of different TiO</w:t>
      </w:r>
      <w:r w:rsidRPr="004A211D">
        <w:rPr>
          <w:szCs w:val="24"/>
          <w:vertAlign w:val="subscript"/>
        </w:rPr>
        <w:t>2</w:t>
      </w:r>
      <w:r w:rsidRPr="004A211D">
        <w:rPr>
          <w:szCs w:val="24"/>
        </w:rPr>
        <w:t xml:space="preserve"> powders</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{"citationItems":[{"id":"ITEM-1","itemData":{"DOI":"10.1016/j.surfcoat.2011.08.053","ISSN":"02578972","abstract":"The photocatalytic activity of a nano-anatase-containing paint has been studied. It was found that after a certain period of initial UV irradiation, the photocatalytic activity of such a paint significantly increases. To understand the underlying mechanisms, the pigment volume concentrations (PVCs) were varied in different ways, e.g. by varying the content of the inorganic filler, or by adjusting the content of the polymeric binder. The results were compared with the photocatalytic activity of a commercially available paint. The formulations which exhibit a good compromise between photocatalytic activity and other essential paint properties are discussed. The effect of relative humidity on the photocatalytic activity was also measured and is commented upon. © 2011 Elsevier B.V.","author":[{"dropping-particle":"","family":"Marolt","given":"Tina","non-dropping-particle":"","parse-names":false,"suffix":""},{"dropping-particle":"","family":"Škapin","given":"Andrijana Sever","non-dropping-particle":"","parse-names":false,"suffix":""},{"dropping-particle":"","family":"Bernard","given":"Janez","non-dropping-particle":"","parse-names":false,"suffix":""},{"dropping-particle":"","family":"Živec","given":"Petra","non-dropping-particle":"","parse-names":false,"suffix":""},{"dropping-particle":"","family":"Gaberšček","given":"Miran","non-dropping-particle":"","parse-names":false,"suffix":""}],"container-title":"Surface and Coatings Technology","id":"ITEM-1","issue":"6","issued":{"date-parts":[["2011"]]},"page":"1355-1361","title":"Photocatalytic activity of anatase-containing facade coatings","type":"article-journal","volume":"206"},"uris":["http://www.mendeley.com/documents/?uuid=a2419507-2921-4821-8c9f-2f0bb3e19588"]}],"mendeley":{"formattedCitation":"&lt;sup&gt;41&lt;/sup&gt;","plainTextFormattedCitation":"41","previouslyFormattedCitation":"&lt;sup&gt;41&lt;/sup&gt;"},"properties":{"noteIndex":0},"schema":"https://github.com/citation-style-language/schema/raw/master/csl-citation.json"}</w:instrText>
      </w:r>
      <w:r w:rsidRPr="004A211D">
        <w:rPr>
          <w:szCs w:val="24"/>
        </w:rPr>
        <w:fldChar w:fldCharType="separate"/>
      </w:r>
      <w:r w:rsidR="00AE1B1C" w:rsidRPr="004A211D">
        <w:rPr>
          <w:szCs w:val="24"/>
          <w:vertAlign w:val="superscript"/>
        </w:rPr>
        <w:t>41</w:t>
      </w:r>
      <w:r w:rsidRPr="004A211D">
        <w:rPr>
          <w:szCs w:val="24"/>
        </w:rPr>
        <w:fldChar w:fldCharType="end"/>
      </w:r>
      <w:r w:rsidRPr="004A211D">
        <w:rPr>
          <w:szCs w:val="24"/>
        </w:rPr>
        <w:t xml:space="preserve"> Zero order rate constants (</w:t>
      </w:r>
      <w:r w:rsidRPr="004A211D">
        <w:rPr>
          <w:i/>
          <w:szCs w:val="24"/>
        </w:rPr>
        <w:t>k</w:t>
      </w:r>
      <w:r w:rsidRPr="004A211D">
        <w:rPr>
          <w:i/>
          <w:szCs w:val="24"/>
          <w:vertAlign w:val="subscript"/>
        </w:rPr>
        <w:t>0</w:t>
      </w:r>
      <w:r w:rsidRPr="004A211D">
        <w:rPr>
          <w:szCs w:val="24"/>
        </w:rPr>
        <w:t>) for different samples are presented in Table 3.</w:t>
      </w:r>
    </w:p>
    <w:bookmarkEnd w:id="7"/>
    <w:p w14:paraId="4E60D265" w14:textId="016158F6" w:rsidR="00F945A9" w:rsidRPr="00493CED" w:rsidRDefault="00F945A9" w:rsidP="007967F6">
      <w:pPr>
        <w:jc w:val="center"/>
        <w:rPr>
          <w:rFonts w:eastAsia="Times New Roman"/>
          <w:szCs w:val="24"/>
        </w:rPr>
      </w:pPr>
      <w:r w:rsidRPr="00632A8C">
        <w:rPr>
          <w:szCs w:val="24"/>
        </w:rPr>
        <w:lastRenderedPageBreak/>
        <w:drawing>
          <wp:inline distT="0" distB="0" distL="0" distR="0" wp14:anchorId="2836B97E" wp14:editId="5317B224">
            <wp:extent cx="4829175" cy="4733861"/>
            <wp:effectExtent l="0" t="0" r="0" b="0"/>
            <wp:docPr id="12" name="Picture 12" descr="C:\Users\zenerb\Documents\Raziskovalno delo (doktorski studij)\Article_powders\powders_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nerb\Documents\Raziskovalno delo (doktorski studij)\Article_powders\powders_activit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1751" cy="4765794"/>
                    </a:xfrm>
                    <a:prstGeom prst="rect">
                      <a:avLst/>
                    </a:prstGeom>
                    <a:noFill/>
                    <a:ln>
                      <a:noFill/>
                    </a:ln>
                  </pic:spPr>
                </pic:pic>
              </a:graphicData>
            </a:graphic>
          </wp:inline>
        </w:drawing>
      </w:r>
    </w:p>
    <w:p w14:paraId="73743CDD" w14:textId="169E37B0" w:rsidR="00F945A9" w:rsidRDefault="00F945A9" w:rsidP="005F2CAD">
      <w:pPr>
        <w:pStyle w:val="Caption"/>
        <w:spacing w:after="0" w:line="360" w:lineRule="auto"/>
        <w:rPr>
          <w:rFonts w:ascii="Times New Roman" w:hAnsi="Times New Roman"/>
          <w:i w:val="0"/>
          <w:iCs w:val="0"/>
          <w:color w:val="auto"/>
          <w:sz w:val="24"/>
          <w:szCs w:val="24"/>
        </w:rPr>
      </w:pPr>
      <w:r w:rsidRPr="004A211D">
        <w:rPr>
          <w:rFonts w:ascii="Times New Roman" w:hAnsi="Times New Roman"/>
          <w:b/>
          <w:bCs/>
          <w:i w:val="0"/>
          <w:iCs w:val="0"/>
          <w:color w:val="auto"/>
          <w:sz w:val="24"/>
          <w:szCs w:val="24"/>
        </w:rPr>
        <w:t xml:space="preserve">Figure </w:t>
      </w:r>
      <w:r w:rsidRPr="004A211D">
        <w:rPr>
          <w:rFonts w:ascii="Times New Roman" w:hAnsi="Times New Roman"/>
          <w:b/>
          <w:bCs/>
          <w:i w:val="0"/>
          <w:iCs w:val="0"/>
          <w:noProof/>
          <w:color w:val="auto"/>
          <w:sz w:val="24"/>
          <w:szCs w:val="24"/>
        </w:rPr>
        <w:fldChar w:fldCharType="begin"/>
      </w:r>
      <w:r w:rsidRPr="004A211D">
        <w:rPr>
          <w:rFonts w:ascii="Times New Roman" w:hAnsi="Times New Roman"/>
          <w:b/>
          <w:bCs/>
          <w:i w:val="0"/>
          <w:iCs w:val="0"/>
          <w:noProof/>
          <w:color w:val="auto"/>
          <w:sz w:val="24"/>
          <w:szCs w:val="24"/>
        </w:rPr>
        <w:instrText xml:space="preserve"> SEQ Figure \* ARABIC </w:instrText>
      </w:r>
      <w:r w:rsidRPr="004A211D">
        <w:rPr>
          <w:rFonts w:ascii="Times New Roman" w:hAnsi="Times New Roman"/>
          <w:b/>
          <w:bCs/>
          <w:i w:val="0"/>
          <w:iCs w:val="0"/>
          <w:noProof/>
          <w:color w:val="auto"/>
          <w:sz w:val="24"/>
          <w:szCs w:val="24"/>
        </w:rPr>
        <w:fldChar w:fldCharType="separate"/>
      </w:r>
      <w:r w:rsidR="00A35F1B" w:rsidRPr="004A211D">
        <w:rPr>
          <w:rFonts w:ascii="Times New Roman" w:hAnsi="Times New Roman"/>
          <w:b/>
          <w:bCs/>
          <w:i w:val="0"/>
          <w:iCs w:val="0"/>
          <w:noProof/>
          <w:color w:val="auto"/>
          <w:sz w:val="24"/>
          <w:szCs w:val="24"/>
        </w:rPr>
        <w:t>4</w:t>
      </w:r>
      <w:r w:rsidRPr="004A211D">
        <w:rPr>
          <w:rFonts w:ascii="Times New Roman" w:hAnsi="Times New Roman"/>
          <w:b/>
          <w:bCs/>
          <w:i w:val="0"/>
          <w:iCs w:val="0"/>
          <w:noProof/>
          <w:color w:val="auto"/>
          <w:sz w:val="24"/>
          <w:szCs w:val="24"/>
        </w:rPr>
        <w:fldChar w:fldCharType="end"/>
      </w:r>
      <w:r w:rsidRPr="004A211D">
        <w:rPr>
          <w:rFonts w:ascii="Times New Roman" w:hAnsi="Times New Roman"/>
          <w:b/>
          <w:bCs/>
          <w:i w:val="0"/>
          <w:iCs w:val="0"/>
          <w:color w:val="auto"/>
          <w:sz w:val="24"/>
          <w:szCs w:val="24"/>
        </w:rPr>
        <w:t>.</w:t>
      </w:r>
      <w:r w:rsidRPr="004A211D">
        <w:rPr>
          <w:rFonts w:ascii="Times New Roman" w:hAnsi="Times New Roman"/>
          <w:i w:val="0"/>
          <w:iCs w:val="0"/>
          <w:color w:val="auto"/>
          <w:sz w:val="24"/>
          <w:szCs w:val="24"/>
        </w:rPr>
        <w:t xml:space="preserve"> Concentration profiles of isopropanol and acetone for: (a) </w:t>
      </w:r>
      <w:r w:rsidRPr="004A211D">
        <w:rPr>
          <w:rFonts w:ascii="Times New Roman" w:hAnsi="Times New Roman"/>
          <w:b/>
          <w:i w:val="0"/>
          <w:iCs w:val="0"/>
          <w:color w:val="auto"/>
          <w:sz w:val="24"/>
          <w:szCs w:val="24"/>
        </w:rPr>
        <w:t>REF</w:t>
      </w:r>
      <w:r w:rsidRPr="004A211D">
        <w:rPr>
          <w:rFonts w:ascii="Times New Roman" w:hAnsi="Times New Roman"/>
          <w:i w:val="0"/>
          <w:iCs w:val="0"/>
          <w:color w:val="auto"/>
          <w:sz w:val="24"/>
          <w:szCs w:val="24"/>
        </w:rPr>
        <w:t xml:space="preserve">; (b) </w:t>
      </w:r>
      <w:r w:rsidRPr="004A211D">
        <w:rPr>
          <w:rFonts w:ascii="Times New Roman" w:hAnsi="Times New Roman"/>
          <w:b/>
          <w:i w:val="0"/>
          <w:iCs w:val="0"/>
          <w:color w:val="auto"/>
          <w:sz w:val="24"/>
          <w:szCs w:val="24"/>
        </w:rPr>
        <w:t>Urea_15</w:t>
      </w:r>
      <w:r w:rsidRPr="004A211D">
        <w:rPr>
          <w:rFonts w:ascii="Times New Roman" w:hAnsi="Times New Roman"/>
          <w:i w:val="0"/>
          <w:iCs w:val="0"/>
          <w:color w:val="auto"/>
          <w:sz w:val="24"/>
          <w:szCs w:val="24"/>
        </w:rPr>
        <w:t xml:space="preserve">; (c) </w:t>
      </w:r>
      <w:r w:rsidRPr="004A211D">
        <w:rPr>
          <w:rFonts w:ascii="Times New Roman" w:hAnsi="Times New Roman"/>
          <w:b/>
          <w:i w:val="0"/>
          <w:iCs w:val="0"/>
          <w:color w:val="auto"/>
          <w:sz w:val="24"/>
          <w:szCs w:val="24"/>
        </w:rPr>
        <w:t>S3</w:t>
      </w:r>
      <w:r w:rsidRPr="004A211D">
        <w:rPr>
          <w:rFonts w:ascii="Times New Roman" w:hAnsi="Times New Roman"/>
          <w:i w:val="0"/>
          <w:iCs w:val="0"/>
          <w:color w:val="auto"/>
          <w:sz w:val="24"/>
          <w:szCs w:val="24"/>
        </w:rPr>
        <w:t xml:space="preserve">; (d) </w:t>
      </w:r>
      <w:r w:rsidRPr="004A211D">
        <w:rPr>
          <w:rFonts w:ascii="Times New Roman" w:hAnsi="Times New Roman"/>
          <w:b/>
          <w:i w:val="0"/>
          <w:iCs w:val="0"/>
          <w:color w:val="auto"/>
          <w:sz w:val="24"/>
          <w:szCs w:val="24"/>
        </w:rPr>
        <w:t>S3_N2</w:t>
      </w:r>
      <w:r w:rsidRPr="004A211D">
        <w:rPr>
          <w:rFonts w:ascii="Times New Roman" w:hAnsi="Times New Roman"/>
          <w:i w:val="0"/>
          <w:iCs w:val="0"/>
          <w:color w:val="auto"/>
          <w:sz w:val="24"/>
          <w:szCs w:val="24"/>
        </w:rPr>
        <w:t xml:space="preserve">; (e) </w:t>
      </w:r>
      <w:r w:rsidRPr="004A211D">
        <w:rPr>
          <w:rFonts w:ascii="Times New Roman" w:hAnsi="Times New Roman"/>
          <w:b/>
          <w:i w:val="0"/>
          <w:iCs w:val="0"/>
          <w:color w:val="auto"/>
          <w:sz w:val="24"/>
          <w:szCs w:val="24"/>
        </w:rPr>
        <w:t>S3_N0.5+1%Pt</w:t>
      </w:r>
      <w:r w:rsidRPr="004A211D">
        <w:rPr>
          <w:rFonts w:ascii="Times New Roman" w:hAnsi="Times New Roman"/>
          <w:i w:val="0"/>
          <w:iCs w:val="0"/>
          <w:color w:val="auto"/>
          <w:sz w:val="24"/>
          <w:szCs w:val="24"/>
        </w:rPr>
        <w:t xml:space="preserve"> and (f) </w:t>
      </w:r>
      <w:r w:rsidRPr="004A211D">
        <w:rPr>
          <w:rFonts w:ascii="Times New Roman" w:hAnsi="Times New Roman"/>
          <w:b/>
          <w:i w:val="0"/>
          <w:iCs w:val="0"/>
          <w:color w:val="auto"/>
          <w:sz w:val="24"/>
          <w:szCs w:val="24"/>
        </w:rPr>
        <w:t>S3_urea15+1%Pt</w:t>
      </w:r>
      <w:r w:rsidRPr="004A211D">
        <w:rPr>
          <w:rFonts w:ascii="Times New Roman" w:hAnsi="Times New Roman"/>
          <w:i w:val="0"/>
          <w:iCs w:val="0"/>
          <w:color w:val="auto"/>
          <w:sz w:val="24"/>
          <w:szCs w:val="24"/>
        </w:rPr>
        <w:t xml:space="preserve">; </w:t>
      </w:r>
      <w:bookmarkStart w:id="8" w:name="_Hlk69462936"/>
      <w:r w:rsidRPr="004A211D">
        <w:rPr>
          <w:rFonts w:ascii="Times New Roman" w:hAnsi="Times New Roman"/>
          <w:i w:val="0"/>
          <w:iCs w:val="0"/>
          <w:color w:val="auto"/>
          <w:sz w:val="24"/>
          <w:szCs w:val="24"/>
        </w:rPr>
        <w:t>y in the line equation represents concentration of acetone (in ppm) and x represents time of experiment in reactor (in hours)</w:t>
      </w:r>
      <w:bookmarkEnd w:id="8"/>
    </w:p>
    <w:p w14:paraId="4ECB25A4" w14:textId="77777777" w:rsidR="004A211D" w:rsidRPr="004A211D" w:rsidRDefault="004A211D" w:rsidP="004A211D">
      <w:pPr>
        <w:rPr>
          <w:lang w:val="en-GB" w:eastAsia="en-US"/>
        </w:rPr>
      </w:pPr>
    </w:p>
    <w:p w14:paraId="4D4FD1C3" w14:textId="6873D92B" w:rsidR="00F945A9" w:rsidRPr="004A211D" w:rsidRDefault="00F945A9" w:rsidP="004A211D">
      <w:pPr>
        <w:pStyle w:val="Caption"/>
        <w:keepNext/>
        <w:spacing w:line="360" w:lineRule="auto"/>
        <w:rPr>
          <w:rFonts w:ascii="Times New Roman" w:hAnsi="Times New Roman"/>
          <w:i w:val="0"/>
          <w:iCs w:val="0"/>
          <w:color w:val="auto"/>
          <w:sz w:val="24"/>
          <w:szCs w:val="24"/>
        </w:rPr>
      </w:pPr>
      <w:r w:rsidRPr="004A211D">
        <w:rPr>
          <w:rFonts w:ascii="Times New Roman" w:hAnsi="Times New Roman"/>
          <w:b/>
          <w:bCs/>
          <w:i w:val="0"/>
          <w:iCs w:val="0"/>
          <w:color w:val="auto"/>
          <w:sz w:val="24"/>
          <w:szCs w:val="24"/>
        </w:rPr>
        <w:t xml:space="preserve">Table </w:t>
      </w:r>
      <w:r w:rsidRPr="004A211D">
        <w:rPr>
          <w:rFonts w:ascii="Times New Roman" w:hAnsi="Times New Roman"/>
          <w:b/>
          <w:bCs/>
          <w:i w:val="0"/>
          <w:iCs w:val="0"/>
          <w:noProof/>
          <w:color w:val="auto"/>
          <w:sz w:val="24"/>
          <w:szCs w:val="24"/>
        </w:rPr>
        <w:fldChar w:fldCharType="begin"/>
      </w:r>
      <w:r w:rsidRPr="004A211D">
        <w:rPr>
          <w:rFonts w:ascii="Times New Roman" w:hAnsi="Times New Roman"/>
          <w:b/>
          <w:bCs/>
          <w:i w:val="0"/>
          <w:iCs w:val="0"/>
          <w:noProof/>
          <w:color w:val="auto"/>
          <w:sz w:val="24"/>
          <w:szCs w:val="24"/>
        </w:rPr>
        <w:instrText xml:space="preserve"> SEQ Table \* ARABIC </w:instrText>
      </w:r>
      <w:r w:rsidRPr="004A211D">
        <w:rPr>
          <w:rFonts w:ascii="Times New Roman" w:hAnsi="Times New Roman"/>
          <w:b/>
          <w:bCs/>
          <w:i w:val="0"/>
          <w:iCs w:val="0"/>
          <w:noProof/>
          <w:color w:val="auto"/>
          <w:sz w:val="24"/>
          <w:szCs w:val="24"/>
        </w:rPr>
        <w:fldChar w:fldCharType="separate"/>
      </w:r>
      <w:r w:rsidR="00A35F1B" w:rsidRPr="004A211D">
        <w:rPr>
          <w:rFonts w:ascii="Times New Roman" w:hAnsi="Times New Roman"/>
          <w:b/>
          <w:bCs/>
          <w:i w:val="0"/>
          <w:iCs w:val="0"/>
          <w:noProof/>
          <w:color w:val="auto"/>
          <w:sz w:val="24"/>
          <w:szCs w:val="24"/>
        </w:rPr>
        <w:t>3</w:t>
      </w:r>
      <w:r w:rsidRPr="004A211D">
        <w:rPr>
          <w:rFonts w:ascii="Times New Roman" w:hAnsi="Times New Roman"/>
          <w:b/>
          <w:bCs/>
          <w:i w:val="0"/>
          <w:iCs w:val="0"/>
          <w:noProof/>
          <w:color w:val="auto"/>
          <w:sz w:val="24"/>
          <w:szCs w:val="24"/>
        </w:rPr>
        <w:fldChar w:fldCharType="end"/>
      </w:r>
      <w:r w:rsidRPr="004A211D">
        <w:rPr>
          <w:rFonts w:ascii="Times New Roman" w:hAnsi="Times New Roman"/>
          <w:b/>
          <w:bCs/>
          <w:i w:val="0"/>
          <w:iCs w:val="0"/>
          <w:noProof/>
          <w:color w:val="auto"/>
          <w:sz w:val="24"/>
          <w:szCs w:val="24"/>
        </w:rPr>
        <w:t>.</w:t>
      </w:r>
      <w:r w:rsidRPr="004A211D">
        <w:rPr>
          <w:rFonts w:ascii="Times New Roman" w:hAnsi="Times New Roman"/>
          <w:i w:val="0"/>
          <w:iCs w:val="0"/>
          <w:color w:val="auto"/>
          <w:sz w:val="24"/>
          <w:szCs w:val="24"/>
        </w:rPr>
        <w:t xml:space="preserve"> </w:t>
      </w:r>
      <w:proofErr w:type="gramStart"/>
      <w:r w:rsidRPr="004A211D">
        <w:rPr>
          <w:rFonts w:ascii="Times New Roman" w:hAnsi="Times New Roman"/>
          <w:i w:val="0"/>
          <w:iCs w:val="0"/>
          <w:color w:val="auto"/>
          <w:sz w:val="24"/>
          <w:szCs w:val="24"/>
        </w:rPr>
        <w:t>Photocatalytic activities of different samples</w:t>
      </w:r>
      <w:r w:rsidR="005F2CAD">
        <w:rPr>
          <w:rFonts w:ascii="Times New Roman" w:hAnsi="Times New Roman"/>
          <w:i w:val="0"/>
          <w:iCs w:val="0"/>
          <w:color w:val="auto"/>
          <w:sz w:val="24"/>
          <w:szCs w:val="24"/>
        </w:rPr>
        <w:t>,</w:t>
      </w:r>
      <w:proofErr w:type="gramEnd"/>
      <w:r w:rsidRPr="004A211D">
        <w:rPr>
          <w:rFonts w:ascii="Times New Roman" w:hAnsi="Times New Roman"/>
          <w:i w:val="0"/>
          <w:iCs w:val="0"/>
          <w:color w:val="auto"/>
          <w:sz w:val="24"/>
          <w:szCs w:val="24"/>
        </w:rPr>
        <w:t xml:space="preserve"> determined by observing the oxidation of isopropanol to acetone (rate constant k</w:t>
      </w:r>
      <w:r w:rsidRPr="004A211D">
        <w:rPr>
          <w:rFonts w:ascii="Times New Roman" w:hAnsi="Times New Roman"/>
          <w:i w:val="0"/>
          <w:iCs w:val="0"/>
          <w:color w:val="auto"/>
          <w:sz w:val="24"/>
          <w:szCs w:val="24"/>
          <w:vertAlign w:val="subscript"/>
        </w:rPr>
        <w:t>0</w:t>
      </w:r>
      <w:r w:rsidRPr="004A211D">
        <w:rPr>
          <w:rFonts w:ascii="Times New Roman" w:hAnsi="Times New Roman"/>
          <w:i w:val="0"/>
          <w:iCs w:val="0"/>
          <w:color w:val="auto"/>
          <w:sz w:val="24"/>
          <w:szCs w:val="24"/>
        </w:rPr>
        <w:t>).</w:t>
      </w:r>
    </w:p>
    <w:tbl>
      <w:tblPr>
        <w:tblW w:w="6408" w:type="dxa"/>
        <w:tblInd w:w="1134" w:type="dxa"/>
        <w:tblBorders>
          <w:top w:val="single" w:sz="4" w:space="0" w:color="7F7F7F"/>
          <w:bottom w:val="single" w:sz="4" w:space="0" w:color="7F7F7F"/>
        </w:tblBorders>
        <w:tblLook w:val="04A0" w:firstRow="1" w:lastRow="0" w:firstColumn="1" w:lastColumn="0" w:noHBand="0" w:noVBand="1"/>
      </w:tblPr>
      <w:tblGrid>
        <w:gridCol w:w="3261"/>
        <w:gridCol w:w="3147"/>
      </w:tblGrid>
      <w:tr w:rsidR="00F945A9" w:rsidRPr="004A211D" w14:paraId="16DC7F06" w14:textId="77777777" w:rsidTr="00C11F89">
        <w:tc>
          <w:tcPr>
            <w:tcW w:w="3261" w:type="dxa"/>
            <w:tcBorders>
              <w:top w:val="single" w:sz="8" w:space="0" w:color="auto"/>
              <w:bottom w:val="single" w:sz="4" w:space="0" w:color="7F7F7F"/>
            </w:tcBorders>
            <w:shd w:val="clear" w:color="auto" w:fill="auto"/>
            <w:vAlign w:val="center"/>
          </w:tcPr>
          <w:p w14:paraId="0A2EF9D7" w14:textId="77777777" w:rsidR="00F945A9" w:rsidRPr="004A211D" w:rsidRDefault="00F945A9" w:rsidP="00F945A9">
            <w:pPr>
              <w:jc w:val="center"/>
              <w:rPr>
                <w:rFonts w:eastAsia="Calibri"/>
                <w:b/>
                <w:bCs/>
                <w:szCs w:val="24"/>
              </w:rPr>
            </w:pPr>
            <w:r w:rsidRPr="004A211D">
              <w:rPr>
                <w:rFonts w:eastAsia="Calibri"/>
                <w:b/>
                <w:bCs/>
                <w:szCs w:val="24"/>
              </w:rPr>
              <w:t>Sample</w:t>
            </w:r>
          </w:p>
        </w:tc>
        <w:tc>
          <w:tcPr>
            <w:tcW w:w="3147" w:type="dxa"/>
            <w:tcBorders>
              <w:bottom w:val="single" w:sz="4" w:space="0" w:color="7F7F7F"/>
            </w:tcBorders>
            <w:shd w:val="clear" w:color="auto" w:fill="auto"/>
            <w:vAlign w:val="center"/>
          </w:tcPr>
          <w:p w14:paraId="473351F8" w14:textId="77777777" w:rsidR="00F945A9" w:rsidRPr="004A211D" w:rsidRDefault="00F945A9" w:rsidP="00F945A9">
            <w:pPr>
              <w:jc w:val="center"/>
              <w:rPr>
                <w:rFonts w:eastAsia="Calibri"/>
                <w:b/>
                <w:bCs/>
                <w:szCs w:val="24"/>
              </w:rPr>
            </w:pPr>
            <w:r w:rsidRPr="004A211D">
              <w:rPr>
                <w:rFonts w:eastAsia="Calibri"/>
                <w:b/>
                <w:bCs/>
                <w:szCs w:val="24"/>
              </w:rPr>
              <w:t xml:space="preserve">Activity under UV and visible light exposure - </w:t>
            </w:r>
            <w:r w:rsidRPr="004A211D">
              <w:rPr>
                <w:rFonts w:eastAsia="Calibri"/>
                <w:b/>
                <w:bCs/>
                <w:i/>
                <w:szCs w:val="24"/>
              </w:rPr>
              <w:t>k</w:t>
            </w:r>
            <w:r w:rsidRPr="004A211D">
              <w:rPr>
                <w:rFonts w:eastAsia="Calibri"/>
                <w:b/>
                <w:bCs/>
                <w:i/>
                <w:szCs w:val="24"/>
                <w:vertAlign w:val="subscript"/>
              </w:rPr>
              <w:t>0</w:t>
            </w:r>
            <w:r w:rsidRPr="004A211D">
              <w:rPr>
                <w:rFonts w:eastAsia="Calibri"/>
                <w:b/>
                <w:bCs/>
                <w:szCs w:val="24"/>
              </w:rPr>
              <w:t xml:space="preserve"> (ppm/h)</w:t>
            </w:r>
          </w:p>
        </w:tc>
      </w:tr>
      <w:tr w:rsidR="00F945A9" w:rsidRPr="004A211D" w14:paraId="35BE0E64" w14:textId="77777777" w:rsidTr="00C11F89">
        <w:tc>
          <w:tcPr>
            <w:tcW w:w="3261" w:type="dxa"/>
            <w:tcBorders>
              <w:top w:val="single" w:sz="4" w:space="0" w:color="7F7F7F"/>
              <w:bottom w:val="single" w:sz="4" w:space="0" w:color="7F7F7F"/>
            </w:tcBorders>
            <w:shd w:val="clear" w:color="auto" w:fill="auto"/>
          </w:tcPr>
          <w:p w14:paraId="2401BA2F" w14:textId="77777777" w:rsidR="00F945A9" w:rsidRPr="004A211D" w:rsidRDefault="00F945A9" w:rsidP="00F945A9">
            <w:pPr>
              <w:jc w:val="center"/>
              <w:rPr>
                <w:rFonts w:eastAsia="Calibri"/>
                <w:b/>
                <w:bCs/>
                <w:szCs w:val="24"/>
              </w:rPr>
            </w:pPr>
            <w:r w:rsidRPr="004A211D">
              <w:rPr>
                <w:rFonts w:eastAsia="Calibri"/>
                <w:b/>
                <w:bCs/>
                <w:szCs w:val="24"/>
              </w:rPr>
              <w:t>HOMBIKAT UV 100</w:t>
            </w:r>
          </w:p>
        </w:tc>
        <w:tc>
          <w:tcPr>
            <w:tcW w:w="3147" w:type="dxa"/>
            <w:tcBorders>
              <w:top w:val="single" w:sz="4" w:space="0" w:color="7F7F7F"/>
              <w:bottom w:val="single" w:sz="4" w:space="0" w:color="7F7F7F"/>
            </w:tcBorders>
            <w:shd w:val="clear" w:color="auto" w:fill="auto"/>
          </w:tcPr>
          <w:p w14:paraId="71506EF8" w14:textId="77777777" w:rsidR="00F945A9" w:rsidRPr="004A211D" w:rsidRDefault="00F945A9" w:rsidP="00F945A9">
            <w:pPr>
              <w:jc w:val="center"/>
              <w:rPr>
                <w:rFonts w:eastAsia="Calibri"/>
                <w:szCs w:val="24"/>
              </w:rPr>
            </w:pPr>
            <w:r w:rsidRPr="004A211D">
              <w:rPr>
                <w:rFonts w:eastAsia="Calibri"/>
                <w:szCs w:val="24"/>
              </w:rPr>
              <w:t>337</w:t>
            </w:r>
          </w:p>
        </w:tc>
      </w:tr>
      <w:tr w:rsidR="00F945A9" w:rsidRPr="004A211D" w14:paraId="06845CA1" w14:textId="77777777" w:rsidTr="00C11F89">
        <w:tc>
          <w:tcPr>
            <w:tcW w:w="3261" w:type="dxa"/>
            <w:shd w:val="clear" w:color="auto" w:fill="auto"/>
          </w:tcPr>
          <w:p w14:paraId="573AD430" w14:textId="77777777" w:rsidR="00F945A9" w:rsidRPr="004A211D" w:rsidRDefault="00F945A9" w:rsidP="00F945A9">
            <w:pPr>
              <w:jc w:val="center"/>
              <w:rPr>
                <w:rFonts w:eastAsia="Calibri"/>
                <w:b/>
                <w:bCs/>
                <w:szCs w:val="24"/>
              </w:rPr>
            </w:pPr>
            <w:r w:rsidRPr="004A211D">
              <w:rPr>
                <w:rFonts w:eastAsia="Calibri"/>
                <w:b/>
                <w:bCs/>
                <w:szCs w:val="24"/>
              </w:rPr>
              <w:t>REF</w:t>
            </w:r>
          </w:p>
        </w:tc>
        <w:tc>
          <w:tcPr>
            <w:tcW w:w="3147" w:type="dxa"/>
            <w:shd w:val="clear" w:color="auto" w:fill="auto"/>
          </w:tcPr>
          <w:p w14:paraId="06EB28AE" w14:textId="77777777" w:rsidR="00F945A9" w:rsidRPr="004A211D" w:rsidRDefault="00F945A9" w:rsidP="00F945A9">
            <w:pPr>
              <w:jc w:val="center"/>
              <w:rPr>
                <w:rFonts w:eastAsia="Calibri"/>
                <w:szCs w:val="24"/>
              </w:rPr>
            </w:pPr>
            <w:r w:rsidRPr="004A211D">
              <w:rPr>
                <w:rFonts w:eastAsia="Calibri"/>
                <w:szCs w:val="24"/>
              </w:rPr>
              <w:t>68</w:t>
            </w:r>
          </w:p>
        </w:tc>
      </w:tr>
      <w:tr w:rsidR="00F945A9" w:rsidRPr="004A211D" w14:paraId="54BE8AC0" w14:textId="77777777" w:rsidTr="00C11F89">
        <w:tc>
          <w:tcPr>
            <w:tcW w:w="3261" w:type="dxa"/>
            <w:tcBorders>
              <w:top w:val="single" w:sz="4" w:space="0" w:color="7F7F7F"/>
              <w:bottom w:val="single" w:sz="4" w:space="0" w:color="7F7F7F"/>
            </w:tcBorders>
            <w:shd w:val="clear" w:color="auto" w:fill="auto"/>
          </w:tcPr>
          <w:p w14:paraId="1EE22F8F" w14:textId="77777777" w:rsidR="00F945A9" w:rsidRPr="004A211D" w:rsidRDefault="00F945A9" w:rsidP="00F945A9">
            <w:pPr>
              <w:jc w:val="center"/>
              <w:rPr>
                <w:rFonts w:eastAsia="Calibri"/>
                <w:b/>
                <w:bCs/>
                <w:szCs w:val="24"/>
              </w:rPr>
            </w:pPr>
            <w:r w:rsidRPr="004A211D">
              <w:rPr>
                <w:rFonts w:eastAsia="Calibri"/>
                <w:b/>
                <w:bCs/>
                <w:szCs w:val="24"/>
              </w:rPr>
              <w:t>Urea_15</w:t>
            </w:r>
          </w:p>
        </w:tc>
        <w:tc>
          <w:tcPr>
            <w:tcW w:w="3147" w:type="dxa"/>
            <w:tcBorders>
              <w:top w:val="single" w:sz="4" w:space="0" w:color="7F7F7F"/>
              <w:bottom w:val="single" w:sz="4" w:space="0" w:color="7F7F7F"/>
            </w:tcBorders>
            <w:shd w:val="clear" w:color="auto" w:fill="auto"/>
          </w:tcPr>
          <w:p w14:paraId="664734B9" w14:textId="77777777" w:rsidR="00F945A9" w:rsidRPr="004A211D" w:rsidRDefault="00F945A9" w:rsidP="00F945A9">
            <w:pPr>
              <w:jc w:val="center"/>
              <w:rPr>
                <w:rFonts w:eastAsia="Calibri"/>
                <w:szCs w:val="24"/>
              </w:rPr>
            </w:pPr>
            <w:r w:rsidRPr="004A211D">
              <w:rPr>
                <w:rFonts w:eastAsia="Calibri"/>
                <w:szCs w:val="24"/>
              </w:rPr>
              <w:t>122</w:t>
            </w:r>
          </w:p>
        </w:tc>
      </w:tr>
      <w:tr w:rsidR="00F945A9" w:rsidRPr="004A211D" w14:paraId="5D315429" w14:textId="77777777" w:rsidTr="00C11F89">
        <w:tc>
          <w:tcPr>
            <w:tcW w:w="3261" w:type="dxa"/>
            <w:shd w:val="clear" w:color="auto" w:fill="auto"/>
          </w:tcPr>
          <w:p w14:paraId="2CDDD705" w14:textId="77777777" w:rsidR="00F945A9" w:rsidRPr="004A211D" w:rsidRDefault="00F945A9" w:rsidP="00F945A9">
            <w:pPr>
              <w:jc w:val="center"/>
              <w:rPr>
                <w:rFonts w:eastAsia="Calibri"/>
                <w:b/>
                <w:bCs/>
                <w:szCs w:val="24"/>
              </w:rPr>
            </w:pPr>
            <w:r w:rsidRPr="004A211D">
              <w:rPr>
                <w:rFonts w:eastAsia="Calibri"/>
                <w:b/>
                <w:bCs/>
                <w:szCs w:val="24"/>
              </w:rPr>
              <w:t>Thiourea_15</w:t>
            </w:r>
          </w:p>
        </w:tc>
        <w:tc>
          <w:tcPr>
            <w:tcW w:w="3147" w:type="dxa"/>
            <w:shd w:val="clear" w:color="auto" w:fill="auto"/>
          </w:tcPr>
          <w:p w14:paraId="558EAA8A" w14:textId="77777777" w:rsidR="00F945A9" w:rsidRPr="004A211D" w:rsidRDefault="00F945A9" w:rsidP="00F945A9">
            <w:pPr>
              <w:jc w:val="center"/>
              <w:rPr>
                <w:rFonts w:eastAsia="Calibri"/>
                <w:szCs w:val="24"/>
              </w:rPr>
            </w:pPr>
            <w:r w:rsidRPr="004A211D">
              <w:rPr>
                <w:rFonts w:eastAsia="Calibri"/>
                <w:szCs w:val="24"/>
              </w:rPr>
              <w:t>50</w:t>
            </w:r>
          </w:p>
        </w:tc>
      </w:tr>
      <w:tr w:rsidR="00F945A9" w:rsidRPr="004A211D" w14:paraId="0EB3D10B" w14:textId="77777777" w:rsidTr="00C11F89">
        <w:tc>
          <w:tcPr>
            <w:tcW w:w="3261" w:type="dxa"/>
            <w:tcBorders>
              <w:top w:val="single" w:sz="4" w:space="0" w:color="7F7F7F"/>
              <w:bottom w:val="single" w:sz="4" w:space="0" w:color="7F7F7F"/>
            </w:tcBorders>
            <w:shd w:val="clear" w:color="auto" w:fill="auto"/>
          </w:tcPr>
          <w:p w14:paraId="4876958A" w14:textId="77777777" w:rsidR="00F945A9" w:rsidRPr="004A211D" w:rsidRDefault="00F945A9" w:rsidP="00F945A9">
            <w:pPr>
              <w:jc w:val="center"/>
              <w:rPr>
                <w:rFonts w:eastAsia="Calibri"/>
                <w:b/>
                <w:bCs/>
                <w:szCs w:val="24"/>
              </w:rPr>
            </w:pPr>
            <w:r w:rsidRPr="004A211D">
              <w:rPr>
                <w:rFonts w:eastAsia="Calibri"/>
                <w:b/>
                <w:bCs/>
                <w:szCs w:val="24"/>
              </w:rPr>
              <w:t>S2</w:t>
            </w:r>
          </w:p>
        </w:tc>
        <w:tc>
          <w:tcPr>
            <w:tcW w:w="3147" w:type="dxa"/>
            <w:tcBorders>
              <w:top w:val="single" w:sz="4" w:space="0" w:color="7F7F7F"/>
              <w:bottom w:val="single" w:sz="4" w:space="0" w:color="7F7F7F"/>
            </w:tcBorders>
            <w:shd w:val="clear" w:color="auto" w:fill="auto"/>
          </w:tcPr>
          <w:p w14:paraId="0853B783" w14:textId="77777777" w:rsidR="00F945A9" w:rsidRPr="004A211D" w:rsidRDefault="00F945A9" w:rsidP="00F945A9">
            <w:pPr>
              <w:jc w:val="center"/>
              <w:rPr>
                <w:rFonts w:eastAsia="Calibri"/>
                <w:szCs w:val="24"/>
              </w:rPr>
            </w:pPr>
            <w:r w:rsidRPr="004A211D">
              <w:rPr>
                <w:rFonts w:eastAsia="Calibri"/>
                <w:szCs w:val="24"/>
              </w:rPr>
              <w:t>183</w:t>
            </w:r>
          </w:p>
        </w:tc>
      </w:tr>
      <w:tr w:rsidR="00F945A9" w:rsidRPr="004A211D" w14:paraId="0F20A692" w14:textId="77777777" w:rsidTr="00C11F89">
        <w:tc>
          <w:tcPr>
            <w:tcW w:w="3261" w:type="dxa"/>
            <w:shd w:val="clear" w:color="auto" w:fill="auto"/>
          </w:tcPr>
          <w:p w14:paraId="23674C2B" w14:textId="77777777" w:rsidR="00F945A9" w:rsidRPr="004A211D" w:rsidRDefault="00F945A9" w:rsidP="00F945A9">
            <w:pPr>
              <w:jc w:val="center"/>
              <w:rPr>
                <w:rFonts w:eastAsia="Calibri"/>
                <w:b/>
                <w:bCs/>
                <w:szCs w:val="24"/>
              </w:rPr>
            </w:pPr>
            <w:r w:rsidRPr="004A211D">
              <w:rPr>
                <w:rFonts w:eastAsia="Calibri"/>
                <w:b/>
                <w:bCs/>
                <w:szCs w:val="24"/>
              </w:rPr>
              <w:t>S3</w:t>
            </w:r>
          </w:p>
        </w:tc>
        <w:tc>
          <w:tcPr>
            <w:tcW w:w="3147" w:type="dxa"/>
            <w:shd w:val="clear" w:color="auto" w:fill="auto"/>
          </w:tcPr>
          <w:p w14:paraId="4CE1D7CD" w14:textId="77777777" w:rsidR="00F945A9" w:rsidRPr="004A211D" w:rsidRDefault="00F945A9" w:rsidP="00F945A9">
            <w:pPr>
              <w:jc w:val="center"/>
              <w:rPr>
                <w:rFonts w:eastAsia="Calibri"/>
                <w:szCs w:val="24"/>
              </w:rPr>
            </w:pPr>
            <w:r w:rsidRPr="004A211D">
              <w:rPr>
                <w:rFonts w:eastAsia="Calibri"/>
                <w:szCs w:val="24"/>
              </w:rPr>
              <w:t>310</w:t>
            </w:r>
          </w:p>
        </w:tc>
      </w:tr>
      <w:tr w:rsidR="00F945A9" w:rsidRPr="004A211D" w14:paraId="1952EBFE" w14:textId="77777777" w:rsidTr="00C11F89">
        <w:tc>
          <w:tcPr>
            <w:tcW w:w="3261" w:type="dxa"/>
            <w:tcBorders>
              <w:top w:val="single" w:sz="4" w:space="0" w:color="7F7F7F"/>
              <w:bottom w:val="single" w:sz="4" w:space="0" w:color="7F7F7F"/>
            </w:tcBorders>
            <w:shd w:val="clear" w:color="auto" w:fill="auto"/>
          </w:tcPr>
          <w:p w14:paraId="72A2F35F" w14:textId="77777777" w:rsidR="00F945A9" w:rsidRPr="004A211D" w:rsidRDefault="00F945A9" w:rsidP="00F945A9">
            <w:pPr>
              <w:jc w:val="center"/>
              <w:rPr>
                <w:rFonts w:eastAsia="Calibri"/>
                <w:b/>
                <w:bCs/>
                <w:szCs w:val="24"/>
              </w:rPr>
            </w:pPr>
            <w:r w:rsidRPr="004A211D">
              <w:rPr>
                <w:rFonts w:eastAsia="Calibri"/>
                <w:b/>
                <w:bCs/>
                <w:szCs w:val="24"/>
              </w:rPr>
              <w:t>S3_N0.5</w:t>
            </w:r>
          </w:p>
        </w:tc>
        <w:tc>
          <w:tcPr>
            <w:tcW w:w="3147" w:type="dxa"/>
            <w:tcBorders>
              <w:top w:val="single" w:sz="4" w:space="0" w:color="7F7F7F"/>
              <w:bottom w:val="single" w:sz="4" w:space="0" w:color="7F7F7F"/>
            </w:tcBorders>
            <w:shd w:val="clear" w:color="auto" w:fill="auto"/>
          </w:tcPr>
          <w:p w14:paraId="705F7686" w14:textId="77777777" w:rsidR="00F945A9" w:rsidRPr="004A211D" w:rsidRDefault="00F945A9" w:rsidP="00F945A9">
            <w:pPr>
              <w:jc w:val="center"/>
              <w:rPr>
                <w:rFonts w:eastAsia="Calibri"/>
                <w:szCs w:val="24"/>
              </w:rPr>
            </w:pPr>
            <w:r w:rsidRPr="004A211D">
              <w:rPr>
                <w:rFonts w:eastAsia="Calibri"/>
                <w:szCs w:val="24"/>
              </w:rPr>
              <w:t>260</w:t>
            </w:r>
          </w:p>
        </w:tc>
      </w:tr>
      <w:tr w:rsidR="00F945A9" w:rsidRPr="004A211D" w14:paraId="29AC2141" w14:textId="77777777" w:rsidTr="00C11F89">
        <w:tc>
          <w:tcPr>
            <w:tcW w:w="3261" w:type="dxa"/>
            <w:shd w:val="clear" w:color="auto" w:fill="auto"/>
          </w:tcPr>
          <w:p w14:paraId="1D3425C0" w14:textId="77777777" w:rsidR="00F945A9" w:rsidRPr="004A211D" w:rsidRDefault="00F945A9" w:rsidP="00F945A9">
            <w:pPr>
              <w:jc w:val="center"/>
              <w:rPr>
                <w:rFonts w:eastAsia="Calibri"/>
                <w:b/>
                <w:bCs/>
                <w:szCs w:val="24"/>
              </w:rPr>
            </w:pPr>
            <w:r w:rsidRPr="004A211D">
              <w:rPr>
                <w:rFonts w:eastAsia="Calibri"/>
                <w:b/>
                <w:bCs/>
                <w:szCs w:val="24"/>
              </w:rPr>
              <w:t>S3_N2</w:t>
            </w:r>
          </w:p>
        </w:tc>
        <w:tc>
          <w:tcPr>
            <w:tcW w:w="3147" w:type="dxa"/>
            <w:shd w:val="clear" w:color="auto" w:fill="auto"/>
          </w:tcPr>
          <w:p w14:paraId="7498EC3F" w14:textId="77777777" w:rsidR="00F945A9" w:rsidRPr="004A211D" w:rsidRDefault="00F945A9" w:rsidP="00F945A9">
            <w:pPr>
              <w:jc w:val="center"/>
              <w:rPr>
                <w:rFonts w:eastAsia="Calibri"/>
                <w:szCs w:val="24"/>
              </w:rPr>
            </w:pPr>
            <w:r w:rsidRPr="004A211D">
              <w:rPr>
                <w:rFonts w:eastAsia="Calibri"/>
                <w:szCs w:val="24"/>
              </w:rPr>
              <w:t>328</w:t>
            </w:r>
          </w:p>
        </w:tc>
      </w:tr>
      <w:tr w:rsidR="00F945A9" w:rsidRPr="004A211D" w14:paraId="4CE5FEE7" w14:textId="77777777" w:rsidTr="00C11F89">
        <w:tc>
          <w:tcPr>
            <w:tcW w:w="3261" w:type="dxa"/>
            <w:tcBorders>
              <w:top w:val="single" w:sz="4" w:space="0" w:color="7F7F7F"/>
              <w:bottom w:val="single" w:sz="4" w:space="0" w:color="7F7F7F"/>
            </w:tcBorders>
            <w:shd w:val="clear" w:color="auto" w:fill="auto"/>
          </w:tcPr>
          <w:p w14:paraId="4B847189" w14:textId="77777777" w:rsidR="00F945A9" w:rsidRPr="004A211D" w:rsidRDefault="00F945A9" w:rsidP="00F945A9">
            <w:pPr>
              <w:jc w:val="center"/>
              <w:rPr>
                <w:rFonts w:eastAsia="Calibri"/>
                <w:b/>
                <w:bCs/>
                <w:szCs w:val="24"/>
              </w:rPr>
            </w:pPr>
            <w:r w:rsidRPr="004A211D">
              <w:rPr>
                <w:rFonts w:eastAsia="Calibri"/>
                <w:b/>
                <w:bCs/>
                <w:szCs w:val="24"/>
              </w:rPr>
              <w:lastRenderedPageBreak/>
              <w:t>S3_urea15</w:t>
            </w:r>
          </w:p>
        </w:tc>
        <w:tc>
          <w:tcPr>
            <w:tcW w:w="3147" w:type="dxa"/>
            <w:tcBorders>
              <w:top w:val="single" w:sz="4" w:space="0" w:color="7F7F7F"/>
              <w:bottom w:val="single" w:sz="4" w:space="0" w:color="7F7F7F"/>
            </w:tcBorders>
            <w:shd w:val="clear" w:color="auto" w:fill="auto"/>
          </w:tcPr>
          <w:p w14:paraId="33047414" w14:textId="77777777" w:rsidR="00F945A9" w:rsidRPr="004A211D" w:rsidRDefault="00F945A9" w:rsidP="00F945A9">
            <w:pPr>
              <w:jc w:val="center"/>
              <w:rPr>
                <w:rFonts w:eastAsia="Calibri"/>
                <w:szCs w:val="24"/>
              </w:rPr>
            </w:pPr>
            <w:r w:rsidRPr="004A211D">
              <w:rPr>
                <w:rFonts w:eastAsia="Calibri"/>
                <w:szCs w:val="24"/>
              </w:rPr>
              <w:t>304</w:t>
            </w:r>
          </w:p>
        </w:tc>
      </w:tr>
      <w:tr w:rsidR="00F945A9" w:rsidRPr="004A211D" w14:paraId="34D0C9FF" w14:textId="77777777" w:rsidTr="00C11F89">
        <w:tc>
          <w:tcPr>
            <w:tcW w:w="3261" w:type="dxa"/>
            <w:shd w:val="clear" w:color="auto" w:fill="auto"/>
          </w:tcPr>
          <w:p w14:paraId="2E70C361" w14:textId="77777777" w:rsidR="00F945A9" w:rsidRPr="004A211D" w:rsidRDefault="00F945A9" w:rsidP="00F945A9">
            <w:pPr>
              <w:jc w:val="center"/>
              <w:rPr>
                <w:rFonts w:eastAsia="Calibri"/>
                <w:b/>
                <w:bCs/>
                <w:szCs w:val="24"/>
              </w:rPr>
            </w:pPr>
            <w:r w:rsidRPr="004A211D">
              <w:rPr>
                <w:rFonts w:eastAsia="Calibri"/>
                <w:b/>
                <w:bCs/>
                <w:szCs w:val="24"/>
              </w:rPr>
              <w:t>S3_thiourea15</w:t>
            </w:r>
          </w:p>
        </w:tc>
        <w:tc>
          <w:tcPr>
            <w:tcW w:w="3147" w:type="dxa"/>
            <w:shd w:val="clear" w:color="auto" w:fill="auto"/>
          </w:tcPr>
          <w:p w14:paraId="37042373" w14:textId="77777777" w:rsidR="00F945A9" w:rsidRPr="004A211D" w:rsidRDefault="00F945A9" w:rsidP="00F945A9">
            <w:pPr>
              <w:jc w:val="center"/>
              <w:rPr>
                <w:rFonts w:eastAsia="Calibri"/>
                <w:szCs w:val="24"/>
              </w:rPr>
            </w:pPr>
            <w:r w:rsidRPr="004A211D">
              <w:rPr>
                <w:rFonts w:eastAsia="Calibri"/>
                <w:szCs w:val="24"/>
              </w:rPr>
              <w:t>225</w:t>
            </w:r>
          </w:p>
        </w:tc>
      </w:tr>
      <w:tr w:rsidR="00F945A9" w:rsidRPr="004A211D" w14:paraId="18E7B398" w14:textId="77777777" w:rsidTr="00C11F89">
        <w:tc>
          <w:tcPr>
            <w:tcW w:w="3261" w:type="dxa"/>
            <w:tcBorders>
              <w:top w:val="single" w:sz="4" w:space="0" w:color="7F7F7F"/>
              <w:bottom w:val="single" w:sz="4" w:space="0" w:color="7F7F7F"/>
            </w:tcBorders>
            <w:shd w:val="clear" w:color="auto" w:fill="auto"/>
          </w:tcPr>
          <w:p w14:paraId="48E1FF99" w14:textId="77777777" w:rsidR="00F945A9" w:rsidRPr="004A211D" w:rsidRDefault="00F945A9" w:rsidP="00F945A9">
            <w:pPr>
              <w:jc w:val="center"/>
              <w:rPr>
                <w:rFonts w:eastAsia="Calibri"/>
                <w:b/>
                <w:bCs/>
                <w:szCs w:val="24"/>
              </w:rPr>
            </w:pPr>
            <w:r w:rsidRPr="004A211D">
              <w:rPr>
                <w:rFonts w:eastAsia="Calibri"/>
                <w:b/>
                <w:bCs/>
                <w:szCs w:val="24"/>
              </w:rPr>
              <w:t>S3_N0.5+1%Pt</w:t>
            </w:r>
          </w:p>
        </w:tc>
        <w:tc>
          <w:tcPr>
            <w:tcW w:w="3147" w:type="dxa"/>
            <w:tcBorders>
              <w:top w:val="single" w:sz="4" w:space="0" w:color="7F7F7F"/>
              <w:bottom w:val="single" w:sz="4" w:space="0" w:color="7F7F7F"/>
            </w:tcBorders>
            <w:shd w:val="clear" w:color="auto" w:fill="auto"/>
          </w:tcPr>
          <w:p w14:paraId="211760C2" w14:textId="77777777" w:rsidR="00F945A9" w:rsidRPr="004A211D" w:rsidRDefault="00F945A9" w:rsidP="00F945A9">
            <w:pPr>
              <w:jc w:val="center"/>
              <w:rPr>
                <w:rFonts w:eastAsia="Calibri"/>
                <w:szCs w:val="24"/>
              </w:rPr>
            </w:pPr>
            <w:r w:rsidRPr="004A211D">
              <w:rPr>
                <w:rFonts w:eastAsia="Calibri"/>
                <w:szCs w:val="24"/>
              </w:rPr>
              <w:t>343</w:t>
            </w:r>
          </w:p>
        </w:tc>
      </w:tr>
      <w:tr w:rsidR="00F945A9" w:rsidRPr="004A211D" w14:paraId="5CB71E45" w14:textId="77777777" w:rsidTr="00C11F89">
        <w:tc>
          <w:tcPr>
            <w:tcW w:w="3261" w:type="dxa"/>
            <w:shd w:val="clear" w:color="auto" w:fill="auto"/>
          </w:tcPr>
          <w:p w14:paraId="0BE17BC7" w14:textId="77777777" w:rsidR="00F945A9" w:rsidRPr="004A211D" w:rsidRDefault="00F945A9" w:rsidP="00F945A9">
            <w:pPr>
              <w:jc w:val="center"/>
              <w:rPr>
                <w:rFonts w:eastAsia="Calibri"/>
                <w:b/>
                <w:bCs/>
                <w:szCs w:val="24"/>
              </w:rPr>
            </w:pPr>
            <w:r w:rsidRPr="004A211D">
              <w:rPr>
                <w:rFonts w:eastAsia="Calibri"/>
                <w:b/>
                <w:bCs/>
                <w:szCs w:val="24"/>
              </w:rPr>
              <w:t>S3_N0.5+2%Pt</w:t>
            </w:r>
          </w:p>
        </w:tc>
        <w:tc>
          <w:tcPr>
            <w:tcW w:w="3147" w:type="dxa"/>
            <w:shd w:val="clear" w:color="auto" w:fill="auto"/>
          </w:tcPr>
          <w:p w14:paraId="6456458D" w14:textId="77777777" w:rsidR="00F945A9" w:rsidRPr="004A211D" w:rsidRDefault="00F945A9" w:rsidP="00F945A9">
            <w:pPr>
              <w:jc w:val="center"/>
              <w:rPr>
                <w:rFonts w:eastAsia="Calibri"/>
                <w:szCs w:val="24"/>
              </w:rPr>
            </w:pPr>
            <w:r w:rsidRPr="004A211D">
              <w:rPr>
                <w:rFonts w:eastAsia="Calibri"/>
                <w:szCs w:val="24"/>
              </w:rPr>
              <w:t>251</w:t>
            </w:r>
          </w:p>
        </w:tc>
      </w:tr>
      <w:tr w:rsidR="00F945A9" w:rsidRPr="004A211D" w14:paraId="79CD192F" w14:textId="77777777" w:rsidTr="00C11F89">
        <w:tc>
          <w:tcPr>
            <w:tcW w:w="3261" w:type="dxa"/>
            <w:tcBorders>
              <w:top w:val="single" w:sz="4" w:space="0" w:color="7F7F7F"/>
              <w:bottom w:val="single" w:sz="4" w:space="0" w:color="7F7F7F"/>
            </w:tcBorders>
            <w:shd w:val="clear" w:color="auto" w:fill="auto"/>
          </w:tcPr>
          <w:p w14:paraId="7811140E" w14:textId="77777777" w:rsidR="00F945A9" w:rsidRPr="004A211D" w:rsidRDefault="00F945A9" w:rsidP="00F945A9">
            <w:pPr>
              <w:jc w:val="center"/>
              <w:rPr>
                <w:rFonts w:eastAsia="Calibri"/>
                <w:b/>
                <w:bCs/>
                <w:szCs w:val="24"/>
              </w:rPr>
            </w:pPr>
            <w:r w:rsidRPr="004A211D">
              <w:rPr>
                <w:rFonts w:eastAsia="Calibri"/>
                <w:b/>
                <w:bCs/>
                <w:szCs w:val="24"/>
              </w:rPr>
              <w:t>S3_N0.5+3%Pt</w:t>
            </w:r>
          </w:p>
        </w:tc>
        <w:tc>
          <w:tcPr>
            <w:tcW w:w="3147" w:type="dxa"/>
            <w:tcBorders>
              <w:top w:val="single" w:sz="4" w:space="0" w:color="7F7F7F"/>
              <w:bottom w:val="single" w:sz="4" w:space="0" w:color="7F7F7F"/>
            </w:tcBorders>
            <w:shd w:val="clear" w:color="auto" w:fill="auto"/>
          </w:tcPr>
          <w:p w14:paraId="423B58DE" w14:textId="77777777" w:rsidR="00F945A9" w:rsidRPr="004A211D" w:rsidRDefault="00F945A9" w:rsidP="00F945A9">
            <w:pPr>
              <w:jc w:val="center"/>
              <w:rPr>
                <w:rFonts w:eastAsia="Calibri"/>
                <w:szCs w:val="24"/>
              </w:rPr>
            </w:pPr>
            <w:r w:rsidRPr="004A211D">
              <w:rPr>
                <w:rFonts w:eastAsia="Calibri"/>
                <w:szCs w:val="24"/>
              </w:rPr>
              <w:t>260</w:t>
            </w:r>
          </w:p>
        </w:tc>
      </w:tr>
      <w:tr w:rsidR="00F945A9" w:rsidRPr="00632A8C" w14:paraId="4C885B15" w14:textId="77777777" w:rsidTr="00C11F89">
        <w:tc>
          <w:tcPr>
            <w:tcW w:w="3261" w:type="dxa"/>
            <w:shd w:val="clear" w:color="auto" w:fill="auto"/>
          </w:tcPr>
          <w:p w14:paraId="4C4C066D" w14:textId="77777777" w:rsidR="00F945A9" w:rsidRPr="00632A8C" w:rsidRDefault="00F945A9" w:rsidP="00F945A9">
            <w:pPr>
              <w:jc w:val="center"/>
              <w:rPr>
                <w:rFonts w:eastAsia="Calibri"/>
                <w:b/>
                <w:bCs/>
                <w:szCs w:val="24"/>
              </w:rPr>
            </w:pPr>
            <w:r w:rsidRPr="00632A8C">
              <w:rPr>
                <w:rFonts w:eastAsia="Calibri"/>
                <w:b/>
                <w:bCs/>
                <w:szCs w:val="24"/>
              </w:rPr>
              <w:t>S3_urea15+1%Pt</w:t>
            </w:r>
          </w:p>
        </w:tc>
        <w:tc>
          <w:tcPr>
            <w:tcW w:w="3147" w:type="dxa"/>
            <w:shd w:val="clear" w:color="auto" w:fill="auto"/>
          </w:tcPr>
          <w:p w14:paraId="1B9F623C" w14:textId="77777777" w:rsidR="00F945A9" w:rsidRPr="00632A8C" w:rsidRDefault="00F945A9" w:rsidP="00F945A9">
            <w:pPr>
              <w:jc w:val="center"/>
              <w:rPr>
                <w:rFonts w:eastAsia="Calibri"/>
                <w:szCs w:val="24"/>
              </w:rPr>
            </w:pPr>
            <w:r w:rsidRPr="00632A8C">
              <w:rPr>
                <w:rFonts w:eastAsia="Calibri"/>
                <w:szCs w:val="24"/>
              </w:rPr>
              <w:t>420</w:t>
            </w:r>
          </w:p>
        </w:tc>
      </w:tr>
      <w:tr w:rsidR="00F945A9" w:rsidRPr="00632A8C" w14:paraId="5A3D7EC0" w14:textId="77777777" w:rsidTr="00C11F89">
        <w:tc>
          <w:tcPr>
            <w:tcW w:w="3261" w:type="dxa"/>
            <w:tcBorders>
              <w:top w:val="single" w:sz="4" w:space="0" w:color="7F7F7F"/>
              <w:bottom w:val="single" w:sz="4" w:space="0" w:color="7F7F7F"/>
            </w:tcBorders>
            <w:shd w:val="clear" w:color="auto" w:fill="auto"/>
          </w:tcPr>
          <w:p w14:paraId="261B12D1" w14:textId="77777777" w:rsidR="00F945A9" w:rsidRPr="00632A8C" w:rsidRDefault="00F945A9" w:rsidP="00F945A9">
            <w:pPr>
              <w:jc w:val="center"/>
              <w:rPr>
                <w:rFonts w:eastAsia="Calibri"/>
                <w:b/>
                <w:bCs/>
                <w:szCs w:val="24"/>
              </w:rPr>
            </w:pPr>
            <w:r w:rsidRPr="00632A8C">
              <w:rPr>
                <w:rFonts w:eastAsia="Calibri"/>
                <w:b/>
                <w:bCs/>
                <w:szCs w:val="24"/>
              </w:rPr>
              <w:t>S3_urea15+2%Pt</w:t>
            </w:r>
          </w:p>
        </w:tc>
        <w:tc>
          <w:tcPr>
            <w:tcW w:w="3147" w:type="dxa"/>
            <w:tcBorders>
              <w:top w:val="single" w:sz="4" w:space="0" w:color="7F7F7F"/>
              <w:bottom w:val="single" w:sz="4" w:space="0" w:color="7F7F7F"/>
            </w:tcBorders>
            <w:shd w:val="clear" w:color="auto" w:fill="auto"/>
          </w:tcPr>
          <w:p w14:paraId="77AD9BC3" w14:textId="77777777" w:rsidR="00F945A9" w:rsidRPr="00632A8C" w:rsidRDefault="00F945A9" w:rsidP="00F945A9">
            <w:pPr>
              <w:jc w:val="center"/>
              <w:rPr>
                <w:rFonts w:eastAsia="Calibri"/>
                <w:szCs w:val="24"/>
              </w:rPr>
            </w:pPr>
            <w:r w:rsidRPr="00632A8C">
              <w:rPr>
                <w:rFonts w:eastAsia="Calibri"/>
                <w:szCs w:val="24"/>
              </w:rPr>
              <w:t>420</w:t>
            </w:r>
          </w:p>
        </w:tc>
      </w:tr>
    </w:tbl>
    <w:p w14:paraId="04346FC9" w14:textId="77777777" w:rsidR="00F945A9" w:rsidRPr="00632A8C" w:rsidRDefault="00F945A9" w:rsidP="00C11F89">
      <w:pPr>
        <w:rPr>
          <w:szCs w:val="24"/>
        </w:rPr>
      </w:pPr>
    </w:p>
    <w:p w14:paraId="6AB111F0" w14:textId="1A228286" w:rsidR="00F945A9" w:rsidRPr="004A211D" w:rsidRDefault="00F945A9" w:rsidP="005F2CAD">
      <w:pPr>
        <w:spacing w:line="360" w:lineRule="auto"/>
        <w:ind w:firstLine="510"/>
        <w:rPr>
          <w:szCs w:val="24"/>
        </w:rPr>
      </w:pPr>
      <w:r w:rsidRPr="004A211D">
        <w:rPr>
          <w:szCs w:val="24"/>
        </w:rPr>
        <w:t xml:space="preserve">The addition of urea (sample </w:t>
      </w:r>
      <w:r w:rsidRPr="004A211D">
        <w:rPr>
          <w:b/>
          <w:szCs w:val="24"/>
        </w:rPr>
        <w:t>Urea_15</w:t>
      </w:r>
      <w:r w:rsidRPr="004A211D">
        <w:rPr>
          <w:szCs w:val="24"/>
        </w:rPr>
        <w:t xml:space="preserve">) to the undoped sample </w:t>
      </w:r>
      <w:r w:rsidRPr="004A211D">
        <w:rPr>
          <w:b/>
          <w:szCs w:val="24"/>
        </w:rPr>
        <w:t>REF</w:t>
      </w:r>
      <w:r w:rsidRPr="004A211D">
        <w:rPr>
          <w:szCs w:val="24"/>
        </w:rPr>
        <w:t xml:space="preserve"> has resulted in an increase in the photocatalytic activity (</w:t>
      </w:r>
      <w:r w:rsidRPr="004A211D">
        <w:rPr>
          <w:i/>
          <w:szCs w:val="24"/>
        </w:rPr>
        <w:t>k</w:t>
      </w:r>
      <w:r w:rsidRPr="004A211D">
        <w:rPr>
          <w:i/>
          <w:szCs w:val="24"/>
          <w:vertAlign w:val="subscript"/>
        </w:rPr>
        <w:t>0</w:t>
      </w:r>
      <w:r w:rsidRPr="004A211D">
        <w:rPr>
          <w:szCs w:val="24"/>
        </w:rPr>
        <w:t xml:space="preserve">=122 ppm/h and 68 ppm/h for sample </w:t>
      </w:r>
      <w:r w:rsidRPr="004A211D">
        <w:rPr>
          <w:b/>
          <w:szCs w:val="24"/>
        </w:rPr>
        <w:t>Urea_15</w:t>
      </w:r>
      <w:r w:rsidRPr="004A211D">
        <w:rPr>
          <w:szCs w:val="24"/>
        </w:rPr>
        <w:t xml:space="preserve"> and </w:t>
      </w:r>
      <w:r w:rsidRPr="004A211D">
        <w:rPr>
          <w:b/>
          <w:szCs w:val="24"/>
        </w:rPr>
        <w:t>REF</w:t>
      </w:r>
      <w:r w:rsidRPr="004A211D">
        <w:rPr>
          <w:szCs w:val="24"/>
        </w:rPr>
        <w:t xml:space="preserve">, respectively). In our previously published work, we reported a very high band-gap value in sample </w:t>
      </w:r>
      <w:r w:rsidRPr="004A211D">
        <w:rPr>
          <w:b/>
          <w:szCs w:val="24"/>
        </w:rPr>
        <w:t>REF</w:t>
      </w:r>
      <w:r w:rsidRPr="004A211D">
        <w:rPr>
          <w:szCs w:val="24"/>
        </w:rPr>
        <w:t xml:space="preserve"> (3.44 eV). The addition of urea narrows the band-gap due to nitrogen doping, and consequently increases photocatalytic activity even under UV light</w:t>
      </w:r>
      <w:r w:rsidR="00251FE8" w:rsidRPr="004A211D">
        <w:rPr>
          <w:szCs w:val="24"/>
          <w:lang w:val="en-SI"/>
        </w:rPr>
        <w:t>.</w:t>
      </w:r>
      <w:r w:rsidRPr="004A211D">
        <w:rPr>
          <w:szCs w:val="24"/>
        </w:rPr>
        <w:fldChar w:fldCharType="begin" w:fldLock="1"/>
      </w:r>
      <w:r w:rsidR="00AE1B1C" w:rsidRPr="004A211D">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id":"ITEM-2","itemData":{"DOI":"10.1002/slct.201900188","ISSN":"2365-6549","author":[{"dropping-particle":"","family":"Žener","given":"Boštjan","non-dropping-particle":"","parse-names":false,"suffix":""},{"dropping-particle":"","family":"Medoš","given":"Žiga","non-dropping-particle":"","parse-names":false,"suffix":""},{"dropping-particle":"","family":"Bešter Rogač","given":"Marija","non-dropping-particle":"","parse-names":false,"suffix":""},{"dropping-particle":"","family":"Cerc Korošec","given":"Romana","non-dropping-particle":"","parse-names":false,"suffix":""}],"container-title":"ChemistrySelect","id":"ITEM-2","issue":"14","issued":{"date-parts":[["2019","4","16"]]},"page":"4112-4117","title":"Monitoring Photocatalytic Degradation of Plasmocorinth B with Titania Thin Films using Non‐Spectroscopic Methods","type":"article-journal","volume":"4"},"uris":["http://www.mendeley.com/documents/?uuid=fcbde386-6bcf-4776-a2d8-af6bba045c10"]}],"mendeley":{"formattedCitation":"&lt;sup&gt;37,42&lt;/sup&gt;","plainTextFormattedCitation":"37,42","previouslyFormattedCitation":"&lt;sup&gt;37,42&lt;/sup&gt;"},"properties":{"noteIndex":0},"schema":"https://github.com/citation-style-language/schema/raw/master/csl-citation.json"}</w:instrText>
      </w:r>
      <w:r w:rsidRPr="004A211D">
        <w:rPr>
          <w:szCs w:val="24"/>
        </w:rPr>
        <w:fldChar w:fldCharType="separate"/>
      </w:r>
      <w:r w:rsidR="00AE1B1C" w:rsidRPr="004A211D">
        <w:rPr>
          <w:szCs w:val="24"/>
          <w:vertAlign w:val="superscript"/>
        </w:rPr>
        <w:t>37,42</w:t>
      </w:r>
      <w:r w:rsidRPr="004A211D">
        <w:rPr>
          <w:szCs w:val="24"/>
        </w:rPr>
        <w:fldChar w:fldCharType="end"/>
      </w:r>
      <w:r w:rsidRPr="004A211D">
        <w:rPr>
          <w:szCs w:val="24"/>
        </w:rPr>
        <w:t xml:space="preserve"> On the contrary, addition of thiourea (sample </w:t>
      </w:r>
      <w:r w:rsidRPr="004A211D">
        <w:rPr>
          <w:b/>
          <w:szCs w:val="24"/>
        </w:rPr>
        <w:t>Thiourea_15</w:t>
      </w:r>
      <w:r w:rsidRPr="004A211D">
        <w:rPr>
          <w:szCs w:val="24"/>
        </w:rPr>
        <w:t>) decreases the photocatalytic activity of the sample (</w:t>
      </w:r>
      <w:r w:rsidRPr="004A211D">
        <w:rPr>
          <w:i/>
          <w:szCs w:val="24"/>
        </w:rPr>
        <w:t>k</w:t>
      </w:r>
      <w:r w:rsidRPr="004A211D">
        <w:rPr>
          <w:i/>
          <w:szCs w:val="24"/>
          <w:vertAlign w:val="subscript"/>
        </w:rPr>
        <w:t>0</w:t>
      </w:r>
      <w:r w:rsidRPr="004A211D">
        <w:rPr>
          <w:szCs w:val="24"/>
        </w:rPr>
        <w:t xml:space="preserve">=50 ppm/h) when compared to </w:t>
      </w:r>
      <w:r w:rsidRPr="004A211D">
        <w:rPr>
          <w:b/>
          <w:szCs w:val="24"/>
        </w:rPr>
        <w:t>REF</w:t>
      </w:r>
      <w:r w:rsidRPr="004A211D">
        <w:rPr>
          <w:szCs w:val="24"/>
        </w:rPr>
        <w:t>, despite the former having a higher surface area (49.5 m</w:t>
      </w:r>
      <w:r w:rsidRPr="004A211D">
        <w:rPr>
          <w:szCs w:val="24"/>
          <w:vertAlign w:val="superscript"/>
        </w:rPr>
        <w:t>2</w:t>
      </w:r>
      <w:r w:rsidRPr="004A211D">
        <w:rPr>
          <w:szCs w:val="24"/>
        </w:rPr>
        <w:t xml:space="preserve">/g for sample </w:t>
      </w:r>
      <w:r w:rsidRPr="004A211D">
        <w:rPr>
          <w:b/>
          <w:szCs w:val="24"/>
        </w:rPr>
        <w:t>Thiourea_15</w:t>
      </w:r>
      <w:r w:rsidRPr="004A211D">
        <w:rPr>
          <w:szCs w:val="24"/>
        </w:rPr>
        <w:t xml:space="preserve"> and 44.1 m</w:t>
      </w:r>
      <w:r w:rsidRPr="004A211D">
        <w:rPr>
          <w:szCs w:val="24"/>
          <w:vertAlign w:val="superscript"/>
        </w:rPr>
        <w:t>2</w:t>
      </w:r>
      <w:r w:rsidRPr="004A211D">
        <w:rPr>
          <w:szCs w:val="24"/>
        </w:rPr>
        <w:t xml:space="preserve">/g for </w:t>
      </w:r>
      <w:r w:rsidRPr="004A211D">
        <w:rPr>
          <w:b/>
          <w:szCs w:val="24"/>
        </w:rPr>
        <w:t>REF</w:t>
      </w:r>
      <w:r w:rsidRPr="004A211D">
        <w:rPr>
          <w:szCs w:val="24"/>
        </w:rPr>
        <w:t xml:space="preserve">) and higher photocurrent response. This could be explained by higher recombination rates of the charge carriers in sample </w:t>
      </w:r>
      <w:r w:rsidRPr="004A211D">
        <w:rPr>
          <w:b/>
          <w:szCs w:val="24"/>
        </w:rPr>
        <w:t>Thiourea_15</w:t>
      </w:r>
      <w:r w:rsidRPr="004A211D">
        <w:rPr>
          <w:szCs w:val="24"/>
        </w:rPr>
        <w:t>. Additional measurements would, however, be needed to confirm this theory.</w:t>
      </w:r>
    </w:p>
    <w:p w14:paraId="260A0C91" w14:textId="77777777" w:rsidR="00F945A9" w:rsidRPr="004A211D" w:rsidRDefault="00F945A9" w:rsidP="005F2CAD">
      <w:pPr>
        <w:spacing w:line="360" w:lineRule="auto"/>
        <w:ind w:firstLine="510"/>
        <w:rPr>
          <w:szCs w:val="24"/>
        </w:rPr>
      </w:pPr>
      <w:r w:rsidRPr="004A211D">
        <w:rPr>
          <w:szCs w:val="24"/>
        </w:rPr>
        <w:t>By using H</w:t>
      </w:r>
      <w:r w:rsidRPr="004A211D">
        <w:rPr>
          <w:szCs w:val="24"/>
          <w:vertAlign w:val="subscript"/>
        </w:rPr>
        <w:t>2</w:t>
      </w:r>
      <w:r w:rsidRPr="004A211D">
        <w:rPr>
          <w:szCs w:val="24"/>
        </w:rPr>
        <w:t>SO</w:t>
      </w:r>
      <w:r w:rsidRPr="004A211D">
        <w:rPr>
          <w:szCs w:val="24"/>
          <w:vertAlign w:val="subscript"/>
        </w:rPr>
        <w:t>4</w:t>
      </w:r>
      <w:r w:rsidRPr="004A211D">
        <w:rPr>
          <w:szCs w:val="24"/>
        </w:rPr>
        <w:t xml:space="preserve"> instead of HCl in the synthesis (samples </w:t>
      </w:r>
      <w:r w:rsidRPr="004A211D">
        <w:rPr>
          <w:b/>
          <w:szCs w:val="24"/>
        </w:rPr>
        <w:t>S2</w:t>
      </w:r>
      <w:r w:rsidRPr="004A211D">
        <w:rPr>
          <w:szCs w:val="24"/>
        </w:rPr>
        <w:t xml:space="preserve"> and </w:t>
      </w:r>
      <w:r w:rsidRPr="004A211D">
        <w:rPr>
          <w:b/>
          <w:szCs w:val="24"/>
        </w:rPr>
        <w:t>S3</w:t>
      </w:r>
      <w:r w:rsidRPr="004A211D">
        <w:rPr>
          <w:szCs w:val="24"/>
        </w:rPr>
        <w:t>) we obtained samples with smaller-sized crystallites, which results in higher porosity (24.2-49.5 m</w:t>
      </w:r>
      <w:r w:rsidRPr="004A211D">
        <w:rPr>
          <w:szCs w:val="24"/>
          <w:vertAlign w:val="superscript"/>
        </w:rPr>
        <w:t>2</w:t>
      </w:r>
      <w:r w:rsidRPr="004A211D">
        <w:rPr>
          <w:szCs w:val="24"/>
        </w:rPr>
        <w:t>/g for samples synthesized with HCl; 63.2 m</w:t>
      </w:r>
      <w:r w:rsidRPr="004A211D">
        <w:rPr>
          <w:szCs w:val="24"/>
          <w:vertAlign w:val="superscript"/>
        </w:rPr>
        <w:t>2</w:t>
      </w:r>
      <w:r w:rsidRPr="004A211D">
        <w:rPr>
          <w:szCs w:val="24"/>
        </w:rPr>
        <w:t>/g and 80.2 m</w:t>
      </w:r>
      <w:r w:rsidRPr="004A211D">
        <w:rPr>
          <w:szCs w:val="24"/>
          <w:vertAlign w:val="superscript"/>
        </w:rPr>
        <w:t>2</w:t>
      </w:r>
      <w:r w:rsidRPr="004A211D">
        <w:rPr>
          <w:szCs w:val="24"/>
        </w:rPr>
        <w:t xml:space="preserve">/g for samples </w:t>
      </w:r>
      <w:r w:rsidRPr="004A211D">
        <w:rPr>
          <w:b/>
          <w:szCs w:val="24"/>
        </w:rPr>
        <w:t>S2</w:t>
      </w:r>
      <w:r w:rsidRPr="004A211D">
        <w:rPr>
          <w:szCs w:val="24"/>
        </w:rPr>
        <w:t xml:space="preserve"> and </w:t>
      </w:r>
      <w:r w:rsidRPr="004A211D">
        <w:rPr>
          <w:b/>
          <w:szCs w:val="24"/>
        </w:rPr>
        <w:t>S3</w:t>
      </w:r>
      <w:r w:rsidRPr="004A211D">
        <w:rPr>
          <w:szCs w:val="24"/>
        </w:rPr>
        <w:t xml:space="preserve">, respectively) and a far higher photocurrent response. For these reasons, samples </w:t>
      </w:r>
      <w:r w:rsidRPr="004A211D">
        <w:rPr>
          <w:b/>
          <w:szCs w:val="24"/>
        </w:rPr>
        <w:t>S2</w:t>
      </w:r>
      <w:r w:rsidRPr="004A211D">
        <w:rPr>
          <w:szCs w:val="24"/>
        </w:rPr>
        <w:t xml:space="preserve"> and </w:t>
      </w:r>
      <w:r w:rsidRPr="004A211D">
        <w:rPr>
          <w:b/>
          <w:szCs w:val="24"/>
        </w:rPr>
        <w:t>S3</w:t>
      </w:r>
      <w:r w:rsidRPr="004A211D">
        <w:rPr>
          <w:szCs w:val="24"/>
        </w:rPr>
        <w:t xml:space="preserve"> show much higher activity than samples synthesized with HCl (</w:t>
      </w:r>
      <w:r w:rsidRPr="004A211D">
        <w:rPr>
          <w:i/>
          <w:szCs w:val="24"/>
        </w:rPr>
        <w:t>k</w:t>
      </w:r>
      <w:r w:rsidRPr="004A211D">
        <w:rPr>
          <w:i/>
          <w:szCs w:val="24"/>
          <w:vertAlign w:val="subscript"/>
        </w:rPr>
        <w:t>0</w:t>
      </w:r>
      <w:r w:rsidRPr="004A211D">
        <w:rPr>
          <w:szCs w:val="24"/>
        </w:rPr>
        <w:t xml:space="preserve">=183 ppm/h for sample </w:t>
      </w:r>
      <w:r w:rsidRPr="004A211D">
        <w:rPr>
          <w:b/>
          <w:szCs w:val="24"/>
        </w:rPr>
        <w:t>S2</w:t>
      </w:r>
      <w:r w:rsidRPr="004A211D">
        <w:rPr>
          <w:szCs w:val="24"/>
        </w:rPr>
        <w:t xml:space="preserve"> and 310 ppm/h for sample </w:t>
      </w:r>
      <w:r w:rsidRPr="004A211D">
        <w:rPr>
          <w:b/>
          <w:szCs w:val="24"/>
        </w:rPr>
        <w:t>S3</w:t>
      </w:r>
      <w:r w:rsidRPr="004A211D">
        <w:rPr>
          <w:szCs w:val="24"/>
        </w:rPr>
        <w:t xml:space="preserve">). </w:t>
      </w:r>
      <w:r w:rsidRPr="004A211D">
        <w:rPr>
          <w:b/>
          <w:szCs w:val="24"/>
        </w:rPr>
        <w:t>S3</w:t>
      </w:r>
      <w:r w:rsidRPr="004A211D">
        <w:rPr>
          <w:szCs w:val="24"/>
        </w:rPr>
        <w:t xml:space="preserve"> has a higher surface area and higher photocurrent response compared to </w:t>
      </w:r>
      <w:r w:rsidRPr="004A211D">
        <w:rPr>
          <w:b/>
          <w:szCs w:val="24"/>
        </w:rPr>
        <w:t xml:space="preserve">S2, </w:t>
      </w:r>
      <w:r w:rsidRPr="004A211D">
        <w:rPr>
          <w:szCs w:val="24"/>
        </w:rPr>
        <w:t>and consequently much higher photocatalytic activity.</w:t>
      </w:r>
    </w:p>
    <w:p w14:paraId="6A90CB20" w14:textId="2A6F8E06" w:rsidR="00F945A9" w:rsidRPr="004A211D" w:rsidRDefault="00F945A9" w:rsidP="005F2CAD">
      <w:pPr>
        <w:spacing w:line="360" w:lineRule="auto"/>
        <w:ind w:firstLine="510"/>
        <w:rPr>
          <w:szCs w:val="24"/>
        </w:rPr>
      </w:pPr>
      <w:r w:rsidRPr="004A211D">
        <w:rPr>
          <w:szCs w:val="24"/>
        </w:rPr>
        <w:t>The addition of NH</w:t>
      </w:r>
      <w:r w:rsidRPr="004A211D">
        <w:rPr>
          <w:szCs w:val="24"/>
          <w:vertAlign w:val="subscript"/>
        </w:rPr>
        <w:t>4</w:t>
      </w:r>
      <w:r w:rsidRPr="004A211D">
        <w:rPr>
          <w:szCs w:val="24"/>
        </w:rPr>
        <w:t>NO</w:t>
      </w:r>
      <w:r w:rsidRPr="004A211D">
        <w:rPr>
          <w:szCs w:val="24"/>
          <w:vertAlign w:val="subscript"/>
        </w:rPr>
        <w:t>3</w:t>
      </w:r>
      <w:r w:rsidRPr="004A211D">
        <w:rPr>
          <w:szCs w:val="24"/>
        </w:rPr>
        <w:t xml:space="preserve"> (samples </w:t>
      </w:r>
      <w:r w:rsidRPr="004A211D">
        <w:rPr>
          <w:b/>
          <w:szCs w:val="24"/>
        </w:rPr>
        <w:t>S3_N0.5</w:t>
      </w:r>
      <w:r w:rsidRPr="004A211D">
        <w:rPr>
          <w:szCs w:val="24"/>
        </w:rPr>
        <w:t xml:space="preserve"> and </w:t>
      </w:r>
      <w:r w:rsidRPr="004A211D">
        <w:rPr>
          <w:b/>
          <w:szCs w:val="24"/>
        </w:rPr>
        <w:t>S3_N2</w:t>
      </w:r>
      <w:r w:rsidRPr="004A211D">
        <w:rPr>
          <w:szCs w:val="24"/>
        </w:rPr>
        <w:t xml:space="preserve">), urea (sample </w:t>
      </w:r>
      <w:r w:rsidRPr="004A211D">
        <w:rPr>
          <w:b/>
          <w:szCs w:val="24"/>
        </w:rPr>
        <w:t>S3_urea15</w:t>
      </w:r>
      <w:r w:rsidRPr="004A211D">
        <w:rPr>
          <w:szCs w:val="24"/>
        </w:rPr>
        <w:t xml:space="preserve">) and thiourea (sample </w:t>
      </w:r>
      <w:r w:rsidRPr="004A211D">
        <w:rPr>
          <w:b/>
          <w:szCs w:val="24"/>
        </w:rPr>
        <w:t>S3_thiourea_15</w:t>
      </w:r>
      <w:r w:rsidRPr="004A211D">
        <w:rPr>
          <w:szCs w:val="24"/>
        </w:rPr>
        <w:t xml:space="preserve">) to sample </w:t>
      </w:r>
      <w:r w:rsidRPr="004A211D">
        <w:rPr>
          <w:b/>
          <w:szCs w:val="24"/>
        </w:rPr>
        <w:t>S3</w:t>
      </w:r>
      <w:r w:rsidRPr="004A211D">
        <w:rPr>
          <w:szCs w:val="24"/>
        </w:rPr>
        <w:t xml:space="preserve"> increases the specific surface areas (84.5–103.4 m</w:t>
      </w:r>
      <w:r w:rsidRPr="004A211D">
        <w:rPr>
          <w:szCs w:val="24"/>
          <w:vertAlign w:val="superscript"/>
        </w:rPr>
        <w:t>2</w:t>
      </w:r>
      <w:r w:rsidRPr="004A211D">
        <w:rPr>
          <w:szCs w:val="24"/>
        </w:rPr>
        <w:t xml:space="preserve">/g). Despite this, only one sample (sample </w:t>
      </w:r>
      <w:r w:rsidRPr="004A211D">
        <w:rPr>
          <w:b/>
          <w:szCs w:val="24"/>
        </w:rPr>
        <w:t>S3_N2</w:t>
      </w:r>
      <w:r w:rsidRPr="004A211D">
        <w:rPr>
          <w:szCs w:val="24"/>
        </w:rPr>
        <w:t>,</w:t>
      </w:r>
      <w:r w:rsidRPr="004A211D">
        <w:rPr>
          <w:b/>
          <w:szCs w:val="24"/>
        </w:rPr>
        <w:t xml:space="preserve"> </w:t>
      </w:r>
      <w:r w:rsidRPr="004A211D">
        <w:rPr>
          <w:i/>
          <w:szCs w:val="24"/>
        </w:rPr>
        <w:t>k</w:t>
      </w:r>
      <w:r w:rsidRPr="004A211D">
        <w:rPr>
          <w:i/>
          <w:szCs w:val="24"/>
          <w:vertAlign w:val="subscript"/>
        </w:rPr>
        <w:t>0</w:t>
      </w:r>
      <w:r w:rsidRPr="004A211D">
        <w:rPr>
          <w:szCs w:val="24"/>
        </w:rPr>
        <w:t>=328 ppm/h)</w:t>
      </w:r>
      <w:r w:rsidRPr="004A211D">
        <w:rPr>
          <w:b/>
          <w:szCs w:val="24"/>
        </w:rPr>
        <w:t xml:space="preserve"> </w:t>
      </w:r>
      <w:r w:rsidRPr="004A211D">
        <w:rPr>
          <w:szCs w:val="24"/>
        </w:rPr>
        <w:t xml:space="preserve">has a higher photocatalytic activity than the sample without additions (sample </w:t>
      </w:r>
      <w:r w:rsidRPr="004A211D">
        <w:rPr>
          <w:b/>
          <w:szCs w:val="24"/>
        </w:rPr>
        <w:t>S3</w:t>
      </w:r>
      <w:r w:rsidRPr="004A211D">
        <w:rPr>
          <w:szCs w:val="24"/>
        </w:rPr>
        <w:t xml:space="preserve">, </w:t>
      </w:r>
      <w:r w:rsidRPr="004A211D">
        <w:rPr>
          <w:i/>
          <w:szCs w:val="24"/>
        </w:rPr>
        <w:t>k</w:t>
      </w:r>
      <w:r w:rsidRPr="004A211D">
        <w:rPr>
          <w:i/>
          <w:szCs w:val="24"/>
          <w:vertAlign w:val="subscript"/>
        </w:rPr>
        <w:t>0</w:t>
      </w:r>
      <w:r w:rsidRPr="004A211D">
        <w:rPr>
          <w:szCs w:val="24"/>
        </w:rPr>
        <w:t xml:space="preserve">=310 ppm/h). This can be explained by the results of the photocurrent measurements, which have shown decreased responses (compared to sample </w:t>
      </w:r>
      <w:r w:rsidRPr="004A211D">
        <w:rPr>
          <w:b/>
          <w:szCs w:val="24"/>
        </w:rPr>
        <w:t>S3</w:t>
      </w:r>
      <w:r w:rsidRPr="004A211D">
        <w:rPr>
          <w:szCs w:val="24"/>
        </w:rPr>
        <w:t xml:space="preserve">) in all but sample </w:t>
      </w:r>
      <w:r w:rsidRPr="004A211D">
        <w:rPr>
          <w:b/>
          <w:szCs w:val="24"/>
        </w:rPr>
        <w:t>S3_N2</w:t>
      </w:r>
      <w:r w:rsidRPr="004A211D">
        <w:rPr>
          <w:szCs w:val="24"/>
        </w:rPr>
        <w:t>, which also has the highest surface area (103.4 m</w:t>
      </w:r>
      <w:r w:rsidRPr="004A211D">
        <w:rPr>
          <w:szCs w:val="24"/>
          <w:vertAlign w:val="superscript"/>
        </w:rPr>
        <w:t>2</w:t>
      </w:r>
      <w:r w:rsidRPr="004A211D">
        <w:rPr>
          <w:szCs w:val="24"/>
        </w:rPr>
        <w:t>/g). Higher activity can also be attributed to the addition of nitrogen, which increases the amount of oxygen vacancies and reduces the band gap energy, resulting in higher photocatalytic activity</w:t>
      </w:r>
      <w:r w:rsidR="009643BD" w:rsidRPr="004A211D">
        <w:rPr>
          <w:szCs w:val="24"/>
          <w:lang w:val="en-SI"/>
        </w:rPr>
        <w:t>.</w:t>
      </w:r>
      <w:r w:rsidRPr="004A211D">
        <w:rPr>
          <w:szCs w:val="24"/>
        </w:rPr>
        <w:fldChar w:fldCharType="begin" w:fldLock="1"/>
      </w:r>
      <w:r w:rsidR="00AE1B1C" w:rsidRPr="004A211D">
        <w:rPr>
          <w:szCs w:val="24"/>
        </w:rPr>
        <w:instrText>ADDIN CSL_CITATION {"citationItems":[{"id":"ITEM-1","itemData":{"DOI":"10.3762/bjnano.9.155","abstract":"Titanium dioxide photocatalysts have received a lot of attention during the past decades due to their ability to degrade various organic pollutants to CO2 and H2O, which makes them suitable for use in environmental related fields such as air and water treat- ment and self-cleaning surfaces. In this work, titania thin films and powders were prepared by a particulate sol–gel route, using tita- nium tetrachloride (TiCl4) as a precursor. Afterwards, the prepared sols were doped with nitrogen (ammonium nitrate, urea), sulfur (thiourea) and platinum (chloroplatinic acid), coated onto glass substrates by dip-coating, and thermally treated in a muffle furnace to promote crystallization. The resulting thin films were then characterized by various techniques (i.e., TGA-DSC-MS, XRD, BET, XPS, SEM, band gap measurements). The photocatalytic activity of the prepared thin films was determined by measuring the deg- radation rate of plasmocorinth B (PB), an organic pigment used in the textile industry, which can pose an environmental risk when expelled into wastewater. A kinetic model for adsorption and subsequent degradation was used to fit the experimental data. The results have shown an increase in photocatalytic activity under visible-light illumination of nonmetal and metal doped and co-doped titania thin films compared to an undoped sample. Introduction","author":[{"dropping-particle":"","family":"Žener","given":"Boštjan","non-dropping-particle":"","parse-names":false,"suffix":""},{"dropping-particle":"","family":"Matoh","given":"Lev","non-dropping-particle":"","parse-names":false,"suffix":""},{"dropping-particle":"","family":"Carraro","given":"Giorgio","non-dropping-particle":"","parse-names":false,"suffix":""},{"dropping-particle":"","family":"Miljević","given":"Bojan","non-dropping-particle":"","parse-names":false,"suffix":""},{"dropping-particle":"","family":"Cerc Korošec","given":"Romana","non-dropping-particle":"","parse-names":false,"suffix":""}],"container-title":"Beilstein Journal of Nanotechnology","id":"ITEM-1","issued":{"date-parts":[["2018"]]},"page":"1629-1640","title":"Sulfur- , nitrogen- and platinum-doped titania thin films with high catalytic efficiency under visible-light illumination","type":"article-journal","volume":"9"},"uris":["http://www.mendeley.com/documents/?uuid=8dbde302-affa-4496-9dc5-560d3f96f06e"]}],"mendeley":{"formattedCitation":"&lt;sup&gt;37&lt;/sup&gt;","plainTextFormattedCitation":"37","previouslyFormattedCitation":"&lt;sup&gt;37&lt;/sup&gt;"},"properties":{"noteIndex":0},"schema":"https://github.com/citation-style-language/schema/raw/master/csl-citation.json"}</w:instrText>
      </w:r>
      <w:r w:rsidRPr="004A211D">
        <w:rPr>
          <w:szCs w:val="24"/>
        </w:rPr>
        <w:fldChar w:fldCharType="separate"/>
      </w:r>
      <w:r w:rsidR="00AE1B1C" w:rsidRPr="004A211D">
        <w:rPr>
          <w:szCs w:val="24"/>
          <w:vertAlign w:val="superscript"/>
        </w:rPr>
        <w:t>37</w:t>
      </w:r>
      <w:r w:rsidRPr="004A211D">
        <w:rPr>
          <w:szCs w:val="24"/>
        </w:rPr>
        <w:fldChar w:fldCharType="end"/>
      </w:r>
      <w:r w:rsidRPr="004A211D">
        <w:rPr>
          <w:szCs w:val="24"/>
        </w:rPr>
        <w:t xml:space="preserve">  The decreased activity in samples </w:t>
      </w:r>
      <w:r w:rsidRPr="004A211D">
        <w:rPr>
          <w:b/>
          <w:szCs w:val="24"/>
        </w:rPr>
        <w:t>S3_urea15</w:t>
      </w:r>
      <w:r w:rsidRPr="004A211D">
        <w:rPr>
          <w:szCs w:val="24"/>
        </w:rPr>
        <w:t xml:space="preserve"> and </w:t>
      </w:r>
      <w:r w:rsidRPr="004A211D">
        <w:rPr>
          <w:b/>
          <w:szCs w:val="24"/>
        </w:rPr>
        <w:t>S3_thiourea15</w:t>
      </w:r>
      <w:r w:rsidRPr="004A211D">
        <w:rPr>
          <w:szCs w:val="24"/>
        </w:rPr>
        <w:t xml:space="preserve"> can be attributed to higher percentages of </w:t>
      </w:r>
      <w:r w:rsidRPr="004A211D">
        <w:rPr>
          <w:szCs w:val="24"/>
        </w:rPr>
        <w:lastRenderedPageBreak/>
        <w:t>β-TiO</w:t>
      </w:r>
      <w:r w:rsidRPr="004A211D">
        <w:rPr>
          <w:szCs w:val="24"/>
          <w:vertAlign w:val="subscript"/>
        </w:rPr>
        <w:t>2</w:t>
      </w:r>
      <w:r w:rsidRPr="004A211D">
        <w:rPr>
          <w:szCs w:val="24"/>
        </w:rPr>
        <w:t>, found in these two samples, since the photocatalytic activity of β-TiO</w:t>
      </w:r>
      <w:r w:rsidRPr="004A211D">
        <w:rPr>
          <w:szCs w:val="24"/>
          <w:vertAlign w:val="subscript"/>
        </w:rPr>
        <w:t>2</w:t>
      </w:r>
      <w:r w:rsidRPr="004A211D">
        <w:rPr>
          <w:szCs w:val="24"/>
        </w:rPr>
        <w:t xml:space="preserve"> is generally much lower than that of anatase</w:t>
      </w:r>
      <w:r w:rsidR="00251FE8" w:rsidRPr="004A211D">
        <w:rPr>
          <w:szCs w:val="24"/>
          <w:lang w:val="en-SI"/>
        </w:rPr>
        <w:t>.</w:t>
      </w:r>
      <w:r w:rsidRPr="004A211D">
        <w:rPr>
          <w:szCs w:val="24"/>
        </w:rPr>
        <w:fldChar w:fldCharType="begin" w:fldLock="1"/>
      </w:r>
      <w:r w:rsidR="00AE1B1C" w:rsidRPr="004A211D">
        <w:rPr>
          <w:szCs w:val="24"/>
        </w:rPr>
        <w:instrText xml:space="preserve">ADDIN CSL_CITATION {"citationItems":[{"id":"ITEM-1","itemData":{"ISBN":"8122217559","ISSN":"0895-7959","abstract":"Fibrous titania was synthesized by the solvothermal reactions of H2Ti4O9·nH2O in different media. H2Ti4O9·nH2O transformed in steps to H2Ti8O17, monoclinic TiO2, anatase and rutile. The phase transformation temperature and microstructure of the products changed significantly depending on the heating environment. The critical temperature at which anatase appeared in liquid media was much lower than that in air. The titania fibers consisted of nanocrystals of TiO2. The crystallite size and crystallinity of titania decreased with decreasing the dielectric constant of the reaction medium. Consequently, the photocatalytic activity of titania changed with heat treatment media in the following sequence: ethanol, methanol &gt; water </w:instrText>
      </w:r>
      <w:r w:rsidR="00AE1B1C" w:rsidRPr="004A211D">
        <w:rPr>
          <w:rFonts w:ascii="Cambria Math" w:hAnsi="Cambria Math" w:cs="Cambria Math"/>
          <w:szCs w:val="24"/>
        </w:rPr>
        <w:instrText>≫</w:instrText>
      </w:r>
      <w:r w:rsidR="00AE1B1C" w:rsidRPr="004A211D">
        <w:rPr>
          <w:szCs w:val="24"/>
        </w:rPr>
        <w:instrText xml:space="preserve"> air, i.e., fibrous titania possessing excellent photocatalytic activity could be obtained by the solvothermal reactions using alcohol such as methanol and ethanol. Titania powders crystallized by the solvothermal reaction in methanol also possessed excellent thermal stability.","author":[{"dropping-particle":"","family":"Yin","given":"Shu","non-dropping-particle":"","parse-names":false,"suffix":""},{"dropping-particle":"","family":"Fujishiro","given":"Youshinobu","non-dropping-particle":"","parse-names":false,"suffix":""},{"dropping-particle":"","family":"Wu","given":"Jihuai","non-dropping-particle":"","parse-names":false,"suffix":""},{"dropping-particle":"","family":"Aki","given":"Minoru","non-dropping-particle":"","parse-names":false,"suffix":""},{"dropping-particle":"","family":"Sato","given":"Tsugio","non-dropping-particle":"","parse-names":false,"suffix":""}],"container-title":"Journal of Materials Processing Technology","id":"ITEM-1","issued":{"date-parts":[["2003","5"]]},"page":"45-48","title":"Synthesis of photocatalytic active fibrous titania by the solvothermal reactions","type":"article-journal","volume":"137"},"uris":["http://www.mendeley.com/documents/?uuid=a195b001-4983-4896-b051-9edd46b3206c"]},{"id":"ITEM-2","itemData":{"DOI":"10.1021/ja906774k","ISSN":"00027863","abstract":"A new efficient photocatalyst structure, a shell of anatase nanocrystals on the fibril core of a single TiO2(B) crystal, was obtained via two consecutive partial phase transition processes. In the first stage of the process, titanate nanofibers reacted with dilute acid solution under moderate hydrothermal conditions, yielding the anatase nanocrystals on the fiber. In the subsequent heating process, the fibril core of titanate was converted into a TiO2(B) single crystal while the anatase crystals in the shell remained unchanged. The anatase nanocrystals do not attach to the TiO 2(B) core randomly but coherently with a close crystallographic registry to the core to form a stable phase interface. For instance, (001) planes in anatase and (100) planes of TiO2(B) join together to form a stable interface. Such a unique structure has several features that enhance the photocatalytic activity of these fibers. First, the differences in the band edges of the two phases promote migration of the photogenerated holes from anatase shell to the TiO2(B) core. Second, the well-matched phase interfaces allow photogenerated electrons and holes to readily migrate across the interfaces because the holes migrate much faster than excited electrons, more holes than electrons migrate to TiO2(B) and this reduces the recombination of the photogenerated charges in anatase shell. Third, the surface of the anatase shell has both a strong ability to regenerate surface hydroxyl groups and adsorb O2, the oxidant of the reaction, to yield reactive hydroxyl radicals (OH• ) through reaction between photogenerated holes and surface hydroxyl groups. The adsorbed O2 molecules can capture the excited electrons on the surface, forming reactive O2- species. The more reactive species generated on the external surface, the higher the photocatalytic activity will be, and generation of the reactive species also contributes to reducing recombination of the photogenerated charges. Indeed, the mixed-phase nanofibers exhibited superior photocatalytic activity for degradation of sulforhodamine B under UV light to the nanofibers of either pure phase alone or mechanical mixtures of the pure phase nanofibers with a similar phase composition. Finally, the nanofibril morphology has an additional advantage that they can be separated readily after reaction for reuse by sedimentation. This is very important because the high cost for separating the catalyst nanocrystals has seriously impeded the applications of T…","author":[{"dropping-particle":"","family":"Yang","given":"Dongjiang","non-dropping-particle":"","parse-names":false,"suffix":""},{"dropping-particle":"","family":"Liu","given":"Hongwei","non-dropping-particle":"","parse-names":false,"suffix":""},{"dropping-particle":"","family":"Zheng","given":"Zhanfeng","non-dropping-particle":"","parse-names":false,"suffix":""},{"dropping-particle":"","family":"Yuan","given":"Yong","non-dropping-particle":"","parse-names":false,"suffix":""},{"dropping-particle":"","family":"Zhao","given":"Jin Cai","non-dropping-particle":"","parse-names":false,"suffix":""},{"dropping-particle":"","family":"Waclawik","given":"Eric R.","non-dropping-particle":"","parse-names":false,"suffix":""},{"dropping-particle":"","family":"Ke","given":"Xuebin","non-dropping-particle":"","parse-names":false,"suffix":""},{"dropping-particle":"","family":"Zhu","given":"Huaiyong","non-dropping-particle":"","parse-names":false,"suffix":""}],"container-title":"Journal of the American Chemical Society","id":"ITEM-2","issue":"49","issued":{"date-parts":[["2009"]]},"page":"17885-17893","title":"An efficient photocatalyst structure: TiO2(B) nanofibers with a shell of anatase nanocrystals","type":"article-journal","volume":"131"},"uris":["http://www.mendeley.com/documents/?uuid=01a203db-3d79-49b5-a4f9-47df18dffdf7"]},{"id":"ITEM-3","itemData":{"DOI":"10.1016/S1466-6049(00)00034-9","ISBN":"8122217559","ISSN":"14666049","abstract":"Various titania such as monoclinic titania, anatase and rutile were prepared via the heat treatment of protonic layered tetratitanate. The microstructure and hydrogen evolution activity of titania changed significantly depending on the reaction conditions. Generally, the hydrogen evolution activity of titania prepared by solvothermal reactions in water and alcohols at 200-325°C was much higher than that prepared by calcination in air. The solvothermal reactions using methanol and ethanol were much more efficient in increasing the hydrogen evolution activity than when water was used. When the titania formed by the solvothermal reaction in methanol was heated in air, the hydrogen evolution activity decreased with increasing temperature; however, the powders possessed higher hydrogen evolution activity than those produced directly by calcining the protonic layered tetratitanate at the same temperature without a solvothermal treatment. (C) 2000 Elsevier Science Ltd.","author":[{"dropping-particle":"","family":"Yin","given":"Shu","non-dropping-particle":"","parse-names":false,"suffix":""},{"dropping-particle":"","family":"Wu","given":"Jihuai","non-dropping-particle":"","parse-names":false,"suffix":""},{"dropping-particle":"","family":"Aki","given":"Minoru","non-dropping-particle":"","parse-names":false,"suffix":""},{"dropping-particle":"","family":"Sato","given":"Tsugio","non-dropping-particle":"","parse-names":false,"suffix":""}],"container-title":"International Journal of Inorganic Materials","id":"ITEM-3","issue":"4","issued":{"date-parts":[["2000"]]},"page":"325-331","title":"Photocatalytic hydrogen evolution with fibrous titania prepared by the solvothermal reactions of protonic layered tetratitanate (H2Ti4O9)","type":"article-journal","volume":"2"},"uris":["http://www.mendeley.com/documents/?uuid=73852605-5f52-4522-94a0-b32fab21bbb0"]}],"mendeley":{"formattedCitation":"&lt;sup&gt;43–45&lt;/sup&gt;","plainTextFormattedCitation":"43–45","previouslyFormattedCitation":"&lt;sup&gt;43–45&lt;/sup&gt;"},"properties":{"noteIndex":0},"schema":"https://github.com/citation-style-language/schema/raw/master/csl-citation.json"}</w:instrText>
      </w:r>
      <w:r w:rsidRPr="004A211D">
        <w:rPr>
          <w:szCs w:val="24"/>
        </w:rPr>
        <w:fldChar w:fldCharType="separate"/>
      </w:r>
      <w:r w:rsidR="00AE1B1C" w:rsidRPr="004A211D">
        <w:rPr>
          <w:szCs w:val="24"/>
          <w:vertAlign w:val="superscript"/>
        </w:rPr>
        <w:t>43–45</w:t>
      </w:r>
      <w:r w:rsidRPr="004A211D">
        <w:rPr>
          <w:szCs w:val="24"/>
        </w:rPr>
        <w:fldChar w:fldCharType="end"/>
      </w:r>
    </w:p>
    <w:p w14:paraId="4FCD6A28" w14:textId="77777777" w:rsidR="00F945A9" w:rsidRPr="004A211D" w:rsidRDefault="00F945A9" w:rsidP="005F2CAD">
      <w:pPr>
        <w:spacing w:line="360" w:lineRule="auto"/>
        <w:ind w:firstLine="510"/>
        <w:rPr>
          <w:szCs w:val="24"/>
        </w:rPr>
      </w:pPr>
      <w:r w:rsidRPr="004A211D">
        <w:rPr>
          <w:szCs w:val="24"/>
        </w:rPr>
        <w:t xml:space="preserve">The addition of Pt to sample </w:t>
      </w:r>
      <w:r w:rsidRPr="004A211D">
        <w:rPr>
          <w:b/>
          <w:szCs w:val="24"/>
        </w:rPr>
        <w:t>S3_N0.5</w:t>
      </w:r>
      <w:r w:rsidRPr="004A211D">
        <w:rPr>
          <w:szCs w:val="24"/>
        </w:rPr>
        <w:t xml:space="preserve"> does not increase its surface area, in fact in the case of the sample with 2 % Pt added (sample </w:t>
      </w:r>
      <w:r w:rsidRPr="004A211D">
        <w:rPr>
          <w:b/>
          <w:szCs w:val="24"/>
        </w:rPr>
        <w:t>S3_N0.5+2% Pt</w:t>
      </w:r>
      <w:r w:rsidRPr="004A211D">
        <w:rPr>
          <w:szCs w:val="24"/>
        </w:rPr>
        <w:t>) it actually decreases (84.5 m</w:t>
      </w:r>
      <w:r w:rsidRPr="004A211D">
        <w:rPr>
          <w:szCs w:val="24"/>
          <w:vertAlign w:val="superscript"/>
        </w:rPr>
        <w:t>2</w:t>
      </w:r>
      <w:r w:rsidRPr="004A211D">
        <w:rPr>
          <w:szCs w:val="24"/>
        </w:rPr>
        <w:t xml:space="preserve">/g for sample </w:t>
      </w:r>
      <w:r w:rsidRPr="004A211D">
        <w:rPr>
          <w:b/>
          <w:szCs w:val="24"/>
        </w:rPr>
        <w:t>S3_N0.5</w:t>
      </w:r>
      <w:r w:rsidRPr="004A211D">
        <w:rPr>
          <w:szCs w:val="24"/>
        </w:rPr>
        <w:t xml:space="preserve"> and 80.5 m</w:t>
      </w:r>
      <w:r w:rsidRPr="004A211D">
        <w:rPr>
          <w:szCs w:val="24"/>
          <w:vertAlign w:val="superscript"/>
        </w:rPr>
        <w:t>2</w:t>
      </w:r>
      <w:r w:rsidRPr="004A211D">
        <w:rPr>
          <w:szCs w:val="24"/>
        </w:rPr>
        <w:t xml:space="preserve">/g for sample </w:t>
      </w:r>
      <w:r w:rsidRPr="004A211D">
        <w:rPr>
          <w:b/>
          <w:szCs w:val="24"/>
        </w:rPr>
        <w:t>S3_N0.5+2% Pt</w:t>
      </w:r>
      <w:r w:rsidRPr="004A211D">
        <w:rPr>
          <w:szCs w:val="24"/>
        </w:rPr>
        <w:t xml:space="preserve">). Despite this, the sample </w:t>
      </w:r>
      <w:r w:rsidRPr="004A211D">
        <w:rPr>
          <w:b/>
          <w:szCs w:val="24"/>
        </w:rPr>
        <w:t>S3_N0.5+1%Pt</w:t>
      </w:r>
      <w:r w:rsidRPr="004A211D">
        <w:rPr>
          <w:szCs w:val="24"/>
        </w:rPr>
        <w:t xml:space="preserve"> shows much higher photocatalytic activity (</w:t>
      </w:r>
      <w:r w:rsidRPr="004A211D">
        <w:rPr>
          <w:i/>
          <w:szCs w:val="24"/>
        </w:rPr>
        <w:t>k</w:t>
      </w:r>
      <w:r w:rsidRPr="004A211D">
        <w:rPr>
          <w:i/>
          <w:szCs w:val="24"/>
          <w:vertAlign w:val="subscript"/>
        </w:rPr>
        <w:t>0</w:t>
      </w:r>
      <w:r w:rsidRPr="004A211D">
        <w:rPr>
          <w:szCs w:val="24"/>
        </w:rPr>
        <w:t xml:space="preserve">=343 ppm/h), compared to sample </w:t>
      </w:r>
      <w:r w:rsidRPr="004A211D">
        <w:rPr>
          <w:b/>
          <w:szCs w:val="24"/>
        </w:rPr>
        <w:t>S3_N0.5</w:t>
      </w:r>
      <w:r w:rsidRPr="004A211D">
        <w:rPr>
          <w:szCs w:val="24"/>
        </w:rPr>
        <w:t xml:space="preserve"> (</w:t>
      </w:r>
      <w:r w:rsidRPr="004A211D">
        <w:rPr>
          <w:i/>
          <w:szCs w:val="24"/>
        </w:rPr>
        <w:t>k</w:t>
      </w:r>
      <w:r w:rsidRPr="004A211D">
        <w:rPr>
          <w:i/>
          <w:szCs w:val="24"/>
          <w:vertAlign w:val="subscript"/>
        </w:rPr>
        <w:t>0</w:t>
      </w:r>
      <w:r w:rsidRPr="004A211D">
        <w:rPr>
          <w:szCs w:val="24"/>
        </w:rPr>
        <w:t xml:space="preserve">=260 ppm/h). We attribute this to Pt acting as an efficient trap for free electrons, thus inhibiting recombination (confirmed with photocurrent measurements), whilst also improving the free electron transfer to adsorbed pollutants. The activity of sample </w:t>
      </w:r>
      <w:r w:rsidRPr="004A211D">
        <w:rPr>
          <w:b/>
          <w:szCs w:val="24"/>
        </w:rPr>
        <w:t xml:space="preserve">S3_N0.5+3%Pt </w:t>
      </w:r>
      <w:r w:rsidRPr="004A211D">
        <w:rPr>
          <w:szCs w:val="24"/>
        </w:rPr>
        <w:t xml:space="preserve">is equal to the activity of sample </w:t>
      </w:r>
      <w:r w:rsidRPr="004A211D">
        <w:rPr>
          <w:b/>
          <w:szCs w:val="24"/>
        </w:rPr>
        <w:t>S3_N0.5</w:t>
      </w:r>
      <w:r w:rsidRPr="004A211D">
        <w:rPr>
          <w:szCs w:val="24"/>
        </w:rPr>
        <w:t>, but the activity of sample</w:t>
      </w:r>
      <w:r w:rsidRPr="004A211D">
        <w:rPr>
          <w:b/>
          <w:szCs w:val="24"/>
        </w:rPr>
        <w:t xml:space="preserve"> S3_N0.5+2%Pt </w:t>
      </w:r>
      <w:r w:rsidRPr="004A211D">
        <w:rPr>
          <w:szCs w:val="24"/>
        </w:rPr>
        <w:t>has reduced slightly.</w:t>
      </w:r>
    </w:p>
    <w:p w14:paraId="166E7114" w14:textId="31C22F91" w:rsidR="00F945A9" w:rsidRPr="00632A8C" w:rsidRDefault="00F945A9" w:rsidP="005F2CAD">
      <w:pPr>
        <w:spacing w:line="360" w:lineRule="auto"/>
        <w:ind w:firstLine="510"/>
        <w:rPr>
          <w:szCs w:val="24"/>
        </w:rPr>
      </w:pPr>
      <w:r w:rsidRPr="004A211D">
        <w:rPr>
          <w:szCs w:val="24"/>
        </w:rPr>
        <w:t xml:space="preserve">Doping the sample </w:t>
      </w:r>
      <w:r w:rsidRPr="004A211D">
        <w:rPr>
          <w:b/>
          <w:szCs w:val="24"/>
        </w:rPr>
        <w:t>S3_urea15</w:t>
      </w:r>
      <w:r w:rsidRPr="004A211D">
        <w:rPr>
          <w:szCs w:val="24"/>
        </w:rPr>
        <w:t xml:space="preserve"> with Pt (samples </w:t>
      </w:r>
      <w:r w:rsidRPr="004A211D">
        <w:rPr>
          <w:b/>
          <w:szCs w:val="24"/>
        </w:rPr>
        <w:t>S3_urea15+1%Pt</w:t>
      </w:r>
      <w:r w:rsidRPr="004A211D">
        <w:rPr>
          <w:szCs w:val="24"/>
        </w:rPr>
        <w:t xml:space="preserve"> and </w:t>
      </w:r>
      <w:r w:rsidRPr="004A211D">
        <w:rPr>
          <w:b/>
          <w:szCs w:val="24"/>
        </w:rPr>
        <w:t>S3_urea15+2%Pt</w:t>
      </w:r>
      <w:r w:rsidRPr="004A211D">
        <w:rPr>
          <w:szCs w:val="24"/>
        </w:rPr>
        <w:t>) significantly lowers its surface area (82.3 m</w:t>
      </w:r>
      <w:r w:rsidRPr="004A211D">
        <w:rPr>
          <w:szCs w:val="24"/>
          <w:vertAlign w:val="superscript"/>
        </w:rPr>
        <w:t>2</w:t>
      </w:r>
      <w:r w:rsidRPr="004A211D">
        <w:rPr>
          <w:szCs w:val="24"/>
        </w:rPr>
        <w:t xml:space="preserve">/g for sample </w:t>
      </w:r>
      <w:r w:rsidRPr="004A211D">
        <w:rPr>
          <w:b/>
          <w:bCs/>
          <w:szCs w:val="24"/>
        </w:rPr>
        <w:t xml:space="preserve">S3_urea15+1%Pt </w:t>
      </w:r>
      <w:r w:rsidRPr="004A211D">
        <w:rPr>
          <w:szCs w:val="24"/>
        </w:rPr>
        <w:t>and 84.2 m</w:t>
      </w:r>
      <w:r w:rsidRPr="004A211D">
        <w:rPr>
          <w:szCs w:val="24"/>
          <w:vertAlign w:val="superscript"/>
        </w:rPr>
        <w:t>2</w:t>
      </w:r>
      <w:r w:rsidRPr="004A211D">
        <w:rPr>
          <w:szCs w:val="24"/>
        </w:rPr>
        <w:t xml:space="preserve">/g for sample </w:t>
      </w:r>
      <w:r w:rsidRPr="004A211D">
        <w:rPr>
          <w:b/>
          <w:bCs/>
          <w:szCs w:val="24"/>
        </w:rPr>
        <w:t>S3_urea15+2%Pt</w:t>
      </w:r>
      <w:r w:rsidRPr="004A211D">
        <w:rPr>
          <w:bCs/>
          <w:szCs w:val="24"/>
        </w:rPr>
        <w:t>). Furthermore, results of the photocurrent measurements have shown that the addition of Pt significantly</w:t>
      </w:r>
      <w:r w:rsidRPr="00632A8C">
        <w:rPr>
          <w:bCs/>
          <w:szCs w:val="24"/>
        </w:rPr>
        <w:t xml:space="preserve"> increases the photocurrent response, resulting in far higher photocatalytic activity in samples </w:t>
      </w:r>
      <w:r w:rsidRPr="00632A8C">
        <w:rPr>
          <w:b/>
          <w:bCs/>
          <w:szCs w:val="24"/>
        </w:rPr>
        <w:t>S3_urea15+1%Pt</w:t>
      </w:r>
      <w:r w:rsidRPr="00632A8C">
        <w:rPr>
          <w:bCs/>
          <w:szCs w:val="24"/>
        </w:rPr>
        <w:t xml:space="preserve"> (</w:t>
      </w:r>
      <w:r w:rsidRPr="00632A8C">
        <w:rPr>
          <w:bCs/>
          <w:i/>
          <w:szCs w:val="24"/>
        </w:rPr>
        <w:t>k</w:t>
      </w:r>
      <w:r w:rsidRPr="00632A8C">
        <w:rPr>
          <w:bCs/>
          <w:i/>
          <w:szCs w:val="24"/>
          <w:vertAlign w:val="subscript"/>
        </w:rPr>
        <w:t>0</w:t>
      </w:r>
      <w:r w:rsidRPr="00632A8C">
        <w:rPr>
          <w:bCs/>
          <w:szCs w:val="24"/>
        </w:rPr>
        <w:t xml:space="preserve">=420 ppm/h) and </w:t>
      </w:r>
      <w:r w:rsidRPr="00632A8C">
        <w:rPr>
          <w:b/>
          <w:bCs/>
          <w:szCs w:val="24"/>
        </w:rPr>
        <w:t>S3_urea15+2%Pt</w:t>
      </w:r>
      <w:r w:rsidRPr="00632A8C">
        <w:rPr>
          <w:bCs/>
          <w:szCs w:val="24"/>
        </w:rPr>
        <w:t xml:space="preserve"> (</w:t>
      </w:r>
      <w:r w:rsidRPr="00632A8C">
        <w:rPr>
          <w:bCs/>
          <w:i/>
          <w:szCs w:val="24"/>
        </w:rPr>
        <w:t>k</w:t>
      </w:r>
      <w:r w:rsidRPr="00632A8C">
        <w:rPr>
          <w:bCs/>
          <w:i/>
          <w:szCs w:val="24"/>
          <w:vertAlign w:val="subscript"/>
        </w:rPr>
        <w:t>0</w:t>
      </w:r>
      <w:r w:rsidRPr="00632A8C">
        <w:rPr>
          <w:bCs/>
          <w:szCs w:val="24"/>
        </w:rPr>
        <w:t xml:space="preserve">=420 ppm/h) compared to sample </w:t>
      </w:r>
      <w:r w:rsidRPr="00632A8C">
        <w:rPr>
          <w:b/>
          <w:bCs/>
          <w:szCs w:val="24"/>
        </w:rPr>
        <w:t>S3_urea15</w:t>
      </w:r>
      <w:r w:rsidRPr="00632A8C">
        <w:rPr>
          <w:bCs/>
          <w:szCs w:val="24"/>
        </w:rPr>
        <w:t xml:space="preserve"> (</w:t>
      </w:r>
      <w:r w:rsidRPr="00632A8C">
        <w:rPr>
          <w:bCs/>
          <w:i/>
          <w:szCs w:val="24"/>
        </w:rPr>
        <w:t>k</w:t>
      </w:r>
      <w:r w:rsidRPr="00632A8C">
        <w:rPr>
          <w:bCs/>
          <w:i/>
          <w:szCs w:val="24"/>
          <w:vertAlign w:val="subscript"/>
        </w:rPr>
        <w:t>0</w:t>
      </w:r>
      <w:r w:rsidRPr="00632A8C">
        <w:rPr>
          <w:bCs/>
          <w:szCs w:val="24"/>
        </w:rPr>
        <w:t xml:space="preserve">=304 ppm/h). It was found out that metal and non-metal doping, as well as addition of HPC significantly increase the photocatalytic activity of powders under UV and visible light irradiation. In the case of samples </w:t>
      </w:r>
      <w:r w:rsidRPr="00632A8C">
        <w:rPr>
          <w:b/>
          <w:bCs/>
          <w:szCs w:val="24"/>
        </w:rPr>
        <w:t>S3_urea15+1%Pt</w:t>
      </w:r>
      <w:r w:rsidRPr="00632A8C">
        <w:rPr>
          <w:bCs/>
          <w:szCs w:val="24"/>
        </w:rPr>
        <w:t xml:space="preserve"> and </w:t>
      </w:r>
      <w:r w:rsidRPr="00632A8C">
        <w:rPr>
          <w:b/>
          <w:bCs/>
          <w:szCs w:val="24"/>
        </w:rPr>
        <w:t>S3_urea15+2%Pt</w:t>
      </w:r>
      <w:r w:rsidRPr="00632A8C">
        <w:rPr>
          <w:bCs/>
          <w:szCs w:val="24"/>
        </w:rPr>
        <w:t xml:space="preserve"> the photocatalytic activity has been even higher than that of selected anatase sample available on the market: HOMBIKAT UV 100</w:t>
      </w:r>
      <w:r w:rsidR="0065587F">
        <w:rPr>
          <w:bCs/>
          <w:szCs w:val="24"/>
          <w:lang w:val="en-SI"/>
        </w:rPr>
        <w:t xml:space="preserve"> </w:t>
      </w:r>
      <w:r w:rsidRPr="00632A8C">
        <w:rPr>
          <w:bCs/>
          <w:szCs w:val="24"/>
        </w:rPr>
        <w:t>(</w:t>
      </w:r>
      <w:r w:rsidRPr="00632A8C">
        <w:rPr>
          <w:bCs/>
          <w:i/>
          <w:szCs w:val="24"/>
        </w:rPr>
        <w:t>k</w:t>
      </w:r>
      <w:r w:rsidRPr="00632A8C">
        <w:rPr>
          <w:bCs/>
          <w:i/>
          <w:szCs w:val="24"/>
          <w:vertAlign w:val="subscript"/>
        </w:rPr>
        <w:t>0</w:t>
      </w:r>
      <w:r w:rsidRPr="00632A8C">
        <w:rPr>
          <w:bCs/>
          <w:szCs w:val="24"/>
        </w:rPr>
        <w:t>=</w:t>
      </w:r>
      <w:r w:rsidRPr="00632A8C">
        <w:rPr>
          <w:szCs w:val="24"/>
        </w:rPr>
        <w:t>337 ppm/h) (see Table 3).</w:t>
      </w:r>
      <w:r w:rsidR="00251FE8" w:rsidRPr="00632A8C">
        <w:rPr>
          <w:szCs w:val="24"/>
        </w:rPr>
        <w:fldChar w:fldCharType="begin" w:fldLock="1"/>
      </w:r>
      <w:r w:rsidR="00AE1B1C">
        <w:rPr>
          <w:szCs w:val="24"/>
        </w:rPr>
        <w:instrText>ADDIN CSL_CITATION {"citationItems":[{"id":"ITEM-1","itemData":{"DOI":"10.1111/j.1551-2916.2012.05135.x","ISSN":"00027820","abstract":"Silica, nitrogen, and nitrogen-plus-silica co-doped titania powders were synthesized via sol-gel method. The products of the synthesis were thermally treated in air and under ammonia flow. The determination of Si and/or N into the TiO 2 lattice, and the doped samples' crystal structure, was made by means of X-ray powder diffraction, whilst the occurrence of amorphous phase was obtained using the combined Rietveld-RIR method. The optical properties of the powders were obtained by diffuse reflectance spectroscopy and their energy band gaps were calculated using the differential reflectance method. The photocatalytic activity of the doped samples was assessed in gas phase under UV-light and visible-light irradiation, monitoring the degradation of an organic compound. In addition, the morphology of the samples was further on characterized by means of HRTEM. Nitrogen, silica, a</w:instrText>
      </w:r>
      <w:r w:rsidR="00AE1B1C">
        <w:rPr>
          <w:rFonts w:hint="eastAsia"/>
          <w:szCs w:val="24"/>
        </w:rPr>
        <w:instrText xml:space="preserve">nd co-doping shifted the anatase-to-rutile (A </w:instrText>
      </w:r>
      <w:r w:rsidR="00AE1B1C">
        <w:rPr>
          <w:rFonts w:hint="eastAsia"/>
          <w:szCs w:val="24"/>
        </w:rPr>
        <w:instrText>→</w:instrText>
      </w:r>
      <w:r w:rsidR="00AE1B1C">
        <w:rPr>
          <w:rFonts w:hint="eastAsia"/>
          <w:szCs w:val="24"/>
        </w:rPr>
        <w:instrText xml:space="preserve"> R) phase transition toward higher temperatures. Silica was found to enter the anatase lattice, and nitrogen was presumed to enter the titania crystal structure as well. Nitrogen doping and SiO 2/N-co-doping </w:instrText>
      </w:r>
      <w:r w:rsidR="00AE1B1C">
        <w:rPr>
          <w:szCs w:val="24"/>
        </w:rPr>
        <w:instrText>shifted the light absorption toward the visible region. © 2012 The American Ceramic Society.","author":[{"dropping-particle":"","family":"Tobaldi","given":"David M.","non-dropping-particle":"","parse-names":false,"suffix":""},{"dropping-particle":"","family":"Gao","given":"Lian","non-dropping-particle":"","parse-names":false,"suffix":""},{"dropping-particle":"","family":"Gualtieri","given":"Alessandro F.","non-dropping-particle":"","parse-names":false,"suffix":""},{"dropping-particle":"","family":"Škapin","given":"Andrijana Sever","non-dropping-particle":"","parse-names":false,"suffix":""},{"dropping-particle":"","family":"Tucci","given":"Antonella","non-dropping-particle":"","parse-names":false,"suffix":""},{"dropping-particle":"","family":"Giacobbe","given":"Carlotta","non-dropping-particle":"","parse-names":false,"suffix":""}],"container-title":"Journal of the American Ceramic Society","id":"ITEM-1","issue":"5","issued":{"date-parts":[["2012"]]},"page":"1709-1716","title":"Mineralogical and optical characterization of SiO 2-, N-, and SiO 2/N-Co-doped titania nanopowders","type":"article-journal","volume":"95"},"uris":["http://www.mendeley.com/documents/?uuid=03daf427-b0a8-4504-9799-c401f8e4d4cf"]}],"mendeley":{"formattedCitation":"&lt;sup&gt;46&lt;/sup&gt;","plainTextFormattedCitation":"46","previouslyFormattedCitation":"&lt;sup&gt;46&lt;/sup&gt;"},"properties":{"noteIndex":0},"schema":"https://github.com/citation-style-language/schema/raw/master/csl-citation.json"}</w:instrText>
      </w:r>
      <w:r w:rsidR="00251FE8" w:rsidRPr="00632A8C">
        <w:rPr>
          <w:szCs w:val="24"/>
        </w:rPr>
        <w:fldChar w:fldCharType="separate"/>
      </w:r>
      <w:r w:rsidR="00AE1B1C" w:rsidRPr="00AE1B1C">
        <w:rPr>
          <w:szCs w:val="24"/>
          <w:vertAlign w:val="superscript"/>
        </w:rPr>
        <w:t>46</w:t>
      </w:r>
      <w:r w:rsidR="00251FE8" w:rsidRPr="00632A8C">
        <w:rPr>
          <w:szCs w:val="24"/>
        </w:rPr>
        <w:fldChar w:fldCharType="end"/>
      </w:r>
    </w:p>
    <w:p w14:paraId="25F4B900" w14:textId="77777777" w:rsidR="00F945A9" w:rsidRPr="00632A8C" w:rsidRDefault="00F945A9" w:rsidP="00FD4CC0">
      <w:pPr>
        <w:pStyle w:val="Heading1"/>
        <w:rPr>
          <w:rFonts w:ascii="Times New Roman" w:hAnsi="Times New Roman" w:cs="Times New Roman"/>
        </w:rPr>
      </w:pPr>
    </w:p>
    <w:p w14:paraId="3869F956" w14:textId="0AD6AE8A" w:rsidR="00F945A9" w:rsidRPr="00632A8C" w:rsidRDefault="00C11F89" w:rsidP="00FD4CC0">
      <w:pPr>
        <w:pStyle w:val="Heading1"/>
        <w:rPr>
          <w:rFonts w:ascii="Times New Roman" w:hAnsi="Times New Roman" w:cs="Times New Roman"/>
          <w:lang w:val="en-SI"/>
        </w:rPr>
      </w:pPr>
      <w:r w:rsidRPr="00632A8C">
        <w:rPr>
          <w:rFonts w:ascii="Times New Roman" w:hAnsi="Times New Roman" w:cs="Times New Roman"/>
          <w:lang w:val="en-SI"/>
        </w:rPr>
        <w:t>Conclusions</w:t>
      </w:r>
    </w:p>
    <w:p w14:paraId="548F24E5" w14:textId="77777777" w:rsidR="00F945A9" w:rsidRPr="00632A8C" w:rsidRDefault="00F945A9" w:rsidP="005F2CAD">
      <w:pPr>
        <w:spacing w:line="360" w:lineRule="auto"/>
        <w:ind w:firstLine="510"/>
        <w:rPr>
          <w:szCs w:val="24"/>
        </w:rPr>
      </w:pPr>
      <w:r w:rsidRPr="00632A8C">
        <w:rPr>
          <w:szCs w:val="24"/>
        </w:rPr>
        <w:t>In the present work TiO</w:t>
      </w:r>
      <w:r w:rsidRPr="00632A8C">
        <w:rPr>
          <w:szCs w:val="24"/>
          <w:vertAlign w:val="subscript"/>
        </w:rPr>
        <w:t>2</w:t>
      </w:r>
      <w:r w:rsidRPr="00632A8C">
        <w:rPr>
          <w:szCs w:val="24"/>
        </w:rPr>
        <w:t xml:space="preserve"> powders, doped with sulfur and nitrogen and modified with platinum were prepared by means of particulate sol-gel synthesis in order to increase the photocatalytic activity of undoped sample, while the organic polymer hydroxypropyl cellulose (HPC) was added to increase the surface area of the photocatalyst. By substituting HCl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during the synthesis, the resulting samples contained smaller crystallites (31-32 nm for samples synthesized with HCl; 18-25 nm for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We attributed the smaller crystallite size to the formation of TiOSO</w:t>
      </w:r>
      <w:r w:rsidRPr="00632A8C">
        <w:rPr>
          <w:szCs w:val="24"/>
          <w:vertAlign w:val="subscript"/>
        </w:rPr>
        <w:t>4</w:t>
      </w:r>
      <w:r w:rsidRPr="00632A8C">
        <w:rPr>
          <w:szCs w:val="24"/>
        </w:rPr>
        <w:t xml:space="preserve">, </w:t>
      </w:r>
      <w:r w:rsidRPr="00632A8C">
        <w:rPr>
          <w:rStyle w:val="Strong"/>
          <w:szCs w:val="24"/>
        </w:rPr>
        <w:t>which</w:t>
      </w:r>
      <w:r w:rsidRPr="00632A8C">
        <w:rPr>
          <w:szCs w:val="24"/>
        </w:rPr>
        <w:t xml:space="preserve"> inhibits the crystallization of TiO</w:t>
      </w:r>
      <w:r w:rsidRPr="00632A8C">
        <w:rPr>
          <w:szCs w:val="24"/>
          <w:vertAlign w:val="subscript"/>
        </w:rPr>
        <w:t>2</w:t>
      </w:r>
      <w:r w:rsidRPr="00632A8C">
        <w:rPr>
          <w:szCs w:val="24"/>
        </w:rPr>
        <w:t>. Additionally, we observed the presence of β-TiO</w:t>
      </w:r>
      <w:r w:rsidRPr="00632A8C">
        <w:rPr>
          <w:szCs w:val="24"/>
          <w:vertAlign w:val="subscript"/>
        </w:rPr>
        <w:t>2</w:t>
      </w:r>
      <w:r w:rsidRPr="00632A8C">
        <w:rPr>
          <w:szCs w:val="24"/>
        </w:rPr>
        <w:t xml:space="preserve"> in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w:t>
      </w:r>
      <w:r w:rsidRPr="00632A8C">
        <w:rPr>
          <w:szCs w:val="24"/>
        </w:rPr>
        <w:lastRenderedPageBreak/>
        <w:t>The highest percentage of β-TiO</w:t>
      </w:r>
      <w:r w:rsidRPr="00632A8C">
        <w:rPr>
          <w:szCs w:val="24"/>
          <w:vertAlign w:val="subscript"/>
        </w:rPr>
        <w:t xml:space="preserve">2 </w:t>
      </w:r>
      <w:r w:rsidRPr="00632A8C">
        <w:rPr>
          <w:szCs w:val="24"/>
        </w:rPr>
        <w:t xml:space="preserve">was found in sample </w:t>
      </w:r>
      <w:r w:rsidRPr="00632A8C">
        <w:rPr>
          <w:b/>
          <w:szCs w:val="24"/>
        </w:rPr>
        <w:t>S3_thiourea15</w:t>
      </w:r>
      <w:r w:rsidRPr="00632A8C">
        <w:rPr>
          <w:szCs w:val="24"/>
        </w:rPr>
        <w:t xml:space="preserve"> (45 %). The afore-mentioned decrease in the size of crystallites led to a higher specific surface area for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(63.2-103.4 m</w:t>
      </w:r>
      <w:r w:rsidRPr="00632A8C">
        <w:rPr>
          <w:szCs w:val="24"/>
          <w:vertAlign w:val="superscript"/>
        </w:rPr>
        <w:t>2</w:t>
      </w:r>
      <w:r w:rsidRPr="00632A8C">
        <w:rPr>
          <w:szCs w:val="24"/>
        </w:rPr>
        <w:t>/g) compared to those synthesized with HCl (24.2-49.5 m</w:t>
      </w:r>
      <w:r w:rsidRPr="00632A8C">
        <w:rPr>
          <w:szCs w:val="24"/>
          <w:vertAlign w:val="superscript"/>
        </w:rPr>
        <w:t>2</w:t>
      </w:r>
      <w:r w:rsidRPr="00632A8C">
        <w:rPr>
          <w:szCs w:val="24"/>
        </w:rPr>
        <w:t>/g). The addition of NH</w:t>
      </w:r>
      <w:r w:rsidRPr="00632A8C">
        <w:rPr>
          <w:szCs w:val="24"/>
          <w:vertAlign w:val="subscript"/>
        </w:rPr>
        <w:t>4</w:t>
      </w:r>
      <w:r w:rsidRPr="00632A8C">
        <w:rPr>
          <w:szCs w:val="24"/>
        </w:rPr>
        <w:t>NO</w:t>
      </w:r>
      <w:r w:rsidRPr="00632A8C">
        <w:rPr>
          <w:szCs w:val="24"/>
          <w:vertAlign w:val="subscript"/>
        </w:rPr>
        <w:t>3</w:t>
      </w:r>
      <w:r w:rsidRPr="00632A8C">
        <w:rPr>
          <w:szCs w:val="24"/>
        </w:rPr>
        <w:t xml:space="preserve">, urea and thiourea to sample </w:t>
      </w:r>
      <w:r w:rsidRPr="00632A8C">
        <w:rPr>
          <w:b/>
          <w:szCs w:val="24"/>
        </w:rPr>
        <w:t>S3</w:t>
      </w:r>
      <w:r w:rsidRPr="00632A8C">
        <w:rPr>
          <w:szCs w:val="24"/>
        </w:rPr>
        <w:t xml:space="preserve"> increased its porosity. Sample </w:t>
      </w:r>
      <w:r w:rsidRPr="00632A8C">
        <w:rPr>
          <w:b/>
          <w:szCs w:val="24"/>
        </w:rPr>
        <w:t>S3_N2</w:t>
      </w:r>
      <w:r w:rsidRPr="00632A8C">
        <w:rPr>
          <w:szCs w:val="24"/>
        </w:rPr>
        <w:t xml:space="preserve"> had the highest surface area (103.4 m</w:t>
      </w:r>
      <w:r w:rsidRPr="00632A8C">
        <w:rPr>
          <w:szCs w:val="24"/>
          <w:vertAlign w:val="superscript"/>
        </w:rPr>
        <w:t>2</w:t>
      </w:r>
      <w:r w:rsidRPr="00632A8C">
        <w:rPr>
          <w:szCs w:val="24"/>
        </w:rPr>
        <w:t>/g) and the smallest crystallites of anatase (18 nm). The addition of Pt did not increase the sample’s porosity, either in some cases it even decreased it. FE-SEM images confirmed the increased porosity of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Additionally, smaller crystallites were found in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confirming the results of X-Ray diffraction.</w:t>
      </w:r>
    </w:p>
    <w:p w14:paraId="12873811" w14:textId="77777777" w:rsidR="00F945A9" w:rsidRPr="00632A8C" w:rsidRDefault="00F945A9" w:rsidP="005F2CAD">
      <w:pPr>
        <w:spacing w:line="360" w:lineRule="auto"/>
        <w:ind w:firstLine="510"/>
        <w:rPr>
          <w:szCs w:val="24"/>
        </w:rPr>
      </w:pPr>
      <w:r w:rsidRPr="00632A8C">
        <w:rPr>
          <w:szCs w:val="24"/>
        </w:rPr>
        <w:t>The increased porosity of the 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also resulted in greater photocurrent responses in these samples compared to those synthesized with HCl. Despite increasing the specific surface area, the addition of NH</w:t>
      </w:r>
      <w:r w:rsidRPr="00632A8C">
        <w:rPr>
          <w:szCs w:val="24"/>
          <w:vertAlign w:val="subscript"/>
        </w:rPr>
        <w:t>4</w:t>
      </w:r>
      <w:r w:rsidRPr="00632A8C">
        <w:rPr>
          <w:szCs w:val="24"/>
        </w:rPr>
        <w:t>NO</w:t>
      </w:r>
      <w:r w:rsidRPr="00632A8C">
        <w:rPr>
          <w:szCs w:val="24"/>
          <w:vertAlign w:val="subscript"/>
        </w:rPr>
        <w:t>3</w:t>
      </w:r>
      <w:r w:rsidRPr="00632A8C">
        <w:rPr>
          <w:szCs w:val="24"/>
        </w:rPr>
        <w:t xml:space="preserve">, urea and thiourea to </w:t>
      </w:r>
      <w:r w:rsidRPr="00632A8C">
        <w:rPr>
          <w:b/>
          <w:szCs w:val="24"/>
        </w:rPr>
        <w:t>S3</w:t>
      </w:r>
      <w:r w:rsidRPr="00632A8C">
        <w:rPr>
          <w:szCs w:val="24"/>
        </w:rPr>
        <w:t xml:space="preserve"> yielded a lower photocurrent response, with the exception of sample </w:t>
      </w:r>
      <w:r w:rsidRPr="00632A8C">
        <w:rPr>
          <w:b/>
          <w:szCs w:val="24"/>
        </w:rPr>
        <w:t>S3_N2</w:t>
      </w:r>
      <w:r w:rsidRPr="00632A8C">
        <w:rPr>
          <w:szCs w:val="24"/>
        </w:rPr>
        <w:t>, which also had the highest surface area. In all but one case the addition of platinum resulted in greater photocurrent responses.</w:t>
      </w:r>
    </w:p>
    <w:p w14:paraId="687E939A" w14:textId="77777777" w:rsidR="00F945A9" w:rsidRPr="00632A8C" w:rsidRDefault="00F945A9" w:rsidP="005F2CAD">
      <w:pPr>
        <w:spacing w:line="360" w:lineRule="auto"/>
        <w:ind w:firstLine="510"/>
        <w:rPr>
          <w:bCs/>
          <w:szCs w:val="24"/>
        </w:rPr>
      </w:pPr>
      <w:r w:rsidRPr="00632A8C">
        <w:rPr>
          <w:szCs w:val="24"/>
        </w:rPr>
        <w:t>Samples synthesized with H</w:t>
      </w:r>
      <w:r w:rsidRPr="00632A8C">
        <w:rPr>
          <w:szCs w:val="24"/>
          <w:vertAlign w:val="subscript"/>
        </w:rPr>
        <w:t>2</w:t>
      </w:r>
      <w:r w:rsidRPr="00632A8C">
        <w:rPr>
          <w:szCs w:val="24"/>
        </w:rPr>
        <w:t>SO</w:t>
      </w:r>
      <w:r w:rsidRPr="00632A8C">
        <w:rPr>
          <w:szCs w:val="24"/>
          <w:vertAlign w:val="subscript"/>
        </w:rPr>
        <w:t>4</w:t>
      </w:r>
      <w:r w:rsidRPr="00632A8C">
        <w:rPr>
          <w:szCs w:val="24"/>
        </w:rPr>
        <w:t xml:space="preserve"> exhibit higher photocatalytic activity compared to samples synthesized with HCl, which can be explained by larger surface areas and higher photocurrent responses. Out of all the samples with added NH</w:t>
      </w:r>
      <w:r w:rsidRPr="00632A8C">
        <w:rPr>
          <w:szCs w:val="24"/>
          <w:vertAlign w:val="subscript"/>
        </w:rPr>
        <w:t>4</w:t>
      </w:r>
      <w:r w:rsidRPr="00632A8C">
        <w:rPr>
          <w:szCs w:val="24"/>
        </w:rPr>
        <w:t>NO</w:t>
      </w:r>
      <w:r w:rsidRPr="00632A8C">
        <w:rPr>
          <w:szCs w:val="24"/>
          <w:vertAlign w:val="subscript"/>
        </w:rPr>
        <w:t>3</w:t>
      </w:r>
      <w:r w:rsidRPr="00632A8C">
        <w:rPr>
          <w:szCs w:val="24"/>
        </w:rPr>
        <w:t xml:space="preserve">, urea or thiourea, only sample </w:t>
      </w:r>
      <w:r w:rsidRPr="00632A8C">
        <w:rPr>
          <w:b/>
          <w:szCs w:val="24"/>
        </w:rPr>
        <w:t>S3_N2</w:t>
      </w:r>
      <w:r w:rsidRPr="00632A8C">
        <w:rPr>
          <w:szCs w:val="24"/>
        </w:rPr>
        <w:t xml:space="preserve"> has a higher photocatalytic activity compared to sample </w:t>
      </w:r>
      <w:r w:rsidRPr="00632A8C">
        <w:rPr>
          <w:b/>
          <w:szCs w:val="24"/>
        </w:rPr>
        <w:t>S3</w:t>
      </w:r>
      <w:r w:rsidRPr="00632A8C">
        <w:rPr>
          <w:szCs w:val="24"/>
        </w:rPr>
        <w:t xml:space="preserve">. This is also the only sample in this group which exhibit a greater photocurrent response than sample </w:t>
      </w:r>
      <w:r w:rsidRPr="00632A8C">
        <w:rPr>
          <w:b/>
          <w:szCs w:val="24"/>
        </w:rPr>
        <w:t>S3</w:t>
      </w:r>
      <w:r w:rsidRPr="00632A8C">
        <w:rPr>
          <w:szCs w:val="24"/>
        </w:rPr>
        <w:t xml:space="preserve">. The addition of platinum to sample </w:t>
      </w:r>
      <w:r w:rsidRPr="00632A8C">
        <w:rPr>
          <w:b/>
          <w:szCs w:val="24"/>
        </w:rPr>
        <w:t>S3_urea</w:t>
      </w:r>
      <w:r w:rsidRPr="00632A8C">
        <w:rPr>
          <w:szCs w:val="24"/>
        </w:rPr>
        <w:t xml:space="preserve"> significantly increased its photocatalytic activity, which is in agreement with the results of photocurrent measurements. Out of all the samples, samples </w:t>
      </w:r>
      <w:r w:rsidRPr="00632A8C">
        <w:rPr>
          <w:b/>
          <w:szCs w:val="24"/>
        </w:rPr>
        <w:t>S3_urea15+1%Pt</w:t>
      </w:r>
      <w:r w:rsidRPr="00632A8C">
        <w:rPr>
          <w:szCs w:val="24"/>
        </w:rPr>
        <w:t xml:space="preserve"> and </w:t>
      </w:r>
      <w:r w:rsidRPr="00632A8C">
        <w:rPr>
          <w:b/>
          <w:szCs w:val="24"/>
        </w:rPr>
        <w:t>S3_urea15+2%Pt</w:t>
      </w:r>
      <w:r w:rsidRPr="00632A8C">
        <w:rPr>
          <w:szCs w:val="24"/>
        </w:rPr>
        <w:t xml:space="preserve"> showed the highest photocatalytic activity </w:t>
      </w:r>
      <w:r w:rsidRPr="00632A8C">
        <w:rPr>
          <w:bCs/>
          <w:szCs w:val="24"/>
        </w:rPr>
        <w:t>(</w:t>
      </w:r>
      <w:r w:rsidRPr="00632A8C">
        <w:rPr>
          <w:bCs/>
          <w:i/>
          <w:szCs w:val="24"/>
        </w:rPr>
        <w:t>k</w:t>
      </w:r>
      <w:r w:rsidRPr="00632A8C">
        <w:rPr>
          <w:bCs/>
          <w:i/>
          <w:szCs w:val="24"/>
          <w:vertAlign w:val="subscript"/>
        </w:rPr>
        <w:t>0</w:t>
      </w:r>
      <w:r w:rsidRPr="00632A8C">
        <w:rPr>
          <w:bCs/>
          <w:szCs w:val="24"/>
        </w:rPr>
        <w:t>=420 ppm/h)</w:t>
      </w:r>
      <w:r w:rsidRPr="00632A8C">
        <w:rPr>
          <w:szCs w:val="24"/>
        </w:rPr>
        <w:t xml:space="preserve">, which was even higher than the activity of the well-known pure anatase photocatalyst HOMBIKAT UV 100 </w:t>
      </w:r>
      <w:r w:rsidRPr="00632A8C">
        <w:rPr>
          <w:bCs/>
          <w:szCs w:val="24"/>
        </w:rPr>
        <w:t>(</w:t>
      </w:r>
      <w:r w:rsidRPr="00632A8C">
        <w:rPr>
          <w:bCs/>
          <w:i/>
          <w:szCs w:val="24"/>
        </w:rPr>
        <w:t>k</w:t>
      </w:r>
      <w:r w:rsidRPr="00632A8C">
        <w:rPr>
          <w:bCs/>
          <w:i/>
          <w:szCs w:val="24"/>
          <w:vertAlign w:val="subscript"/>
        </w:rPr>
        <w:t>0</w:t>
      </w:r>
      <w:r w:rsidRPr="00632A8C">
        <w:rPr>
          <w:bCs/>
          <w:szCs w:val="24"/>
        </w:rPr>
        <w:t>=</w:t>
      </w:r>
      <w:r w:rsidRPr="00632A8C">
        <w:rPr>
          <w:szCs w:val="24"/>
        </w:rPr>
        <w:t xml:space="preserve">337 ppm/h). </w:t>
      </w:r>
      <w:r w:rsidRPr="00632A8C">
        <w:rPr>
          <w:bCs/>
          <w:szCs w:val="24"/>
        </w:rPr>
        <w:t>We were able to significantly increase the photocatalytic activity of powders under UV and visible light irradiation by increasing the surface area and photocurrent response with non-metal and metal doping.</w:t>
      </w:r>
    </w:p>
    <w:p w14:paraId="5AF17A52" w14:textId="297B38A7" w:rsidR="00F945A9" w:rsidRPr="00632A8C" w:rsidRDefault="00F945A9" w:rsidP="00C11F89">
      <w:pPr>
        <w:rPr>
          <w:szCs w:val="24"/>
        </w:rPr>
      </w:pPr>
    </w:p>
    <w:p w14:paraId="77392852" w14:textId="77777777" w:rsidR="00C11F89" w:rsidRPr="00632A8C" w:rsidRDefault="00C11F89" w:rsidP="00C11F89">
      <w:pPr>
        <w:rPr>
          <w:szCs w:val="24"/>
        </w:rPr>
      </w:pPr>
    </w:p>
    <w:p w14:paraId="7CEE93E5" w14:textId="77777777" w:rsidR="00F945A9" w:rsidRPr="00632A8C" w:rsidRDefault="00F945A9" w:rsidP="00C11F89">
      <w:pPr>
        <w:pStyle w:val="MDPI62BackMatter"/>
        <w:rPr>
          <w:rFonts w:ascii="Times New Roman" w:hAnsi="Times New Roman"/>
          <w:b/>
          <w:sz w:val="24"/>
          <w:szCs w:val="24"/>
        </w:rPr>
      </w:pPr>
    </w:p>
    <w:p w14:paraId="6ADBF5F3" w14:textId="77777777" w:rsidR="00C11F89" w:rsidRPr="00632A8C" w:rsidRDefault="00C11F89" w:rsidP="00C11F89">
      <w:pPr>
        <w:pStyle w:val="MDPI62BackMatter"/>
        <w:ind w:left="0"/>
        <w:rPr>
          <w:rFonts w:ascii="Times New Roman" w:hAnsi="Times New Roman"/>
          <w:b/>
          <w:sz w:val="36"/>
          <w:szCs w:val="36"/>
          <w:lang w:val="en-SI"/>
        </w:rPr>
      </w:pPr>
      <w:r w:rsidRPr="00632A8C">
        <w:rPr>
          <w:rFonts w:ascii="Times New Roman" w:hAnsi="Times New Roman"/>
          <w:b/>
          <w:sz w:val="36"/>
          <w:szCs w:val="36"/>
          <w:lang w:val="en-SI"/>
        </w:rPr>
        <w:t>Acknowledgements</w:t>
      </w:r>
    </w:p>
    <w:p w14:paraId="40E94DAA" w14:textId="1B3609AA" w:rsidR="00F945A9" w:rsidRPr="00723682" w:rsidRDefault="00F945A9" w:rsidP="005F2CAD">
      <w:pPr>
        <w:pStyle w:val="MDPI62BackMatter"/>
        <w:spacing w:line="360" w:lineRule="auto"/>
        <w:ind w:left="0" w:firstLine="510"/>
        <w:rPr>
          <w:rFonts w:ascii="Times New Roman" w:hAnsi="Times New Roman"/>
          <w:bCs/>
          <w:sz w:val="24"/>
          <w:szCs w:val="24"/>
        </w:rPr>
      </w:pPr>
      <w:r w:rsidRPr="00632A8C">
        <w:rPr>
          <w:rFonts w:ascii="Times New Roman" w:hAnsi="Times New Roman"/>
          <w:iCs/>
          <w:sz w:val="24"/>
          <w:szCs w:val="24"/>
        </w:rPr>
        <w:t xml:space="preserve">The authors acknowledge the financial support from the Slovenian Research Agency (research core funding Nos. P1-0134 and P2-0273, while part of the work was conducted under project No. NC-0002). B. Ž. is </w:t>
      </w:r>
      <w:r w:rsidRPr="00632A8C">
        <w:rPr>
          <w:rFonts w:ascii="Times New Roman" w:hAnsi="Times New Roman"/>
          <w:iCs/>
          <w:sz w:val="24"/>
          <w:szCs w:val="24"/>
        </w:rPr>
        <w:lastRenderedPageBreak/>
        <w:t xml:space="preserve">grateful to Slovenian Research Agency for the position of young researcher enabling him the doctoral study. M. R. also acknowledges </w:t>
      </w:r>
      <w:r w:rsidRPr="00632A8C">
        <w:rPr>
          <w:rFonts w:ascii="Times New Roman" w:hAnsi="Times New Roman"/>
          <w:sz w:val="24"/>
          <w:szCs w:val="24"/>
        </w:rPr>
        <w:t xml:space="preserve">the Operational </w:t>
      </w:r>
      <w:proofErr w:type="spellStart"/>
      <w:r w:rsidRPr="00632A8C">
        <w:rPr>
          <w:rFonts w:ascii="Times New Roman" w:hAnsi="Times New Roman"/>
          <w:sz w:val="24"/>
          <w:szCs w:val="24"/>
        </w:rPr>
        <w:t>Programme</w:t>
      </w:r>
      <w:proofErr w:type="spellEnd"/>
      <w:r w:rsidRPr="00632A8C">
        <w:rPr>
          <w:rFonts w:ascii="Times New Roman" w:hAnsi="Times New Roman"/>
          <w:sz w:val="24"/>
          <w:szCs w:val="24"/>
        </w:rPr>
        <w:t xml:space="preserve"> Research, Development and Education, project No. CZ.02.1.</w:t>
      </w:r>
      <w:proofErr w:type="gramStart"/>
      <w:r w:rsidRPr="00632A8C">
        <w:rPr>
          <w:rFonts w:ascii="Times New Roman" w:hAnsi="Times New Roman"/>
          <w:sz w:val="24"/>
          <w:szCs w:val="24"/>
        </w:rPr>
        <w:t>01./</w:t>
      </w:r>
      <w:proofErr w:type="gramEnd"/>
      <w:r w:rsidRPr="00632A8C">
        <w:rPr>
          <w:rFonts w:ascii="Times New Roman" w:hAnsi="Times New Roman"/>
          <w:sz w:val="24"/>
          <w:szCs w:val="24"/>
        </w:rPr>
        <w:t>0.0/0.0/17_049/0008419 „COOPERATION“.</w:t>
      </w:r>
      <w:r w:rsidR="00C11F89" w:rsidRPr="00632A8C">
        <w:rPr>
          <w:rFonts w:ascii="Times New Roman" w:hAnsi="Times New Roman"/>
          <w:sz w:val="24"/>
          <w:szCs w:val="24"/>
          <w:lang w:val="en-SI"/>
        </w:rPr>
        <w:t xml:space="preserve"> </w:t>
      </w:r>
      <w:r w:rsidRPr="00632A8C">
        <w:rPr>
          <w:rFonts w:ascii="Times New Roman" w:hAnsi="Times New Roman"/>
          <w:bCs/>
          <w:sz w:val="24"/>
          <w:szCs w:val="24"/>
        </w:rPr>
        <w:t xml:space="preserve">The authors thank to </w:t>
      </w:r>
      <w:proofErr w:type="spellStart"/>
      <w:r w:rsidRPr="00632A8C">
        <w:rPr>
          <w:rFonts w:ascii="Times New Roman" w:hAnsi="Times New Roman"/>
          <w:bCs/>
          <w:sz w:val="24"/>
          <w:szCs w:val="24"/>
        </w:rPr>
        <w:t>Mojca</w:t>
      </w:r>
      <w:proofErr w:type="spellEnd"/>
      <w:r w:rsidRPr="00632A8C">
        <w:rPr>
          <w:rFonts w:ascii="Times New Roman" w:hAnsi="Times New Roman"/>
          <w:bCs/>
          <w:sz w:val="24"/>
          <w:szCs w:val="24"/>
        </w:rPr>
        <w:t xml:space="preserve"> </w:t>
      </w:r>
      <w:proofErr w:type="spellStart"/>
      <w:r w:rsidRPr="00632A8C">
        <w:rPr>
          <w:rFonts w:ascii="Times New Roman" w:hAnsi="Times New Roman"/>
          <w:bCs/>
          <w:sz w:val="24"/>
          <w:szCs w:val="24"/>
        </w:rPr>
        <w:t>Opresnik</w:t>
      </w:r>
      <w:proofErr w:type="spellEnd"/>
      <w:r w:rsidRPr="00632A8C">
        <w:rPr>
          <w:rFonts w:ascii="Times New Roman" w:hAnsi="Times New Roman"/>
          <w:bCs/>
          <w:sz w:val="24"/>
          <w:szCs w:val="24"/>
        </w:rPr>
        <w:t xml:space="preserve"> from the National Institute of Chemistry for BET measurements and to Edi Kranjc (also from the National Institute of Chemistry) for performing XRD measurements.</w:t>
      </w:r>
    </w:p>
    <w:p w14:paraId="5781A1B6" w14:textId="4A8B26C8" w:rsidR="006B1A68" w:rsidRPr="00632A8C" w:rsidRDefault="006B1A68" w:rsidP="00B24094">
      <w:pPr>
        <w:pStyle w:val="MDPI62BackMatter"/>
        <w:spacing w:line="276" w:lineRule="auto"/>
        <w:ind w:left="0"/>
        <w:rPr>
          <w:rFonts w:ascii="Times New Roman" w:hAnsi="Times New Roman"/>
          <w:sz w:val="24"/>
          <w:szCs w:val="24"/>
        </w:rPr>
      </w:pPr>
    </w:p>
    <w:p w14:paraId="575B9208" w14:textId="77777777" w:rsidR="006B1A68" w:rsidRPr="00632A8C" w:rsidRDefault="006B1A68" w:rsidP="00C11F89">
      <w:pPr>
        <w:pStyle w:val="MDPI62BackMatter"/>
        <w:ind w:left="0"/>
        <w:rPr>
          <w:rFonts w:ascii="Times New Roman" w:hAnsi="Times New Roman"/>
          <w:sz w:val="24"/>
          <w:szCs w:val="24"/>
        </w:rPr>
      </w:pPr>
    </w:p>
    <w:p w14:paraId="194626D8" w14:textId="77777777" w:rsidR="00F945A9" w:rsidRPr="00632A8C" w:rsidRDefault="00F945A9" w:rsidP="00C11F89">
      <w:pPr>
        <w:pStyle w:val="MDPI21heading1"/>
        <w:ind w:left="0"/>
        <w:rPr>
          <w:rFonts w:ascii="Times New Roman" w:hAnsi="Times New Roman"/>
          <w:sz w:val="36"/>
          <w:szCs w:val="36"/>
        </w:rPr>
      </w:pPr>
      <w:r w:rsidRPr="00632A8C">
        <w:rPr>
          <w:rFonts w:ascii="Times New Roman" w:hAnsi="Times New Roman"/>
          <w:sz w:val="36"/>
          <w:szCs w:val="36"/>
        </w:rPr>
        <w:t>References</w:t>
      </w:r>
    </w:p>
    <w:p w14:paraId="7310EB85" w14:textId="239BF4FC" w:rsidR="00AE1B1C" w:rsidRPr="00AE1B1C" w:rsidRDefault="00F945A9" w:rsidP="00AE1B1C">
      <w:pPr>
        <w:widowControl w:val="0"/>
        <w:autoSpaceDE w:val="0"/>
        <w:autoSpaceDN w:val="0"/>
        <w:adjustRightInd w:val="0"/>
        <w:spacing w:line="240" w:lineRule="auto"/>
        <w:ind w:left="640" w:hanging="640"/>
        <w:rPr>
          <w:szCs w:val="24"/>
        </w:rPr>
      </w:pPr>
      <w:r w:rsidRPr="00632A8C">
        <w:rPr>
          <w:b/>
          <w:szCs w:val="24"/>
        </w:rPr>
        <w:fldChar w:fldCharType="begin" w:fldLock="1"/>
      </w:r>
      <w:r w:rsidRPr="00632A8C">
        <w:rPr>
          <w:b/>
          <w:szCs w:val="24"/>
        </w:rPr>
        <w:instrText xml:space="preserve">ADDIN Mendeley Bibliography CSL_BIBLIOGRAPHY </w:instrText>
      </w:r>
      <w:r w:rsidRPr="00632A8C">
        <w:rPr>
          <w:b/>
          <w:szCs w:val="24"/>
        </w:rPr>
        <w:fldChar w:fldCharType="separate"/>
      </w:r>
      <w:r w:rsidR="00AE1B1C" w:rsidRPr="00AE1B1C">
        <w:rPr>
          <w:szCs w:val="24"/>
        </w:rPr>
        <w:t>1.</w:t>
      </w:r>
      <w:r w:rsidR="00AE1B1C" w:rsidRPr="00AE1B1C">
        <w:rPr>
          <w:szCs w:val="24"/>
        </w:rPr>
        <w:tab/>
        <w:t xml:space="preserve">R. Fagan, D. E. McCormack, D. D. Dionysiou, S. C. Pillai, </w:t>
      </w:r>
      <w:r w:rsidR="00AE1B1C" w:rsidRPr="00AE1B1C">
        <w:rPr>
          <w:i/>
          <w:iCs/>
          <w:szCs w:val="24"/>
        </w:rPr>
        <w:t>Mater. Sci. Semicond. Process.</w:t>
      </w:r>
      <w:r w:rsidR="00AE1B1C" w:rsidRPr="00AE1B1C">
        <w:rPr>
          <w:szCs w:val="24"/>
        </w:rPr>
        <w:t xml:space="preserve"> </w:t>
      </w:r>
      <w:r w:rsidR="00AE1B1C" w:rsidRPr="00AE1B1C">
        <w:rPr>
          <w:b/>
          <w:bCs/>
          <w:szCs w:val="24"/>
        </w:rPr>
        <w:t>2016</w:t>
      </w:r>
      <w:r w:rsidR="00AE1B1C" w:rsidRPr="00AE1B1C">
        <w:rPr>
          <w:szCs w:val="24"/>
        </w:rPr>
        <w:t xml:space="preserve">, </w:t>
      </w:r>
      <w:r w:rsidR="00AE1B1C" w:rsidRPr="00AE1B1C">
        <w:rPr>
          <w:i/>
          <w:iCs/>
          <w:szCs w:val="24"/>
        </w:rPr>
        <w:t>42</w:t>
      </w:r>
      <w:r w:rsidR="00AE1B1C" w:rsidRPr="00AE1B1C">
        <w:rPr>
          <w:szCs w:val="24"/>
        </w:rPr>
        <w:t>, 2–14.</w:t>
      </w:r>
    </w:p>
    <w:p w14:paraId="6B283132"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w:t>
      </w:r>
      <w:r w:rsidRPr="00AE1B1C">
        <w:rPr>
          <w:szCs w:val="24"/>
        </w:rPr>
        <w:tab/>
        <w:t xml:space="preserve">R. Marchant, L. Brohan, M. Tournox, </w:t>
      </w:r>
      <w:r w:rsidRPr="00AE1B1C">
        <w:rPr>
          <w:i/>
          <w:iCs/>
          <w:szCs w:val="24"/>
        </w:rPr>
        <w:t>Mater. Res. Bull.</w:t>
      </w:r>
      <w:r w:rsidRPr="00AE1B1C">
        <w:rPr>
          <w:szCs w:val="24"/>
        </w:rPr>
        <w:t xml:space="preserve"> </w:t>
      </w:r>
      <w:r w:rsidRPr="00AE1B1C">
        <w:rPr>
          <w:b/>
          <w:bCs/>
          <w:szCs w:val="24"/>
        </w:rPr>
        <w:t>1980</w:t>
      </w:r>
      <w:r w:rsidRPr="00AE1B1C">
        <w:rPr>
          <w:szCs w:val="24"/>
        </w:rPr>
        <w:t xml:space="preserve">, </w:t>
      </w:r>
      <w:r w:rsidRPr="00AE1B1C">
        <w:rPr>
          <w:i/>
          <w:iCs/>
          <w:szCs w:val="24"/>
        </w:rPr>
        <w:t>15</w:t>
      </w:r>
      <w:r w:rsidRPr="00AE1B1C">
        <w:rPr>
          <w:szCs w:val="24"/>
        </w:rPr>
        <w:t>, 1129–1133.</w:t>
      </w:r>
    </w:p>
    <w:p w14:paraId="7FF429F2"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w:t>
      </w:r>
      <w:r w:rsidRPr="00AE1B1C">
        <w:rPr>
          <w:szCs w:val="24"/>
        </w:rPr>
        <w:tab/>
        <w:t xml:space="preserve">S. León-Ríos, R. Espinoza González, S. Fuentes, E. Chávez Ángel, A. Echeverría, A. E. Serrano, C. S. Demergasso, R. A. Zárate, </w:t>
      </w:r>
      <w:r w:rsidRPr="00AE1B1C">
        <w:rPr>
          <w:i/>
          <w:iCs/>
          <w:szCs w:val="24"/>
        </w:rPr>
        <w:t>J. Nanomater.</w:t>
      </w:r>
      <w:r w:rsidRPr="00AE1B1C">
        <w:rPr>
          <w:szCs w:val="24"/>
        </w:rPr>
        <w:t xml:space="preserve"> </w:t>
      </w:r>
      <w:r w:rsidRPr="00AE1B1C">
        <w:rPr>
          <w:b/>
          <w:bCs/>
          <w:szCs w:val="24"/>
        </w:rPr>
        <w:t>2016</w:t>
      </w:r>
      <w:r w:rsidRPr="00AE1B1C">
        <w:rPr>
          <w:szCs w:val="24"/>
        </w:rPr>
        <w:t xml:space="preserve">, </w:t>
      </w:r>
      <w:r w:rsidRPr="00AE1B1C">
        <w:rPr>
          <w:i/>
          <w:iCs/>
          <w:szCs w:val="24"/>
        </w:rPr>
        <w:t>2016</w:t>
      </w:r>
      <w:r w:rsidRPr="00AE1B1C">
        <w:rPr>
          <w:szCs w:val="24"/>
        </w:rPr>
        <w:t>, 1–8.</w:t>
      </w:r>
    </w:p>
    <w:p w14:paraId="54FA2093"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w:t>
      </w:r>
      <w:r w:rsidRPr="00AE1B1C">
        <w:rPr>
          <w:szCs w:val="24"/>
        </w:rPr>
        <w:tab/>
        <w:t xml:space="preserve">T. Fröschl, U. Hörmann, P. Kubiak, G. Kučerová, M. Pfanzelt, C. K. Weiss, R. J. Behm, N. Hüsing, U. Kaiser, K. Landfester, M. Wohlfahrt-Mehrens, </w:t>
      </w:r>
      <w:r w:rsidRPr="00AE1B1C">
        <w:rPr>
          <w:i/>
          <w:iCs/>
          <w:szCs w:val="24"/>
        </w:rPr>
        <w:t>Chem. Soc. Rev.</w:t>
      </w:r>
      <w:r w:rsidRPr="00AE1B1C">
        <w:rPr>
          <w:szCs w:val="24"/>
        </w:rPr>
        <w:t xml:space="preserve"> </w:t>
      </w:r>
      <w:r w:rsidRPr="00AE1B1C">
        <w:rPr>
          <w:b/>
          <w:bCs/>
          <w:szCs w:val="24"/>
        </w:rPr>
        <w:t>2012</w:t>
      </w:r>
      <w:r w:rsidRPr="00AE1B1C">
        <w:rPr>
          <w:szCs w:val="24"/>
        </w:rPr>
        <w:t xml:space="preserve">, </w:t>
      </w:r>
      <w:r w:rsidRPr="00AE1B1C">
        <w:rPr>
          <w:i/>
          <w:iCs/>
          <w:szCs w:val="24"/>
        </w:rPr>
        <w:t>41</w:t>
      </w:r>
      <w:r w:rsidRPr="00AE1B1C">
        <w:rPr>
          <w:szCs w:val="24"/>
        </w:rPr>
        <w:t>, 5313–5360.</w:t>
      </w:r>
    </w:p>
    <w:p w14:paraId="1AC08464"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5.</w:t>
      </w:r>
      <w:r w:rsidRPr="00AE1B1C">
        <w:rPr>
          <w:szCs w:val="24"/>
        </w:rPr>
        <w:tab/>
        <w:t xml:space="preserve">M. Grätzel, </w:t>
      </w:r>
      <w:r w:rsidRPr="00AE1B1C">
        <w:rPr>
          <w:i/>
          <w:iCs/>
          <w:szCs w:val="24"/>
        </w:rPr>
        <w:t>J. Sol- Gel Sci. Technol.</w:t>
      </w:r>
      <w:r w:rsidRPr="00AE1B1C">
        <w:rPr>
          <w:szCs w:val="24"/>
        </w:rPr>
        <w:t xml:space="preserve"> </w:t>
      </w:r>
      <w:r w:rsidRPr="00AE1B1C">
        <w:rPr>
          <w:b/>
          <w:bCs/>
          <w:szCs w:val="24"/>
        </w:rPr>
        <w:t>2001</w:t>
      </w:r>
      <w:r w:rsidRPr="00AE1B1C">
        <w:rPr>
          <w:szCs w:val="24"/>
        </w:rPr>
        <w:t xml:space="preserve">, </w:t>
      </w:r>
      <w:r w:rsidRPr="00AE1B1C">
        <w:rPr>
          <w:i/>
          <w:iCs/>
          <w:szCs w:val="24"/>
        </w:rPr>
        <w:t>22</w:t>
      </w:r>
      <w:r w:rsidRPr="00AE1B1C">
        <w:rPr>
          <w:szCs w:val="24"/>
        </w:rPr>
        <w:t>, 7–13.</w:t>
      </w:r>
    </w:p>
    <w:p w14:paraId="66A3B3C3"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6.</w:t>
      </w:r>
      <w:r w:rsidRPr="00AE1B1C">
        <w:rPr>
          <w:szCs w:val="24"/>
        </w:rPr>
        <w:tab/>
        <w:t xml:space="preserve">M. Fitra, I. Daut, M. Irwanto, N. Gomesh, Y. M. Irwan, </w:t>
      </w:r>
      <w:r w:rsidRPr="00AE1B1C">
        <w:rPr>
          <w:i/>
          <w:iCs/>
          <w:szCs w:val="24"/>
        </w:rPr>
        <w:t>Energy Procedia</w:t>
      </w:r>
      <w:r w:rsidRPr="00AE1B1C">
        <w:rPr>
          <w:szCs w:val="24"/>
        </w:rPr>
        <w:t xml:space="preserve"> </w:t>
      </w:r>
      <w:r w:rsidRPr="00AE1B1C">
        <w:rPr>
          <w:b/>
          <w:bCs/>
          <w:szCs w:val="24"/>
        </w:rPr>
        <w:t>2013</w:t>
      </w:r>
      <w:r w:rsidRPr="00AE1B1C">
        <w:rPr>
          <w:szCs w:val="24"/>
        </w:rPr>
        <w:t xml:space="preserve">, </w:t>
      </w:r>
      <w:r w:rsidRPr="00AE1B1C">
        <w:rPr>
          <w:i/>
          <w:iCs/>
          <w:szCs w:val="24"/>
        </w:rPr>
        <w:t>36</w:t>
      </w:r>
      <w:r w:rsidRPr="00AE1B1C">
        <w:rPr>
          <w:szCs w:val="24"/>
        </w:rPr>
        <w:t>, 278–286.</w:t>
      </w:r>
    </w:p>
    <w:p w14:paraId="31342BF6"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7.</w:t>
      </w:r>
      <w:r w:rsidRPr="00AE1B1C">
        <w:rPr>
          <w:szCs w:val="24"/>
        </w:rPr>
        <w:tab/>
        <w:t xml:space="preserve">M. Hassan, Y. Zhao, B. Xie, </w:t>
      </w:r>
      <w:r w:rsidRPr="00AE1B1C">
        <w:rPr>
          <w:i/>
          <w:iCs/>
          <w:szCs w:val="24"/>
        </w:rPr>
        <w:t>Chem. Eng. J.</w:t>
      </w:r>
      <w:r w:rsidRPr="00AE1B1C">
        <w:rPr>
          <w:szCs w:val="24"/>
        </w:rPr>
        <w:t xml:space="preserve"> </w:t>
      </w:r>
      <w:r w:rsidRPr="00AE1B1C">
        <w:rPr>
          <w:b/>
          <w:bCs/>
          <w:szCs w:val="24"/>
        </w:rPr>
        <w:t>2016</w:t>
      </w:r>
      <w:r w:rsidRPr="00AE1B1C">
        <w:rPr>
          <w:szCs w:val="24"/>
        </w:rPr>
        <w:t xml:space="preserve">, </w:t>
      </w:r>
      <w:r w:rsidRPr="00AE1B1C">
        <w:rPr>
          <w:i/>
          <w:iCs/>
          <w:szCs w:val="24"/>
        </w:rPr>
        <w:t>285</w:t>
      </w:r>
      <w:r w:rsidRPr="00AE1B1C">
        <w:rPr>
          <w:szCs w:val="24"/>
        </w:rPr>
        <w:t>, 264–275.</w:t>
      </w:r>
    </w:p>
    <w:p w14:paraId="39875A54"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8.</w:t>
      </w:r>
      <w:r w:rsidRPr="00AE1B1C">
        <w:rPr>
          <w:szCs w:val="24"/>
        </w:rPr>
        <w:tab/>
        <w:t xml:space="preserve">M. Rozman, J. Cerar, M. Lukšič, M. Uršič, A. Mourtzikou, H. Spreizer, I. K. Škofic, E. Stathatos, </w:t>
      </w:r>
      <w:r w:rsidRPr="00AE1B1C">
        <w:rPr>
          <w:i/>
          <w:iCs/>
          <w:szCs w:val="24"/>
        </w:rPr>
        <w:t>Electrochim. Acta</w:t>
      </w:r>
      <w:r w:rsidRPr="00AE1B1C">
        <w:rPr>
          <w:szCs w:val="24"/>
        </w:rPr>
        <w:t xml:space="preserve"> </w:t>
      </w:r>
      <w:r w:rsidRPr="00AE1B1C">
        <w:rPr>
          <w:b/>
          <w:bCs/>
          <w:szCs w:val="24"/>
        </w:rPr>
        <w:t>2017</w:t>
      </w:r>
      <w:r w:rsidRPr="00AE1B1C">
        <w:rPr>
          <w:szCs w:val="24"/>
        </w:rPr>
        <w:t xml:space="preserve">, </w:t>
      </w:r>
      <w:r w:rsidRPr="00AE1B1C">
        <w:rPr>
          <w:i/>
          <w:iCs/>
          <w:szCs w:val="24"/>
        </w:rPr>
        <w:t>238</w:t>
      </w:r>
      <w:r w:rsidRPr="00AE1B1C">
        <w:rPr>
          <w:szCs w:val="24"/>
        </w:rPr>
        <w:t>, 278–287.</w:t>
      </w:r>
    </w:p>
    <w:p w14:paraId="18A119D1"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9.</w:t>
      </w:r>
      <w:r w:rsidRPr="00AE1B1C">
        <w:rPr>
          <w:szCs w:val="24"/>
        </w:rPr>
        <w:tab/>
        <w:t xml:space="preserve">J.-M. Herrmann, C. Guillard, P. Pichat, </w:t>
      </w:r>
      <w:r w:rsidRPr="00AE1B1C">
        <w:rPr>
          <w:i/>
          <w:iCs/>
          <w:szCs w:val="24"/>
        </w:rPr>
        <w:t>Catal. Today</w:t>
      </w:r>
      <w:r w:rsidRPr="00AE1B1C">
        <w:rPr>
          <w:szCs w:val="24"/>
        </w:rPr>
        <w:t xml:space="preserve"> </w:t>
      </w:r>
      <w:r w:rsidRPr="00AE1B1C">
        <w:rPr>
          <w:b/>
          <w:bCs/>
          <w:szCs w:val="24"/>
        </w:rPr>
        <w:t>1993</w:t>
      </w:r>
      <w:r w:rsidRPr="00AE1B1C">
        <w:rPr>
          <w:szCs w:val="24"/>
        </w:rPr>
        <w:t xml:space="preserve">, </w:t>
      </w:r>
      <w:r w:rsidRPr="00AE1B1C">
        <w:rPr>
          <w:i/>
          <w:iCs/>
          <w:szCs w:val="24"/>
        </w:rPr>
        <w:t>17</w:t>
      </w:r>
      <w:r w:rsidRPr="00AE1B1C">
        <w:rPr>
          <w:szCs w:val="24"/>
        </w:rPr>
        <w:t>, 7–20.</w:t>
      </w:r>
    </w:p>
    <w:p w14:paraId="77681D78"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10.</w:t>
      </w:r>
      <w:r w:rsidRPr="00AE1B1C">
        <w:rPr>
          <w:szCs w:val="24"/>
        </w:rPr>
        <w:tab/>
        <w:t xml:space="preserve">H. Zhao, S. Chen, X. Quan, H. Yu, H. Zhao, </w:t>
      </w:r>
      <w:r w:rsidRPr="00AE1B1C">
        <w:rPr>
          <w:i/>
          <w:iCs/>
          <w:szCs w:val="24"/>
        </w:rPr>
        <w:t>Appl. Catal. B Environ.</w:t>
      </w:r>
      <w:r w:rsidRPr="00AE1B1C">
        <w:rPr>
          <w:szCs w:val="24"/>
        </w:rPr>
        <w:t xml:space="preserve"> </w:t>
      </w:r>
      <w:r w:rsidRPr="00AE1B1C">
        <w:rPr>
          <w:b/>
          <w:bCs/>
          <w:szCs w:val="24"/>
        </w:rPr>
        <w:t>2016</w:t>
      </w:r>
      <w:r w:rsidRPr="00AE1B1C">
        <w:rPr>
          <w:szCs w:val="24"/>
        </w:rPr>
        <w:t xml:space="preserve">, </w:t>
      </w:r>
      <w:r w:rsidRPr="00AE1B1C">
        <w:rPr>
          <w:i/>
          <w:iCs/>
          <w:szCs w:val="24"/>
        </w:rPr>
        <w:t>194</w:t>
      </w:r>
      <w:r w:rsidRPr="00AE1B1C">
        <w:rPr>
          <w:szCs w:val="24"/>
        </w:rPr>
        <w:t>, 134–140.</w:t>
      </w:r>
    </w:p>
    <w:p w14:paraId="703F8DC9"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11.</w:t>
      </w:r>
      <w:r w:rsidRPr="00AE1B1C">
        <w:rPr>
          <w:szCs w:val="24"/>
        </w:rPr>
        <w:tab/>
        <w:t xml:space="preserve">J. Yu, P. Zhang, H. Yu, C. Trapalis, </w:t>
      </w:r>
      <w:r w:rsidRPr="00AE1B1C">
        <w:rPr>
          <w:i/>
          <w:iCs/>
          <w:szCs w:val="24"/>
        </w:rPr>
        <w:t>Int. J. Photoenergy</w:t>
      </w:r>
      <w:r w:rsidRPr="00AE1B1C">
        <w:rPr>
          <w:szCs w:val="24"/>
        </w:rPr>
        <w:t xml:space="preserve"> </w:t>
      </w:r>
      <w:r w:rsidRPr="00AE1B1C">
        <w:rPr>
          <w:b/>
          <w:bCs/>
          <w:szCs w:val="24"/>
        </w:rPr>
        <w:t>2012</w:t>
      </w:r>
      <w:r w:rsidRPr="00AE1B1C">
        <w:rPr>
          <w:szCs w:val="24"/>
        </w:rPr>
        <w:t xml:space="preserve">, </w:t>
      </w:r>
      <w:r w:rsidRPr="00AE1B1C">
        <w:rPr>
          <w:i/>
          <w:iCs/>
          <w:szCs w:val="24"/>
        </w:rPr>
        <w:t>2012</w:t>
      </w:r>
      <w:r w:rsidRPr="00AE1B1C">
        <w:rPr>
          <w:szCs w:val="24"/>
        </w:rPr>
        <w:t>, 1–4.</w:t>
      </w:r>
    </w:p>
    <w:p w14:paraId="512F4856"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12.</w:t>
      </w:r>
      <w:r w:rsidRPr="00AE1B1C">
        <w:rPr>
          <w:szCs w:val="24"/>
        </w:rPr>
        <w:tab/>
        <w:t xml:space="preserve">Z. Xing, J. Zhang, J. Cui, J. Yin, T. Zhao, J. Kuang, Z. Xiu, N. Wan, W. Zhou, </w:t>
      </w:r>
      <w:r w:rsidRPr="00AE1B1C">
        <w:rPr>
          <w:i/>
          <w:iCs/>
          <w:szCs w:val="24"/>
        </w:rPr>
        <w:t>Appl. Catal. B Environ.</w:t>
      </w:r>
      <w:r w:rsidRPr="00AE1B1C">
        <w:rPr>
          <w:szCs w:val="24"/>
        </w:rPr>
        <w:t xml:space="preserve"> </w:t>
      </w:r>
      <w:r w:rsidRPr="00AE1B1C">
        <w:rPr>
          <w:b/>
          <w:bCs/>
          <w:szCs w:val="24"/>
        </w:rPr>
        <w:t>2018</w:t>
      </w:r>
      <w:r w:rsidRPr="00AE1B1C">
        <w:rPr>
          <w:szCs w:val="24"/>
        </w:rPr>
        <w:t xml:space="preserve">, </w:t>
      </w:r>
      <w:r w:rsidRPr="00AE1B1C">
        <w:rPr>
          <w:i/>
          <w:iCs/>
          <w:szCs w:val="24"/>
        </w:rPr>
        <w:t>225</w:t>
      </w:r>
      <w:r w:rsidRPr="00AE1B1C">
        <w:rPr>
          <w:szCs w:val="24"/>
        </w:rPr>
        <w:t>, 452–467.</w:t>
      </w:r>
    </w:p>
    <w:p w14:paraId="1DF6EFE0"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13.</w:t>
      </w:r>
      <w:r w:rsidRPr="00AE1B1C">
        <w:rPr>
          <w:szCs w:val="24"/>
        </w:rPr>
        <w:tab/>
        <w:t xml:space="preserve">S. Zhu, D. Wang, </w:t>
      </w:r>
      <w:r w:rsidRPr="00AE1B1C">
        <w:rPr>
          <w:i/>
          <w:iCs/>
          <w:szCs w:val="24"/>
        </w:rPr>
        <w:t>Adv. Energy Mater.</w:t>
      </w:r>
      <w:r w:rsidRPr="00AE1B1C">
        <w:rPr>
          <w:szCs w:val="24"/>
        </w:rPr>
        <w:t xml:space="preserve"> </w:t>
      </w:r>
      <w:r w:rsidRPr="00AE1B1C">
        <w:rPr>
          <w:b/>
          <w:bCs/>
          <w:szCs w:val="24"/>
        </w:rPr>
        <w:t>2017</w:t>
      </w:r>
      <w:r w:rsidRPr="00AE1B1C">
        <w:rPr>
          <w:szCs w:val="24"/>
        </w:rPr>
        <w:t xml:space="preserve">, </w:t>
      </w:r>
      <w:r w:rsidRPr="00AE1B1C">
        <w:rPr>
          <w:i/>
          <w:iCs/>
          <w:szCs w:val="24"/>
        </w:rPr>
        <w:t>7</w:t>
      </w:r>
      <w:r w:rsidRPr="00AE1B1C">
        <w:rPr>
          <w:szCs w:val="24"/>
        </w:rPr>
        <w:t>, 1–24.</w:t>
      </w:r>
    </w:p>
    <w:p w14:paraId="255D15AE"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14.</w:t>
      </w:r>
      <w:r w:rsidRPr="00AE1B1C">
        <w:rPr>
          <w:szCs w:val="24"/>
        </w:rPr>
        <w:tab/>
        <w:t xml:space="preserve">C. B. Almquist, P. Biswas, </w:t>
      </w:r>
      <w:r w:rsidRPr="00AE1B1C">
        <w:rPr>
          <w:i/>
          <w:iCs/>
          <w:szCs w:val="24"/>
        </w:rPr>
        <w:t>J. Catal.</w:t>
      </w:r>
      <w:r w:rsidRPr="00AE1B1C">
        <w:rPr>
          <w:szCs w:val="24"/>
        </w:rPr>
        <w:t xml:space="preserve"> </w:t>
      </w:r>
      <w:r w:rsidRPr="00AE1B1C">
        <w:rPr>
          <w:b/>
          <w:bCs/>
          <w:szCs w:val="24"/>
        </w:rPr>
        <w:t>2002</w:t>
      </w:r>
      <w:r w:rsidRPr="00AE1B1C">
        <w:rPr>
          <w:szCs w:val="24"/>
        </w:rPr>
        <w:t xml:space="preserve">, </w:t>
      </w:r>
      <w:r w:rsidRPr="00AE1B1C">
        <w:rPr>
          <w:i/>
          <w:iCs/>
          <w:szCs w:val="24"/>
        </w:rPr>
        <w:t>212</w:t>
      </w:r>
      <w:r w:rsidRPr="00AE1B1C">
        <w:rPr>
          <w:szCs w:val="24"/>
        </w:rPr>
        <w:t>, 145–156.</w:t>
      </w:r>
    </w:p>
    <w:p w14:paraId="7F157B9D"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15.</w:t>
      </w:r>
      <w:r w:rsidRPr="00AE1B1C">
        <w:rPr>
          <w:szCs w:val="24"/>
        </w:rPr>
        <w:tab/>
        <w:t xml:space="preserve">A. V. Vorontsov, E. N. Kabachkov, I. L. Balikhin, E. N. Kurkin, V. N. Troitskii, P. G. Smirniotis, </w:t>
      </w:r>
      <w:r w:rsidRPr="00AE1B1C">
        <w:rPr>
          <w:i/>
          <w:iCs/>
          <w:szCs w:val="24"/>
        </w:rPr>
        <w:t>J. Adv. Oxid. Technol.</w:t>
      </w:r>
      <w:r w:rsidRPr="00AE1B1C">
        <w:rPr>
          <w:szCs w:val="24"/>
        </w:rPr>
        <w:t xml:space="preserve"> </w:t>
      </w:r>
      <w:r w:rsidRPr="00AE1B1C">
        <w:rPr>
          <w:b/>
          <w:bCs/>
          <w:szCs w:val="24"/>
        </w:rPr>
        <w:t>2018</w:t>
      </w:r>
      <w:r w:rsidRPr="00AE1B1C">
        <w:rPr>
          <w:szCs w:val="24"/>
        </w:rPr>
        <w:t xml:space="preserve">, </w:t>
      </w:r>
      <w:r w:rsidRPr="00AE1B1C">
        <w:rPr>
          <w:i/>
          <w:iCs/>
          <w:szCs w:val="24"/>
        </w:rPr>
        <w:t>21</w:t>
      </w:r>
      <w:r w:rsidRPr="00AE1B1C">
        <w:rPr>
          <w:szCs w:val="24"/>
        </w:rPr>
        <w:t>, 127–137.</w:t>
      </w:r>
    </w:p>
    <w:p w14:paraId="76343A35"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16.</w:t>
      </w:r>
      <w:r w:rsidRPr="00AE1B1C">
        <w:rPr>
          <w:szCs w:val="24"/>
        </w:rPr>
        <w:tab/>
        <w:t xml:space="preserve">C. C. Wang, Z. Zhang, J. Y. Ying, </w:t>
      </w:r>
      <w:r w:rsidRPr="00AE1B1C">
        <w:rPr>
          <w:i/>
          <w:iCs/>
          <w:szCs w:val="24"/>
        </w:rPr>
        <w:t>Nanostructured Mater.</w:t>
      </w:r>
      <w:r w:rsidRPr="00AE1B1C">
        <w:rPr>
          <w:szCs w:val="24"/>
        </w:rPr>
        <w:t xml:space="preserve"> </w:t>
      </w:r>
      <w:r w:rsidRPr="00AE1B1C">
        <w:rPr>
          <w:b/>
          <w:bCs/>
          <w:szCs w:val="24"/>
        </w:rPr>
        <w:t>1997</w:t>
      </w:r>
      <w:r w:rsidRPr="00AE1B1C">
        <w:rPr>
          <w:szCs w:val="24"/>
        </w:rPr>
        <w:t xml:space="preserve">, </w:t>
      </w:r>
      <w:r w:rsidRPr="00AE1B1C">
        <w:rPr>
          <w:i/>
          <w:iCs/>
          <w:szCs w:val="24"/>
        </w:rPr>
        <w:t>9</w:t>
      </w:r>
      <w:r w:rsidRPr="00AE1B1C">
        <w:rPr>
          <w:szCs w:val="24"/>
        </w:rPr>
        <w:t>, 583–586.</w:t>
      </w:r>
    </w:p>
    <w:p w14:paraId="4CA9ECFA"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17.</w:t>
      </w:r>
      <w:r w:rsidRPr="00AE1B1C">
        <w:rPr>
          <w:szCs w:val="24"/>
        </w:rPr>
        <w:tab/>
        <w:t xml:space="preserve">Z. Zhang, C.-C. Wang, R. Zakaria, J. Y. Ying, </w:t>
      </w:r>
      <w:r w:rsidRPr="00AE1B1C">
        <w:rPr>
          <w:i/>
          <w:iCs/>
          <w:szCs w:val="24"/>
        </w:rPr>
        <w:t>J. Phys. Chem. B</w:t>
      </w:r>
      <w:r w:rsidRPr="00AE1B1C">
        <w:rPr>
          <w:szCs w:val="24"/>
        </w:rPr>
        <w:t xml:space="preserve"> </w:t>
      </w:r>
      <w:r w:rsidRPr="00AE1B1C">
        <w:rPr>
          <w:b/>
          <w:bCs/>
          <w:szCs w:val="24"/>
        </w:rPr>
        <w:t>2002</w:t>
      </w:r>
      <w:r w:rsidRPr="00AE1B1C">
        <w:rPr>
          <w:szCs w:val="24"/>
        </w:rPr>
        <w:t xml:space="preserve">, </w:t>
      </w:r>
      <w:r w:rsidRPr="00AE1B1C">
        <w:rPr>
          <w:i/>
          <w:iCs/>
          <w:szCs w:val="24"/>
        </w:rPr>
        <w:t>102</w:t>
      </w:r>
      <w:r w:rsidRPr="00AE1B1C">
        <w:rPr>
          <w:szCs w:val="24"/>
        </w:rPr>
        <w:t>, 10871–10878.</w:t>
      </w:r>
    </w:p>
    <w:p w14:paraId="2DF5180D"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18.</w:t>
      </w:r>
      <w:r w:rsidRPr="00AE1B1C">
        <w:rPr>
          <w:szCs w:val="24"/>
        </w:rPr>
        <w:tab/>
        <w:t xml:space="preserve">A. J. Maira, K. L. Yeung, C. Y. Lee, P. L. Yue, C. K. Chan, </w:t>
      </w:r>
      <w:r w:rsidRPr="00AE1B1C">
        <w:rPr>
          <w:i/>
          <w:iCs/>
          <w:szCs w:val="24"/>
        </w:rPr>
        <w:t>J. Catal.</w:t>
      </w:r>
      <w:r w:rsidRPr="00AE1B1C">
        <w:rPr>
          <w:szCs w:val="24"/>
        </w:rPr>
        <w:t xml:space="preserve"> </w:t>
      </w:r>
      <w:r w:rsidRPr="00AE1B1C">
        <w:rPr>
          <w:b/>
          <w:bCs/>
          <w:szCs w:val="24"/>
        </w:rPr>
        <w:t>2000</w:t>
      </w:r>
      <w:r w:rsidRPr="00AE1B1C">
        <w:rPr>
          <w:szCs w:val="24"/>
        </w:rPr>
        <w:t xml:space="preserve">, </w:t>
      </w:r>
      <w:r w:rsidRPr="00AE1B1C">
        <w:rPr>
          <w:i/>
          <w:iCs/>
          <w:szCs w:val="24"/>
        </w:rPr>
        <w:t>192</w:t>
      </w:r>
      <w:r w:rsidRPr="00AE1B1C">
        <w:rPr>
          <w:szCs w:val="24"/>
        </w:rPr>
        <w:t>, 185–196.</w:t>
      </w:r>
    </w:p>
    <w:p w14:paraId="2EA86D69"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19.</w:t>
      </w:r>
      <w:r w:rsidRPr="00AE1B1C">
        <w:rPr>
          <w:szCs w:val="24"/>
        </w:rPr>
        <w:tab/>
        <w:t xml:space="preserve">Y. Li, B. P. Bastakoti, M. Imura, S. M. Hwang, Z. Sun, J. H. Kim, S. X. Dou, Y. Yamauchi, </w:t>
      </w:r>
      <w:r w:rsidRPr="00AE1B1C">
        <w:rPr>
          <w:i/>
          <w:iCs/>
          <w:szCs w:val="24"/>
        </w:rPr>
        <w:t>Chem. - A Eur. J.</w:t>
      </w:r>
      <w:r w:rsidRPr="00AE1B1C">
        <w:rPr>
          <w:szCs w:val="24"/>
        </w:rPr>
        <w:t xml:space="preserve"> </w:t>
      </w:r>
      <w:r w:rsidRPr="00AE1B1C">
        <w:rPr>
          <w:b/>
          <w:bCs/>
          <w:szCs w:val="24"/>
        </w:rPr>
        <w:t>2014</w:t>
      </w:r>
      <w:r w:rsidRPr="00AE1B1C">
        <w:rPr>
          <w:szCs w:val="24"/>
        </w:rPr>
        <w:t xml:space="preserve">, </w:t>
      </w:r>
      <w:r w:rsidRPr="00AE1B1C">
        <w:rPr>
          <w:i/>
          <w:iCs/>
          <w:szCs w:val="24"/>
        </w:rPr>
        <w:t>20</w:t>
      </w:r>
      <w:r w:rsidRPr="00AE1B1C">
        <w:rPr>
          <w:szCs w:val="24"/>
        </w:rPr>
        <w:t>, 6027–6032.</w:t>
      </w:r>
    </w:p>
    <w:p w14:paraId="0E7A21F3"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20.</w:t>
      </w:r>
      <w:r w:rsidRPr="00AE1B1C">
        <w:rPr>
          <w:szCs w:val="24"/>
        </w:rPr>
        <w:tab/>
        <w:t xml:space="preserve">W. Dong, Y. Sun, C. W. Lee, W. Hua, X. Lu, Y. Shi, S. Zhang, J. Chen, D. Zhao, </w:t>
      </w:r>
      <w:r w:rsidRPr="00AE1B1C">
        <w:rPr>
          <w:i/>
          <w:iCs/>
          <w:szCs w:val="24"/>
        </w:rPr>
        <w:t>J. Am. Chem. Soc.</w:t>
      </w:r>
      <w:r w:rsidRPr="00AE1B1C">
        <w:rPr>
          <w:szCs w:val="24"/>
        </w:rPr>
        <w:t xml:space="preserve"> </w:t>
      </w:r>
      <w:r w:rsidRPr="00AE1B1C">
        <w:rPr>
          <w:b/>
          <w:bCs/>
          <w:szCs w:val="24"/>
        </w:rPr>
        <w:t>2007</w:t>
      </w:r>
      <w:r w:rsidRPr="00AE1B1C">
        <w:rPr>
          <w:szCs w:val="24"/>
        </w:rPr>
        <w:t xml:space="preserve">, </w:t>
      </w:r>
      <w:r w:rsidRPr="00AE1B1C">
        <w:rPr>
          <w:i/>
          <w:iCs/>
          <w:szCs w:val="24"/>
        </w:rPr>
        <w:t>129</w:t>
      </w:r>
      <w:r w:rsidRPr="00AE1B1C">
        <w:rPr>
          <w:szCs w:val="24"/>
        </w:rPr>
        <w:t>, 13894–13904.</w:t>
      </w:r>
    </w:p>
    <w:p w14:paraId="7E7521B8"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21.</w:t>
      </w:r>
      <w:r w:rsidRPr="00AE1B1C">
        <w:rPr>
          <w:szCs w:val="24"/>
        </w:rPr>
        <w:tab/>
        <w:t xml:space="preserve">K. Kato, A. Tsuzuki, Y. Torii, H. Taoda, T. Kato, Y. Butsugan, </w:t>
      </w:r>
      <w:r w:rsidRPr="00AE1B1C">
        <w:rPr>
          <w:i/>
          <w:iCs/>
          <w:szCs w:val="24"/>
        </w:rPr>
        <w:t>J. Mater. Sci.</w:t>
      </w:r>
      <w:r w:rsidRPr="00AE1B1C">
        <w:rPr>
          <w:szCs w:val="24"/>
        </w:rPr>
        <w:t xml:space="preserve"> </w:t>
      </w:r>
      <w:r w:rsidRPr="00AE1B1C">
        <w:rPr>
          <w:b/>
          <w:bCs/>
          <w:szCs w:val="24"/>
        </w:rPr>
        <w:t>1995</w:t>
      </w:r>
      <w:r w:rsidRPr="00AE1B1C">
        <w:rPr>
          <w:szCs w:val="24"/>
        </w:rPr>
        <w:t xml:space="preserve">, </w:t>
      </w:r>
      <w:r w:rsidRPr="00AE1B1C">
        <w:rPr>
          <w:i/>
          <w:iCs/>
          <w:szCs w:val="24"/>
        </w:rPr>
        <w:t>30</w:t>
      </w:r>
      <w:r w:rsidRPr="00AE1B1C">
        <w:rPr>
          <w:szCs w:val="24"/>
        </w:rPr>
        <w:t>, 837–841.</w:t>
      </w:r>
    </w:p>
    <w:p w14:paraId="6E9B83C1"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22.</w:t>
      </w:r>
      <w:r w:rsidRPr="00AE1B1C">
        <w:rPr>
          <w:szCs w:val="24"/>
        </w:rPr>
        <w:tab/>
        <w:t xml:space="preserve">J. Zhang, Y. Deng, D. Gu, S. Wang, L. She, R. Che, Z. S. Wang, B. Tu, S. Xie, D. Zhao, </w:t>
      </w:r>
      <w:r w:rsidRPr="00AE1B1C">
        <w:rPr>
          <w:i/>
          <w:iCs/>
          <w:szCs w:val="24"/>
        </w:rPr>
        <w:t>Adv. Energy Mater.</w:t>
      </w:r>
      <w:r w:rsidRPr="00AE1B1C">
        <w:rPr>
          <w:szCs w:val="24"/>
        </w:rPr>
        <w:t xml:space="preserve"> </w:t>
      </w:r>
      <w:r w:rsidRPr="00AE1B1C">
        <w:rPr>
          <w:b/>
          <w:bCs/>
          <w:szCs w:val="24"/>
        </w:rPr>
        <w:t>2011</w:t>
      </w:r>
      <w:r w:rsidRPr="00AE1B1C">
        <w:rPr>
          <w:szCs w:val="24"/>
        </w:rPr>
        <w:t xml:space="preserve">, </w:t>
      </w:r>
      <w:r w:rsidRPr="00AE1B1C">
        <w:rPr>
          <w:i/>
          <w:iCs/>
          <w:szCs w:val="24"/>
        </w:rPr>
        <w:t>1</w:t>
      </w:r>
      <w:r w:rsidRPr="00AE1B1C">
        <w:rPr>
          <w:szCs w:val="24"/>
        </w:rPr>
        <w:t>, 241–248.</w:t>
      </w:r>
    </w:p>
    <w:p w14:paraId="5F1A8350"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23.</w:t>
      </w:r>
      <w:r w:rsidRPr="00AE1B1C">
        <w:rPr>
          <w:szCs w:val="24"/>
        </w:rPr>
        <w:tab/>
        <w:t xml:space="preserve">J. Vargas Hernández, S. Coste, A. García Murillo, F. Carrillo Romo, A. Kassiba, </w:t>
      </w:r>
      <w:r w:rsidRPr="00AE1B1C">
        <w:rPr>
          <w:i/>
          <w:iCs/>
          <w:szCs w:val="24"/>
        </w:rPr>
        <w:t>J. Alloys Compd.</w:t>
      </w:r>
      <w:r w:rsidRPr="00AE1B1C">
        <w:rPr>
          <w:szCs w:val="24"/>
        </w:rPr>
        <w:t xml:space="preserve"> </w:t>
      </w:r>
      <w:r w:rsidRPr="00AE1B1C">
        <w:rPr>
          <w:b/>
          <w:bCs/>
          <w:szCs w:val="24"/>
        </w:rPr>
        <w:t>2017</w:t>
      </w:r>
      <w:r w:rsidRPr="00AE1B1C">
        <w:rPr>
          <w:szCs w:val="24"/>
        </w:rPr>
        <w:t xml:space="preserve">, </w:t>
      </w:r>
      <w:r w:rsidRPr="00AE1B1C">
        <w:rPr>
          <w:i/>
          <w:iCs/>
          <w:szCs w:val="24"/>
        </w:rPr>
        <w:t>710</w:t>
      </w:r>
      <w:r w:rsidRPr="00AE1B1C">
        <w:rPr>
          <w:szCs w:val="24"/>
        </w:rPr>
        <w:t>, 355–363.</w:t>
      </w:r>
    </w:p>
    <w:p w14:paraId="172C8C2D"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lastRenderedPageBreak/>
        <w:t>24.</w:t>
      </w:r>
      <w:r w:rsidRPr="00AE1B1C">
        <w:rPr>
          <w:szCs w:val="24"/>
        </w:rPr>
        <w:tab/>
        <w:t xml:space="preserve">N. A. M. Barakat, M. A. Kanjwal, I. S. Chronakis, H. Y. Kim, </w:t>
      </w:r>
      <w:r w:rsidRPr="00AE1B1C">
        <w:rPr>
          <w:i/>
          <w:iCs/>
          <w:szCs w:val="24"/>
        </w:rPr>
        <w:t>J. Mol. Catal. A Chem.</w:t>
      </w:r>
      <w:r w:rsidRPr="00AE1B1C">
        <w:rPr>
          <w:szCs w:val="24"/>
        </w:rPr>
        <w:t xml:space="preserve"> </w:t>
      </w:r>
      <w:r w:rsidRPr="00AE1B1C">
        <w:rPr>
          <w:b/>
          <w:bCs/>
          <w:szCs w:val="24"/>
        </w:rPr>
        <w:t>2013</w:t>
      </w:r>
      <w:r w:rsidRPr="00AE1B1C">
        <w:rPr>
          <w:szCs w:val="24"/>
        </w:rPr>
        <w:t xml:space="preserve">, </w:t>
      </w:r>
      <w:r w:rsidRPr="00AE1B1C">
        <w:rPr>
          <w:i/>
          <w:iCs/>
          <w:szCs w:val="24"/>
        </w:rPr>
        <w:t>366</w:t>
      </w:r>
      <w:r w:rsidRPr="00AE1B1C">
        <w:rPr>
          <w:szCs w:val="24"/>
        </w:rPr>
        <w:t>, 333–340.</w:t>
      </w:r>
    </w:p>
    <w:p w14:paraId="230A5458"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25.</w:t>
      </w:r>
      <w:r w:rsidRPr="00AE1B1C">
        <w:rPr>
          <w:szCs w:val="24"/>
        </w:rPr>
        <w:tab/>
        <w:t xml:space="preserve">N. Sobana, M. Muruganadham, M. Swaminathan, </w:t>
      </w:r>
      <w:r w:rsidRPr="00AE1B1C">
        <w:rPr>
          <w:i/>
          <w:iCs/>
          <w:szCs w:val="24"/>
        </w:rPr>
        <w:t>J. Mol. Catal. A Chem.</w:t>
      </w:r>
      <w:r w:rsidRPr="00AE1B1C">
        <w:rPr>
          <w:szCs w:val="24"/>
        </w:rPr>
        <w:t xml:space="preserve"> </w:t>
      </w:r>
      <w:r w:rsidRPr="00AE1B1C">
        <w:rPr>
          <w:b/>
          <w:bCs/>
          <w:szCs w:val="24"/>
        </w:rPr>
        <w:t>2006</w:t>
      </w:r>
      <w:r w:rsidRPr="00AE1B1C">
        <w:rPr>
          <w:szCs w:val="24"/>
        </w:rPr>
        <w:t xml:space="preserve">, </w:t>
      </w:r>
      <w:r w:rsidRPr="00AE1B1C">
        <w:rPr>
          <w:i/>
          <w:iCs/>
          <w:szCs w:val="24"/>
        </w:rPr>
        <w:t>258</w:t>
      </w:r>
      <w:r w:rsidRPr="00AE1B1C">
        <w:rPr>
          <w:szCs w:val="24"/>
        </w:rPr>
        <w:t>, 124–132.</w:t>
      </w:r>
    </w:p>
    <w:p w14:paraId="5E527E12"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26.</w:t>
      </w:r>
      <w:r w:rsidRPr="00AE1B1C">
        <w:rPr>
          <w:szCs w:val="24"/>
        </w:rPr>
        <w:tab/>
        <w:t xml:space="preserve">D. Hufschmidt, D. Bahnemann, J. J. Testa, C. A. Emilio, M. I. Litter, </w:t>
      </w:r>
      <w:r w:rsidRPr="00AE1B1C">
        <w:rPr>
          <w:i/>
          <w:iCs/>
          <w:szCs w:val="24"/>
        </w:rPr>
        <w:t>J. Photochem. Photobiol. A Chem.</w:t>
      </w:r>
      <w:r w:rsidRPr="00AE1B1C">
        <w:rPr>
          <w:szCs w:val="24"/>
        </w:rPr>
        <w:t xml:space="preserve"> </w:t>
      </w:r>
      <w:r w:rsidRPr="00AE1B1C">
        <w:rPr>
          <w:b/>
          <w:bCs/>
          <w:szCs w:val="24"/>
        </w:rPr>
        <w:t>2002</w:t>
      </w:r>
      <w:r w:rsidRPr="00AE1B1C">
        <w:rPr>
          <w:szCs w:val="24"/>
        </w:rPr>
        <w:t xml:space="preserve">, </w:t>
      </w:r>
      <w:r w:rsidRPr="00AE1B1C">
        <w:rPr>
          <w:i/>
          <w:iCs/>
          <w:szCs w:val="24"/>
        </w:rPr>
        <w:t>148</w:t>
      </w:r>
      <w:r w:rsidRPr="00AE1B1C">
        <w:rPr>
          <w:szCs w:val="24"/>
        </w:rPr>
        <w:t>, 223–231.</w:t>
      </w:r>
    </w:p>
    <w:p w14:paraId="1DBB6B08"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27.</w:t>
      </w:r>
      <w:r w:rsidRPr="00AE1B1C">
        <w:rPr>
          <w:szCs w:val="24"/>
        </w:rPr>
        <w:tab/>
        <w:t xml:space="preserve">S. Sakthivel, M. V. Shankar, M. Palanichamy, B. Arabindoo, D. W. Bahnemann, V. Murugesan, </w:t>
      </w:r>
      <w:r w:rsidRPr="00AE1B1C">
        <w:rPr>
          <w:i/>
          <w:iCs/>
          <w:szCs w:val="24"/>
        </w:rPr>
        <w:t>Water Res.</w:t>
      </w:r>
      <w:r w:rsidRPr="00AE1B1C">
        <w:rPr>
          <w:szCs w:val="24"/>
        </w:rPr>
        <w:t xml:space="preserve"> </w:t>
      </w:r>
      <w:r w:rsidRPr="00AE1B1C">
        <w:rPr>
          <w:b/>
          <w:bCs/>
          <w:szCs w:val="24"/>
        </w:rPr>
        <w:t>2004</w:t>
      </w:r>
      <w:r w:rsidRPr="00AE1B1C">
        <w:rPr>
          <w:szCs w:val="24"/>
        </w:rPr>
        <w:t xml:space="preserve">, </w:t>
      </w:r>
      <w:r w:rsidRPr="00AE1B1C">
        <w:rPr>
          <w:i/>
          <w:iCs/>
          <w:szCs w:val="24"/>
        </w:rPr>
        <w:t>38</w:t>
      </w:r>
      <w:r w:rsidRPr="00AE1B1C">
        <w:rPr>
          <w:szCs w:val="24"/>
        </w:rPr>
        <w:t>, 3001–3008.</w:t>
      </w:r>
    </w:p>
    <w:p w14:paraId="3A05DA5D"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28.</w:t>
      </w:r>
      <w:r w:rsidRPr="00AE1B1C">
        <w:rPr>
          <w:szCs w:val="24"/>
        </w:rPr>
        <w:tab/>
        <w:t xml:space="preserve">J. H. Kim, G. Kwon, H. Lim, C. Zhu, H. You, Y. T. Kim, </w:t>
      </w:r>
      <w:r w:rsidRPr="00AE1B1C">
        <w:rPr>
          <w:i/>
          <w:iCs/>
          <w:szCs w:val="24"/>
        </w:rPr>
        <w:t>J. Power Sources</w:t>
      </w:r>
      <w:r w:rsidRPr="00AE1B1C">
        <w:rPr>
          <w:szCs w:val="24"/>
        </w:rPr>
        <w:t xml:space="preserve"> </w:t>
      </w:r>
      <w:r w:rsidRPr="00AE1B1C">
        <w:rPr>
          <w:b/>
          <w:bCs/>
          <w:szCs w:val="24"/>
        </w:rPr>
        <w:t>2016</w:t>
      </w:r>
      <w:r w:rsidRPr="00AE1B1C">
        <w:rPr>
          <w:szCs w:val="24"/>
        </w:rPr>
        <w:t xml:space="preserve">, </w:t>
      </w:r>
      <w:r w:rsidRPr="00AE1B1C">
        <w:rPr>
          <w:i/>
          <w:iCs/>
          <w:szCs w:val="24"/>
        </w:rPr>
        <w:t>320</w:t>
      </w:r>
      <w:r w:rsidRPr="00AE1B1C">
        <w:rPr>
          <w:szCs w:val="24"/>
        </w:rPr>
        <w:t>, 188–195.</w:t>
      </w:r>
    </w:p>
    <w:p w14:paraId="0D96EE11"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29.</w:t>
      </w:r>
      <w:r w:rsidRPr="00AE1B1C">
        <w:rPr>
          <w:szCs w:val="24"/>
        </w:rPr>
        <w:tab/>
        <w:t xml:space="preserve">M. Tahir, N. A. S. Amin, </w:t>
      </w:r>
      <w:r w:rsidRPr="00AE1B1C">
        <w:rPr>
          <w:i/>
          <w:iCs/>
          <w:szCs w:val="24"/>
        </w:rPr>
        <w:t>Appl. Catal. B Environ.</w:t>
      </w:r>
      <w:r w:rsidRPr="00AE1B1C">
        <w:rPr>
          <w:szCs w:val="24"/>
        </w:rPr>
        <w:t xml:space="preserve"> </w:t>
      </w:r>
      <w:r w:rsidRPr="00AE1B1C">
        <w:rPr>
          <w:b/>
          <w:bCs/>
          <w:szCs w:val="24"/>
        </w:rPr>
        <w:t>2015</w:t>
      </w:r>
      <w:r w:rsidRPr="00AE1B1C">
        <w:rPr>
          <w:szCs w:val="24"/>
        </w:rPr>
        <w:t xml:space="preserve">, </w:t>
      </w:r>
      <w:r w:rsidRPr="00AE1B1C">
        <w:rPr>
          <w:i/>
          <w:iCs/>
          <w:szCs w:val="24"/>
        </w:rPr>
        <w:t>162</w:t>
      </w:r>
      <w:r w:rsidRPr="00AE1B1C">
        <w:rPr>
          <w:szCs w:val="24"/>
        </w:rPr>
        <w:t>, 98–109.</w:t>
      </w:r>
    </w:p>
    <w:p w14:paraId="7237B234"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30.</w:t>
      </w:r>
      <w:r w:rsidRPr="00AE1B1C">
        <w:rPr>
          <w:szCs w:val="24"/>
        </w:rPr>
        <w:tab/>
        <w:t xml:space="preserve">R. Pol, M. Guerrero, E. García-Lecina, A. Altube, E. Rossinyol, S. Garroni, M. D. Baró, J. Pons, J. Sort, E. Pellicer, </w:t>
      </w:r>
      <w:r w:rsidRPr="00AE1B1C">
        <w:rPr>
          <w:i/>
          <w:iCs/>
          <w:szCs w:val="24"/>
        </w:rPr>
        <w:t>Appl. Catal. B Environ.</w:t>
      </w:r>
      <w:r w:rsidRPr="00AE1B1C">
        <w:rPr>
          <w:szCs w:val="24"/>
        </w:rPr>
        <w:t xml:space="preserve"> </w:t>
      </w:r>
      <w:r w:rsidRPr="00AE1B1C">
        <w:rPr>
          <w:b/>
          <w:bCs/>
          <w:szCs w:val="24"/>
        </w:rPr>
        <w:t>2016</w:t>
      </w:r>
      <w:r w:rsidRPr="00AE1B1C">
        <w:rPr>
          <w:szCs w:val="24"/>
        </w:rPr>
        <w:t xml:space="preserve">, </w:t>
      </w:r>
      <w:r w:rsidRPr="00AE1B1C">
        <w:rPr>
          <w:i/>
          <w:iCs/>
          <w:szCs w:val="24"/>
        </w:rPr>
        <w:t>181</w:t>
      </w:r>
      <w:r w:rsidRPr="00AE1B1C">
        <w:rPr>
          <w:szCs w:val="24"/>
        </w:rPr>
        <w:t>, 270–278.</w:t>
      </w:r>
    </w:p>
    <w:p w14:paraId="5DBC5F4A"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31.</w:t>
      </w:r>
      <w:r w:rsidRPr="00AE1B1C">
        <w:rPr>
          <w:szCs w:val="24"/>
        </w:rPr>
        <w:tab/>
        <w:t xml:space="preserve">P. D. Cozzoli, A. Kornowski, H. Weller, </w:t>
      </w:r>
      <w:r w:rsidRPr="00AE1B1C">
        <w:rPr>
          <w:i/>
          <w:iCs/>
          <w:szCs w:val="24"/>
        </w:rPr>
        <w:t>J. Am. Chem. Soc.</w:t>
      </w:r>
      <w:r w:rsidRPr="00AE1B1C">
        <w:rPr>
          <w:szCs w:val="24"/>
        </w:rPr>
        <w:t xml:space="preserve"> </w:t>
      </w:r>
      <w:r w:rsidRPr="00AE1B1C">
        <w:rPr>
          <w:b/>
          <w:bCs/>
          <w:szCs w:val="24"/>
        </w:rPr>
        <w:t>2003</w:t>
      </w:r>
      <w:r w:rsidRPr="00AE1B1C">
        <w:rPr>
          <w:szCs w:val="24"/>
        </w:rPr>
        <w:t xml:space="preserve">, </w:t>
      </w:r>
      <w:r w:rsidRPr="00AE1B1C">
        <w:rPr>
          <w:i/>
          <w:iCs/>
          <w:szCs w:val="24"/>
        </w:rPr>
        <w:t>125</w:t>
      </w:r>
      <w:r w:rsidRPr="00AE1B1C">
        <w:rPr>
          <w:szCs w:val="24"/>
        </w:rPr>
        <w:t>, 14539–14548.</w:t>
      </w:r>
    </w:p>
    <w:p w14:paraId="1EA07107"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32.</w:t>
      </w:r>
      <w:r w:rsidRPr="00AE1B1C">
        <w:rPr>
          <w:szCs w:val="24"/>
        </w:rPr>
        <w:tab/>
        <w:t xml:space="preserve">X. Jia, W. He, X. Zhang, H. Zhao, Z. Li, Y. Feng, </w:t>
      </w:r>
      <w:r w:rsidRPr="00AE1B1C">
        <w:rPr>
          <w:i/>
          <w:iCs/>
          <w:szCs w:val="24"/>
        </w:rPr>
        <w:t>Nanotechnology</w:t>
      </w:r>
      <w:r w:rsidRPr="00AE1B1C">
        <w:rPr>
          <w:szCs w:val="24"/>
        </w:rPr>
        <w:t xml:space="preserve"> </w:t>
      </w:r>
      <w:r w:rsidRPr="00AE1B1C">
        <w:rPr>
          <w:b/>
          <w:bCs/>
          <w:szCs w:val="24"/>
        </w:rPr>
        <w:t>2007</w:t>
      </w:r>
      <w:r w:rsidRPr="00AE1B1C">
        <w:rPr>
          <w:szCs w:val="24"/>
        </w:rPr>
        <w:t xml:space="preserve">, </w:t>
      </w:r>
      <w:r w:rsidRPr="00AE1B1C">
        <w:rPr>
          <w:i/>
          <w:iCs/>
          <w:szCs w:val="24"/>
        </w:rPr>
        <w:t>18</w:t>
      </w:r>
      <w:r w:rsidRPr="00AE1B1C">
        <w:rPr>
          <w:szCs w:val="24"/>
        </w:rPr>
        <w:t>, 075602.</w:t>
      </w:r>
    </w:p>
    <w:p w14:paraId="0C1CD68A"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33.</w:t>
      </w:r>
      <w:r w:rsidRPr="00AE1B1C">
        <w:rPr>
          <w:szCs w:val="24"/>
        </w:rPr>
        <w:tab/>
        <w:t xml:space="preserve">H. Xu, B. W. Zeiger, K. S. Suslick, </w:t>
      </w:r>
      <w:r w:rsidRPr="00AE1B1C">
        <w:rPr>
          <w:i/>
          <w:iCs/>
          <w:szCs w:val="24"/>
        </w:rPr>
        <w:t>Chem. Soc. Rev.</w:t>
      </w:r>
      <w:r w:rsidRPr="00AE1B1C">
        <w:rPr>
          <w:szCs w:val="24"/>
        </w:rPr>
        <w:t xml:space="preserve"> </w:t>
      </w:r>
      <w:r w:rsidRPr="00AE1B1C">
        <w:rPr>
          <w:b/>
          <w:bCs/>
          <w:szCs w:val="24"/>
        </w:rPr>
        <w:t>2013</w:t>
      </w:r>
      <w:r w:rsidRPr="00AE1B1C">
        <w:rPr>
          <w:szCs w:val="24"/>
        </w:rPr>
        <w:t xml:space="preserve">, </w:t>
      </w:r>
      <w:r w:rsidRPr="00AE1B1C">
        <w:rPr>
          <w:i/>
          <w:iCs/>
          <w:szCs w:val="24"/>
        </w:rPr>
        <w:t>42</w:t>
      </w:r>
      <w:r w:rsidRPr="00AE1B1C">
        <w:rPr>
          <w:szCs w:val="24"/>
        </w:rPr>
        <w:t>, 2555–2567.</w:t>
      </w:r>
    </w:p>
    <w:p w14:paraId="495F1A10"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34.</w:t>
      </w:r>
      <w:r w:rsidRPr="00AE1B1C">
        <w:rPr>
          <w:szCs w:val="24"/>
        </w:rPr>
        <w:tab/>
        <w:t xml:space="preserve">R. Rossmanith, C. K. Weiss, J. Geserick, N. Hüsing, U. Hörmann, U. Kaiser, K. Landfester, </w:t>
      </w:r>
      <w:r w:rsidRPr="00AE1B1C">
        <w:rPr>
          <w:i/>
          <w:iCs/>
          <w:szCs w:val="24"/>
        </w:rPr>
        <w:t>Chem. Mater.</w:t>
      </w:r>
      <w:r w:rsidRPr="00AE1B1C">
        <w:rPr>
          <w:szCs w:val="24"/>
        </w:rPr>
        <w:t xml:space="preserve"> </w:t>
      </w:r>
      <w:r w:rsidRPr="00AE1B1C">
        <w:rPr>
          <w:b/>
          <w:bCs/>
          <w:szCs w:val="24"/>
        </w:rPr>
        <w:t>2008</w:t>
      </w:r>
      <w:r w:rsidRPr="00AE1B1C">
        <w:rPr>
          <w:szCs w:val="24"/>
        </w:rPr>
        <w:t xml:space="preserve">, </w:t>
      </w:r>
      <w:r w:rsidRPr="00AE1B1C">
        <w:rPr>
          <w:i/>
          <w:iCs/>
          <w:szCs w:val="24"/>
        </w:rPr>
        <w:t>20</w:t>
      </w:r>
      <w:r w:rsidRPr="00AE1B1C">
        <w:rPr>
          <w:szCs w:val="24"/>
        </w:rPr>
        <w:t>, 5768–5780.</w:t>
      </w:r>
    </w:p>
    <w:p w14:paraId="6077BEEA" w14:textId="04449159"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35.</w:t>
      </w:r>
      <w:r w:rsidRPr="00AE1B1C">
        <w:rPr>
          <w:szCs w:val="24"/>
        </w:rPr>
        <w:tab/>
        <w:t>B. G. Rao, D. Mukherjee, B. M. Reddy, in</w:t>
      </w:r>
      <w:r w:rsidR="00C46C85">
        <w:rPr>
          <w:szCs w:val="24"/>
          <w:lang w:val="en-SI"/>
        </w:rPr>
        <w:t>:</w:t>
      </w:r>
      <w:r w:rsidR="00636FB8">
        <w:rPr>
          <w:szCs w:val="24"/>
          <w:lang w:val="en-SI"/>
        </w:rPr>
        <w:t xml:space="preserve"> </w:t>
      </w:r>
      <w:r w:rsidR="00636FB8" w:rsidRPr="00AE1B1C">
        <w:rPr>
          <w:szCs w:val="24"/>
        </w:rPr>
        <w:t>D. Ficai, A.M. Grumezescu</w:t>
      </w:r>
      <w:r w:rsidR="00636FB8">
        <w:rPr>
          <w:szCs w:val="24"/>
          <w:lang w:val="en-SI"/>
        </w:rPr>
        <w:t xml:space="preserve"> </w:t>
      </w:r>
      <w:r w:rsidR="00636FB8" w:rsidRPr="00AE1B1C">
        <w:rPr>
          <w:szCs w:val="24"/>
        </w:rPr>
        <w:t>(Ed</w:t>
      </w:r>
      <w:r w:rsidR="006B2469">
        <w:rPr>
          <w:szCs w:val="24"/>
          <w:lang w:val="en-SI"/>
        </w:rPr>
        <w:t>s</w:t>
      </w:r>
      <w:r w:rsidR="00636FB8">
        <w:rPr>
          <w:szCs w:val="24"/>
          <w:lang w:val="en-SI"/>
        </w:rPr>
        <w:t>.)</w:t>
      </w:r>
      <w:r w:rsidR="00636FB8" w:rsidRPr="00AE1B1C">
        <w:rPr>
          <w:szCs w:val="24"/>
        </w:rPr>
        <w:t>:</w:t>
      </w:r>
      <w:r w:rsidRPr="00AE1B1C">
        <w:rPr>
          <w:szCs w:val="24"/>
        </w:rPr>
        <w:t xml:space="preserve"> </w:t>
      </w:r>
      <w:r w:rsidR="00636FB8" w:rsidRPr="00636FB8">
        <w:rPr>
          <w:szCs w:val="24"/>
        </w:rPr>
        <w:t>Novel Approaches for preparation of Nanoparticles. In Nanostructures for Novel Therapy: Synthesis, Characterization and Applications</w:t>
      </w:r>
      <w:r w:rsidRPr="00AE1B1C">
        <w:rPr>
          <w:szCs w:val="24"/>
        </w:rPr>
        <w:t xml:space="preserve">, Elsevier Inc., Oxford, </w:t>
      </w:r>
      <w:r w:rsidRPr="00AE1B1C">
        <w:rPr>
          <w:b/>
          <w:bCs/>
          <w:szCs w:val="24"/>
        </w:rPr>
        <w:t>2017</w:t>
      </w:r>
      <w:r w:rsidRPr="00AE1B1C">
        <w:rPr>
          <w:szCs w:val="24"/>
        </w:rPr>
        <w:t>, pp. 1–31.</w:t>
      </w:r>
    </w:p>
    <w:p w14:paraId="6CE3EE72"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36.</w:t>
      </w:r>
      <w:r w:rsidRPr="00AE1B1C">
        <w:rPr>
          <w:szCs w:val="24"/>
        </w:rPr>
        <w:tab/>
        <w:t xml:space="preserve">U. Schubert, N. Hüsing, </w:t>
      </w:r>
      <w:r w:rsidRPr="00AE1B1C">
        <w:rPr>
          <w:i/>
          <w:iCs/>
          <w:szCs w:val="24"/>
        </w:rPr>
        <w:t>Synthesis of Inorganic Materials</w:t>
      </w:r>
      <w:r w:rsidRPr="00AE1B1C">
        <w:rPr>
          <w:szCs w:val="24"/>
        </w:rPr>
        <w:t xml:space="preserve">, Wiley-VCH Verlag, Weinheim, </w:t>
      </w:r>
      <w:r w:rsidRPr="00AE1B1C">
        <w:rPr>
          <w:b/>
          <w:bCs/>
          <w:szCs w:val="24"/>
        </w:rPr>
        <w:t>2012</w:t>
      </w:r>
      <w:r w:rsidRPr="00AE1B1C">
        <w:rPr>
          <w:szCs w:val="24"/>
        </w:rPr>
        <w:t>.</w:t>
      </w:r>
    </w:p>
    <w:p w14:paraId="7F3F8AA4"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37.</w:t>
      </w:r>
      <w:r w:rsidRPr="00AE1B1C">
        <w:rPr>
          <w:szCs w:val="24"/>
        </w:rPr>
        <w:tab/>
        <w:t xml:space="preserve">B. Žener, L. Matoh, G. Carraro, B. Miljević, R. Cerc Korošec, </w:t>
      </w:r>
      <w:r w:rsidRPr="00AE1B1C">
        <w:rPr>
          <w:i/>
          <w:iCs/>
          <w:szCs w:val="24"/>
        </w:rPr>
        <w:t>Beilstein J. Nanotechnol.</w:t>
      </w:r>
      <w:r w:rsidRPr="00AE1B1C">
        <w:rPr>
          <w:szCs w:val="24"/>
        </w:rPr>
        <w:t xml:space="preserve"> </w:t>
      </w:r>
      <w:r w:rsidRPr="00AE1B1C">
        <w:rPr>
          <w:b/>
          <w:bCs/>
          <w:szCs w:val="24"/>
        </w:rPr>
        <w:t>2018</w:t>
      </w:r>
      <w:r w:rsidRPr="00AE1B1C">
        <w:rPr>
          <w:szCs w:val="24"/>
        </w:rPr>
        <w:t xml:space="preserve">, </w:t>
      </w:r>
      <w:r w:rsidRPr="00AE1B1C">
        <w:rPr>
          <w:i/>
          <w:iCs/>
          <w:szCs w:val="24"/>
        </w:rPr>
        <w:t>9</w:t>
      </w:r>
      <w:r w:rsidRPr="00AE1B1C">
        <w:rPr>
          <w:szCs w:val="24"/>
        </w:rPr>
        <w:t>, 1629–1640.</w:t>
      </w:r>
    </w:p>
    <w:p w14:paraId="43B69FE7"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38.</w:t>
      </w:r>
      <w:r w:rsidRPr="00AE1B1C">
        <w:rPr>
          <w:szCs w:val="24"/>
        </w:rPr>
        <w:tab/>
        <w:t xml:space="preserve">M. Reli, I. Troppová, M. Šihor, J. Pavlovský, P. Praus, K. Kočí, </w:t>
      </w:r>
      <w:r w:rsidRPr="00AE1B1C">
        <w:rPr>
          <w:i/>
          <w:iCs/>
          <w:szCs w:val="24"/>
        </w:rPr>
        <w:t>Appl. Surf. Sci.</w:t>
      </w:r>
      <w:r w:rsidRPr="00AE1B1C">
        <w:rPr>
          <w:szCs w:val="24"/>
        </w:rPr>
        <w:t xml:space="preserve"> </w:t>
      </w:r>
      <w:r w:rsidRPr="00AE1B1C">
        <w:rPr>
          <w:b/>
          <w:bCs/>
          <w:szCs w:val="24"/>
        </w:rPr>
        <w:t>2019</w:t>
      </w:r>
      <w:r w:rsidRPr="00AE1B1C">
        <w:rPr>
          <w:szCs w:val="24"/>
        </w:rPr>
        <w:t xml:space="preserve">, </w:t>
      </w:r>
      <w:r w:rsidRPr="00AE1B1C">
        <w:rPr>
          <w:i/>
          <w:iCs/>
          <w:szCs w:val="24"/>
        </w:rPr>
        <w:t>469</w:t>
      </w:r>
      <w:r w:rsidRPr="00AE1B1C">
        <w:rPr>
          <w:szCs w:val="24"/>
        </w:rPr>
        <w:t>, 181–191.</w:t>
      </w:r>
    </w:p>
    <w:p w14:paraId="5021312A"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39.</w:t>
      </w:r>
      <w:r w:rsidRPr="00AE1B1C">
        <w:rPr>
          <w:szCs w:val="24"/>
        </w:rPr>
        <w:tab/>
        <w:t xml:space="preserve">M. Reli, P. Huo, M. Šihor, N. Ambrožová, I. Troppová, L. Matějová, J. Lang, L. Svoboda, P. Kuśtrowski, M. Ritz, P. Praus, K. Kočí, </w:t>
      </w:r>
      <w:r w:rsidRPr="00AE1B1C">
        <w:rPr>
          <w:i/>
          <w:iCs/>
          <w:szCs w:val="24"/>
        </w:rPr>
        <w:t>J. Phys. Chem. A</w:t>
      </w:r>
      <w:r w:rsidRPr="00AE1B1C">
        <w:rPr>
          <w:szCs w:val="24"/>
        </w:rPr>
        <w:t xml:space="preserve"> </w:t>
      </w:r>
      <w:r w:rsidRPr="00AE1B1C">
        <w:rPr>
          <w:b/>
          <w:bCs/>
          <w:szCs w:val="24"/>
        </w:rPr>
        <w:t>2016</w:t>
      </w:r>
      <w:r w:rsidRPr="00AE1B1C">
        <w:rPr>
          <w:szCs w:val="24"/>
        </w:rPr>
        <w:t xml:space="preserve">, </w:t>
      </w:r>
      <w:r w:rsidRPr="00AE1B1C">
        <w:rPr>
          <w:i/>
          <w:iCs/>
          <w:szCs w:val="24"/>
        </w:rPr>
        <w:t>120</w:t>
      </w:r>
      <w:r w:rsidRPr="00AE1B1C">
        <w:rPr>
          <w:szCs w:val="24"/>
        </w:rPr>
        <w:t>, 8564–8573.</w:t>
      </w:r>
    </w:p>
    <w:p w14:paraId="246806B4"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40.</w:t>
      </w:r>
      <w:r w:rsidRPr="00AE1B1C">
        <w:rPr>
          <w:szCs w:val="24"/>
        </w:rPr>
        <w:tab/>
        <w:t xml:space="preserve">M. Rutar, N. Rozman, M. Pregelj, C. Bittencourt, R. Cerc Korošec, A. Sever Škapin, A. Mrzel, S. D. Škapin, P. Umek, </w:t>
      </w:r>
      <w:r w:rsidRPr="00AE1B1C">
        <w:rPr>
          <w:i/>
          <w:iCs/>
          <w:szCs w:val="24"/>
        </w:rPr>
        <w:t>Beilstein J. Nanotechnol.</w:t>
      </w:r>
      <w:r w:rsidRPr="00AE1B1C">
        <w:rPr>
          <w:szCs w:val="24"/>
        </w:rPr>
        <w:t xml:space="preserve"> </w:t>
      </w:r>
      <w:r w:rsidRPr="00AE1B1C">
        <w:rPr>
          <w:b/>
          <w:bCs/>
          <w:szCs w:val="24"/>
        </w:rPr>
        <w:t>2015</w:t>
      </w:r>
      <w:r w:rsidRPr="00AE1B1C">
        <w:rPr>
          <w:szCs w:val="24"/>
        </w:rPr>
        <w:t xml:space="preserve">, </w:t>
      </w:r>
      <w:r w:rsidRPr="00AE1B1C">
        <w:rPr>
          <w:i/>
          <w:iCs/>
          <w:szCs w:val="24"/>
        </w:rPr>
        <w:t>6</w:t>
      </w:r>
      <w:r w:rsidRPr="00AE1B1C">
        <w:rPr>
          <w:szCs w:val="24"/>
        </w:rPr>
        <w:t>, 831–844.</w:t>
      </w:r>
    </w:p>
    <w:p w14:paraId="45D5F730"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41.</w:t>
      </w:r>
      <w:r w:rsidRPr="00AE1B1C">
        <w:rPr>
          <w:szCs w:val="24"/>
        </w:rPr>
        <w:tab/>
        <w:t xml:space="preserve">T. Marolt, A. S. Škapin, J. Bernard, P. Živec, M. Gaberšček, </w:t>
      </w:r>
      <w:r w:rsidRPr="00AE1B1C">
        <w:rPr>
          <w:i/>
          <w:iCs/>
          <w:szCs w:val="24"/>
        </w:rPr>
        <w:t>Surf. Coatings Technol.</w:t>
      </w:r>
      <w:r w:rsidRPr="00AE1B1C">
        <w:rPr>
          <w:szCs w:val="24"/>
        </w:rPr>
        <w:t xml:space="preserve"> </w:t>
      </w:r>
      <w:r w:rsidRPr="00AE1B1C">
        <w:rPr>
          <w:b/>
          <w:bCs/>
          <w:szCs w:val="24"/>
        </w:rPr>
        <w:t>2011</w:t>
      </w:r>
      <w:r w:rsidRPr="00AE1B1C">
        <w:rPr>
          <w:szCs w:val="24"/>
        </w:rPr>
        <w:t xml:space="preserve">, </w:t>
      </w:r>
      <w:r w:rsidRPr="00AE1B1C">
        <w:rPr>
          <w:i/>
          <w:iCs/>
          <w:szCs w:val="24"/>
        </w:rPr>
        <w:t>206</w:t>
      </w:r>
      <w:r w:rsidRPr="00AE1B1C">
        <w:rPr>
          <w:szCs w:val="24"/>
        </w:rPr>
        <w:t>, 1355–1361.</w:t>
      </w:r>
    </w:p>
    <w:p w14:paraId="3C78D770"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42.</w:t>
      </w:r>
      <w:r w:rsidRPr="00AE1B1C">
        <w:rPr>
          <w:szCs w:val="24"/>
        </w:rPr>
        <w:tab/>
        <w:t xml:space="preserve">B. Žener, Ž. Medoš, M. Bešter Rogač, R. Cerc Korošec, </w:t>
      </w:r>
      <w:r w:rsidRPr="00AE1B1C">
        <w:rPr>
          <w:i/>
          <w:iCs/>
          <w:szCs w:val="24"/>
        </w:rPr>
        <w:t>ChemistrySelect</w:t>
      </w:r>
      <w:r w:rsidRPr="00AE1B1C">
        <w:rPr>
          <w:szCs w:val="24"/>
        </w:rPr>
        <w:t xml:space="preserve"> </w:t>
      </w:r>
      <w:r w:rsidRPr="00AE1B1C">
        <w:rPr>
          <w:b/>
          <w:bCs/>
          <w:szCs w:val="24"/>
        </w:rPr>
        <w:t>2019</w:t>
      </w:r>
      <w:r w:rsidRPr="00AE1B1C">
        <w:rPr>
          <w:szCs w:val="24"/>
        </w:rPr>
        <w:t xml:space="preserve">, </w:t>
      </w:r>
      <w:r w:rsidRPr="00AE1B1C">
        <w:rPr>
          <w:i/>
          <w:iCs/>
          <w:szCs w:val="24"/>
        </w:rPr>
        <w:t>4</w:t>
      </w:r>
      <w:r w:rsidRPr="00AE1B1C">
        <w:rPr>
          <w:szCs w:val="24"/>
        </w:rPr>
        <w:t>, 4112–4117.</w:t>
      </w:r>
    </w:p>
    <w:p w14:paraId="02EDA5DA"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43.</w:t>
      </w:r>
      <w:r w:rsidRPr="00AE1B1C">
        <w:rPr>
          <w:szCs w:val="24"/>
        </w:rPr>
        <w:tab/>
        <w:t xml:space="preserve">S. Yin, Y. Fujishiro, J. Wu, M. Aki, T. Sato, </w:t>
      </w:r>
      <w:r w:rsidRPr="00AE1B1C">
        <w:rPr>
          <w:i/>
          <w:iCs/>
          <w:szCs w:val="24"/>
        </w:rPr>
        <w:t>J. Mater. Process. Technol.</w:t>
      </w:r>
      <w:r w:rsidRPr="00AE1B1C">
        <w:rPr>
          <w:szCs w:val="24"/>
        </w:rPr>
        <w:t xml:space="preserve"> </w:t>
      </w:r>
      <w:r w:rsidRPr="00AE1B1C">
        <w:rPr>
          <w:b/>
          <w:bCs/>
          <w:szCs w:val="24"/>
        </w:rPr>
        <w:t>2003</w:t>
      </w:r>
      <w:r w:rsidRPr="00AE1B1C">
        <w:rPr>
          <w:szCs w:val="24"/>
        </w:rPr>
        <w:t xml:space="preserve">, </w:t>
      </w:r>
      <w:r w:rsidRPr="00AE1B1C">
        <w:rPr>
          <w:i/>
          <w:iCs/>
          <w:szCs w:val="24"/>
        </w:rPr>
        <w:t>137</w:t>
      </w:r>
      <w:r w:rsidRPr="00AE1B1C">
        <w:rPr>
          <w:szCs w:val="24"/>
        </w:rPr>
        <w:t>, 45–48.</w:t>
      </w:r>
    </w:p>
    <w:p w14:paraId="72005E94"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44.</w:t>
      </w:r>
      <w:r w:rsidRPr="00AE1B1C">
        <w:rPr>
          <w:szCs w:val="24"/>
        </w:rPr>
        <w:tab/>
        <w:t xml:space="preserve">D. Yang, H. Liu, Z. Zheng, Y. Yuan, J. C. Zhao, E. R. Waclawik, X. Ke, H. Zhu, </w:t>
      </w:r>
      <w:r w:rsidRPr="00AE1B1C">
        <w:rPr>
          <w:i/>
          <w:iCs/>
          <w:szCs w:val="24"/>
        </w:rPr>
        <w:t>J. Am. Chem. Soc.</w:t>
      </w:r>
      <w:r w:rsidRPr="00AE1B1C">
        <w:rPr>
          <w:szCs w:val="24"/>
        </w:rPr>
        <w:t xml:space="preserve"> </w:t>
      </w:r>
      <w:r w:rsidRPr="00AE1B1C">
        <w:rPr>
          <w:b/>
          <w:bCs/>
          <w:szCs w:val="24"/>
        </w:rPr>
        <w:t>2009</w:t>
      </w:r>
      <w:r w:rsidRPr="00AE1B1C">
        <w:rPr>
          <w:szCs w:val="24"/>
        </w:rPr>
        <w:t xml:space="preserve">, </w:t>
      </w:r>
      <w:r w:rsidRPr="00AE1B1C">
        <w:rPr>
          <w:i/>
          <w:iCs/>
          <w:szCs w:val="24"/>
        </w:rPr>
        <w:t>131</w:t>
      </w:r>
      <w:r w:rsidRPr="00AE1B1C">
        <w:rPr>
          <w:szCs w:val="24"/>
        </w:rPr>
        <w:t>, 17885–17893.</w:t>
      </w:r>
    </w:p>
    <w:p w14:paraId="1339516D" w14:textId="77777777" w:rsidR="00AE1B1C" w:rsidRPr="00AE1B1C" w:rsidRDefault="00AE1B1C" w:rsidP="00AE1B1C">
      <w:pPr>
        <w:widowControl w:val="0"/>
        <w:autoSpaceDE w:val="0"/>
        <w:autoSpaceDN w:val="0"/>
        <w:adjustRightInd w:val="0"/>
        <w:spacing w:line="240" w:lineRule="auto"/>
        <w:ind w:left="640" w:hanging="640"/>
        <w:rPr>
          <w:szCs w:val="24"/>
        </w:rPr>
      </w:pPr>
      <w:r w:rsidRPr="00AE1B1C">
        <w:rPr>
          <w:szCs w:val="24"/>
        </w:rPr>
        <w:t>45.</w:t>
      </w:r>
      <w:r w:rsidRPr="00AE1B1C">
        <w:rPr>
          <w:szCs w:val="24"/>
        </w:rPr>
        <w:tab/>
        <w:t xml:space="preserve">S. Yin, J. Wu, M. Aki, T. Sato, </w:t>
      </w:r>
      <w:r w:rsidRPr="00AE1B1C">
        <w:rPr>
          <w:i/>
          <w:iCs/>
          <w:szCs w:val="24"/>
        </w:rPr>
        <w:t>Int. J. Inorg. Mater.</w:t>
      </w:r>
      <w:r w:rsidRPr="00AE1B1C">
        <w:rPr>
          <w:szCs w:val="24"/>
        </w:rPr>
        <w:t xml:space="preserve"> </w:t>
      </w:r>
      <w:r w:rsidRPr="00AE1B1C">
        <w:rPr>
          <w:b/>
          <w:bCs/>
          <w:szCs w:val="24"/>
        </w:rPr>
        <w:t>2000</w:t>
      </w:r>
      <w:r w:rsidRPr="00AE1B1C">
        <w:rPr>
          <w:szCs w:val="24"/>
        </w:rPr>
        <w:t xml:space="preserve">, </w:t>
      </w:r>
      <w:r w:rsidRPr="00AE1B1C">
        <w:rPr>
          <w:i/>
          <w:iCs/>
          <w:szCs w:val="24"/>
        </w:rPr>
        <w:t>2</w:t>
      </w:r>
      <w:r w:rsidRPr="00AE1B1C">
        <w:rPr>
          <w:szCs w:val="24"/>
        </w:rPr>
        <w:t>, 325–331.</w:t>
      </w:r>
    </w:p>
    <w:p w14:paraId="18F57E2B" w14:textId="77777777" w:rsidR="00AE1B1C" w:rsidRPr="00AE1B1C" w:rsidRDefault="00AE1B1C" w:rsidP="00AE1B1C">
      <w:pPr>
        <w:widowControl w:val="0"/>
        <w:autoSpaceDE w:val="0"/>
        <w:autoSpaceDN w:val="0"/>
        <w:adjustRightInd w:val="0"/>
        <w:spacing w:line="240" w:lineRule="auto"/>
        <w:ind w:left="640" w:hanging="640"/>
      </w:pPr>
      <w:r w:rsidRPr="00AE1B1C">
        <w:rPr>
          <w:szCs w:val="24"/>
        </w:rPr>
        <w:t>46.</w:t>
      </w:r>
      <w:r w:rsidRPr="00AE1B1C">
        <w:rPr>
          <w:szCs w:val="24"/>
        </w:rPr>
        <w:tab/>
        <w:t xml:space="preserve">D. M. Tobaldi, L. Gao, A. F. Gualtieri, A. S. Škapin, A. Tucci, C. Giacobbe, </w:t>
      </w:r>
      <w:r w:rsidRPr="00AE1B1C">
        <w:rPr>
          <w:i/>
          <w:iCs/>
          <w:szCs w:val="24"/>
        </w:rPr>
        <w:t>J. Am. Ceram. Soc.</w:t>
      </w:r>
      <w:r w:rsidRPr="00AE1B1C">
        <w:rPr>
          <w:szCs w:val="24"/>
        </w:rPr>
        <w:t xml:space="preserve"> </w:t>
      </w:r>
      <w:r w:rsidRPr="00AE1B1C">
        <w:rPr>
          <w:b/>
          <w:bCs/>
          <w:szCs w:val="24"/>
        </w:rPr>
        <w:t>2012</w:t>
      </w:r>
      <w:r w:rsidRPr="00AE1B1C">
        <w:rPr>
          <w:szCs w:val="24"/>
        </w:rPr>
        <w:t xml:space="preserve">, </w:t>
      </w:r>
      <w:r w:rsidRPr="00AE1B1C">
        <w:rPr>
          <w:i/>
          <w:iCs/>
          <w:szCs w:val="24"/>
        </w:rPr>
        <w:t>95</w:t>
      </w:r>
      <w:r w:rsidRPr="00AE1B1C">
        <w:rPr>
          <w:szCs w:val="24"/>
        </w:rPr>
        <w:t>, 1709–1716.</w:t>
      </w:r>
    </w:p>
    <w:p w14:paraId="3B45D8E1" w14:textId="77777777" w:rsidR="00F945A9" w:rsidRPr="00632A8C" w:rsidRDefault="00F945A9" w:rsidP="00C11F89">
      <w:pPr>
        <w:pStyle w:val="MDPI71References"/>
        <w:numPr>
          <w:ilvl w:val="0"/>
          <w:numId w:val="0"/>
        </w:numPr>
        <w:ind w:left="425"/>
        <w:rPr>
          <w:rFonts w:ascii="Times New Roman" w:hAnsi="Times New Roman"/>
          <w:sz w:val="24"/>
          <w:szCs w:val="24"/>
        </w:rPr>
      </w:pPr>
      <w:r w:rsidRPr="00632A8C">
        <w:rPr>
          <w:rFonts w:ascii="Times New Roman" w:hAnsi="Times New Roman"/>
          <w:b/>
          <w:sz w:val="24"/>
          <w:szCs w:val="24"/>
        </w:rPr>
        <w:fldChar w:fldCharType="end"/>
      </w:r>
    </w:p>
    <w:p w14:paraId="2CC73CF2" w14:textId="618153C2" w:rsidR="006E574C" w:rsidRPr="00632A8C" w:rsidRDefault="006E574C" w:rsidP="00C11F89">
      <w:pPr>
        <w:pStyle w:val="MDPI31text"/>
        <w:rPr>
          <w:rFonts w:ascii="Times New Roman" w:hAnsi="Times New Roman"/>
          <w:sz w:val="24"/>
          <w:szCs w:val="24"/>
        </w:rPr>
      </w:pPr>
    </w:p>
    <w:sectPr w:rsidR="006E574C" w:rsidRPr="00632A8C" w:rsidSect="005F2CAD">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43392" w14:textId="77777777" w:rsidR="003874BE" w:rsidRDefault="003874BE">
      <w:pPr>
        <w:spacing w:line="240" w:lineRule="auto"/>
      </w:pPr>
      <w:r>
        <w:separator/>
      </w:r>
    </w:p>
  </w:endnote>
  <w:endnote w:type="continuationSeparator" w:id="0">
    <w:p w14:paraId="7B670129" w14:textId="77777777" w:rsidR="003874BE" w:rsidRDefault="003874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MT-Regular">
    <w:altName w:val="MS Mincho"/>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altName w:val="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658067263"/>
      <w:docPartObj>
        <w:docPartGallery w:val="Page Numbers (Bottom of Page)"/>
        <w:docPartUnique/>
      </w:docPartObj>
    </w:sdtPr>
    <w:sdtEndPr>
      <w:rPr>
        <w:noProof/>
      </w:rPr>
    </w:sdtEndPr>
    <w:sdtContent>
      <w:p w14:paraId="31E6F060" w14:textId="3B32A8C4" w:rsidR="004A211D" w:rsidRDefault="004A211D">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040B3FD" w14:textId="77777777" w:rsidR="004A211D" w:rsidRPr="00BD5D38" w:rsidRDefault="004A211D" w:rsidP="002960D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DB7D" w14:textId="1CC1304D" w:rsidR="004A211D" w:rsidRPr="00372FCD" w:rsidRDefault="004A211D" w:rsidP="000C0E8A">
    <w:pPr>
      <w:tabs>
        <w:tab w:val="right" w:pos="10466"/>
      </w:tabs>
      <w:adjustRightInd w:val="0"/>
      <w:snapToGrid w:val="0"/>
      <w:spacing w:line="240" w:lineRule="auto"/>
      <w:rPr>
        <w:sz w:val="16"/>
        <w:szCs w:val="16"/>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1EE30" w14:textId="77777777" w:rsidR="003874BE" w:rsidRDefault="003874BE">
      <w:pPr>
        <w:spacing w:line="240" w:lineRule="auto"/>
      </w:pPr>
      <w:r>
        <w:separator/>
      </w:r>
    </w:p>
  </w:footnote>
  <w:footnote w:type="continuationSeparator" w:id="0">
    <w:p w14:paraId="555BADBC" w14:textId="77777777" w:rsidR="003874BE" w:rsidRDefault="003874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491E2" w14:textId="77777777" w:rsidR="004A211D" w:rsidRDefault="004A211D" w:rsidP="002960D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4E642" w14:textId="77777777" w:rsidR="004A211D" w:rsidRPr="00B21B7B" w:rsidRDefault="004A211D" w:rsidP="00B21B7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9AE02" w14:textId="77777777" w:rsidR="004A211D" w:rsidRPr="00B21B7B" w:rsidRDefault="004A211D" w:rsidP="00B21B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6EA3"/>
    <w:multiLevelType w:val="hybridMultilevel"/>
    <w:tmpl w:val="7EB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A0F88"/>
    <w:multiLevelType w:val="hybridMultilevel"/>
    <w:tmpl w:val="C77C711C"/>
    <w:lvl w:ilvl="0" w:tplc="5286504C">
      <w:start w:val="169"/>
      <w:numFmt w:val="bullet"/>
      <w:lvlText w:val=""/>
      <w:lvlJc w:val="left"/>
      <w:pPr>
        <w:ind w:left="580" w:hanging="360"/>
      </w:pPr>
      <w:rPr>
        <w:rFonts w:ascii="Symbol" w:eastAsia="Times New Roman" w:hAnsi="Symbol" w:cs="Times New Roman" w:hint="default"/>
      </w:rPr>
    </w:lvl>
    <w:lvl w:ilvl="1" w:tplc="1C090003" w:tentative="1">
      <w:start w:val="1"/>
      <w:numFmt w:val="bullet"/>
      <w:lvlText w:val="o"/>
      <w:lvlJc w:val="left"/>
      <w:pPr>
        <w:ind w:left="1300" w:hanging="360"/>
      </w:pPr>
      <w:rPr>
        <w:rFonts w:ascii="Courier New" w:hAnsi="Courier New" w:cs="Courier New" w:hint="default"/>
      </w:rPr>
    </w:lvl>
    <w:lvl w:ilvl="2" w:tplc="1C090005" w:tentative="1">
      <w:start w:val="1"/>
      <w:numFmt w:val="bullet"/>
      <w:lvlText w:val=""/>
      <w:lvlJc w:val="left"/>
      <w:pPr>
        <w:ind w:left="2020" w:hanging="360"/>
      </w:pPr>
      <w:rPr>
        <w:rFonts w:ascii="Wingdings" w:hAnsi="Wingdings" w:hint="default"/>
      </w:rPr>
    </w:lvl>
    <w:lvl w:ilvl="3" w:tplc="1C090001" w:tentative="1">
      <w:start w:val="1"/>
      <w:numFmt w:val="bullet"/>
      <w:lvlText w:val=""/>
      <w:lvlJc w:val="left"/>
      <w:pPr>
        <w:ind w:left="2740" w:hanging="360"/>
      </w:pPr>
      <w:rPr>
        <w:rFonts w:ascii="Symbol" w:hAnsi="Symbol" w:hint="default"/>
      </w:rPr>
    </w:lvl>
    <w:lvl w:ilvl="4" w:tplc="1C090003" w:tentative="1">
      <w:start w:val="1"/>
      <w:numFmt w:val="bullet"/>
      <w:lvlText w:val="o"/>
      <w:lvlJc w:val="left"/>
      <w:pPr>
        <w:ind w:left="3460" w:hanging="360"/>
      </w:pPr>
      <w:rPr>
        <w:rFonts w:ascii="Courier New" w:hAnsi="Courier New" w:cs="Courier New" w:hint="default"/>
      </w:rPr>
    </w:lvl>
    <w:lvl w:ilvl="5" w:tplc="1C090005" w:tentative="1">
      <w:start w:val="1"/>
      <w:numFmt w:val="bullet"/>
      <w:lvlText w:val=""/>
      <w:lvlJc w:val="left"/>
      <w:pPr>
        <w:ind w:left="4180" w:hanging="360"/>
      </w:pPr>
      <w:rPr>
        <w:rFonts w:ascii="Wingdings" w:hAnsi="Wingdings" w:hint="default"/>
      </w:rPr>
    </w:lvl>
    <w:lvl w:ilvl="6" w:tplc="1C090001" w:tentative="1">
      <w:start w:val="1"/>
      <w:numFmt w:val="bullet"/>
      <w:lvlText w:val=""/>
      <w:lvlJc w:val="left"/>
      <w:pPr>
        <w:ind w:left="4900" w:hanging="360"/>
      </w:pPr>
      <w:rPr>
        <w:rFonts w:ascii="Symbol" w:hAnsi="Symbol" w:hint="default"/>
      </w:rPr>
    </w:lvl>
    <w:lvl w:ilvl="7" w:tplc="1C090003" w:tentative="1">
      <w:start w:val="1"/>
      <w:numFmt w:val="bullet"/>
      <w:lvlText w:val="o"/>
      <w:lvlJc w:val="left"/>
      <w:pPr>
        <w:ind w:left="5620" w:hanging="360"/>
      </w:pPr>
      <w:rPr>
        <w:rFonts w:ascii="Courier New" w:hAnsi="Courier New" w:cs="Courier New" w:hint="default"/>
      </w:rPr>
    </w:lvl>
    <w:lvl w:ilvl="8" w:tplc="1C090005" w:tentative="1">
      <w:start w:val="1"/>
      <w:numFmt w:val="bullet"/>
      <w:lvlText w:val=""/>
      <w:lvlJc w:val="left"/>
      <w:pPr>
        <w:ind w:left="6340" w:hanging="360"/>
      </w:pPr>
      <w:rPr>
        <w:rFonts w:ascii="Wingdings" w:hAnsi="Wingding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6CF6F8C"/>
    <w:multiLevelType w:val="hybridMultilevel"/>
    <w:tmpl w:val="4DB69F7C"/>
    <w:lvl w:ilvl="0" w:tplc="7A5CC0D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6920441"/>
    <w:multiLevelType w:val="multilevel"/>
    <w:tmpl w:val="F2425452"/>
    <w:lvl w:ilvl="0">
      <w:start w:val="1"/>
      <w:numFmt w:val="decimal"/>
      <w:lvlText w:val="%1"/>
      <w:lvlJc w:val="left"/>
      <w:pPr>
        <w:ind w:left="2968" w:hanging="360"/>
      </w:pPr>
      <w:rPr>
        <w:rFonts w:hint="default"/>
      </w:rPr>
    </w:lvl>
    <w:lvl w:ilvl="1">
      <w:start w:val="1"/>
      <w:numFmt w:val="decimal"/>
      <w:isLgl/>
      <w:lvlText w:val="%1.%2."/>
      <w:lvlJc w:val="left"/>
      <w:pPr>
        <w:ind w:left="5606"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4048" w:hanging="144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408" w:hanging="1800"/>
      </w:pPr>
      <w:rPr>
        <w:rFonts w:hint="default"/>
      </w:rPr>
    </w:lvl>
  </w:abstractNum>
  <w:abstractNum w:abstractNumId="10" w15:restartNumberingAfterBreak="0">
    <w:nsid w:val="4BBD599C"/>
    <w:multiLevelType w:val="multilevel"/>
    <w:tmpl w:val="04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AAF30C9"/>
    <w:multiLevelType w:val="hybridMultilevel"/>
    <w:tmpl w:val="3CC2662E"/>
    <w:lvl w:ilvl="0" w:tplc="F2286F9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F673976"/>
    <w:multiLevelType w:val="multilevel"/>
    <w:tmpl w:val="66AC41D6"/>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7" w15:restartNumberingAfterBreak="0">
    <w:nsid w:val="72C426F3"/>
    <w:multiLevelType w:val="multilevel"/>
    <w:tmpl w:val="E2E8736E"/>
    <w:lvl w:ilvl="0">
      <w:start w:val="3"/>
      <w:numFmt w:val="decimal"/>
      <w:lvlText w:val="%1."/>
      <w:lvlJc w:val="left"/>
      <w:pPr>
        <w:ind w:left="360" w:hanging="360"/>
      </w:pPr>
      <w:rPr>
        <w:rFonts w:hint="default"/>
      </w:rPr>
    </w:lvl>
    <w:lvl w:ilvl="1">
      <w:start w:val="5"/>
      <w:numFmt w:val="decimal"/>
      <w:lvlText w:val="%1.%2."/>
      <w:lvlJc w:val="left"/>
      <w:pPr>
        <w:ind w:left="3328" w:hanging="360"/>
      </w:pPr>
      <w:rPr>
        <w:rFonts w:hint="default"/>
      </w:rPr>
    </w:lvl>
    <w:lvl w:ilvl="2">
      <w:start w:val="1"/>
      <w:numFmt w:val="decimal"/>
      <w:lvlText w:val="%1.%2.%3."/>
      <w:lvlJc w:val="left"/>
      <w:pPr>
        <w:ind w:left="6656" w:hanging="720"/>
      </w:pPr>
      <w:rPr>
        <w:rFonts w:hint="default"/>
      </w:rPr>
    </w:lvl>
    <w:lvl w:ilvl="3">
      <w:start w:val="1"/>
      <w:numFmt w:val="decimal"/>
      <w:lvlText w:val="%1.%2.%3.%4."/>
      <w:lvlJc w:val="left"/>
      <w:pPr>
        <w:ind w:left="9624" w:hanging="720"/>
      </w:pPr>
      <w:rPr>
        <w:rFonts w:hint="default"/>
      </w:rPr>
    </w:lvl>
    <w:lvl w:ilvl="4">
      <w:start w:val="1"/>
      <w:numFmt w:val="decimal"/>
      <w:lvlText w:val="%1.%2.%3.%4.%5."/>
      <w:lvlJc w:val="left"/>
      <w:pPr>
        <w:ind w:left="12952" w:hanging="1080"/>
      </w:pPr>
      <w:rPr>
        <w:rFonts w:hint="default"/>
      </w:rPr>
    </w:lvl>
    <w:lvl w:ilvl="5">
      <w:start w:val="1"/>
      <w:numFmt w:val="decimal"/>
      <w:lvlText w:val="%1.%2.%3.%4.%5.%6."/>
      <w:lvlJc w:val="left"/>
      <w:pPr>
        <w:ind w:left="15920" w:hanging="1080"/>
      </w:pPr>
      <w:rPr>
        <w:rFonts w:hint="default"/>
      </w:rPr>
    </w:lvl>
    <w:lvl w:ilvl="6">
      <w:start w:val="1"/>
      <w:numFmt w:val="decimal"/>
      <w:lvlText w:val="%1.%2.%3.%4.%5.%6.%7."/>
      <w:lvlJc w:val="left"/>
      <w:pPr>
        <w:ind w:left="19248" w:hanging="1440"/>
      </w:pPr>
      <w:rPr>
        <w:rFonts w:hint="default"/>
      </w:rPr>
    </w:lvl>
    <w:lvl w:ilvl="7">
      <w:start w:val="1"/>
      <w:numFmt w:val="decimal"/>
      <w:lvlText w:val="%1.%2.%3.%4.%5.%6.%7.%8."/>
      <w:lvlJc w:val="left"/>
      <w:pPr>
        <w:ind w:left="22216" w:hanging="1440"/>
      </w:pPr>
      <w:rPr>
        <w:rFonts w:hint="default"/>
      </w:rPr>
    </w:lvl>
    <w:lvl w:ilvl="8">
      <w:start w:val="1"/>
      <w:numFmt w:val="decimal"/>
      <w:lvlText w:val="%1.%2.%3.%4.%5.%6.%7.%8.%9."/>
      <w:lvlJc w:val="left"/>
      <w:pPr>
        <w:ind w:left="25544" w:hanging="1800"/>
      </w:pPr>
      <w:rPr>
        <w:rFonts w:hint="default"/>
      </w:rPr>
    </w:lvl>
  </w:abstractNum>
  <w:abstractNum w:abstractNumId="18" w15:restartNumberingAfterBreak="0">
    <w:nsid w:val="7ACE152B"/>
    <w:multiLevelType w:val="hybridMultilevel"/>
    <w:tmpl w:val="65CA9342"/>
    <w:lvl w:ilvl="0" w:tplc="15804152">
      <w:start w:val="4"/>
      <w:numFmt w:val="decimal"/>
      <w:lvlText w:val="%1."/>
      <w:lvlJc w:val="left"/>
      <w:pPr>
        <w:ind w:left="3328" w:hanging="360"/>
      </w:pPr>
      <w:rPr>
        <w:rFonts w:hint="default"/>
      </w:rPr>
    </w:lvl>
    <w:lvl w:ilvl="1" w:tplc="20000019" w:tentative="1">
      <w:start w:val="1"/>
      <w:numFmt w:val="lowerLetter"/>
      <w:lvlText w:val="%2."/>
      <w:lvlJc w:val="left"/>
      <w:pPr>
        <w:ind w:left="4048" w:hanging="360"/>
      </w:pPr>
    </w:lvl>
    <w:lvl w:ilvl="2" w:tplc="2000001B" w:tentative="1">
      <w:start w:val="1"/>
      <w:numFmt w:val="lowerRoman"/>
      <w:lvlText w:val="%3."/>
      <w:lvlJc w:val="right"/>
      <w:pPr>
        <w:ind w:left="4768" w:hanging="180"/>
      </w:pPr>
    </w:lvl>
    <w:lvl w:ilvl="3" w:tplc="2000000F" w:tentative="1">
      <w:start w:val="1"/>
      <w:numFmt w:val="decimal"/>
      <w:lvlText w:val="%4."/>
      <w:lvlJc w:val="left"/>
      <w:pPr>
        <w:ind w:left="5488" w:hanging="360"/>
      </w:pPr>
    </w:lvl>
    <w:lvl w:ilvl="4" w:tplc="20000019" w:tentative="1">
      <w:start w:val="1"/>
      <w:numFmt w:val="lowerLetter"/>
      <w:lvlText w:val="%5."/>
      <w:lvlJc w:val="left"/>
      <w:pPr>
        <w:ind w:left="6208" w:hanging="360"/>
      </w:pPr>
    </w:lvl>
    <w:lvl w:ilvl="5" w:tplc="2000001B" w:tentative="1">
      <w:start w:val="1"/>
      <w:numFmt w:val="lowerRoman"/>
      <w:lvlText w:val="%6."/>
      <w:lvlJc w:val="right"/>
      <w:pPr>
        <w:ind w:left="6928" w:hanging="180"/>
      </w:pPr>
    </w:lvl>
    <w:lvl w:ilvl="6" w:tplc="2000000F" w:tentative="1">
      <w:start w:val="1"/>
      <w:numFmt w:val="decimal"/>
      <w:lvlText w:val="%7."/>
      <w:lvlJc w:val="left"/>
      <w:pPr>
        <w:ind w:left="7648" w:hanging="360"/>
      </w:pPr>
    </w:lvl>
    <w:lvl w:ilvl="7" w:tplc="20000019" w:tentative="1">
      <w:start w:val="1"/>
      <w:numFmt w:val="lowerLetter"/>
      <w:lvlText w:val="%8."/>
      <w:lvlJc w:val="left"/>
      <w:pPr>
        <w:ind w:left="8368" w:hanging="360"/>
      </w:pPr>
    </w:lvl>
    <w:lvl w:ilvl="8" w:tplc="2000001B" w:tentative="1">
      <w:start w:val="1"/>
      <w:numFmt w:val="lowerRoman"/>
      <w:lvlText w:val="%9."/>
      <w:lvlJc w:val="right"/>
      <w:pPr>
        <w:ind w:left="9088" w:hanging="180"/>
      </w:pPr>
    </w:lvl>
  </w:abstractNum>
  <w:num w:numId="1">
    <w:abstractNumId w:val="5"/>
  </w:num>
  <w:num w:numId="2">
    <w:abstractNumId w:val="7"/>
  </w:num>
  <w:num w:numId="3">
    <w:abstractNumId w:val="4"/>
  </w:num>
  <w:num w:numId="4">
    <w:abstractNumId w:val="6"/>
  </w:num>
  <w:num w:numId="5">
    <w:abstractNumId w:val="12"/>
  </w:num>
  <w:num w:numId="6">
    <w:abstractNumId w:val="3"/>
  </w:num>
  <w:num w:numId="7">
    <w:abstractNumId w:val="12"/>
  </w:num>
  <w:num w:numId="8">
    <w:abstractNumId w:val="3"/>
  </w:num>
  <w:num w:numId="9">
    <w:abstractNumId w:val="12"/>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3"/>
  </w:num>
  <w:num w:numId="14">
    <w:abstractNumId w:val="16"/>
  </w:num>
  <w:num w:numId="15">
    <w:abstractNumId w:val="12"/>
  </w:num>
  <w:num w:numId="16">
    <w:abstractNumId w:val="3"/>
  </w:num>
  <w:num w:numId="17">
    <w:abstractNumId w:val="2"/>
  </w:num>
  <w:num w:numId="18">
    <w:abstractNumId w:val="11"/>
  </w:num>
  <w:num w:numId="19">
    <w:abstractNumId w:val="9"/>
  </w:num>
  <w:num w:numId="20">
    <w:abstractNumId w:val="10"/>
  </w:num>
  <w:num w:numId="21">
    <w:abstractNumId w:val="14"/>
  </w:num>
  <w:num w:numId="22">
    <w:abstractNumId w:val="0"/>
  </w:num>
  <w:num w:numId="23">
    <w:abstractNumId w:val="18"/>
  </w:num>
  <w:num w:numId="24">
    <w:abstractNumId w:val="15"/>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5A9"/>
    <w:rsid w:val="000011E0"/>
    <w:rsid w:val="0000367C"/>
    <w:rsid w:val="0001548D"/>
    <w:rsid w:val="000273CE"/>
    <w:rsid w:val="00052029"/>
    <w:rsid w:val="000779C5"/>
    <w:rsid w:val="000B2A92"/>
    <w:rsid w:val="000B5B08"/>
    <w:rsid w:val="000C0E8A"/>
    <w:rsid w:val="000C4D95"/>
    <w:rsid w:val="000D2681"/>
    <w:rsid w:val="000F4E10"/>
    <w:rsid w:val="00130D16"/>
    <w:rsid w:val="00144F9B"/>
    <w:rsid w:val="0015686E"/>
    <w:rsid w:val="00174A89"/>
    <w:rsid w:val="00192076"/>
    <w:rsid w:val="001C180A"/>
    <w:rsid w:val="001E144D"/>
    <w:rsid w:val="001E1B3D"/>
    <w:rsid w:val="001E2AEB"/>
    <w:rsid w:val="001E7A24"/>
    <w:rsid w:val="002335DE"/>
    <w:rsid w:val="00237840"/>
    <w:rsid w:val="00251332"/>
    <w:rsid w:val="00251FE8"/>
    <w:rsid w:val="00271BE8"/>
    <w:rsid w:val="00284E90"/>
    <w:rsid w:val="0029223B"/>
    <w:rsid w:val="00293025"/>
    <w:rsid w:val="002960D6"/>
    <w:rsid w:val="002A27C6"/>
    <w:rsid w:val="002D33E7"/>
    <w:rsid w:val="003017E6"/>
    <w:rsid w:val="003245AE"/>
    <w:rsid w:val="00326141"/>
    <w:rsid w:val="003355F2"/>
    <w:rsid w:val="003357DF"/>
    <w:rsid w:val="003441E2"/>
    <w:rsid w:val="003650CC"/>
    <w:rsid w:val="00367FED"/>
    <w:rsid w:val="00370741"/>
    <w:rsid w:val="003874BE"/>
    <w:rsid w:val="003A158E"/>
    <w:rsid w:val="003D73BB"/>
    <w:rsid w:val="00401D30"/>
    <w:rsid w:val="004074EC"/>
    <w:rsid w:val="00434598"/>
    <w:rsid w:val="0047598D"/>
    <w:rsid w:val="00480C0E"/>
    <w:rsid w:val="00493CED"/>
    <w:rsid w:val="004A211D"/>
    <w:rsid w:val="004B5B00"/>
    <w:rsid w:val="004C2A66"/>
    <w:rsid w:val="004E211C"/>
    <w:rsid w:val="004E2FB7"/>
    <w:rsid w:val="00500769"/>
    <w:rsid w:val="00501356"/>
    <w:rsid w:val="005230BB"/>
    <w:rsid w:val="00523505"/>
    <w:rsid w:val="00533617"/>
    <w:rsid w:val="0053487B"/>
    <w:rsid w:val="00544E86"/>
    <w:rsid w:val="00546ACE"/>
    <w:rsid w:val="0057027A"/>
    <w:rsid w:val="005828E2"/>
    <w:rsid w:val="00584D8F"/>
    <w:rsid w:val="00591EEC"/>
    <w:rsid w:val="005C1E8C"/>
    <w:rsid w:val="005C539D"/>
    <w:rsid w:val="005C74B6"/>
    <w:rsid w:val="005D4E89"/>
    <w:rsid w:val="005E013A"/>
    <w:rsid w:val="005F2CAD"/>
    <w:rsid w:val="006001DE"/>
    <w:rsid w:val="00600FE1"/>
    <w:rsid w:val="00603482"/>
    <w:rsid w:val="00614F60"/>
    <w:rsid w:val="00632A8C"/>
    <w:rsid w:val="006363E2"/>
    <w:rsid w:val="00636FB8"/>
    <w:rsid w:val="0065587F"/>
    <w:rsid w:val="00657EC2"/>
    <w:rsid w:val="00661AB3"/>
    <w:rsid w:val="00664088"/>
    <w:rsid w:val="0067540B"/>
    <w:rsid w:val="006857EF"/>
    <w:rsid w:val="00686A29"/>
    <w:rsid w:val="00692393"/>
    <w:rsid w:val="006A70FB"/>
    <w:rsid w:val="006B1A68"/>
    <w:rsid w:val="006B2469"/>
    <w:rsid w:val="006B5B1F"/>
    <w:rsid w:val="006E3506"/>
    <w:rsid w:val="006E574C"/>
    <w:rsid w:val="006F336F"/>
    <w:rsid w:val="00713DF2"/>
    <w:rsid w:val="00716E96"/>
    <w:rsid w:val="00723682"/>
    <w:rsid w:val="007301CD"/>
    <w:rsid w:val="00730DA9"/>
    <w:rsid w:val="00731116"/>
    <w:rsid w:val="007416E4"/>
    <w:rsid w:val="00747EA1"/>
    <w:rsid w:val="00767E69"/>
    <w:rsid w:val="0078193A"/>
    <w:rsid w:val="00793178"/>
    <w:rsid w:val="007946C1"/>
    <w:rsid w:val="007967F6"/>
    <w:rsid w:val="00797F16"/>
    <w:rsid w:val="007B2458"/>
    <w:rsid w:val="007B2692"/>
    <w:rsid w:val="007C2FE5"/>
    <w:rsid w:val="007E1079"/>
    <w:rsid w:val="007E3150"/>
    <w:rsid w:val="00801B3D"/>
    <w:rsid w:val="008045E4"/>
    <w:rsid w:val="00807E37"/>
    <w:rsid w:val="00813FC0"/>
    <w:rsid w:val="00866D4E"/>
    <w:rsid w:val="00871E3D"/>
    <w:rsid w:val="008778C2"/>
    <w:rsid w:val="00894A8E"/>
    <w:rsid w:val="008A7DEB"/>
    <w:rsid w:val="008B002F"/>
    <w:rsid w:val="008E3A5F"/>
    <w:rsid w:val="00900026"/>
    <w:rsid w:val="00900A4E"/>
    <w:rsid w:val="00905F1B"/>
    <w:rsid w:val="009101FB"/>
    <w:rsid w:val="0091628D"/>
    <w:rsid w:val="0095518E"/>
    <w:rsid w:val="00961339"/>
    <w:rsid w:val="009643BD"/>
    <w:rsid w:val="00966423"/>
    <w:rsid w:val="00992A65"/>
    <w:rsid w:val="009A1C5A"/>
    <w:rsid w:val="009B4312"/>
    <w:rsid w:val="009D0406"/>
    <w:rsid w:val="009D655B"/>
    <w:rsid w:val="009F3691"/>
    <w:rsid w:val="009F70E6"/>
    <w:rsid w:val="00A0435D"/>
    <w:rsid w:val="00A20B72"/>
    <w:rsid w:val="00A30ABD"/>
    <w:rsid w:val="00A30D86"/>
    <w:rsid w:val="00A35F1B"/>
    <w:rsid w:val="00A428BE"/>
    <w:rsid w:val="00A434DD"/>
    <w:rsid w:val="00A73251"/>
    <w:rsid w:val="00A747A7"/>
    <w:rsid w:val="00A87726"/>
    <w:rsid w:val="00A9006D"/>
    <w:rsid w:val="00A9339D"/>
    <w:rsid w:val="00AB06AA"/>
    <w:rsid w:val="00AB5A40"/>
    <w:rsid w:val="00AC42CA"/>
    <w:rsid w:val="00AD6BC5"/>
    <w:rsid w:val="00AD778A"/>
    <w:rsid w:val="00AE1B1C"/>
    <w:rsid w:val="00AE2F71"/>
    <w:rsid w:val="00B005A6"/>
    <w:rsid w:val="00B03314"/>
    <w:rsid w:val="00B21B7B"/>
    <w:rsid w:val="00B24094"/>
    <w:rsid w:val="00B835BB"/>
    <w:rsid w:val="00B90161"/>
    <w:rsid w:val="00BA2818"/>
    <w:rsid w:val="00BA5FCE"/>
    <w:rsid w:val="00BB22D8"/>
    <w:rsid w:val="00BD523B"/>
    <w:rsid w:val="00BD759A"/>
    <w:rsid w:val="00BE7213"/>
    <w:rsid w:val="00BE729E"/>
    <w:rsid w:val="00C01C7F"/>
    <w:rsid w:val="00C0255E"/>
    <w:rsid w:val="00C03906"/>
    <w:rsid w:val="00C11F89"/>
    <w:rsid w:val="00C13D53"/>
    <w:rsid w:val="00C46C85"/>
    <w:rsid w:val="00C55047"/>
    <w:rsid w:val="00C5674B"/>
    <w:rsid w:val="00C60885"/>
    <w:rsid w:val="00C61727"/>
    <w:rsid w:val="00C804C9"/>
    <w:rsid w:val="00C908E7"/>
    <w:rsid w:val="00CC1DAF"/>
    <w:rsid w:val="00CC48F8"/>
    <w:rsid w:val="00CE4446"/>
    <w:rsid w:val="00D04592"/>
    <w:rsid w:val="00D16D62"/>
    <w:rsid w:val="00D43394"/>
    <w:rsid w:val="00D54C5A"/>
    <w:rsid w:val="00D60253"/>
    <w:rsid w:val="00D74FC2"/>
    <w:rsid w:val="00D90C0E"/>
    <w:rsid w:val="00D92BC2"/>
    <w:rsid w:val="00DF62C6"/>
    <w:rsid w:val="00DF7396"/>
    <w:rsid w:val="00E01D8B"/>
    <w:rsid w:val="00E102F0"/>
    <w:rsid w:val="00E70B87"/>
    <w:rsid w:val="00E84887"/>
    <w:rsid w:val="00EA593C"/>
    <w:rsid w:val="00EB7461"/>
    <w:rsid w:val="00EB7F9E"/>
    <w:rsid w:val="00EC550F"/>
    <w:rsid w:val="00EF076F"/>
    <w:rsid w:val="00EF1973"/>
    <w:rsid w:val="00EF2874"/>
    <w:rsid w:val="00EF6103"/>
    <w:rsid w:val="00EF7CCF"/>
    <w:rsid w:val="00F074D4"/>
    <w:rsid w:val="00F114CE"/>
    <w:rsid w:val="00F17AF9"/>
    <w:rsid w:val="00F317EB"/>
    <w:rsid w:val="00F33CC0"/>
    <w:rsid w:val="00F70368"/>
    <w:rsid w:val="00F76E4F"/>
    <w:rsid w:val="00F945A9"/>
    <w:rsid w:val="00F945C2"/>
    <w:rsid w:val="00FC35B4"/>
    <w:rsid w:val="00FD391B"/>
    <w:rsid w:val="00FD4CC0"/>
    <w:rsid w:val="00FD5106"/>
    <w:rsid w:val="00FE4121"/>
    <w:rsid w:val="00FF09E8"/>
    <w:rsid w:val="00FF2264"/>
    <w:rsid w:val="00FF5B6F"/>
    <w:rsid w:val="00FF5D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C23C3"/>
  <w15:chartTrackingRefBased/>
  <w15:docId w15:val="{D4C072C8-384B-4408-B4D0-7FEEBAE31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A8C"/>
    <w:pPr>
      <w:spacing w:line="260" w:lineRule="atLeast"/>
      <w:jc w:val="both"/>
    </w:pPr>
    <w:rPr>
      <w:rFonts w:ascii="Times New Roman" w:hAnsi="Times New Roman"/>
      <w:noProof/>
      <w:color w:val="000000"/>
      <w:sz w:val="24"/>
    </w:rPr>
  </w:style>
  <w:style w:type="paragraph" w:styleId="Heading1">
    <w:name w:val="heading 1"/>
    <w:basedOn w:val="MDPI21heading1"/>
    <w:next w:val="Normal"/>
    <w:link w:val="Heading1Char"/>
    <w:uiPriority w:val="9"/>
    <w:qFormat/>
    <w:rsid w:val="00FD4CC0"/>
    <w:pPr>
      <w:ind w:left="0"/>
    </w:pPr>
    <w:rPr>
      <w:rFonts w:ascii="Arial" w:hAnsi="Arial" w:cs="Arial"/>
      <w:sz w:val="36"/>
      <w:szCs w:val="36"/>
    </w:rPr>
  </w:style>
  <w:style w:type="paragraph" w:styleId="Heading2">
    <w:name w:val="heading 2"/>
    <w:basedOn w:val="Normal"/>
    <w:next w:val="Normal"/>
    <w:link w:val="Heading2Char"/>
    <w:uiPriority w:val="9"/>
    <w:unhideWhenUsed/>
    <w:qFormat/>
    <w:rsid w:val="00F945A9"/>
    <w:pPr>
      <w:numPr>
        <w:ilvl w:val="1"/>
        <w:numId w:val="20"/>
      </w:numPr>
      <w:spacing w:after="160" w:line="259" w:lineRule="auto"/>
      <w:outlineLvl w:val="1"/>
    </w:pPr>
    <w:rPr>
      <w:rFonts w:eastAsia="Calibri"/>
      <w:b/>
      <w:noProof w:val="0"/>
      <w:color w:val="auto"/>
      <w:szCs w:val="24"/>
      <w:lang w:val="en-GB" w:eastAsia="en-US"/>
    </w:rPr>
  </w:style>
  <w:style w:type="paragraph" w:styleId="Heading3">
    <w:name w:val="heading 3"/>
    <w:basedOn w:val="Normal"/>
    <w:next w:val="Normal"/>
    <w:link w:val="Heading3Char"/>
    <w:uiPriority w:val="9"/>
    <w:semiHidden/>
    <w:unhideWhenUsed/>
    <w:qFormat/>
    <w:rsid w:val="00F945A9"/>
    <w:pPr>
      <w:keepNext/>
      <w:keepLines/>
      <w:numPr>
        <w:ilvl w:val="2"/>
        <w:numId w:val="20"/>
      </w:numPr>
      <w:spacing w:before="40" w:line="259" w:lineRule="auto"/>
      <w:jc w:val="left"/>
      <w:outlineLvl w:val="2"/>
    </w:pPr>
    <w:rPr>
      <w:rFonts w:ascii="Calibri Light" w:eastAsia="Times New Roman" w:hAnsi="Calibri Light"/>
      <w:noProof w:val="0"/>
      <w:color w:val="1F4D78"/>
      <w:szCs w:val="24"/>
      <w:lang w:val="en-GB" w:eastAsia="en-US"/>
    </w:rPr>
  </w:style>
  <w:style w:type="paragraph" w:styleId="Heading4">
    <w:name w:val="heading 4"/>
    <w:basedOn w:val="Normal"/>
    <w:next w:val="Normal"/>
    <w:link w:val="Heading4Char"/>
    <w:uiPriority w:val="9"/>
    <w:semiHidden/>
    <w:unhideWhenUsed/>
    <w:qFormat/>
    <w:rsid w:val="00F945A9"/>
    <w:pPr>
      <w:keepNext/>
      <w:keepLines/>
      <w:numPr>
        <w:ilvl w:val="3"/>
        <w:numId w:val="20"/>
      </w:numPr>
      <w:spacing w:before="40" w:line="259" w:lineRule="auto"/>
      <w:jc w:val="left"/>
      <w:outlineLvl w:val="3"/>
    </w:pPr>
    <w:rPr>
      <w:rFonts w:ascii="Calibri Light" w:eastAsia="Times New Roman" w:hAnsi="Calibri Light"/>
      <w:i/>
      <w:iCs/>
      <w:noProof w:val="0"/>
      <w:color w:val="2E74B5"/>
      <w:sz w:val="22"/>
      <w:szCs w:val="22"/>
      <w:lang w:val="en-GB" w:eastAsia="en-US"/>
    </w:rPr>
  </w:style>
  <w:style w:type="paragraph" w:styleId="Heading5">
    <w:name w:val="heading 5"/>
    <w:basedOn w:val="Normal"/>
    <w:next w:val="Normal"/>
    <w:link w:val="Heading5Char"/>
    <w:uiPriority w:val="9"/>
    <w:semiHidden/>
    <w:unhideWhenUsed/>
    <w:qFormat/>
    <w:rsid w:val="00F945A9"/>
    <w:pPr>
      <w:keepNext/>
      <w:keepLines/>
      <w:numPr>
        <w:ilvl w:val="4"/>
        <w:numId w:val="20"/>
      </w:numPr>
      <w:spacing w:before="40" w:line="259" w:lineRule="auto"/>
      <w:jc w:val="left"/>
      <w:outlineLvl w:val="4"/>
    </w:pPr>
    <w:rPr>
      <w:rFonts w:ascii="Calibri Light" w:eastAsia="Times New Roman" w:hAnsi="Calibri Light"/>
      <w:noProof w:val="0"/>
      <w:color w:val="2E74B5"/>
      <w:sz w:val="22"/>
      <w:szCs w:val="22"/>
      <w:lang w:val="en-GB" w:eastAsia="en-US"/>
    </w:rPr>
  </w:style>
  <w:style w:type="paragraph" w:styleId="Heading6">
    <w:name w:val="heading 6"/>
    <w:basedOn w:val="Normal"/>
    <w:next w:val="Normal"/>
    <w:link w:val="Heading6Char"/>
    <w:uiPriority w:val="9"/>
    <w:semiHidden/>
    <w:unhideWhenUsed/>
    <w:qFormat/>
    <w:rsid w:val="00F945A9"/>
    <w:pPr>
      <w:keepNext/>
      <w:keepLines/>
      <w:numPr>
        <w:ilvl w:val="5"/>
        <w:numId w:val="20"/>
      </w:numPr>
      <w:spacing w:before="40" w:line="259" w:lineRule="auto"/>
      <w:jc w:val="left"/>
      <w:outlineLvl w:val="5"/>
    </w:pPr>
    <w:rPr>
      <w:rFonts w:ascii="Calibri Light" w:eastAsia="Times New Roman" w:hAnsi="Calibri Light"/>
      <w:noProof w:val="0"/>
      <w:color w:val="1F4D78"/>
      <w:sz w:val="22"/>
      <w:szCs w:val="22"/>
      <w:lang w:val="en-GB" w:eastAsia="en-US"/>
    </w:rPr>
  </w:style>
  <w:style w:type="paragraph" w:styleId="Heading7">
    <w:name w:val="heading 7"/>
    <w:basedOn w:val="Normal"/>
    <w:next w:val="Normal"/>
    <w:link w:val="Heading7Char"/>
    <w:uiPriority w:val="9"/>
    <w:semiHidden/>
    <w:unhideWhenUsed/>
    <w:qFormat/>
    <w:rsid w:val="00F945A9"/>
    <w:pPr>
      <w:keepNext/>
      <w:keepLines/>
      <w:numPr>
        <w:ilvl w:val="6"/>
        <w:numId w:val="20"/>
      </w:numPr>
      <w:spacing w:before="40" w:line="259" w:lineRule="auto"/>
      <w:jc w:val="left"/>
      <w:outlineLvl w:val="6"/>
    </w:pPr>
    <w:rPr>
      <w:rFonts w:ascii="Calibri Light" w:eastAsia="Times New Roman" w:hAnsi="Calibri Light"/>
      <w:i/>
      <w:iCs/>
      <w:noProof w:val="0"/>
      <w:color w:val="1F4D78"/>
      <w:sz w:val="22"/>
      <w:szCs w:val="22"/>
      <w:lang w:val="en-GB" w:eastAsia="en-US"/>
    </w:rPr>
  </w:style>
  <w:style w:type="paragraph" w:styleId="Heading8">
    <w:name w:val="heading 8"/>
    <w:basedOn w:val="Normal"/>
    <w:next w:val="Normal"/>
    <w:link w:val="Heading8Char"/>
    <w:uiPriority w:val="9"/>
    <w:semiHidden/>
    <w:unhideWhenUsed/>
    <w:qFormat/>
    <w:rsid w:val="00F945A9"/>
    <w:pPr>
      <w:keepNext/>
      <w:keepLines/>
      <w:numPr>
        <w:ilvl w:val="7"/>
        <w:numId w:val="20"/>
      </w:numPr>
      <w:spacing w:before="40" w:line="259" w:lineRule="auto"/>
      <w:jc w:val="left"/>
      <w:outlineLvl w:val="7"/>
    </w:pPr>
    <w:rPr>
      <w:rFonts w:ascii="Calibri Light" w:eastAsia="Times New Roman" w:hAnsi="Calibri Light"/>
      <w:noProof w:val="0"/>
      <w:color w:val="272727"/>
      <w:sz w:val="21"/>
      <w:szCs w:val="21"/>
      <w:lang w:val="en-GB" w:eastAsia="en-US"/>
    </w:rPr>
  </w:style>
  <w:style w:type="paragraph" w:styleId="Heading9">
    <w:name w:val="heading 9"/>
    <w:basedOn w:val="Normal"/>
    <w:next w:val="Normal"/>
    <w:link w:val="Heading9Char"/>
    <w:uiPriority w:val="9"/>
    <w:semiHidden/>
    <w:unhideWhenUsed/>
    <w:qFormat/>
    <w:rsid w:val="00F945A9"/>
    <w:pPr>
      <w:keepNext/>
      <w:keepLines/>
      <w:numPr>
        <w:ilvl w:val="8"/>
        <w:numId w:val="20"/>
      </w:numPr>
      <w:spacing w:before="40" w:line="259" w:lineRule="auto"/>
      <w:jc w:val="left"/>
      <w:outlineLvl w:val="8"/>
    </w:pPr>
    <w:rPr>
      <w:rFonts w:ascii="Calibri Light" w:eastAsia="Times New Roman" w:hAnsi="Calibri Light"/>
      <w:i/>
      <w:iCs/>
      <w:noProof w:val="0"/>
      <w:color w:val="272727"/>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CC0"/>
    <w:rPr>
      <w:rFonts w:ascii="Arial" w:eastAsia="Times New Roman" w:hAnsi="Arial" w:cs="Arial"/>
      <w:b/>
      <w:snapToGrid w:val="0"/>
      <w:color w:val="000000"/>
      <w:sz w:val="36"/>
      <w:szCs w:val="36"/>
      <w:lang w:eastAsia="de-DE" w:bidi="en-US"/>
    </w:rPr>
  </w:style>
  <w:style w:type="character" w:customStyle="1" w:styleId="Heading2Char">
    <w:name w:val="Heading 2 Char"/>
    <w:basedOn w:val="DefaultParagraphFont"/>
    <w:link w:val="Heading2"/>
    <w:uiPriority w:val="9"/>
    <w:rsid w:val="00F945A9"/>
    <w:rPr>
      <w:rFonts w:ascii="Times New Roman" w:eastAsia="Calibri" w:hAnsi="Times New Roman"/>
      <w:b/>
      <w:sz w:val="24"/>
      <w:szCs w:val="24"/>
      <w:lang w:val="en-GB" w:eastAsia="en-US"/>
    </w:rPr>
  </w:style>
  <w:style w:type="character" w:customStyle="1" w:styleId="Heading3Char">
    <w:name w:val="Heading 3 Char"/>
    <w:basedOn w:val="DefaultParagraphFont"/>
    <w:link w:val="Heading3"/>
    <w:uiPriority w:val="9"/>
    <w:semiHidden/>
    <w:rsid w:val="00F945A9"/>
    <w:rPr>
      <w:rFonts w:ascii="Calibri Light" w:eastAsia="Times New Roman" w:hAnsi="Calibri Light"/>
      <w:color w:val="1F4D78"/>
      <w:sz w:val="24"/>
      <w:szCs w:val="24"/>
      <w:lang w:val="en-GB" w:eastAsia="en-US"/>
    </w:rPr>
  </w:style>
  <w:style w:type="character" w:customStyle="1" w:styleId="Heading4Char">
    <w:name w:val="Heading 4 Char"/>
    <w:basedOn w:val="DefaultParagraphFont"/>
    <w:link w:val="Heading4"/>
    <w:uiPriority w:val="9"/>
    <w:semiHidden/>
    <w:rsid w:val="00F945A9"/>
    <w:rPr>
      <w:rFonts w:ascii="Calibri Light" w:eastAsia="Times New Roman" w:hAnsi="Calibri Light"/>
      <w:i/>
      <w:iCs/>
      <w:color w:val="2E74B5"/>
      <w:sz w:val="22"/>
      <w:szCs w:val="22"/>
      <w:lang w:val="en-GB" w:eastAsia="en-US"/>
    </w:rPr>
  </w:style>
  <w:style w:type="character" w:customStyle="1" w:styleId="Heading5Char">
    <w:name w:val="Heading 5 Char"/>
    <w:basedOn w:val="DefaultParagraphFont"/>
    <w:link w:val="Heading5"/>
    <w:uiPriority w:val="9"/>
    <w:semiHidden/>
    <w:rsid w:val="00F945A9"/>
    <w:rPr>
      <w:rFonts w:ascii="Calibri Light" w:eastAsia="Times New Roman" w:hAnsi="Calibri Light"/>
      <w:color w:val="2E74B5"/>
      <w:sz w:val="22"/>
      <w:szCs w:val="22"/>
      <w:lang w:val="en-GB" w:eastAsia="en-US"/>
    </w:rPr>
  </w:style>
  <w:style w:type="character" w:customStyle="1" w:styleId="Heading6Char">
    <w:name w:val="Heading 6 Char"/>
    <w:basedOn w:val="DefaultParagraphFont"/>
    <w:link w:val="Heading6"/>
    <w:uiPriority w:val="9"/>
    <w:semiHidden/>
    <w:rsid w:val="00F945A9"/>
    <w:rPr>
      <w:rFonts w:ascii="Calibri Light" w:eastAsia="Times New Roman" w:hAnsi="Calibri Light"/>
      <w:color w:val="1F4D78"/>
      <w:sz w:val="22"/>
      <w:szCs w:val="22"/>
      <w:lang w:val="en-GB" w:eastAsia="en-US"/>
    </w:rPr>
  </w:style>
  <w:style w:type="character" w:customStyle="1" w:styleId="Heading7Char">
    <w:name w:val="Heading 7 Char"/>
    <w:basedOn w:val="DefaultParagraphFont"/>
    <w:link w:val="Heading7"/>
    <w:uiPriority w:val="9"/>
    <w:semiHidden/>
    <w:rsid w:val="00F945A9"/>
    <w:rPr>
      <w:rFonts w:ascii="Calibri Light" w:eastAsia="Times New Roman" w:hAnsi="Calibri Light"/>
      <w:i/>
      <w:iCs/>
      <w:color w:val="1F4D78"/>
      <w:sz w:val="22"/>
      <w:szCs w:val="22"/>
      <w:lang w:val="en-GB" w:eastAsia="en-US"/>
    </w:rPr>
  </w:style>
  <w:style w:type="character" w:customStyle="1" w:styleId="Heading8Char">
    <w:name w:val="Heading 8 Char"/>
    <w:basedOn w:val="DefaultParagraphFont"/>
    <w:link w:val="Heading8"/>
    <w:uiPriority w:val="9"/>
    <w:semiHidden/>
    <w:rsid w:val="00F945A9"/>
    <w:rPr>
      <w:rFonts w:ascii="Calibri Light" w:eastAsia="Times New Roman" w:hAnsi="Calibri Light"/>
      <w:color w:val="272727"/>
      <w:sz w:val="21"/>
      <w:szCs w:val="21"/>
      <w:lang w:val="en-GB" w:eastAsia="en-US"/>
    </w:rPr>
  </w:style>
  <w:style w:type="character" w:customStyle="1" w:styleId="Heading9Char">
    <w:name w:val="Heading 9 Char"/>
    <w:basedOn w:val="DefaultParagraphFont"/>
    <w:link w:val="Heading9"/>
    <w:uiPriority w:val="9"/>
    <w:semiHidden/>
    <w:rsid w:val="00F945A9"/>
    <w:rPr>
      <w:rFonts w:ascii="Calibri Light" w:eastAsia="Times New Roman" w:hAnsi="Calibri Light"/>
      <w:i/>
      <w:iCs/>
      <w:color w:val="272727"/>
      <w:sz w:val="21"/>
      <w:szCs w:val="21"/>
      <w:lang w:val="en-GB" w:eastAsia="en-US"/>
    </w:rPr>
  </w:style>
  <w:style w:type="paragraph" w:customStyle="1" w:styleId="MDPI11articletype">
    <w:name w:val="MDPI_1.1_article_type"/>
    <w:next w:val="Normal"/>
    <w:rsid w:val="006E574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basedOn w:val="Heading2"/>
    <w:next w:val="Normal"/>
    <w:rsid w:val="00FD4CC0"/>
    <w:pPr>
      <w:numPr>
        <w:ilvl w:val="0"/>
        <w:numId w:val="0"/>
      </w:numPr>
      <w:spacing w:before="240" w:after="60" w:line="228" w:lineRule="auto"/>
      <w:ind w:left="576" w:hanging="576"/>
    </w:pPr>
    <w:rPr>
      <w:rFonts w:ascii="Arial" w:hAnsi="Arial" w:cs="Arial"/>
      <w:sz w:val="28"/>
      <w:szCs w:val="28"/>
    </w:rPr>
  </w:style>
  <w:style w:type="paragraph" w:customStyle="1" w:styleId="MDPI13authornames">
    <w:name w:val="MDPI_1.3_authornames"/>
    <w:next w:val="Normal"/>
    <w:rsid w:val="006E574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rsid w:val="006E574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rsid w:val="006E574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rsid w:val="006E574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rsid w:val="006E574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rsid w:val="006E574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807E3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6E574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E574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E574C"/>
    <w:rPr>
      <w:rFonts w:ascii="Palatino Linotype" w:hAnsi="Palatino Linotype"/>
      <w:noProof/>
      <w:color w:val="000000"/>
      <w:szCs w:val="18"/>
    </w:rPr>
  </w:style>
  <w:style w:type="paragraph" w:styleId="Header">
    <w:name w:val="header"/>
    <w:basedOn w:val="Normal"/>
    <w:link w:val="HeaderChar"/>
    <w:uiPriority w:val="99"/>
    <w:rsid w:val="006E574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E574C"/>
    <w:rPr>
      <w:rFonts w:ascii="Palatino Linotype" w:hAnsi="Palatino Linotype"/>
      <w:noProof/>
      <w:color w:val="000000"/>
      <w:szCs w:val="18"/>
    </w:rPr>
  </w:style>
  <w:style w:type="paragraph" w:customStyle="1" w:styleId="MDPIheaderjournallogo">
    <w:name w:val="MDPI_header_journal_logo"/>
    <w:rsid w:val="006E574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rsid w:val="006E574C"/>
    <w:pPr>
      <w:ind w:firstLine="0"/>
    </w:pPr>
  </w:style>
  <w:style w:type="paragraph" w:customStyle="1" w:styleId="MDPI31text">
    <w:name w:val="MDPI_3.1_text"/>
    <w:rsid w:val="0057027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rsid w:val="006E574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rsid w:val="006E574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rsid w:val="006E574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rsid w:val="006E574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rsid w:val="006E574C"/>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rsid w:val="006E574C"/>
    <w:pPr>
      <w:numPr>
        <w:numId w:val="1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rsid w:val="006E574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rsid w:val="006E574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rsid w:val="006E574C"/>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rsid w:val="00797F1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rsid w:val="006E574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rsid w:val="006E574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rsid w:val="006E574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rsid w:val="006E574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rsid w:val="006E574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rsid w:val="006E574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rsid w:val="006E574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rsid w:val="006E574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rsid w:val="00CC48F8"/>
    <w:pPr>
      <w:numPr>
        <w:numId w:val="1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E574C"/>
    <w:rPr>
      <w:rFonts w:cs="Tahoma"/>
      <w:szCs w:val="18"/>
    </w:rPr>
  </w:style>
  <w:style w:type="character" w:customStyle="1" w:styleId="BalloonTextChar">
    <w:name w:val="Balloon Text Char"/>
    <w:link w:val="BalloonText"/>
    <w:uiPriority w:val="99"/>
    <w:rsid w:val="006E574C"/>
    <w:rPr>
      <w:rFonts w:ascii="Palatino Linotype" w:hAnsi="Palatino Linotype" w:cs="Tahoma"/>
      <w:noProof/>
      <w:color w:val="000000"/>
      <w:szCs w:val="18"/>
    </w:rPr>
  </w:style>
  <w:style w:type="character" w:styleId="LineNumber">
    <w:name w:val="line number"/>
    <w:uiPriority w:val="99"/>
    <w:rsid w:val="00F17AF9"/>
    <w:rPr>
      <w:rFonts w:ascii="Palatino Linotype" w:hAnsi="Palatino Linotype"/>
      <w:sz w:val="16"/>
    </w:rPr>
  </w:style>
  <w:style w:type="table" w:customStyle="1" w:styleId="MDPI41threelinetable">
    <w:name w:val="MDPI_4.1_three_line_table"/>
    <w:basedOn w:val="TableNormal"/>
    <w:uiPriority w:val="99"/>
    <w:rsid w:val="006E574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E574C"/>
    <w:rPr>
      <w:color w:val="0000FF"/>
      <w:u w:val="single"/>
    </w:rPr>
  </w:style>
  <w:style w:type="character" w:styleId="UnresolvedMention">
    <w:name w:val="Unresolved Mention"/>
    <w:uiPriority w:val="99"/>
    <w:semiHidden/>
    <w:unhideWhenUsed/>
    <w:rsid w:val="00C60885"/>
    <w:rPr>
      <w:color w:val="605E5C"/>
      <w:shd w:val="clear" w:color="auto" w:fill="E1DFDD"/>
    </w:rPr>
  </w:style>
  <w:style w:type="table" w:styleId="PlainTable4">
    <w:name w:val="Plain Table 4"/>
    <w:basedOn w:val="TableNormal"/>
    <w:uiPriority w:val="44"/>
    <w:rsid w:val="00FF09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rsid w:val="006E574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rsid w:val="006E574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rsid w:val="006E574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rsid w:val="006E574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rsid w:val="006E574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rsid w:val="006E574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rsid w:val="006E574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rsid w:val="006E574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6E574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rsid w:val="006E574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rsid w:val="006E574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rsid w:val="006E574C"/>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rsid w:val="006E574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6E574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rsid w:val="006E574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6E574C"/>
    <w:rPr>
      <w:rFonts w:ascii="Palatino Linotype" w:hAnsi="Palatino Linotype"/>
      <w:color w:val="000000"/>
      <w:lang w:val="en-CA" w:eastAsia="en-US"/>
    </w:rPr>
    <w:tblPr>
      <w:tblCellMar>
        <w:left w:w="0" w:type="dxa"/>
        <w:right w:w="0" w:type="dxa"/>
      </w:tblCellMar>
    </w:tblPr>
  </w:style>
  <w:style w:type="paragraph" w:customStyle="1" w:styleId="MDPItext">
    <w:name w:val="MDPI_text"/>
    <w:rsid w:val="006E574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rsid w:val="006E574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E574C"/>
  </w:style>
  <w:style w:type="paragraph" w:styleId="Bibliography">
    <w:name w:val="Bibliography"/>
    <w:basedOn w:val="Normal"/>
    <w:next w:val="Normal"/>
    <w:uiPriority w:val="37"/>
    <w:semiHidden/>
    <w:unhideWhenUsed/>
    <w:rsid w:val="006E574C"/>
  </w:style>
  <w:style w:type="paragraph" w:styleId="BodyText">
    <w:name w:val="Body Text"/>
    <w:link w:val="BodyTextChar"/>
    <w:rsid w:val="006E574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E574C"/>
    <w:rPr>
      <w:rFonts w:ascii="Palatino Linotype" w:hAnsi="Palatino Linotype"/>
      <w:color w:val="000000"/>
      <w:sz w:val="24"/>
      <w:lang w:eastAsia="de-DE"/>
    </w:rPr>
  </w:style>
  <w:style w:type="character" w:styleId="CommentReference">
    <w:name w:val="annotation reference"/>
    <w:uiPriority w:val="99"/>
    <w:rsid w:val="006E574C"/>
    <w:rPr>
      <w:sz w:val="21"/>
      <w:szCs w:val="21"/>
    </w:rPr>
  </w:style>
  <w:style w:type="paragraph" w:styleId="CommentText">
    <w:name w:val="annotation text"/>
    <w:basedOn w:val="Normal"/>
    <w:link w:val="CommentTextChar"/>
    <w:uiPriority w:val="99"/>
    <w:rsid w:val="006E574C"/>
  </w:style>
  <w:style w:type="character" w:customStyle="1" w:styleId="CommentTextChar">
    <w:name w:val="Comment Text Char"/>
    <w:link w:val="CommentText"/>
    <w:uiPriority w:val="99"/>
    <w:rsid w:val="006E574C"/>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6E574C"/>
    <w:rPr>
      <w:b/>
      <w:bCs/>
    </w:rPr>
  </w:style>
  <w:style w:type="character" w:customStyle="1" w:styleId="CommentSubjectChar">
    <w:name w:val="Comment Subject Char"/>
    <w:link w:val="CommentSubject"/>
    <w:uiPriority w:val="99"/>
    <w:rsid w:val="006E574C"/>
    <w:rPr>
      <w:rFonts w:ascii="Palatino Linotype" w:hAnsi="Palatino Linotype"/>
      <w:b/>
      <w:bCs/>
      <w:noProof/>
      <w:color w:val="000000"/>
    </w:rPr>
  </w:style>
  <w:style w:type="character" w:styleId="EndnoteReference">
    <w:name w:val="endnote reference"/>
    <w:rsid w:val="006E574C"/>
    <w:rPr>
      <w:vertAlign w:val="superscript"/>
    </w:rPr>
  </w:style>
  <w:style w:type="paragraph" w:styleId="EndnoteText">
    <w:name w:val="endnote text"/>
    <w:basedOn w:val="Normal"/>
    <w:link w:val="EndnoteTextChar"/>
    <w:semiHidden/>
    <w:unhideWhenUsed/>
    <w:rsid w:val="006E574C"/>
    <w:pPr>
      <w:spacing w:line="240" w:lineRule="auto"/>
    </w:pPr>
  </w:style>
  <w:style w:type="character" w:customStyle="1" w:styleId="EndnoteTextChar">
    <w:name w:val="Endnote Text Char"/>
    <w:link w:val="EndnoteText"/>
    <w:semiHidden/>
    <w:rsid w:val="006E574C"/>
    <w:rPr>
      <w:rFonts w:ascii="Palatino Linotype" w:hAnsi="Palatino Linotype"/>
      <w:noProof/>
      <w:color w:val="000000"/>
    </w:rPr>
  </w:style>
  <w:style w:type="character" w:styleId="FollowedHyperlink">
    <w:name w:val="FollowedHyperlink"/>
    <w:rsid w:val="006E574C"/>
    <w:rPr>
      <w:color w:val="954F72"/>
      <w:u w:val="single"/>
    </w:rPr>
  </w:style>
  <w:style w:type="paragraph" w:styleId="FootnoteText">
    <w:name w:val="footnote text"/>
    <w:basedOn w:val="Normal"/>
    <w:link w:val="FootnoteTextChar"/>
    <w:semiHidden/>
    <w:unhideWhenUsed/>
    <w:rsid w:val="006E574C"/>
    <w:pPr>
      <w:spacing w:line="240" w:lineRule="auto"/>
    </w:pPr>
  </w:style>
  <w:style w:type="character" w:customStyle="1" w:styleId="FootnoteTextChar">
    <w:name w:val="Footnote Text Char"/>
    <w:link w:val="FootnoteText"/>
    <w:semiHidden/>
    <w:rsid w:val="006E574C"/>
    <w:rPr>
      <w:rFonts w:ascii="Palatino Linotype" w:hAnsi="Palatino Linotype"/>
      <w:noProof/>
      <w:color w:val="000000"/>
    </w:rPr>
  </w:style>
  <w:style w:type="paragraph" w:styleId="NormalWeb">
    <w:name w:val="Normal (Web)"/>
    <w:basedOn w:val="Normal"/>
    <w:uiPriority w:val="99"/>
    <w:rsid w:val="006E574C"/>
    <w:rPr>
      <w:szCs w:val="24"/>
    </w:rPr>
  </w:style>
  <w:style w:type="paragraph" w:customStyle="1" w:styleId="MsoFootnoteText0">
    <w:name w:val="MsoFootnoteText"/>
    <w:basedOn w:val="NormalWeb"/>
    <w:rsid w:val="006E574C"/>
  </w:style>
  <w:style w:type="character" w:styleId="PageNumber">
    <w:name w:val="page number"/>
    <w:rsid w:val="006E574C"/>
  </w:style>
  <w:style w:type="character" w:styleId="PlaceholderText">
    <w:name w:val="Placeholder Text"/>
    <w:uiPriority w:val="99"/>
    <w:semiHidden/>
    <w:rsid w:val="006E574C"/>
    <w:rPr>
      <w:color w:val="808080"/>
    </w:rPr>
  </w:style>
  <w:style w:type="paragraph" w:customStyle="1" w:styleId="MDPI71FootNotes">
    <w:name w:val="MDPI_7.1_FootNotes"/>
    <w:rsid w:val="00900026"/>
    <w:pPr>
      <w:numPr>
        <w:numId w:val="18"/>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fontstyle01">
    <w:name w:val="fontstyle01"/>
    <w:rsid w:val="00F945A9"/>
    <w:rPr>
      <w:rFonts w:ascii="ArialMT-Regular" w:hAnsi="ArialMT-Regular" w:hint="default"/>
      <w:b w:val="0"/>
      <w:bCs w:val="0"/>
      <w:i w:val="0"/>
      <w:iCs w:val="0"/>
      <w:color w:val="000000"/>
      <w:sz w:val="14"/>
      <w:szCs w:val="14"/>
    </w:rPr>
  </w:style>
  <w:style w:type="paragraph" w:styleId="Caption">
    <w:name w:val="caption"/>
    <w:basedOn w:val="Normal"/>
    <w:next w:val="Normal"/>
    <w:uiPriority w:val="35"/>
    <w:unhideWhenUsed/>
    <w:qFormat/>
    <w:rsid w:val="00F945A9"/>
    <w:pPr>
      <w:spacing w:after="200" w:line="240" w:lineRule="auto"/>
      <w:jc w:val="left"/>
    </w:pPr>
    <w:rPr>
      <w:rFonts w:ascii="Calibri" w:eastAsia="Calibri" w:hAnsi="Calibri"/>
      <w:i/>
      <w:iCs/>
      <w:noProof w:val="0"/>
      <w:color w:val="44546A"/>
      <w:sz w:val="18"/>
      <w:szCs w:val="18"/>
      <w:lang w:val="en-GB" w:eastAsia="en-US"/>
    </w:rPr>
  </w:style>
  <w:style w:type="paragraph" w:styleId="ListParagraph">
    <w:name w:val="List Paragraph"/>
    <w:basedOn w:val="Normal"/>
    <w:uiPriority w:val="34"/>
    <w:qFormat/>
    <w:rsid w:val="00F945A9"/>
    <w:pPr>
      <w:spacing w:after="160" w:line="259" w:lineRule="auto"/>
      <w:ind w:left="720"/>
      <w:contextualSpacing/>
      <w:jc w:val="left"/>
    </w:pPr>
    <w:rPr>
      <w:rFonts w:ascii="Calibri" w:eastAsia="Calibri" w:hAnsi="Calibri"/>
      <w:noProof w:val="0"/>
      <w:color w:val="auto"/>
      <w:sz w:val="22"/>
      <w:szCs w:val="22"/>
      <w:lang w:val="en-GB" w:eastAsia="en-US"/>
    </w:rPr>
  </w:style>
  <w:style w:type="character" w:styleId="Strong">
    <w:name w:val="Strong"/>
    <w:uiPriority w:val="22"/>
    <w:qFormat/>
    <w:rsid w:val="00F945A9"/>
    <w:rPr>
      <w:b/>
      <w:bCs/>
    </w:rPr>
  </w:style>
  <w:style w:type="paragraph" w:customStyle="1" w:styleId="Default">
    <w:name w:val="Default"/>
    <w:basedOn w:val="Normal"/>
    <w:rsid w:val="00F945A9"/>
    <w:pPr>
      <w:autoSpaceDE w:val="0"/>
      <w:autoSpaceDN w:val="0"/>
      <w:spacing w:line="240" w:lineRule="auto"/>
      <w:jc w:val="left"/>
    </w:pPr>
    <w:rPr>
      <w:rFonts w:ascii="Calibri" w:eastAsia="Calibri" w:hAnsi="Calibri"/>
      <w:noProof w:val="0"/>
      <w:szCs w:val="24"/>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a.cerc-korosec@fkkt.uni-lj.si"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nac\AppData\Local\Temp\catalys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13082-5D18-4428-8622-E13E7463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catalysts-template</Template>
  <TotalTime>19</TotalTime>
  <Pages>19</Pages>
  <Words>24579</Words>
  <Characters>140106</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164357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Cerc Korošec, Romana</dc:creator>
  <cp:keywords/>
  <dc:description/>
  <cp:lastModifiedBy>Cerc Korošec, Romana</cp:lastModifiedBy>
  <cp:revision>4</cp:revision>
  <cp:lastPrinted>2021-05-30T07:01:00Z</cp:lastPrinted>
  <dcterms:created xsi:type="dcterms:W3CDTF">2021-10-08T12:35:00Z</dcterms:created>
  <dcterms:modified xsi:type="dcterms:W3CDTF">2021-10-11T14:24:00Z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http://csl.mendeley.com/styles/453144791/ACSi</vt:lpwstr>
  </property>
  <property fmtid="{D5CDD505-2E9C-101B-9397-08002B2CF9AE}" pid="4" name="Mendeley Unique User Id_1">
    <vt:lpwstr>1dcbfef4-e90f-35c5-9349-73e5a3cbdf70</vt:lpwstr>
  </property>
  <property fmtid="{D5CDD505-2E9C-101B-9397-08002B2CF9AE}" pid="5" name="Mendeley Recent Style Id 0_1">
    <vt:lpwstr>http://www.zotero.org/styles/acs-applied-materials-and-interfaces</vt:lpwstr>
  </property>
  <property fmtid="{D5CDD505-2E9C-101B-9397-08002B2CF9AE}" pid="6" name="Mendeley Recent Style Name 0_1">
    <vt:lpwstr>ACS Applied Materials &amp; Interfaces</vt:lpwstr>
  </property>
  <property fmtid="{D5CDD505-2E9C-101B-9397-08002B2CF9AE}" pid="7" name="Mendeley Recent Style Id 1_1">
    <vt:lpwstr>http://www.zotero.org/styles/acs-catalysis</vt:lpwstr>
  </property>
  <property fmtid="{D5CDD505-2E9C-101B-9397-08002B2CF9AE}" pid="8" name="Mendeley Recent Style Name 1_1">
    <vt:lpwstr>ACS Catalysis</vt:lpwstr>
  </property>
  <property fmtid="{D5CDD505-2E9C-101B-9397-08002B2CF9AE}" pid="9" name="Mendeley Recent Style Id 2_1">
    <vt:lpwstr>http://csl.mendeley.com/styles/453144791/ACSi</vt:lpwstr>
  </property>
  <property fmtid="{D5CDD505-2E9C-101B-9397-08002B2CF9AE}" pid="10" name="Mendeley Recent Style Name 2_1">
    <vt:lpwstr>ACSi</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http://www.zotero.org/styles/angewandte-chemie</vt:lpwstr>
  </property>
  <property fmtid="{D5CDD505-2E9C-101B-9397-08002B2CF9AE}" pid="14" name="Mendeley Recent Style Name 4_1">
    <vt:lpwstr>Angewandte Chemie International Edition</vt:lpwstr>
  </property>
  <property fmtid="{D5CDD505-2E9C-101B-9397-08002B2CF9AE}" pid="15" name="Mendeley Recent Style Id 5_1">
    <vt:lpwstr>http://www.zotero.org/styles/applied-catalysis-a-general</vt:lpwstr>
  </property>
  <property fmtid="{D5CDD505-2E9C-101B-9397-08002B2CF9AE}" pid="16" name="Mendeley Recent Style Name 5_1">
    <vt:lpwstr>Applied Catalysis A, General</vt:lpwstr>
  </property>
  <property fmtid="{D5CDD505-2E9C-101B-9397-08002B2CF9AE}" pid="17" name="Mendeley Recent Style Id 6_1">
    <vt:lpwstr>http://www.zotero.org/styles/beilstein-journal-of-nanotechnology</vt:lpwstr>
  </property>
  <property fmtid="{D5CDD505-2E9C-101B-9397-08002B2CF9AE}" pid="18" name="Mendeley Recent Style Name 6_1">
    <vt:lpwstr>Beilstein Journal of Nanotechnology</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ies>
</file>