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291B4" w14:textId="77777777" w:rsidR="00155C56" w:rsidRPr="006C08A4" w:rsidRDefault="00155C56" w:rsidP="006C08A4">
      <w:pPr>
        <w:ind w:firstLine="0"/>
        <w:jc w:val="center"/>
        <w:rPr>
          <w:b/>
          <w:bCs/>
          <w:sz w:val="32"/>
          <w:szCs w:val="32"/>
        </w:rPr>
      </w:pPr>
      <w:bookmarkStart w:id="0" w:name="_Hlk78209254"/>
      <w:r w:rsidRPr="006C08A4">
        <w:rPr>
          <w:b/>
          <w:bCs/>
          <w:sz w:val="32"/>
          <w:szCs w:val="32"/>
        </w:rPr>
        <w:t>Developing Students’ Problem-solving Skills Using Learning Tasks: An Action Research Project in Secondary School</w:t>
      </w:r>
      <w:bookmarkEnd w:id="0"/>
    </w:p>
    <w:p w14:paraId="5E3C573E" w14:textId="77777777" w:rsidR="00155C56" w:rsidRPr="006C08A4" w:rsidRDefault="00155C56" w:rsidP="006C08A4">
      <w:pPr>
        <w:ind w:firstLine="0"/>
        <w:jc w:val="center"/>
        <w:rPr>
          <w:b/>
          <w:bCs/>
        </w:rPr>
      </w:pPr>
      <w:r w:rsidRPr="006C08A4">
        <w:rPr>
          <w:b/>
          <w:bCs/>
        </w:rPr>
        <w:t xml:space="preserve">Martina </w:t>
      </w:r>
      <w:proofErr w:type="spellStart"/>
      <w:r w:rsidRPr="006C08A4">
        <w:rPr>
          <w:b/>
          <w:bCs/>
        </w:rPr>
        <w:t>Tóthová</w:t>
      </w:r>
      <w:proofErr w:type="spellEnd"/>
      <w:r w:rsidRPr="006C08A4">
        <w:rPr>
          <w:b/>
          <w:bCs/>
        </w:rPr>
        <w:t>, Martin Rusek*</w:t>
      </w:r>
    </w:p>
    <w:p w14:paraId="4BEBDB59" w14:textId="77777777" w:rsidR="00155C56" w:rsidRPr="006C08A4" w:rsidRDefault="00155C56" w:rsidP="006C08A4">
      <w:pPr>
        <w:jc w:val="center"/>
        <w:rPr>
          <w:i/>
          <w:iCs/>
          <w:lang w:val="en-GB"/>
        </w:rPr>
      </w:pPr>
      <w:r w:rsidRPr="006C08A4">
        <w:rPr>
          <w:i/>
          <w:iCs/>
          <w:lang w:val="en-GB"/>
        </w:rPr>
        <w:t xml:space="preserve">Charles University, Faculty of Education, Department of Chemistry and Chemistry Education, </w:t>
      </w:r>
      <w:proofErr w:type="spellStart"/>
      <w:r w:rsidRPr="006C08A4">
        <w:rPr>
          <w:i/>
          <w:iCs/>
          <w:lang w:val="en-GB"/>
        </w:rPr>
        <w:t>Magdalény</w:t>
      </w:r>
      <w:proofErr w:type="spellEnd"/>
      <w:r w:rsidRPr="006C08A4">
        <w:rPr>
          <w:i/>
          <w:iCs/>
          <w:lang w:val="en-GB"/>
        </w:rPr>
        <w:t xml:space="preserve"> </w:t>
      </w:r>
      <w:proofErr w:type="spellStart"/>
      <w:r w:rsidRPr="006C08A4">
        <w:rPr>
          <w:i/>
          <w:iCs/>
          <w:lang w:val="en-GB"/>
        </w:rPr>
        <w:t>Rettigové</w:t>
      </w:r>
      <w:proofErr w:type="spellEnd"/>
      <w:r w:rsidRPr="006C08A4">
        <w:rPr>
          <w:i/>
          <w:iCs/>
          <w:lang w:val="en-GB"/>
        </w:rPr>
        <w:t xml:space="preserve"> 4, 116 39 Praha</w:t>
      </w:r>
    </w:p>
    <w:p w14:paraId="324AC431" w14:textId="77777777" w:rsidR="00155C56" w:rsidRPr="006C08A4" w:rsidRDefault="00155C56" w:rsidP="006C08A4">
      <w:pPr>
        <w:jc w:val="center"/>
        <w:rPr>
          <w:i/>
          <w:iCs/>
          <w:lang w:val="en-GB"/>
        </w:rPr>
      </w:pPr>
      <w:r w:rsidRPr="006C08A4">
        <w:rPr>
          <w:i/>
          <w:iCs/>
          <w:lang w:val="en-GB"/>
        </w:rPr>
        <w:t>*Corresponding author: E-mail: martin.rusek@pedf.cuni.cz</w:t>
      </w:r>
    </w:p>
    <w:p w14:paraId="795563FD" w14:textId="77777777" w:rsidR="00155C56" w:rsidRPr="006C08A4" w:rsidRDefault="00155C56" w:rsidP="006C08A4">
      <w:pPr>
        <w:ind w:firstLine="0"/>
        <w:rPr>
          <w:b/>
          <w:bCs/>
        </w:rPr>
      </w:pPr>
      <w:r w:rsidRPr="006C08A4">
        <w:rPr>
          <w:b/>
          <w:bCs/>
        </w:rPr>
        <w:t>Abstract</w:t>
      </w:r>
    </w:p>
    <w:p w14:paraId="5BE9D918" w14:textId="66C81520" w:rsidR="00155C56" w:rsidRPr="001E1627" w:rsidRDefault="00155C56" w:rsidP="00FE5C44">
      <w:r w:rsidRPr="001E1627">
        <w:t xml:space="preserve">The </w:t>
      </w:r>
      <w:r w:rsidR="00E87676">
        <w:t>study</w:t>
      </w:r>
      <w:r w:rsidRPr="001E1627">
        <w:t xml:space="preserve"> aimed at </w:t>
      </w:r>
      <w:r w:rsidR="009A5A7C">
        <w:t xml:space="preserve">improving upper-secondary school </w:t>
      </w:r>
      <w:r w:rsidRPr="001E1627">
        <w:t>students’ problem solving skills in chemistry</w:t>
      </w:r>
      <w:r w:rsidR="009A5A7C">
        <w:t xml:space="preserve"> lessons</w:t>
      </w:r>
      <w:r w:rsidRPr="001E1627">
        <w:t xml:space="preserve">. </w:t>
      </w:r>
      <w:r w:rsidR="009A5A7C">
        <w:t>They</w:t>
      </w:r>
      <w:r w:rsidRPr="001E1627">
        <w:t xml:space="preserve"> were given a pre-test in the form of problem tasks focused on their conceptual knowledge regarding the periodic table, ability to apply knowledge on the factors affecting chemistry reaction rate and compounds’ properties. Most students </w:t>
      </w:r>
      <w:r w:rsidR="009A5A7C">
        <w:t xml:space="preserve">(72 out of 112) </w:t>
      </w:r>
      <w:r w:rsidRPr="001E1627">
        <w:t>did not succeed to solve the tasks. For this reason, a</w:t>
      </w:r>
      <w:r w:rsidR="00E87676">
        <w:t>n</w:t>
      </w:r>
      <w:r w:rsidRPr="001E1627">
        <w:t xml:space="preserve"> intervention was </w:t>
      </w:r>
      <w:r w:rsidR="00E87676">
        <w:t xml:space="preserve">designed based on </w:t>
      </w:r>
      <w:r w:rsidRPr="001E1627">
        <w:t>a follow</w:t>
      </w:r>
      <w:r w:rsidR="003E664A">
        <w:noBreakHyphen/>
      </w:r>
      <w:r w:rsidRPr="001E1627">
        <w:t xml:space="preserve">up study </w:t>
      </w:r>
      <w:r w:rsidR="003E664A">
        <w:t xml:space="preserve">using </w:t>
      </w:r>
      <w:r w:rsidR="00E87676">
        <w:t>eye-tracking</w:t>
      </w:r>
      <w:r w:rsidR="008A37BC">
        <w:t xml:space="preserve"> combined with think-aloud</w:t>
      </w:r>
      <w:r w:rsidRPr="001E1627">
        <w:t xml:space="preserve">. </w:t>
      </w:r>
      <w:r w:rsidR="003E664A">
        <w:t>It</w:t>
      </w:r>
      <w:r w:rsidRPr="001E1627">
        <w:t xml:space="preserve"> consisted of students’ working on PISA-like problem tasks </w:t>
      </w:r>
      <w:r w:rsidR="009A5A7C">
        <w:t>with a special scaffolding. A</w:t>
      </w:r>
      <w:r w:rsidRPr="001E1627">
        <w:t xml:space="preserve"> teacher provid</w:t>
      </w:r>
      <w:r w:rsidR="009A5A7C">
        <w:t>ed</w:t>
      </w:r>
      <w:r w:rsidRPr="001E1627">
        <w:t xml:space="preserve"> formative assessment promoting </w:t>
      </w:r>
      <w:r w:rsidR="009A5A7C">
        <w:t>students’</w:t>
      </w:r>
      <w:r w:rsidRPr="001E1627">
        <w:t xml:space="preserve"> expansive strategies. The </w:t>
      </w:r>
      <w:r w:rsidR="00E87676">
        <w:t xml:space="preserve">intervention’s effect was </w:t>
      </w:r>
      <w:r w:rsidR="003E664A">
        <w:t xml:space="preserve">again </w:t>
      </w:r>
      <w:r w:rsidR="00E87676">
        <w:t xml:space="preserve">assessed using </w:t>
      </w:r>
      <w:r w:rsidR="003E664A">
        <w:t xml:space="preserve">problem </w:t>
      </w:r>
      <w:r w:rsidR="00E87676">
        <w:t xml:space="preserve">tasks. </w:t>
      </w:r>
      <w:r w:rsidRPr="001E1627">
        <w:t>The results showed the action plan was successful in helping the majority of students reach more than half of the test</w:t>
      </w:r>
      <w:r w:rsidR="003E664A">
        <w:t>-</w:t>
      </w:r>
      <w:r w:rsidRPr="001E1627">
        <w:t xml:space="preserve">points. The ratio of successful solvers also rose </w:t>
      </w:r>
      <w:r w:rsidR="008A37BC">
        <w:t>and</w:t>
      </w:r>
      <w:r w:rsidRPr="001E1627">
        <w:t xml:space="preserve"> unsuccessful </w:t>
      </w:r>
      <w:r w:rsidR="008A37BC">
        <w:t>significantly declined</w:t>
      </w:r>
      <w:r w:rsidRPr="001E1627">
        <w:t>.</w:t>
      </w:r>
    </w:p>
    <w:p w14:paraId="1CA43C10" w14:textId="77777777" w:rsidR="006D1D1E" w:rsidRPr="000B15B8" w:rsidRDefault="006D1D1E" w:rsidP="006D1D1E">
      <w:pPr>
        <w:ind w:firstLine="0"/>
        <w:rPr>
          <w:b/>
          <w:bCs/>
        </w:rPr>
      </w:pPr>
      <w:r w:rsidRPr="000B15B8">
        <w:rPr>
          <w:b/>
          <w:bCs/>
        </w:rPr>
        <w:t>Keywords</w:t>
      </w:r>
    </w:p>
    <w:p w14:paraId="1EE4FA8A" w14:textId="516C42E5" w:rsidR="006D1D1E" w:rsidRPr="006D1D1E" w:rsidRDefault="006D1D1E" w:rsidP="006D1D1E">
      <w:r>
        <w:t>Chemistry education; action research; problem solving; students’ development</w:t>
      </w:r>
      <w:r>
        <w:rPr>
          <w:b/>
          <w:bCs/>
        </w:rPr>
        <w:br w:type="page"/>
      </w:r>
    </w:p>
    <w:p w14:paraId="19DD7358" w14:textId="32CA888B" w:rsidR="00155C56" w:rsidRPr="000B15B8" w:rsidRDefault="00155C56" w:rsidP="000B15B8">
      <w:pPr>
        <w:ind w:firstLine="0"/>
        <w:rPr>
          <w:b/>
          <w:bCs/>
        </w:rPr>
      </w:pPr>
      <w:r w:rsidRPr="000B15B8">
        <w:rPr>
          <w:b/>
          <w:bCs/>
        </w:rPr>
        <w:lastRenderedPageBreak/>
        <w:t>Graphical Abstract</w:t>
      </w:r>
    </w:p>
    <w:p w14:paraId="5F9EC378" w14:textId="77777777" w:rsidR="00155C56" w:rsidRPr="001E1627" w:rsidRDefault="00155C56" w:rsidP="00FE5C44">
      <w:r w:rsidRPr="001E1627">
        <w:rPr>
          <w:noProof/>
        </w:rPr>
        <w:drawing>
          <wp:inline distT="0" distB="0" distL="0" distR="0" wp14:anchorId="446B04CE" wp14:editId="58A43178">
            <wp:extent cx="6067945" cy="3332840"/>
            <wp:effectExtent l="0" t="0" r="0" b="1270"/>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673" cy="3390362"/>
                    </a:xfrm>
                    <a:prstGeom prst="rect">
                      <a:avLst/>
                    </a:prstGeom>
                    <a:noFill/>
                  </pic:spPr>
                </pic:pic>
              </a:graphicData>
            </a:graphic>
          </wp:inline>
        </w:drawing>
      </w:r>
    </w:p>
    <w:p w14:paraId="4AF6438D" w14:textId="77777777" w:rsidR="00155C56" w:rsidRPr="00853FB1" w:rsidRDefault="00155C56" w:rsidP="00FE5C44">
      <w:pPr>
        <w:pStyle w:val="Nadpis1"/>
      </w:pPr>
      <w:r w:rsidRPr="00853FB1">
        <w:t>Introduction</w:t>
      </w:r>
    </w:p>
    <w:p w14:paraId="648A5103" w14:textId="53D0BAE1" w:rsidR="00155C56" w:rsidRPr="00DC62A0" w:rsidRDefault="00155C56" w:rsidP="00FE5C44">
      <w:pPr>
        <w:rPr>
          <w:lang w:val="en-GB"/>
        </w:rPr>
      </w:pPr>
      <w:r w:rsidRPr="00DC62A0">
        <w:rPr>
          <w:lang w:val="en-GB"/>
        </w:rPr>
        <w:t>There is a significant gap between research (researchers) and school practice (teachers’ understanding of the research)</w:t>
      </w:r>
      <w:r w:rsidR="006D1D1E">
        <w:rPr>
          <w:lang w:val="en-GB"/>
        </w:rPr>
        <w:t>.</w:t>
      </w:r>
      <w:r w:rsidRPr="00DC62A0">
        <w:rPr>
          <w:noProof/>
          <w:vertAlign w:val="superscript"/>
          <w:lang w:val="en-GB"/>
        </w:rPr>
        <w:t>1-2</w:t>
      </w:r>
      <w:r w:rsidRPr="00DC62A0">
        <w:rPr>
          <w:lang w:val="en-GB"/>
        </w:rPr>
        <w:t xml:space="preserve"> Teachers consider research and theory to be something remotely related to their actual practice</w:t>
      </w:r>
      <w:r w:rsidR="006D1D1E">
        <w:rPr>
          <w:lang w:val="en-GB"/>
        </w:rPr>
        <w:t>.</w:t>
      </w:r>
      <w:r w:rsidRPr="00DC62A0">
        <w:rPr>
          <w:noProof/>
          <w:vertAlign w:val="superscript"/>
          <w:lang w:val="en-GB"/>
        </w:rPr>
        <w:t>3</w:t>
      </w:r>
      <w:r w:rsidRPr="00DC62A0">
        <w:rPr>
          <w:lang w:val="en-GB"/>
        </w:rPr>
        <w:t xml:space="preserve"> In action research, a teacher becomes an observer (e.g. in order to maintain objectivity)</w:t>
      </w:r>
      <w:r w:rsidRPr="00462733">
        <w:rPr>
          <w:noProof/>
          <w:vertAlign w:val="superscript"/>
          <w:lang w:val="en-GB"/>
        </w:rPr>
        <w:t>4</w:t>
      </w:r>
      <w:r w:rsidRPr="00DC62A0">
        <w:rPr>
          <w:lang w:val="en-GB"/>
        </w:rPr>
        <w:t xml:space="preserve">. In this respect, action research seems to be one of the possible remedies as it combines academic research with practice, </w:t>
      </w:r>
      <w:r>
        <w:rPr>
          <w:noProof/>
          <w:lang w:val="en-GB"/>
        </w:rPr>
        <w:t>e.g.</w:t>
      </w:r>
      <w:r w:rsidRPr="00462733">
        <w:rPr>
          <w:noProof/>
          <w:vertAlign w:val="superscript"/>
          <w:lang w:val="en-GB"/>
        </w:rPr>
        <w:t>5, 6</w:t>
      </w:r>
      <w:r w:rsidRPr="00DC62A0">
        <w:rPr>
          <w:lang w:val="en-GB"/>
        </w:rPr>
        <w:t xml:space="preserve"> The teacher plans and systematically verifies the learning process, the teacher is a part of the research process and not only subject to investigation or a non-participating observer</w:t>
      </w:r>
      <w:r w:rsidR="006D1D1E">
        <w:rPr>
          <w:lang w:val="en-GB"/>
        </w:rPr>
        <w:t>.</w:t>
      </w:r>
      <w:r w:rsidRPr="00462733">
        <w:rPr>
          <w:noProof/>
          <w:vertAlign w:val="superscript"/>
          <w:lang w:val="en-GB"/>
        </w:rPr>
        <w:t>3-4, 7</w:t>
      </w:r>
    </w:p>
    <w:p w14:paraId="2952C34C" w14:textId="77777777" w:rsidR="00155C56" w:rsidRPr="00DC62A0" w:rsidRDefault="00155C56" w:rsidP="00FE5C44">
      <w:pPr>
        <w:rPr>
          <w:lang w:val="en-GB"/>
        </w:rPr>
      </w:pPr>
      <w:r w:rsidRPr="00DC62A0">
        <w:rPr>
          <w:lang w:val="en-GB"/>
        </w:rPr>
        <w:t xml:space="preserve">The presented action research was guided by a definition by </w:t>
      </w:r>
      <w:r>
        <w:rPr>
          <w:noProof/>
          <w:lang w:val="en-GB"/>
        </w:rPr>
        <w:t xml:space="preserve">Cohen, et al. </w:t>
      </w:r>
      <w:r w:rsidRPr="00462733">
        <w:rPr>
          <w:noProof/>
          <w:vertAlign w:val="superscript"/>
          <w:lang w:val="en-GB"/>
        </w:rPr>
        <w:t>8</w:t>
      </w:r>
      <w:r w:rsidRPr="00DC62A0">
        <w:rPr>
          <w:lang w:val="en-GB"/>
        </w:rPr>
        <w:t>, who point it out as an on-the-spot procedure which focuses on a concrete problem located in a current situation. The process is ideally supposed to be monitored step-by-step using different tools (questionnaires, diaries, interviews, and case studies, for example).</w:t>
      </w:r>
    </w:p>
    <w:p w14:paraId="671B00F7" w14:textId="0DD03FFD" w:rsidR="00155C56" w:rsidRPr="00DC62A0" w:rsidRDefault="00155C56" w:rsidP="00FE5C44">
      <w:pPr>
        <w:rPr>
          <w:lang w:val="en-GB"/>
        </w:rPr>
      </w:pPr>
      <w:r w:rsidRPr="00DC62A0">
        <w:rPr>
          <w:lang w:val="en-GB"/>
        </w:rPr>
        <w:t>Research on chemistry education mostly focuses either on lower-secondary or upper-secondary education, namely grammar schools, or at university level. There is, however, a numerous group of non-chemical vocational school students who have been neglected by researchers so far</w:t>
      </w:r>
      <w:r w:rsidR="006D1D1E">
        <w:rPr>
          <w:lang w:val="en-GB"/>
        </w:rPr>
        <w:t>.</w:t>
      </w:r>
      <w:r w:rsidRPr="00462733">
        <w:rPr>
          <w:noProof/>
          <w:vertAlign w:val="superscript"/>
          <w:lang w:val="en-GB"/>
        </w:rPr>
        <w:t>9</w:t>
      </w:r>
      <w:r w:rsidRPr="00DC62A0">
        <w:rPr>
          <w:lang w:val="en-GB"/>
        </w:rPr>
        <w:t xml:space="preserve"> They follow a curriculum which contains chemistry as a school subject of general education at schools oriented in various fields but science. Teaching chemistry at this level is influenced by several factors, such as students’ attitudes to this subject - which is not the part of the school-leaving exam nor their study profile</w:t>
      </w:r>
      <w:r w:rsidR="006D1D1E">
        <w:rPr>
          <w:lang w:val="en-GB"/>
        </w:rPr>
        <w:t>.</w:t>
      </w:r>
      <w:r w:rsidRPr="00462733">
        <w:rPr>
          <w:noProof/>
          <w:vertAlign w:val="superscript"/>
          <w:lang w:val="en-GB"/>
        </w:rPr>
        <w:t>10</w:t>
      </w:r>
      <w:r w:rsidRPr="00DC62A0">
        <w:rPr>
          <w:lang w:val="en-GB"/>
        </w:rPr>
        <w:t xml:space="preserve"> Also, their school is considered lower success grammar school students</w:t>
      </w:r>
      <w:r w:rsidRPr="00462733">
        <w:rPr>
          <w:noProof/>
          <w:vertAlign w:val="superscript"/>
          <w:lang w:val="en-GB"/>
        </w:rPr>
        <w:t>9</w:t>
      </w:r>
      <w:r w:rsidRPr="00DC62A0">
        <w:rPr>
          <w:lang w:val="en-GB"/>
        </w:rPr>
        <w:t xml:space="preserve">. The curriculum for these schools is exempt from some </w:t>
      </w:r>
      <w:r w:rsidRPr="00DC62A0">
        <w:rPr>
          <w:lang w:val="en-GB"/>
        </w:rPr>
        <w:lastRenderedPageBreak/>
        <w:t>of the content objectives in the field of chemistry. Nevertheless</w:t>
      </w:r>
      <w:r w:rsidRPr="00DC62A0">
        <w:rPr>
          <w:lang w:val="cs-CZ"/>
        </w:rPr>
        <w:t>, t</w:t>
      </w:r>
      <w:r w:rsidRPr="00DC62A0">
        <w:rPr>
          <w:lang w:val="en-GB"/>
        </w:rPr>
        <w:t xml:space="preserve">he key competencies remain the same for different types of upper-secondary schools: </w:t>
      </w:r>
      <w:r>
        <w:rPr>
          <w:noProof/>
          <w:lang w:val="en-GB"/>
        </w:rPr>
        <w:t>Framework Educational Programme for Grammar school</w:t>
      </w:r>
      <w:r w:rsidRPr="00462733">
        <w:rPr>
          <w:noProof/>
          <w:vertAlign w:val="superscript"/>
          <w:lang w:val="en-GB"/>
        </w:rPr>
        <w:t>11</w:t>
      </w:r>
      <w:r w:rsidR="006D1D1E">
        <w:rPr>
          <w:noProof/>
          <w:lang w:val="en-GB"/>
        </w:rPr>
        <w:t>,</w:t>
      </w:r>
      <w:r w:rsidRPr="006D1D1E">
        <w:rPr>
          <w:noProof/>
          <w:lang w:val="en-GB"/>
        </w:rPr>
        <w:t xml:space="preserve"> </w:t>
      </w:r>
      <w:r>
        <w:rPr>
          <w:noProof/>
          <w:lang w:val="en-GB"/>
        </w:rPr>
        <w:t>Framework Educational Programme for Economic lyceum</w:t>
      </w:r>
      <w:r w:rsidR="00C44384">
        <w:rPr>
          <w:noProof/>
          <w:lang w:val="en-GB"/>
        </w:rPr>
        <w:t>.</w:t>
      </w:r>
      <w:r w:rsidRPr="00462733">
        <w:rPr>
          <w:noProof/>
          <w:vertAlign w:val="superscript"/>
          <w:lang w:val="en-GB"/>
        </w:rPr>
        <w:t>12</w:t>
      </w:r>
      <w:r w:rsidRPr="00DC62A0">
        <w:rPr>
          <w:lang w:val="en-GB"/>
        </w:rPr>
        <w:t xml:space="preserve"> With the students’ focus in mind, the goal of chemistry education at this type of school remains mostly in skills (competences) development via the chemistry subject matter, however, the curricular objectives have the potential to stimulate the higher-order cognitive operations which should be included in the tasks students solve</w:t>
      </w:r>
      <w:r w:rsidR="00C44384">
        <w:rPr>
          <w:lang w:val="en-GB"/>
        </w:rPr>
        <w:t>.</w:t>
      </w:r>
      <w:r w:rsidRPr="00782C42">
        <w:rPr>
          <w:noProof/>
          <w:vertAlign w:val="superscript"/>
          <w:lang w:val="en-GB"/>
        </w:rPr>
        <w:t>13</w:t>
      </w:r>
      <w:r w:rsidRPr="00DC62A0">
        <w:rPr>
          <w:lang w:val="en-GB"/>
        </w:rPr>
        <w:t xml:space="preserve"> This action research was therefore motivated by one of the 21</w:t>
      </w:r>
      <w:r w:rsidRPr="00DC62A0">
        <w:rPr>
          <w:vertAlign w:val="superscript"/>
          <w:lang w:val="en-GB"/>
        </w:rPr>
        <w:t>st</w:t>
      </w:r>
      <w:r w:rsidRPr="00DC62A0">
        <w:rPr>
          <w:lang w:val="en-GB"/>
        </w:rPr>
        <w:t xml:space="preserve"> century skills </w:t>
      </w:r>
      <w:r>
        <w:rPr>
          <w:noProof/>
          <w:lang w:val="en-GB"/>
        </w:rPr>
        <w:t>cf.</w:t>
      </w:r>
      <w:r w:rsidRPr="00782C42">
        <w:rPr>
          <w:noProof/>
          <w:vertAlign w:val="superscript"/>
          <w:lang w:val="en-GB"/>
        </w:rPr>
        <w:t>14</w:t>
      </w:r>
      <w:r w:rsidRPr="00DC62A0">
        <w:rPr>
          <w:lang w:val="en-GB"/>
        </w:rPr>
        <w:t xml:space="preserve"> – problem solving. </w:t>
      </w:r>
      <w:r>
        <w:rPr>
          <w:lang w:val="en-GB"/>
        </w:rPr>
        <w:t>As an integral aspect strongly linked with science education, problem solving belongs among widely studied phenomena</w:t>
      </w:r>
      <w:r w:rsidR="006D1D1E">
        <w:rPr>
          <w:lang w:val="en-GB"/>
        </w:rPr>
        <w:t>.</w:t>
      </w:r>
      <w:r w:rsidRPr="007B4CF6">
        <w:rPr>
          <w:noProof/>
          <w:vertAlign w:val="superscript"/>
          <w:lang w:val="en-GB"/>
        </w:rPr>
        <w:t>15-17</w:t>
      </w:r>
      <w:r>
        <w:rPr>
          <w:lang w:val="en-GB"/>
        </w:rPr>
        <w:t xml:space="preserve"> </w:t>
      </w:r>
      <w:r w:rsidRPr="00DC62A0">
        <w:rPr>
          <w:lang w:val="en-GB"/>
        </w:rPr>
        <w:t>Its aim was to identify the state of students’ problem-solving skills and to improve the strategies and skills necessary for problem solving. These can be, unlike problem solving itself, cultivated in schools</w:t>
      </w:r>
      <w:r w:rsidR="006D1D1E">
        <w:rPr>
          <w:lang w:val="en-GB"/>
        </w:rPr>
        <w:t>.</w:t>
      </w:r>
      <w:r w:rsidRPr="007B4CF6">
        <w:rPr>
          <w:noProof/>
          <w:vertAlign w:val="superscript"/>
          <w:lang w:val="en-GB"/>
        </w:rPr>
        <w:t>18</w:t>
      </w:r>
    </w:p>
    <w:p w14:paraId="1200F314" w14:textId="53765DCA" w:rsidR="00155C56" w:rsidRPr="00DC62A0" w:rsidRDefault="00155C56" w:rsidP="00FE5C44">
      <w:pPr>
        <w:rPr>
          <w:lang w:val="en-GB"/>
        </w:rPr>
      </w:pPr>
      <w:r w:rsidRPr="00DC62A0">
        <w:rPr>
          <w:lang w:val="en-GB"/>
        </w:rPr>
        <w:t>When making international comparisons, Czech students achieve average results in surveys based on problem tasks</w:t>
      </w:r>
      <w:r w:rsidR="006D1D1E">
        <w:rPr>
          <w:lang w:val="en-GB"/>
        </w:rPr>
        <w:t>.</w:t>
      </w:r>
      <w:r w:rsidRPr="007B4CF6">
        <w:rPr>
          <w:noProof/>
          <w:vertAlign w:val="superscript"/>
          <w:lang w:val="en-GB"/>
        </w:rPr>
        <w:t>19-20</w:t>
      </w:r>
      <w:r w:rsidRPr="00DC62A0">
        <w:rPr>
          <w:lang w:val="en-GB"/>
        </w:rPr>
        <w:t xml:space="preserve"> Other evidence of their skills can be drawn from the use of problem (indicator) tasks verifying the expected objectives’ achievement. These tasks were verified</w:t>
      </w:r>
      <w:r w:rsidRPr="007B4CF6">
        <w:rPr>
          <w:noProof/>
          <w:vertAlign w:val="superscript"/>
          <w:lang w:val="en-GB"/>
        </w:rPr>
        <w:t>21</w:t>
      </w:r>
      <w:r w:rsidRPr="00DC62A0">
        <w:rPr>
          <w:lang w:val="en-GB"/>
        </w:rPr>
        <w:t xml:space="preserve"> and used to research the steps students used while solving these tasks</w:t>
      </w:r>
      <w:r w:rsidR="006D1D1E">
        <w:rPr>
          <w:lang w:val="en-GB"/>
        </w:rPr>
        <w:t>.</w:t>
      </w:r>
      <w:r w:rsidRPr="007B4CF6">
        <w:rPr>
          <w:noProof/>
          <w:vertAlign w:val="superscript"/>
          <w:lang w:val="en-GB"/>
        </w:rPr>
        <w:t>22</w:t>
      </w:r>
      <w:r w:rsidRPr="00DC62A0">
        <w:rPr>
          <w:lang w:val="en-GB"/>
        </w:rPr>
        <w:t xml:space="preserve"> Even the results in this area do not show the success of these students. Moreover, they indicate so-called false-positive results when mere paper-testing is executed.</w:t>
      </w:r>
    </w:p>
    <w:p w14:paraId="4979F698" w14:textId="77777777" w:rsidR="00155C56" w:rsidRPr="00853FB1" w:rsidRDefault="00155C56" w:rsidP="00FE5C44">
      <w:pPr>
        <w:pStyle w:val="Nadpis1"/>
      </w:pPr>
      <w:r w:rsidRPr="00853FB1">
        <w:t>Goals</w:t>
      </w:r>
    </w:p>
    <w:p w14:paraId="66F60520" w14:textId="77777777" w:rsidR="00155C56" w:rsidRPr="00DC62A0" w:rsidRDefault="00155C56" w:rsidP="00FE5C44">
      <w:pPr>
        <w:rPr>
          <w:lang w:val="en-GB"/>
        </w:rPr>
      </w:pPr>
      <w:r w:rsidRPr="00DC62A0">
        <w:rPr>
          <w:lang w:val="en-GB"/>
        </w:rPr>
        <w:t>The aim of the action research was to increase non-chemical vocational school students’ (age 15-16) ability to solve chemistry problem tasks. The research followed this research question (RQ):</w:t>
      </w:r>
    </w:p>
    <w:p w14:paraId="072F89A6" w14:textId="77777777" w:rsidR="00155C56" w:rsidRPr="00DC62A0" w:rsidRDefault="00155C56" w:rsidP="00FE5C44">
      <w:pPr>
        <w:rPr>
          <w:lang w:val="en-GB"/>
        </w:rPr>
      </w:pPr>
      <w:r w:rsidRPr="00DC62A0">
        <w:rPr>
          <w:lang w:val="en-GB"/>
        </w:rPr>
        <w:t>How does the practice of general problem-solving strategies translate into students’ ability to solve chemistry problem-tasks?</w:t>
      </w:r>
    </w:p>
    <w:p w14:paraId="45C063CB" w14:textId="3CFF95DF" w:rsidR="00155C56" w:rsidRPr="00DC62A0" w:rsidRDefault="00155C56" w:rsidP="00FE5C44">
      <w:pPr>
        <w:rPr>
          <w:lang w:val="en-GB"/>
        </w:rPr>
      </w:pPr>
      <w:r w:rsidRPr="00DC62A0">
        <w:rPr>
          <w:lang w:val="en-GB"/>
        </w:rPr>
        <w:t>Successful task solution determines the student’s ability to read and understand the assignment correctly. It requires a direct relationship with reading literacy</w:t>
      </w:r>
      <w:r w:rsidRPr="007B4CF6">
        <w:rPr>
          <w:noProof/>
          <w:vertAlign w:val="superscript"/>
          <w:lang w:val="en-GB"/>
        </w:rPr>
        <w:t>23</w:t>
      </w:r>
      <w:r w:rsidRPr="00DC62A0">
        <w:rPr>
          <w:lang w:val="en-GB"/>
        </w:rPr>
        <w:t xml:space="preserve"> and subsequently identifying the problem and choosing an appropriate strategy to solve it</w:t>
      </w:r>
      <w:r w:rsidR="006D1D1E">
        <w:rPr>
          <w:lang w:val="en-GB"/>
        </w:rPr>
        <w:t>.</w:t>
      </w:r>
      <w:r w:rsidRPr="007B4CF6">
        <w:rPr>
          <w:noProof/>
          <w:vertAlign w:val="superscript"/>
          <w:lang w:val="en-GB"/>
        </w:rPr>
        <w:t>24-25</w:t>
      </w:r>
      <w:r w:rsidRPr="00DC62A0">
        <w:rPr>
          <w:lang w:val="en-GB"/>
        </w:rPr>
        <w:t xml:space="preserve"> It is therefore desirable to lead activities which develop both the students' skills and this ability in view of the level of the specific students’ strategies.</w:t>
      </w:r>
    </w:p>
    <w:p w14:paraId="00C14F52" w14:textId="06156517" w:rsidR="00155C56" w:rsidRPr="00DC62A0" w:rsidRDefault="00155C56" w:rsidP="00FE5C44">
      <w:pPr>
        <w:rPr>
          <w:lang w:val="en-GB"/>
        </w:rPr>
      </w:pPr>
      <w:r w:rsidRPr="00DC62A0">
        <w:rPr>
          <w:lang w:val="en-GB"/>
        </w:rPr>
        <w:t>The RQ is closely associated with the results from a qualitative study using eye-tracking and retrospective think-aloud to find students’ strategies and problems</w:t>
      </w:r>
      <w:r w:rsidR="006D1D1E">
        <w:rPr>
          <w:lang w:val="en-GB"/>
        </w:rPr>
        <w:t>.</w:t>
      </w:r>
      <w:r w:rsidRPr="007B4CF6">
        <w:rPr>
          <w:noProof/>
          <w:vertAlign w:val="superscript"/>
          <w:lang w:val="en-GB"/>
        </w:rPr>
        <w:t>26</w:t>
      </w:r>
      <w:r w:rsidRPr="00DC62A0">
        <w:rPr>
          <w:lang w:val="en-GB"/>
        </w:rPr>
        <w:t xml:space="preserve"> </w:t>
      </w:r>
      <w:r>
        <w:rPr>
          <w:lang w:val="en-GB"/>
        </w:rPr>
        <w:t>Eye-tracking has found a broad use in (science) education</w:t>
      </w:r>
      <w:r w:rsidRPr="007B4CF6">
        <w:rPr>
          <w:noProof/>
          <w:vertAlign w:val="superscript"/>
          <w:lang w:val="en-GB"/>
        </w:rPr>
        <w:t>27</w:t>
      </w:r>
      <w:r>
        <w:rPr>
          <w:lang w:val="en-GB"/>
        </w:rPr>
        <w:t xml:space="preserve"> including chemistry education</w:t>
      </w:r>
      <w:r w:rsidR="006D1D1E">
        <w:rPr>
          <w:lang w:val="en-GB"/>
        </w:rPr>
        <w:t>.</w:t>
      </w:r>
      <w:r w:rsidRPr="007B4CF6">
        <w:rPr>
          <w:noProof/>
          <w:vertAlign w:val="superscript"/>
          <w:lang w:val="en-GB"/>
        </w:rPr>
        <w:t>28-30</w:t>
      </w:r>
      <w:r>
        <w:rPr>
          <w:lang w:val="en-GB"/>
        </w:rPr>
        <w:t xml:space="preserve"> </w:t>
      </w:r>
      <w:r w:rsidRPr="00DC62A0">
        <w:rPr>
          <w:lang w:val="en-GB"/>
        </w:rPr>
        <w:t xml:space="preserve">The action plan developed </w:t>
      </w:r>
      <w:r>
        <w:rPr>
          <w:lang w:val="en-GB"/>
        </w:rPr>
        <w:t xml:space="preserve">according to </w:t>
      </w:r>
      <w:r w:rsidRPr="00DC62A0">
        <w:rPr>
          <w:lang w:val="en-GB"/>
        </w:rPr>
        <w:t xml:space="preserve">these research findings was </w:t>
      </w:r>
      <w:r>
        <w:rPr>
          <w:lang w:val="en-GB"/>
        </w:rPr>
        <w:t xml:space="preserve">subsequently </w:t>
      </w:r>
      <w:r w:rsidRPr="00DC62A0">
        <w:rPr>
          <w:lang w:val="en-GB"/>
        </w:rPr>
        <w:t>tested.</w:t>
      </w:r>
    </w:p>
    <w:p w14:paraId="130CB7D6" w14:textId="77777777" w:rsidR="00155C56" w:rsidRPr="00DC62A0" w:rsidRDefault="00155C56" w:rsidP="00FE5C44">
      <w:pPr>
        <w:pStyle w:val="Nadpis1"/>
      </w:pPr>
      <w:r w:rsidRPr="00DC62A0">
        <w:lastRenderedPageBreak/>
        <w:t>Methods</w:t>
      </w:r>
    </w:p>
    <w:p w14:paraId="69F54550" w14:textId="77777777" w:rsidR="00155C56" w:rsidRPr="00361DBB" w:rsidRDefault="00155C56" w:rsidP="00FE5C44">
      <w:pPr>
        <w:pStyle w:val="Nadpis2"/>
      </w:pPr>
      <w:r w:rsidRPr="00361DBB">
        <w:t>The research team</w:t>
      </w:r>
    </w:p>
    <w:p w14:paraId="0170F8BA" w14:textId="0A6C3BC5" w:rsidR="00155C56" w:rsidRPr="00DC62A0" w:rsidRDefault="00155C56" w:rsidP="00FE5C44">
      <w:r w:rsidRPr="00DC62A0">
        <w:t xml:space="preserve">The action research was attended not only by a teacher (the first author) as it is usual </w:t>
      </w:r>
      <w:r>
        <w:rPr>
          <w:noProof/>
        </w:rPr>
        <w:t xml:space="preserve">see ref. </w:t>
      </w:r>
      <w:r w:rsidRPr="007B4CF6">
        <w:rPr>
          <w:noProof/>
          <w:vertAlign w:val="superscript"/>
        </w:rPr>
        <w:t>31</w:t>
      </w:r>
      <w:r w:rsidRPr="00DC62A0">
        <w:t xml:space="preserve">, but was supported by a researcher (the second author). He helped the teacher choose appropriate research methods, analyzed the data and was present at the intervention’s realization as an observer and when needed, as a teaching assistant. This combination allows the researcher to use the teacher’s practical knowledge, which is reflected in theory and analyzed based on the acquired data </w:t>
      </w:r>
      <w:r>
        <w:rPr>
          <w:noProof/>
        </w:rPr>
        <w:t>cf.</w:t>
      </w:r>
      <w:r w:rsidRPr="00462733">
        <w:rPr>
          <w:noProof/>
          <w:vertAlign w:val="superscript"/>
        </w:rPr>
        <w:t>4</w:t>
      </w:r>
    </w:p>
    <w:p w14:paraId="6602AD84" w14:textId="77777777" w:rsidR="00155C56" w:rsidRPr="006C08A4" w:rsidRDefault="00155C56" w:rsidP="006C08A4">
      <w:pPr>
        <w:pStyle w:val="Nadpis2"/>
      </w:pPr>
      <w:r w:rsidRPr="006C08A4">
        <w:t>The action plan</w:t>
      </w:r>
    </w:p>
    <w:p w14:paraId="0FC798C5" w14:textId="77777777" w:rsidR="00155C56" w:rsidRPr="00DC62A0" w:rsidRDefault="00155C56" w:rsidP="00FE5C44">
      <w:r w:rsidRPr="00DC62A0">
        <w:rPr>
          <w:noProof/>
        </w:rPr>
        <mc:AlternateContent>
          <mc:Choice Requires="wps">
            <w:drawing>
              <wp:anchor distT="0" distB="0" distL="114300" distR="114300" simplePos="0" relativeHeight="251660288" behindDoc="0" locked="0" layoutInCell="1" allowOverlap="1" wp14:anchorId="2E0AB23E" wp14:editId="6B64D2B5">
                <wp:simplePos x="0" y="0"/>
                <wp:positionH relativeFrom="column">
                  <wp:posOffset>0</wp:posOffset>
                </wp:positionH>
                <wp:positionV relativeFrom="paragraph">
                  <wp:posOffset>3927566</wp:posOffset>
                </wp:positionV>
                <wp:extent cx="3798000" cy="219600"/>
                <wp:effectExtent l="0" t="0" r="0" b="0"/>
                <wp:wrapTopAndBottom/>
                <wp:docPr id="15" name="Textové pole 15"/>
                <wp:cNvGraphicFramePr/>
                <a:graphic xmlns:a="http://schemas.openxmlformats.org/drawingml/2006/main">
                  <a:graphicData uri="http://schemas.microsoft.com/office/word/2010/wordprocessingShape">
                    <wps:wsp>
                      <wps:cNvSpPr txBox="1"/>
                      <wps:spPr>
                        <a:xfrm>
                          <a:off x="0" y="0"/>
                          <a:ext cx="3798000" cy="219600"/>
                        </a:xfrm>
                        <a:prstGeom prst="rect">
                          <a:avLst/>
                        </a:prstGeom>
                        <a:solidFill>
                          <a:prstClr val="white"/>
                        </a:solidFill>
                        <a:ln>
                          <a:noFill/>
                        </a:ln>
                      </wps:spPr>
                      <wps:txbx>
                        <w:txbxContent>
                          <w:p w14:paraId="08C4D288" w14:textId="6FF33D67" w:rsidR="00FE5C44" w:rsidRPr="008A5373" w:rsidRDefault="00FE5C44" w:rsidP="006C08A4">
                            <w:pPr>
                              <w:ind w:firstLine="0"/>
                            </w:pPr>
                            <w:r w:rsidRPr="008A5373">
                              <w:t xml:space="preserve">Figure </w:t>
                            </w:r>
                            <w:r>
                              <w:fldChar w:fldCharType="begin"/>
                            </w:r>
                            <w:r>
                              <w:instrText xml:space="preserve"> SEQ Figure \* ARABIC </w:instrText>
                            </w:r>
                            <w:r>
                              <w:fldChar w:fldCharType="separate"/>
                            </w:r>
                            <w:r w:rsidR="002526FB">
                              <w:rPr>
                                <w:noProof/>
                              </w:rPr>
                              <w:t>1</w:t>
                            </w:r>
                            <w:r>
                              <w:fldChar w:fldCharType="end"/>
                            </w:r>
                            <w:r w:rsidRPr="008A5373">
                              <w:t xml:space="preserve"> The action plan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0AB23E" id="_x0000_t202" coordsize="21600,21600" o:spt="202" path="m,l,21600r21600,l21600,xe">
                <v:stroke joinstyle="miter"/>
                <v:path gradientshapeok="t" o:connecttype="rect"/>
              </v:shapetype>
              <v:shape id="Textové pole 15" o:spid="_x0000_s1026" type="#_x0000_t202" style="position:absolute;left:0;text-align:left;margin-left:0;margin-top:309.25pt;width:299.05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" stroked="f">
                <v:textbox style="mso-fit-shape-to-text:t" inset="0,0,0,0">
                  <w:txbxContent>
                    <w:p w14:paraId="08C4D288" w14:textId="6FF33D67" w:rsidR="00FE5C44" w:rsidRPr="008A5373" w:rsidRDefault="00FE5C44" w:rsidP="006C08A4">
                      <w:pPr>
                        <w:ind w:firstLine="0"/>
                      </w:pPr>
                      <w:r w:rsidRPr="008A5373">
                        <w:t xml:space="preserve">Figure </w:t>
                      </w:r>
                      <w:r>
                        <w:fldChar w:fldCharType="begin"/>
                      </w:r>
                      <w:r>
                        <w:instrText xml:space="preserve"> SEQ Figure \* ARABIC </w:instrText>
                      </w:r>
                      <w:r>
                        <w:fldChar w:fldCharType="separate"/>
                      </w:r>
                      <w:r w:rsidR="002526FB">
                        <w:rPr>
                          <w:noProof/>
                        </w:rPr>
                        <w:t>1</w:t>
                      </w:r>
                      <w:r>
                        <w:fldChar w:fldCharType="end"/>
                      </w:r>
                      <w:r w:rsidRPr="008A5373">
                        <w:t xml:space="preserve"> The action plan</w:t>
                      </w:r>
                    </w:p>
                  </w:txbxContent>
                </v:textbox>
                <w10:wrap type="topAndBottom"/>
              </v:shape>
            </w:pict>
          </mc:Fallback>
        </mc:AlternateContent>
      </w:r>
      <w:r w:rsidRPr="00DC62A0">
        <w:rPr>
          <w:noProof/>
        </w:rPr>
        <w:drawing>
          <wp:anchor distT="0" distB="0" distL="114300" distR="114300" simplePos="0" relativeHeight="251659264" behindDoc="0" locked="0" layoutInCell="1" allowOverlap="1" wp14:anchorId="15F44FF6" wp14:editId="58AC3A8D">
            <wp:simplePos x="0" y="0"/>
            <wp:positionH relativeFrom="column">
              <wp:align>left</wp:align>
            </wp:positionH>
            <wp:positionV relativeFrom="paragraph">
              <wp:posOffset>230152</wp:posOffset>
            </wp:positionV>
            <wp:extent cx="3798000" cy="3697200"/>
            <wp:effectExtent l="0" t="0" r="0" b="55880"/>
            <wp:wrapTopAndBottom/>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Pr="00DC62A0">
        <w:t>The action research was organized in typical steps</w:t>
      </w:r>
      <w:r w:rsidRPr="006D1D1E">
        <w:rPr>
          <w:bCs/>
          <w:noProof/>
          <w:vertAlign w:val="superscript"/>
        </w:rPr>
        <w:t>32</w:t>
      </w:r>
      <w:r w:rsidRPr="00DC62A0">
        <w:rPr>
          <w:b/>
        </w:rPr>
        <w:t xml:space="preserve"> </w:t>
      </w:r>
      <w:r w:rsidRPr="00DC62A0">
        <w:t>(see Figure 1).</w:t>
      </w:r>
    </w:p>
    <w:p w14:paraId="773C6726" w14:textId="77777777" w:rsidR="00155C56" w:rsidRDefault="00155C56" w:rsidP="00FE5C44"/>
    <w:p w14:paraId="5F696DCA" w14:textId="77777777" w:rsidR="00155C56" w:rsidRPr="006C08A4" w:rsidRDefault="00155C56" w:rsidP="006C08A4">
      <w:pPr>
        <w:pStyle w:val="Odstavecseseznamem"/>
        <w:numPr>
          <w:ilvl w:val="0"/>
          <w:numId w:val="21"/>
        </w:numPr>
        <w:ind w:left="709"/>
        <w:rPr>
          <w:i/>
          <w:iCs/>
        </w:rPr>
      </w:pPr>
      <w:r w:rsidRPr="006C08A4">
        <w:rPr>
          <w:i/>
          <w:iCs/>
        </w:rPr>
        <w:t>Planning phase (June 2018)</w:t>
      </w:r>
    </w:p>
    <w:p w14:paraId="6AA5CCC0" w14:textId="77777777" w:rsidR="00155C56" w:rsidRPr="00FE5C44" w:rsidRDefault="00155C56" w:rsidP="00FE5C44">
      <w:r w:rsidRPr="00FE5C44">
        <w:t>In the planning phase, the problems the teacher observed during chemistry lessons were discussed with chemistry education expert/teacher trainer – the second author of this paper. Based on the literature, a possible method to intervene was proposed, and research questions were set (see Goals).</w:t>
      </w:r>
    </w:p>
    <w:p w14:paraId="75ACD0F1" w14:textId="77777777" w:rsidR="00155C56" w:rsidRPr="00DC62A0" w:rsidRDefault="00155C56" w:rsidP="00FE5C44">
      <w:pPr>
        <w:rPr>
          <w:b/>
        </w:rPr>
      </w:pPr>
      <w:r w:rsidRPr="00DC62A0">
        <w:t>The methods to verify the students’ skills initial status and the criterion to evaluate the intervention’s success were developed (see Action phase I).</w:t>
      </w:r>
    </w:p>
    <w:p w14:paraId="01D89CAC" w14:textId="77777777" w:rsidR="00155C56" w:rsidRPr="00DC62A0" w:rsidRDefault="00155C56" w:rsidP="00FE5C44">
      <w:pPr>
        <w:rPr>
          <w:noProof/>
        </w:rPr>
      </w:pPr>
      <w:r w:rsidRPr="00DC62A0">
        <w:rPr>
          <w:noProof/>
        </w:rPr>
        <w:lastRenderedPageBreak/>
        <w:t xml:space="preserve">Altogether, three tests of comparable difficulty containing three tasks each were built. To prevent the negative effect of students’ possible task recollection, different tasks were used. They were </w:t>
      </w:r>
      <w:r w:rsidRPr="00DC62A0">
        <w:t xml:space="preserve">taken from </w:t>
      </w:r>
      <w:r w:rsidRPr="00DC62A0">
        <w:rPr>
          <w:i/>
          <w:noProof/>
        </w:rPr>
        <w:t xml:space="preserve">Methodical commentary and tasks </w:t>
      </w:r>
      <w:r w:rsidRPr="00DC62A0">
        <w:rPr>
          <w:noProof/>
        </w:rPr>
        <w:t>from the</w:t>
      </w:r>
      <w:r w:rsidRPr="00DC62A0">
        <w:rPr>
          <w:i/>
          <w:noProof/>
        </w:rPr>
        <w:t xml:space="preserve"> Standards for Basic Education – Chemistry</w:t>
      </w:r>
      <w:r w:rsidRPr="007B4CF6">
        <w:rPr>
          <w:noProof/>
          <w:vertAlign w:val="superscript"/>
        </w:rPr>
        <w:t>33</w:t>
      </w:r>
      <w:r w:rsidRPr="00DC62A0">
        <w:rPr>
          <w:noProof/>
        </w:rPr>
        <w:t xml:space="preserve"> – a publication adjacent to the Czech national curriculum. </w:t>
      </w:r>
      <w:r w:rsidRPr="00DC62A0">
        <w:t xml:space="preserve">The tasks target the expected outcomes, i.e. lower-secondary curricular objectives. </w:t>
      </w:r>
      <w:r w:rsidRPr="00DC62A0">
        <w:rPr>
          <w:noProof/>
        </w:rPr>
        <w:t>To ensure the pre-, sub- and post-tests comparability, task-difficulty scores derived from an expert panel evaluation</w:t>
      </w:r>
      <w:r w:rsidRPr="007B4CF6">
        <w:rPr>
          <w:noProof/>
          <w:vertAlign w:val="superscript"/>
        </w:rPr>
        <w:t>21</w:t>
      </w:r>
      <w:r w:rsidRPr="00DC62A0">
        <w:rPr>
          <w:noProof/>
        </w:rPr>
        <w:t xml:space="preserve"> and further piloting</w:t>
      </w:r>
      <w:r w:rsidRPr="007B4CF6">
        <w:rPr>
          <w:noProof/>
          <w:vertAlign w:val="superscript"/>
        </w:rPr>
        <w:t>22, 34-35</w:t>
      </w:r>
      <w:r w:rsidRPr="00DC62A0">
        <w:rPr>
          <w:noProof/>
        </w:rPr>
        <w:t xml:space="preserve"> were used to select the tasks for the test. Each task in the test was assigned a maximum of two points (2 – completely succesful, 1 – partially successful 0 – unsuccessful).</w:t>
      </w:r>
    </w:p>
    <w:p w14:paraId="6DFF3458" w14:textId="77777777" w:rsidR="00155C56" w:rsidRPr="006C08A4" w:rsidRDefault="00155C56" w:rsidP="006C08A4">
      <w:pPr>
        <w:pStyle w:val="Odstavecseseznamem"/>
        <w:numPr>
          <w:ilvl w:val="0"/>
          <w:numId w:val="21"/>
        </w:numPr>
        <w:ind w:left="709"/>
        <w:rPr>
          <w:i/>
          <w:iCs/>
        </w:rPr>
      </w:pPr>
      <w:r w:rsidRPr="006C08A4">
        <w:rPr>
          <w:i/>
          <w:iCs/>
        </w:rPr>
        <w:t>Action phase I (September - December 2018)</w:t>
      </w:r>
    </w:p>
    <w:p w14:paraId="72880735" w14:textId="77777777" w:rsidR="00155C56" w:rsidRPr="006C08A4" w:rsidRDefault="00155C56" w:rsidP="006C08A4">
      <w:pPr>
        <w:ind w:firstLine="0"/>
        <w:rPr>
          <w:b/>
          <w:i/>
          <w:iCs/>
        </w:rPr>
      </w:pPr>
      <w:r w:rsidRPr="006C08A4">
        <w:rPr>
          <w:i/>
          <w:iCs/>
        </w:rPr>
        <w:t>Pre-tests</w:t>
      </w:r>
    </w:p>
    <w:p w14:paraId="67897B1B" w14:textId="77777777" w:rsidR="00155C56" w:rsidRPr="00DC62A0" w:rsidRDefault="00155C56" w:rsidP="00FE5C44">
      <w:bookmarkStart w:id="1" w:name="_Hlk51503803"/>
      <w:r w:rsidRPr="00DC62A0">
        <w:t>This action research was planned in reaction to previous research results</w:t>
      </w:r>
      <w:r w:rsidRPr="007B4CF6">
        <w:rPr>
          <w:noProof/>
          <w:vertAlign w:val="superscript"/>
        </w:rPr>
        <w:t>26</w:t>
      </w:r>
      <w:r w:rsidRPr="00DC62A0">
        <w:t>. Therefore, the prior study served as a pre-test. The students’ knowledge and skills which they acquired in lower-secondary education, i.e. the starting point for chemistry teaching at secondary school was assessed using a set of three tasks. Also, as described in the prior study</w:t>
      </w:r>
      <w:r w:rsidRPr="007B4CF6">
        <w:rPr>
          <w:noProof/>
          <w:vertAlign w:val="superscript"/>
        </w:rPr>
        <w:t>26</w:t>
      </w:r>
      <w:r w:rsidRPr="00DC62A0">
        <w:t>, based on the pre-test out of 139 tested, eight students’ problem-solving skills (strategies they employed and problems they faced when solving tasks) were further investigated using eye-tracking and retrospective think-aloud (RTA) method.</w:t>
      </w:r>
    </w:p>
    <w:p w14:paraId="05041394" w14:textId="77777777" w:rsidR="00155C56" w:rsidRPr="00DC62A0" w:rsidRDefault="00155C56" w:rsidP="00FE5C44">
      <w:r w:rsidRPr="00DC62A0">
        <w:t>The pre-test consisted of three tasks. In the first task, the students worked with the periodic table of elements. Knowledge of the: proton number, oxidation number, conductivity (heat and electric), non-conductors, metals, metalloids, semi-metals as well as basic orientation in the periodic table (group, period) was tested. The task was to identify a certain group of elements based on their characteristics’ description, i.e. all non-metal elements from the second period etc. A periodic table including a legend with the element groups was provided.</w:t>
      </w:r>
    </w:p>
    <w:p w14:paraId="0DA8CB08" w14:textId="77777777" w:rsidR="00C44384" w:rsidRDefault="00155C56" w:rsidP="00FE5C44">
      <w:r w:rsidRPr="00DC62A0">
        <w:t>In the second task, students were supposed to apply their knowledge of the factors influencing chemistry reaction rate and work with a graph. They were provided a context which introduced them to AA battery production. It contained an equation of manganese’s reaction with hydrochloric acid and a graph of the reaction rate’s dependency on time (see Figure 2). Their task was to match the following steps to the particular phases in the graph: adding Mn, adding 25% HCl, adding 10% HCl and heating. The students were also asked to justify their answer.</w:t>
      </w:r>
    </w:p>
    <w:p w14:paraId="086FD821" w14:textId="75D87FB9" w:rsidR="00155C56" w:rsidRPr="00DC62A0" w:rsidRDefault="00C44384" w:rsidP="00FE5C44">
      <w:r w:rsidRPr="00DC62A0">
        <w:t xml:space="preserve">The third task concerned the physical properties of organic chemistry substances. It focused on the students’ understanding of the properties and their application. The students were provided a table of melting and boiling points and the density of five substances (methane, </w:t>
      </w:r>
      <w:r w:rsidRPr="00DC62A0">
        <w:lastRenderedPageBreak/>
        <w:t>toluene, benzene, isooctane, naphthalene), and were supposed to decide on particular statements (true or false) under laboratory conditions (temperature and atmospheric pressure): benzene is gas, isooctane is solid, naphthalene is solid, toluene is gas.</w:t>
      </w:r>
    </w:p>
    <w:p w14:paraId="6B003C5F" w14:textId="74A1A3B5" w:rsidR="00155C56" w:rsidRPr="00DC62A0" w:rsidRDefault="00155C56" w:rsidP="00FE5C44">
      <w:r w:rsidRPr="00DC62A0">
        <w:rPr>
          <w:noProof/>
        </w:rPr>
        <mc:AlternateContent>
          <mc:Choice Requires="wps">
            <w:drawing>
              <wp:anchor distT="0" distB="0" distL="114300" distR="114300" simplePos="0" relativeHeight="251662336" behindDoc="0" locked="0" layoutInCell="1" allowOverlap="1" wp14:anchorId="624F172D" wp14:editId="0F38FF07">
                <wp:simplePos x="0" y="0"/>
                <wp:positionH relativeFrom="column">
                  <wp:posOffset>47625</wp:posOffset>
                </wp:positionH>
                <wp:positionV relativeFrom="paragraph">
                  <wp:posOffset>1671320</wp:posOffset>
                </wp:positionV>
                <wp:extent cx="3167380" cy="635"/>
                <wp:effectExtent l="0" t="0" r="0" b="12065"/>
                <wp:wrapTopAndBottom/>
                <wp:docPr id="21" name="Textové pole 21"/>
                <wp:cNvGraphicFramePr/>
                <a:graphic xmlns:a="http://schemas.openxmlformats.org/drawingml/2006/main">
                  <a:graphicData uri="http://schemas.microsoft.com/office/word/2010/wordprocessingShape">
                    <wps:wsp>
                      <wps:cNvSpPr txBox="1"/>
                      <wps:spPr>
                        <a:xfrm>
                          <a:off x="0" y="0"/>
                          <a:ext cx="3167380" cy="635"/>
                        </a:xfrm>
                        <a:prstGeom prst="rect">
                          <a:avLst/>
                        </a:prstGeom>
                        <a:solidFill>
                          <a:prstClr val="white"/>
                        </a:solidFill>
                        <a:ln>
                          <a:noFill/>
                        </a:ln>
                      </wps:spPr>
                      <wps:txbx>
                        <w:txbxContent>
                          <w:p w14:paraId="3C45723A" w14:textId="5EAA3CC1" w:rsidR="00FE5C44" w:rsidRPr="00E46CF7" w:rsidRDefault="00FE5C44" w:rsidP="006C08A4">
                            <w:pPr>
                              <w:ind w:firstLine="0"/>
                              <w:rPr>
                                <w:rFonts w:ascii="Bookman Old Style" w:eastAsia="Times New Roman" w:hAnsi="Bookman Old Style"/>
                                <w:noProof/>
                                <w:sz w:val="20"/>
                                <w:szCs w:val="20"/>
                              </w:rPr>
                            </w:pPr>
                            <w:r>
                              <w:t xml:space="preserve">Figure </w:t>
                            </w:r>
                            <w:r>
                              <w:fldChar w:fldCharType="begin"/>
                            </w:r>
                            <w:r>
                              <w:instrText xml:space="preserve"> SEQ Figure \* ARABIC </w:instrText>
                            </w:r>
                            <w:r>
                              <w:fldChar w:fldCharType="separate"/>
                            </w:r>
                            <w:r w:rsidR="002526FB">
                              <w:rPr>
                                <w:noProof/>
                              </w:rPr>
                              <w:t>2</w:t>
                            </w:r>
                            <w:r>
                              <w:rPr>
                                <w:noProof/>
                              </w:rPr>
                              <w:fldChar w:fldCharType="end"/>
                            </w:r>
                            <w:r>
                              <w:t xml:space="preserve"> Graph from the second task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4F172D" id="Textové pole 21" o:spid="_x0000_s1027" type="#_x0000_t202" style="position:absolute;left:0;text-align:left;margin-left:3.75pt;margin-top:131.6pt;width:249.4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" stroked="f">
                <v:textbox style="mso-fit-shape-to-text:t" inset="0,0,0,0">
                  <w:txbxContent>
                    <w:p w14:paraId="3C45723A" w14:textId="5EAA3CC1" w:rsidR="00FE5C44" w:rsidRPr="00E46CF7" w:rsidRDefault="00FE5C44" w:rsidP="006C08A4">
                      <w:pPr>
                        <w:ind w:firstLine="0"/>
                        <w:rPr>
                          <w:rFonts w:ascii="Bookman Old Style" w:eastAsia="Times New Roman" w:hAnsi="Bookman Old Style"/>
                          <w:noProof/>
                          <w:sz w:val="20"/>
                          <w:szCs w:val="20"/>
                        </w:rPr>
                      </w:pPr>
                      <w:r>
                        <w:t xml:space="preserve">Figure </w:t>
                      </w:r>
                      <w:r>
                        <w:fldChar w:fldCharType="begin"/>
                      </w:r>
                      <w:r>
                        <w:instrText xml:space="preserve"> SEQ Figure \* ARABIC </w:instrText>
                      </w:r>
                      <w:r>
                        <w:fldChar w:fldCharType="separate"/>
                      </w:r>
                      <w:r w:rsidR="002526FB">
                        <w:rPr>
                          <w:noProof/>
                        </w:rPr>
                        <w:t>2</w:t>
                      </w:r>
                      <w:r>
                        <w:rPr>
                          <w:noProof/>
                        </w:rPr>
                        <w:fldChar w:fldCharType="end"/>
                      </w:r>
                      <w:r>
                        <w:t xml:space="preserve"> Graph from the second task</w:t>
                      </w:r>
                    </w:p>
                  </w:txbxContent>
                </v:textbox>
                <w10:wrap type="topAndBottom"/>
              </v:shape>
            </w:pict>
          </mc:Fallback>
        </mc:AlternateContent>
      </w:r>
      <w:r w:rsidRPr="00DC62A0">
        <w:rPr>
          <w:noProof/>
        </w:rPr>
        <w:drawing>
          <wp:anchor distT="0" distB="0" distL="114300" distR="114300" simplePos="0" relativeHeight="251661312" behindDoc="0" locked="0" layoutInCell="1" allowOverlap="1" wp14:anchorId="189C75AE" wp14:editId="455B4849">
            <wp:simplePos x="0" y="0"/>
            <wp:positionH relativeFrom="margin">
              <wp:posOffset>20782</wp:posOffset>
            </wp:positionH>
            <wp:positionV relativeFrom="paragraph">
              <wp:posOffset>166600</wp:posOffset>
            </wp:positionV>
            <wp:extent cx="4137660" cy="1508760"/>
            <wp:effectExtent l="0" t="0" r="0" b="0"/>
            <wp:wrapTopAndBottom/>
            <wp:docPr id="20" name="Obrázek 20" descr="Obsah obrázku interiér, hledání, fotka, vsedě&#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png"/>
                    <pic:cNvPicPr/>
                  </pic:nvPicPr>
                  <pic:blipFill>
                    <a:blip r:embed="rId14">
                      <a:extLst>
                        <a:ext uri="{28A0092B-C50C-407E-A947-70E740481C1C}">
                          <a14:useLocalDpi xmlns:a14="http://schemas.microsoft.com/office/drawing/2010/main" val="0"/>
                        </a:ext>
                      </a:extLst>
                    </a:blip>
                    <a:stretch>
                      <a:fillRect/>
                    </a:stretch>
                  </pic:blipFill>
                  <pic:spPr>
                    <a:xfrm>
                      <a:off x="0" y="0"/>
                      <a:ext cx="4137660" cy="1508760"/>
                    </a:xfrm>
                    <a:prstGeom prst="rect">
                      <a:avLst/>
                    </a:prstGeom>
                  </pic:spPr>
                </pic:pic>
              </a:graphicData>
            </a:graphic>
            <wp14:sizeRelH relativeFrom="margin">
              <wp14:pctWidth>0</wp14:pctWidth>
            </wp14:sizeRelH>
            <wp14:sizeRelV relativeFrom="margin">
              <wp14:pctHeight>0</wp14:pctHeight>
            </wp14:sizeRelV>
          </wp:anchor>
        </w:drawing>
      </w:r>
    </w:p>
    <w:p w14:paraId="0318FFCD" w14:textId="77777777" w:rsidR="00155C56" w:rsidRPr="006C08A4" w:rsidRDefault="00155C56" w:rsidP="006C08A4">
      <w:pPr>
        <w:ind w:firstLine="0"/>
        <w:rPr>
          <w:b/>
          <w:i/>
          <w:iCs/>
        </w:rPr>
      </w:pPr>
      <w:r w:rsidRPr="006C08A4">
        <w:rPr>
          <w:i/>
          <w:iCs/>
        </w:rPr>
        <w:t>Pre-test evaluation</w:t>
      </w:r>
    </w:p>
    <w:bookmarkEnd w:id="1"/>
    <w:p w14:paraId="711A158A" w14:textId="77777777" w:rsidR="00155C56" w:rsidRPr="00DC62A0" w:rsidRDefault="00155C56" w:rsidP="00FE5C44">
      <w:r w:rsidRPr="00DC62A0">
        <w:t xml:space="preserve">The pre-tests were evaluated according to the Authors’ key </w:t>
      </w:r>
      <w:r>
        <w:rPr>
          <w:noProof/>
        </w:rPr>
        <w:t>see</w:t>
      </w:r>
      <w:r w:rsidRPr="007B4CF6">
        <w:rPr>
          <w:noProof/>
          <w:vertAlign w:val="superscript"/>
        </w:rPr>
        <w:t>33</w:t>
      </w:r>
      <w:r w:rsidRPr="00DC62A0">
        <w:t>. As the mere test evaluation can be insufficient to fully understand the reasons behind students' problems, 8 students at different levels of success were selected for a qualitative (ET) part of the study. This part of study used eye-tracking and think-aloud method and  the methods - procedure of this qualitative part were already published elsewhere see</w:t>
      </w:r>
      <w:r w:rsidRPr="007B4CF6">
        <w:rPr>
          <w:noProof/>
          <w:vertAlign w:val="superscript"/>
        </w:rPr>
        <w:t>26</w:t>
      </w:r>
      <w:r w:rsidRPr="00DC62A0">
        <w:t>. For action research’s and mainly for the understanding’s sake, the important results are summarized in this article. Students used following expansive and limiting strategies and faced these problems:</w:t>
      </w:r>
    </w:p>
    <w:p w14:paraId="10B94693" w14:textId="4DB4F5B9" w:rsidR="00155C56" w:rsidRDefault="00155C56" w:rsidP="00FE5C44">
      <w:pPr>
        <w:rPr>
          <w:noProof/>
        </w:rPr>
      </w:pPr>
      <w:r w:rsidRPr="00DC62A0">
        <w:rPr>
          <w:noProof/>
        </w:rPr>
        <w:t>Expansive strategies:</w:t>
      </w:r>
    </w:p>
    <w:p w14:paraId="2ED52E20" w14:textId="77777777" w:rsidR="00155C56" w:rsidRPr="006C08A4" w:rsidRDefault="00155C56" w:rsidP="00FE5C44">
      <w:pPr>
        <w:pStyle w:val="Titulek"/>
        <w:numPr>
          <w:ilvl w:val="0"/>
          <w:numId w:val="22"/>
        </w:numPr>
        <w:rPr>
          <w:rFonts w:ascii="Times New Roman" w:hAnsi="Times New Roman" w:cs="Times New Roman"/>
          <w:noProof/>
          <w:sz w:val="24"/>
          <w:szCs w:val="32"/>
        </w:rPr>
      </w:pPr>
      <w:r w:rsidRPr="006C08A4">
        <w:rPr>
          <w:rFonts w:ascii="Times New Roman" w:hAnsi="Times New Roman" w:cs="Times New Roman"/>
          <w:sz w:val="24"/>
          <w:szCs w:val="32"/>
        </w:rPr>
        <w:t>Gradual chaining</w:t>
      </w:r>
      <w:r w:rsidRPr="006C08A4">
        <w:rPr>
          <w:rFonts w:ascii="Times New Roman" w:hAnsi="Times New Roman" w:cs="Times New Roman"/>
          <w:noProof/>
          <w:sz w:val="24"/>
          <w:szCs w:val="32"/>
          <w:vertAlign w:val="superscript"/>
        </w:rPr>
        <w:t>36</w:t>
      </w:r>
      <w:r w:rsidRPr="006C08A4">
        <w:rPr>
          <w:rFonts w:ascii="Times New Roman" w:hAnsi="Times New Roman" w:cs="Times New Roman"/>
          <w:sz w:val="24"/>
          <w:szCs w:val="32"/>
        </w:rPr>
        <w:t>,</w:t>
      </w:r>
    </w:p>
    <w:p w14:paraId="4357485C" w14:textId="77777777" w:rsidR="00155C56" w:rsidRPr="006C08A4" w:rsidRDefault="00155C56" w:rsidP="00FE5C44">
      <w:pPr>
        <w:pStyle w:val="Titulek"/>
        <w:numPr>
          <w:ilvl w:val="0"/>
          <w:numId w:val="22"/>
        </w:numPr>
        <w:rPr>
          <w:rFonts w:ascii="Times New Roman" w:hAnsi="Times New Roman" w:cs="Times New Roman"/>
          <w:noProof/>
          <w:sz w:val="24"/>
          <w:szCs w:val="32"/>
        </w:rPr>
      </w:pPr>
      <w:r w:rsidRPr="006C08A4">
        <w:rPr>
          <w:rFonts w:ascii="Times New Roman" w:hAnsi="Times New Roman" w:cs="Times New Roman"/>
          <w:sz w:val="24"/>
          <w:szCs w:val="32"/>
        </w:rPr>
        <w:t>logical justification</w:t>
      </w:r>
      <w:r w:rsidRPr="006C08A4">
        <w:rPr>
          <w:rFonts w:ascii="Times New Roman" w:hAnsi="Times New Roman" w:cs="Times New Roman"/>
          <w:noProof/>
          <w:sz w:val="24"/>
          <w:szCs w:val="32"/>
          <w:vertAlign w:val="superscript"/>
        </w:rPr>
        <w:t>37</w:t>
      </w:r>
      <w:r w:rsidRPr="006C08A4">
        <w:rPr>
          <w:rFonts w:ascii="Times New Roman" w:hAnsi="Times New Roman" w:cs="Times New Roman"/>
          <w:sz w:val="24"/>
          <w:szCs w:val="32"/>
        </w:rPr>
        <w:t>,</w:t>
      </w:r>
    </w:p>
    <w:p w14:paraId="067FB6E2" w14:textId="77777777" w:rsidR="00155C56" w:rsidRPr="006C08A4" w:rsidRDefault="00155C56" w:rsidP="00FE5C44">
      <w:pPr>
        <w:pStyle w:val="Titulek"/>
        <w:numPr>
          <w:ilvl w:val="0"/>
          <w:numId w:val="22"/>
        </w:numPr>
        <w:rPr>
          <w:rFonts w:ascii="Times New Roman" w:hAnsi="Times New Roman" w:cs="Times New Roman"/>
          <w:noProof/>
          <w:sz w:val="24"/>
          <w:szCs w:val="32"/>
        </w:rPr>
      </w:pPr>
      <w:r w:rsidRPr="006C08A4">
        <w:rPr>
          <w:rFonts w:ascii="Times New Roman" w:hAnsi="Times New Roman" w:cs="Times New Roman"/>
          <w:sz w:val="24"/>
          <w:szCs w:val="32"/>
        </w:rPr>
        <w:t>working with the information in the assignment</w:t>
      </w:r>
      <w:r w:rsidRPr="006C08A4">
        <w:rPr>
          <w:rFonts w:ascii="Times New Roman" w:hAnsi="Times New Roman" w:cs="Times New Roman"/>
          <w:noProof/>
          <w:sz w:val="24"/>
          <w:szCs w:val="32"/>
          <w:vertAlign w:val="superscript"/>
        </w:rPr>
        <w:t>22</w:t>
      </w:r>
      <w:r w:rsidRPr="006C08A4">
        <w:rPr>
          <w:rFonts w:ascii="Times New Roman" w:hAnsi="Times New Roman" w:cs="Times New Roman"/>
          <w:sz w:val="24"/>
          <w:szCs w:val="32"/>
        </w:rPr>
        <w:t>,</w:t>
      </w:r>
    </w:p>
    <w:p w14:paraId="6C97BE30" w14:textId="77777777" w:rsidR="00155C56" w:rsidRPr="006C08A4" w:rsidRDefault="00155C56" w:rsidP="00FE5C44">
      <w:pPr>
        <w:pStyle w:val="Titulek"/>
        <w:numPr>
          <w:ilvl w:val="0"/>
          <w:numId w:val="22"/>
        </w:numPr>
        <w:rPr>
          <w:rFonts w:ascii="Times New Roman" w:hAnsi="Times New Roman" w:cs="Times New Roman"/>
          <w:noProof/>
          <w:sz w:val="24"/>
          <w:szCs w:val="32"/>
        </w:rPr>
      </w:pPr>
      <w:r w:rsidRPr="006C08A4">
        <w:rPr>
          <w:rFonts w:ascii="Times New Roman" w:hAnsi="Times New Roman" w:cs="Times New Roman"/>
          <w:sz w:val="24"/>
          <w:szCs w:val="32"/>
        </w:rPr>
        <w:t>self-reflection (working with error)</w:t>
      </w:r>
      <w:r w:rsidRPr="006C08A4">
        <w:rPr>
          <w:rFonts w:ascii="Times New Roman" w:hAnsi="Times New Roman" w:cs="Times New Roman"/>
          <w:noProof/>
          <w:sz w:val="24"/>
          <w:szCs w:val="32"/>
          <w:vertAlign w:val="superscript"/>
        </w:rPr>
        <w:t>38</w:t>
      </w:r>
      <w:r w:rsidRPr="006C08A4">
        <w:rPr>
          <w:rFonts w:ascii="Times New Roman" w:hAnsi="Times New Roman" w:cs="Times New Roman"/>
          <w:sz w:val="24"/>
          <w:szCs w:val="32"/>
        </w:rPr>
        <w:t>,</w:t>
      </w:r>
    </w:p>
    <w:p w14:paraId="14681939" w14:textId="77777777" w:rsidR="00155C56" w:rsidRPr="006C08A4" w:rsidRDefault="00155C56" w:rsidP="00FE5C44">
      <w:pPr>
        <w:pStyle w:val="Titulek"/>
        <w:numPr>
          <w:ilvl w:val="0"/>
          <w:numId w:val="22"/>
        </w:numPr>
        <w:rPr>
          <w:rFonts w:ascii="Times New Roman" w:hAnsi="Times New Roman" w:cs="Times New Roman"/>
          <w:noProof/>
          <w:sz w:val="24"/>
          <w:szCs w:val="32"/>
        </w:rPr>
      </w:pPr>
      <w:r w:rsidRPr="006C08A4">
        <w:rPr>
          <w:rFonts w:ascii="Times New Roman" w:hAnsi="Times New Roman" w:cs="Times New Roman"/>
          <w:sz w:val="24"/>
          <w:szCs w:val="32"/>
        </w:rPr>
        <w:t>finding a pattern – the principle of function</w:t>
      </w:r>
      <w:r w:rsidRPr="006C08A4">
        <w:rPr>
          <w:rFonts w:ascii="Times New Roman" w:hAnsi="Times New Roman" w:cs="Times New Roman"/>
          <w:noProof/>
          <w:sz w:val="24"/>
          <w:szCs w:val="32"/>
          <w:vertAlign w:val="superscript"/>
        </w:rPr>
        <w:t>37</w:t>
      </w:r>
      <w:r w:rsidRPr="006C08A4">
        <w:rPr>
          <w:rFonts w:ascii="Times New Roman" w:hAnsi="Times New Roman" w:cs="Times New Roman"/>
          <w:sz w:val="24"/>
          <w:szCs w:val="32"/>
        </w:rPr>
        <w:t>.</w:t>
      </w:r>
    </w:p>
    <w:p w14:paraId="789C54D4" w14:textId="77777777" w:rsidR="00155C56" w:rsidRPr="00361DBB" w:rsidRDefault="00155C56" w:rsidP="00FE5C44">
      <w:pPr>
        <w:rPr>
          <w:b/>
          <w:noProof/>
          <w:w w:val="108"/>
        </w:rPr>
      </w:pPr>
      <w:r w:rsidRPr="00361DBB">
        <w:rPr>
          <w:noProof/>
          <w:w w:val="108"/>
        </w:rPr>
        <w:t>Limiting strategies:</w:t>
      </w:r>
    </w:p>
    <w:p w14:paraId="206F40E7" w14:textId="77777777" w:rsidR="00155C56" w:rsidRPr="006C08A4" w:rsidRDefault="00155C56" w:rsidP="00FE5C44">
      <w:pPr>
        <w:pStyle w:val="Titulek"/>
        <w:numPr>
          <w:ilvl w:val="0"/>
          <w:numId w:val="23"/>
        </w:numPr>
        <w:rPr>
          <w:rFonts w:ascii="Times New Roman" w:hAnsi="Times New Roman" w:cs="Times New Roman"/>
          <w:noProof/>
          <w:sz w:val="24"/>
          <w:szCs w:val="32"/>
          <w:lang w:val="en-US"/>
        </w:rPr>
      </w:pPr>
      <w:r w:rsidRPr="006C08A4">
        <w:rPr>
          <w:rFonts w:ascii="Times New Roman" w:hAnsi="Times New Roman" w:cs="Times New Roman"/>
          <w:noProof/>
          <w:sz w:val="24"/>
          <w:szCs w:val="32"/>
        </w:rPr>
        <w:t>Guessing the result</w:t>
      </w:r>
      <w:r w:rsidRPr="006C08A4">
        <w:rPr>
          <w:rFonts w:ascii="Times New Roman" w:hAnsi="Times New Roman" w:cs="Times New Roman"/>
          <w:noProof/>
          <w:sz w:val="24"/>
          <w:szCs w:val="32"/>
          <w:vertAlign w:val="superscript"/>
        </w:rPr>
        <w:t>39</w:t>
      </w:r>
      <w:r w:rsidRPr="006C08A4">
        <w:rPr>
          <w:rFonts w:ascii="Times New Roman" w:hAnsi="Times New Roman" w:cs="Times New Roman"/>
          <w:noProof/>
          <w:sz w:val="24"/>
          <w:szCs w:val="32"/>
          <w:lang w:val="cs-CZ"/>
        </w:rPr>
        <w:t>,</w:t>
      </w:r>
    </w:p>
    <w:p w14:paraId="6719A95E" w14:textId="77777777" w:rsidR="00155C56" w:rsidRPr="006C08A4" w:rsidRDefault="00155C56" w:rsidP="00FE5C44">
      <w:pPr>
        <w:pStyle w:val="Titulek"/>
        <w:numPr>
          <w:ilvl w:val="0"/>
          <w:numId w:val="23"/>
        </w:numPr>
        <w:rPr>
          <w:rFonts w:ascii="Times New Roman" w:hAnsi="Times New Roman" w:cs="Times New Roman"/>
          <w:noProof/>
          <w:sz w:val="24"/>
          <w:szCs w:val="32"/>
        </w:rPr>
      </w:pPr>
      <w:r w:rsidRPr="006C08A4">
        <w:rPr>
          <w:rFonts w:ascii="Times New Roman" w:hAnsi="Times New Roman" w:cs="Times New Roman"/>
          <w:noProof/>
          <w:sz w:val="24"/>
          <w:szCs w:val="32"/>
        </w:rPr>
        <w:t>drawing conclusions from the assignment structure</w:t>
      </w:r>
      <w:r w:rsidRPr="006C08A4">
        <w:rPr>
          <w:rFonts w:ascii="Times New Roman" w:hAnsi="Times New Roman" w:cs="Times New Roman"/>
          <w:noProof/>
          <w:sz w:val="24"/>
          <w:szCs w:val="32"/>
          <w:vertAlign w:val="superscript"/>
        </w:rPr>
        <w:t>22</w:t>
      </w:r>
      <w:r w:rsidRPr="006C08A4">
        <w:rPr>
          <w:rFonts w:ascii="Times New Roman" w:hAnsi="Times New Roman" w:cs="Times New Roman"/>
          <w:noProof/>
          <w:sz w:val="24"/>
          <w:szCs w:val="32"/>
        </w:rPr>
        <w:t>,</w:t>
      </w:r>
    </w:p>
    <w:p w14:paraId="5E8377FA" w14:textId="77777777" w:rsidR="00155C56" w:rsidRPr="006C08A4" w:rsidRDefault="00155C56" w:rsidP="00FE5C44">
      <w:pPr>
        <w:pStyle w:val="Titulek"/>
        <w:numPr>
          <w:ilvl w:val="0"/>
          <w:numId w:val="23"/>
        </w:numPr>
        <w:rPr>
          <w:rFonts w:ascii="Times New Roman" w:hAnsi="Times New Roman" w:cs="Times New Roman"/>
          <w:noProof/>
          <w:sz w:val="24"/>
          <w:szCs w:val="32"/>
        </w:rPr>
      </w:pPr>
      <w:r w:rsidRPr="006C08A4">
        <w:rPr>
          <w:rFonts w:ascii="Times New Roman" w:hAnsi="Times New Roman" w:cs="Times New Roman"/>
          <w:noProof/>
          <w:sz w:val="24"/>
          <w:szCs w:val="32"/>
        </w:rPr>
        <w:t>memorization-based solutions</w:t>
      </w:r>
      <w:r w:rsidRPr="006C08A4">
        <w:rPr>
          <w:rFonts w:ascii="Times New Roman" w:hAnsi="Times New Roman" w:cs="Times New Roman"/>
          <w:noProof/>
          <w:sz w:val="24"/>
          <w:szCs w:val="32"/>
          <w:vertAlign w:val="superscript"/>
        </w:rPr>
        <w:t>40</w:t>
      </w:r>
      <w:r w:rsidRPr="006C08A4">
        <w:rPr>
          <w:rFonts w:ascii="Times New Roman" w:hAnsi="Times New Roman" w:cs="Times New Roman"/>
          <w:noProof/>
          <w:sz w:val="24"/>
          <w:szCs w:val="32"/>
          <w:lang w:val="cs-CZ"/>
        </w:rPr>
        <w:t>.</w:t>
      </w:r>
    </w:p>
    <w:p w14:paraId="749EA32F" w14:textId="77777777" w:rsidR="00155C56" w:rsidRPr="00361DBB" w:rsidRDefault="00155C56" w:rsidP="00FE5C44">
      <w:pPr>
        <w:rPr>
          <w:b/>
          <w:noProof/>
        </w:rPr>
      </w:pPr>
      <w:r w:rsidRPr="00361DBB">
        <w:rPr>
          <w:noProof/>
        </w:rPr>
        <w:t>Problems:</w:t>
      </w:r>
    </w:p>
    <w:p w14:paraId="04E73B76" w14:textId="77777777" w:rsidR="00155C56" w:rsidRPr="00FE5C44" w:rsidRDefault="00155C56" w:rsidP="00FE5C44">
      <w:pPr>
        <w:pStyle w:val="Titulek"/>
        <w:numPr>
          <w:ilvl w:val="0"/>
          <w:numId w:val="24"/>
        </w:numPr>
        <w:rPr>
          <w:rFonts w:ascii="Times New Roman" w:hAnsi="Times New Roman" w:cs="Times New Roman"/>
          <w:sz w:val="24"/>
          <w:szCs w:val="32"/>
        </w:rPr>
      </w:pPr>
      <w:r w:rsidRPr="00FE5C44">
        <w:rPr>
          <w:rFonts w:ascii="Times New Roman" w:hAnsi="Times New Roman" w:cs="Times New Roman"/>
          <w:sz w:val="24"/>
          <w:szCs w:val="32"/>
        </w:rPr>
        <w:t>Problem identification (misunderstanding of input, inattentive reading, editing the assignment),</w:t>
      </w:r>
    </w:p>
    <w:p w14:paraId="35E0DB3C" w14:textId="77777777" w:rsidR="00155C56" w:rsidRPr="00FE5C44" w:rsidRDefault="00155C56" w:rsidP="00FE5C44">
      <w:pPr>
        <w:pStyle w:val="Titulek"/>
        <w:numPr>
          <w:ilvl w:val="0"/>
          <w:numId w:val="24"/>
        </w:numPr>
        <w:rPr>
          <w:rFonts w:ascii="Times New Roman" w:hAnsi="Times New Roman" w:cs="Times New Roman"/>
          <w:sz w:val="24"/>
          <w:szCs w:val="32"/>
        </w:rPr>
      </w:pPr>
      <w:r w:rsidRPr="00FE5C44">
        <w:rPr>
          <w:rFonts w:ascii="Times New Roman" w:hAnsi="Times New Roman" w:cs="Times New Roman"/>
          <w:sz w:val="24"/>
          <w:szCs w:val="32"/>
        </w:rPr>
        <w:t>motivation (giving up, not solving a task),</w:t>
      </w:r>
    </w:p>
    <w:p w14:paraId="0E475D93" w14:textId="77777777" w:rsidR="00155C56" w:rsidRPr="00FE5C44" w:rsidRDefault="00155C56" w:rsidP="00FE5C44">
      <w:pPr>
        <w:pStyle w:val="Titulek"/>
        <w:numPr>
          <w:ilvl w:val="0"/>
          <w:numId w:val="24"/>
        </w:numPr>
        <w:rPr>
          <w:rFonts w:ascii="Times New Roman" w:hAnsi="Times New Roman" w:cs="Times New Roman"/>
          <w:sz w:val="24"/>
          <w:szCs w:val="32"/>
        </w:rPr>
      </w:pPr>
      <w:r w:rsidRPr="00FE5C44">
        <w:rPr>
          <w:rFonts w:ascii="Times New Roman" w:hAnsi="Times New Roman" w:cs="Times New Roman"/>
          <w:sz w:val="24"/>
          <w:szCs w:val="32"/>
        </w:rPr>
        <w:t>inability to use knowledge,</w:t>
      </w:r>
    </w:p>
    <w:p w14:paraId="62DD7C89" w14:textId="77777777" w:rsidR="00155C56" w:rsidRPr="00FE5C44" w:rsidRDefault="00155C56" w:rsidP="00FE5C44">
      <w:pPr>
        <w:pStyle w:val="Titulek"/>
        <w:numPr>
          <w:ilvl w:val="0"/>
          <w:numId w:val="24"/>
        </w:numPr>
        <w:rPr>
          <w:rFonts w:ascii="Times New Roman" w:hAnsi="Times New Roman" w:cs="Times New Roman"/>
          <w:sz w:val="24"/>
          <w:szCs w:val="32"/>
        </w:rPr>
      </w:pPr>
      <w:r w:rsidRPr="00FE5C44">
        <w:rPr>
          <w:rFonts w:ascii="Times New Roman" w:hAnsi="Times New Roman" w:cs="Times New Roman"/>
          <w:sz w:val="24"/>
          <w:szCs w:val="32"/>
        </w:rPr>
        <w:lastRenderedPageBreak/>
        <w:t>lack of knowledge.</w:t>
      </w:r>
    </w:p>
    <w:p w14:paraId="1308AC41" w14:textId="43C63759" w:rsidR="00155C56" w:rsidRPr="00DC62A0" w:rsidRDefault="00155C56" w:rsidP="00FE5C44">
      <w:pPr>
        <w:rPr>
          <w:i/>
          <w:iCs/>
        </w:rPr>
      </w:pPr>
      <w:bookmarkStart w:id="2" w:name="_Hlk51503818"/>
      <w:r w:rsidRPr="00DC62A0">
        <w:t>The students struggled with reading (multiple cases). For example, in the task where the students were supposed to write a code consisting of proton numbers, they wrote the elements’ symbols. The ability to read proved to be crucial</w:t>
      </w:r>
      <w:r w:rsidR="006D1D1E">
        <w:t>.</w:t>
      </w:r>
      <w:r w:rsidRPr="007B4CF6">
        <w:rPr>
          <w:noProof/>
          <w:vertAlign w:val="superscript"/>
        </w:rPr>
        <w:t>41</w:t>
      </w:r>
      <w:r w:rsidRPr="00DC62A0">
        <w:t xml:space="preserve"> The students also struggled with motivation. This phenomenon most often occurred in a task in which they had to perform simple mathematical operations. Some students tended to answer by guessing when a task was more demanding – requiring several steps. There were students who had no idea about the term ‘proton number’ or who could not use the periodic table. This shows the curricular objectives of basic education in the field of chemistry were not reached with these students.</w:t>
      </w:r>
    </w:p>
    <w:p w14:paraId="6961F4AF" w14:textId="77777777" w:rsidR="00FE5C44" w:rsidRDefault="00FE5C44" w:rsidP="00FE5C44"/>
    <w:p w14:paraId="4EC4E31F" w14:textId="4627367B" w:rsidR="00155C56" w:rsidRPr="00FE5C44" w:rsidRDefault="00155C56" w:rsidP="00FE5C44">
      <w:pPr>
        <w:ind w:firstLine="0"/>
        <w:rPr>
          <w:i/>
          <w:iCs/>
        </w:rPr>
      </w:pPr>
      <w:r w:rsidRPr="00FE5C44">
        <w:rPr>
          <w:i/>
          <w:iCs/>
        </w:rPr>
        <w:t>Intervention preparation (January 2019)</w:t>
      </w:r>
    </w:p>
    <w:p w14:paraId="724A0E3A" w14:textId="04AF28AA" w:rsidR="00155C56" w:rsidRPr="00DC62A0" w:rsidRDefault="00155C56" w:rsidP="00FE5C44">
      <w:r w:rsidRPr="00DC62A0">
        <w:t>With respect to the identified strategies and problems, the action plan was designed to strengthen the use of expansive strategies and eliminate limiting strategies as well as target the missing functional knowledge regarding lower-secondary chemistry subject matter</w:t>
      </w:r>
      <w:r w:rsidR="006D1D1E">
        <w:t>.</w:t>
      </w:r>
      <w:r w:rsidRPr="007B4CF6">
        <w:rPr>
          <w:noProof/>
          <w:vertAlign w:val="superscript"/>
        </w:rPr>
        <w:t>42</w:t>
      </w:r>
      <w:r w:rsidRPr="00DC62A0">
        <w:t xml:space="preserve"> The intervention was based on students working with tasks released from the PISA project, enriched by chemistry-oriented tasks of a similar nature.</w:t>
      </w:r>
    </w:p>
    <w:bookmarkEnd w:id="2"/>
    <w:p w14:paraId="60D9A76B" w14:textId="77777777" w:rsidR="00FE5C44" w:rsidRDefault="00FE5C44" w:rsidP="00FE5C44"/>
    <w:p w14:paraId="1E10AB7A" w14:textId="6DF4BBE8" w:rsidR="00155C56" w:rsidRPr="00FE5C44" w:rsidRDefault="00155C56" w:rsidP="00FE5C44">
      <w:pPr>
        <w:ind w:firstLine="0"/>
        <w:rPr>
          <w:b/>
          <w:i/>
          <w:iCs/>
        </w:rPr>
      </w:pPr>
      <w:r w:rsidRPr="00FE5C44">
        <w:rPr>
          <w:i/>
          <w:iCs/>
        </w:rPr>
        <w:t>Action I (February – March 2019)</w:t>
      </w:r>
    </w:p>
    <w:p w14:paraId="008F2A16" w14:textId="49C1F533" w:rsidR="00155C56" w:rsidRDefault="00155C56" w:rsidP="00FE5C44">
      <w:r w:rsidRPr="00DC62A0">
        <w:t>The intervention took place one lesson (out of two in total) per week for two months. Students in groups (2-3 students) were given a set of released PISA tasks. These contextual, science-oriented tasks were used without any changes and were chosen due to students’ problems ascertained in the above-mentioned eye-tracking/think-aloud study</w:t>
      </w:r>
      <w:r w:rsidR="006D1D1E">
        <w:t>.</w:t>
      </w:r>
      <w:r>
        <w:rPr>
          <w:noProof/>
          <w:vertAlign w:val="superscript"/>
        </w:rPr>
        <w:t>26</w:t>
      </w:r>
      <w:r w:rsidR="006D1D1E">
        <w:rPr>
          <w:noProof/>
          <w:vertAlign w:val="superscript"/>
        </w:rPr>
        <w:t xml:space="preserve"> </w:t>
      </w:r>
      <w:r w:rsidRPr="00DC62A0">
        <w:t xml:space="preserve">They were mostly related to reading - finding the main problem to solve as well as the provided hints and variables. Added instructions led students to understanding the assignment better. Under the teachers’ guidance, the following steps were taken: </w:t>
      </w:r>
      <w:r w:rsidRPr="00DC62A0">
        <w:rPr>
          <w:b/>
          <w:bCs/>
        </w:rPr>
        <w:t>1.</w:t>
      </w:r>
      <w:r w:rsidRPr="00DC62A0">
        <w:t xml:space="preserve"> </w:t>
      </w:r>
      <w:r w:rsidRPr="00DC62A0">
        <w:rPr>
          <w:b/>
          <w:bCs/>
        </w:rPr>
        <w:t>What is the task</w:t>
      </w:r>
      <w:r w:rsidRPr="00DC62A0">
        <w:t xml:space="preserve"> (what they have to answer, what will be the form of the answer), </w:t>
      </w:r>
      <w:r w:rsidRPr="00DC62A0">
        <w:rPr>
          <w:b/>
          <w:bCs/>
        </w:rPr>
        <w:t xml:space="preserve">2. Schedule the procedure, 3. What data is provided (data needed). </w:t>
      </w:r>
      <w:r w:rsidRPr="00DC62A0">
        <w:t>Students were also supposed to identify the causes of their mistakes (self-reflection strategy). Later during the action phase, the teacher performed them only with groups who did not express their willingness to try solving the tasks on their own first.</w:t>
      </w:r>
    </w:p>
    <w:p w14:paraId="0F4E3B67" w14:textId="77777777" w:rsidR="00155C56" w:rsidRPr="006C08A4" w:rsidRDefault="00155C56" w:rsidP="00FE5C44">
      <w:pPr>
        <w:pStyle w:val="Odstavecseseznamem"/>
        <w:numPr>
          <w:ilvl w:val="0"/>
          <w:numId w:val="21"/>
        </w:numPr>
        <w:ind w:left="709"/>
        <w:rPr>
          <w:i/>
          <w:iCs/>
        </w:rPr>
      </w:pPr>
      <w:r w:rsidRPr="006C08A4">
        <w:rPr>
          <w:i/>
          <w:iCs/>
        </w:rPr>
        <w:t>Reflection phase</w:t>
      </w:r>
    </w:p>
    <w:p w14:paraId="474994BE" w14:textId="77777777" w:rsidR="00155C56" w:rsidRPr="00FE5C44" w:rsidRDefault="00155C56" w:rsidP="00FE5C44">
      <w:pPr>
        <w:ind w:firstLine="0"/>
        <w:rPr>
          <w:b/>
          <w:i/>
          <w:iCs/>
        </w:rPr>
      </w:pPr>
      <w:r w:rsidRPr="00FE5C44">
        <w:rPr>
          <w:i/>
          <w:iCs/>
        </w:rPr>
        <w:t>Sub-test (March 2019)</w:t>
      </w:r>
    </w:p>
    <w:p w14:paraId="6CDC1673" w14:textId="77777777" w:rsidR="00155C56" w:rsidRPr="00DC62A0" w:rsidRDefault="00155C56" w:rsidP="00FE5C44">
      <w:pPr>
        <w:rPr>
          <w:b/>
        </w:rPr>
      </w:pPr>
      <w:r w:rsidRPr="00DC62A0">
        <w:t xml:space="preserve">After two months, in the end of </w:t>
      </w:r>
      <w:r w:rsidRPr="00DC62A0">
        <w:rPr>
          <w:i/>
          <w:iCs/>
        </w:rPr>
        <w:t>action phase I</w:t>
      </w:r>
      <w:r w:rsidRPr="00DC62A0">
        <w:t xml:space="preserve">, a sub-test was given to the students in order to measure the intervention’s effect. </w:t>
      </w:r>
      <w:bookmarkStart w:id="3" w:name="_Hlk51503826"/>
      <w:r w:rsidRPr="00DC62A0">
        <w:t xml:space="preserve">The sub-test tasks contained tasks of a similar nature and difficulty to the pre-test. The tasks included student choice of an appropriate procedure </w:t>
      </w:r>
      <w:r w:rsidRPr="00DC62A0">
        <w:lastRenderedPageBreak/>
        <w:t>(including quantity of individual substances, heating, cooling, etc.) that would be suitable for preparing a solution (food for bees). The second task was directed towards the students’ scientific text reading skills. They were supposed to use information from a disinfectant label to decide which type of disinfection is suitable for a specific given situation and which method of preparation to choose from methods mentioned on the product’s label. In the third task, the students were supposed to determine a proportion of particular elements in different given fertilizers and compare which fertilizer of a given mass is richer in nitrogen - Ca(NO</w:t>
      </w:r>
      <w:r w:rsidRPr="00DC62A0">
        <w:rPr>
          <w:vertAlign w:val="subscript"/>
        </w:rPr>
        <w:t>3</w:t>
      </w:r>
      <w:r w:rsidRPr="00DC62A0">
        <w:t>)</w:t>
      </w:r>
      <w:r w:rsidRPr="00DC62A0">
        <w:rPr>
          <w:vertAlign w:val="subscript"/>
        </w:rPr>
        <w:t>2</w:t>
      </w:r>
      <w:r w:rsidRPr="00DC62A0">
        <w:t xml:space="preserve"> or NaNO</w:t>
      </w:r>
      <w:r w:rsidRPr="00DC62A0">
        <w:rPr>
          <w:vertAlign w:val="subscript"/>
        </w:rPr>
        <w:t>3</w:t>
      </w:r>
      <w:r w:rsidRPr="00DC62A0">
        <w:t>.</w:t>
      </w:r>
    </w:p>
    <w:bookmarkEnd w:id="3"/>
    <w:p w14:paraId="52561EA1" w14:textId="77777777" w:rsidR="00155C56" w:rsidRPr="00FE5C44" w:rsidRDefault="00155C56" w:rsidP="00FE5C44">
      <w:pPr>
        <w:ind w:firstLine="0"/>
        <w:rPr>
          <w:b/>
          <w:i/>
          <w:iCs/>
        </w:rPr>
      </w:pPr>
      <w:r w:rsidRPr="00FE5C44">
        <w:rPr>
          <w:i/>
          <w:iCs/>
        </w:rPr>
        <w:t>Improving the intervention plan</w:t>
      </w:r>
    </w:p>
    <w:p w14:paraId="4CE1F335" w14:textId="77777777" w:rsidR="00155C56" w:rsidRPr="00DC62A0" w:rsidRDefault="00155C56" w:rsidP="00FE5C44">
      <w:pPr>
        <w:rPr>
          <w:b/>
        </w:rPr>
      </w:pPr>
      <w:r w:rsidRPr="00DC62A0">
        <w:t>Although the results were promising (see below), changes in the procedure were made (see below).</w:t>
      </w:r>
    </w:p>
    <w:p w14:paraId="133C279A" w14:textId="77777777" w:rsidR="00155C56" w:rsidRPr="006C08A4" w:rsidRDefault="00155C56" w:rsidP="00FE5C44">
      <w:pPr>
        <w:pStyle w:val="Odstavecseseznamem"/>
        <w:numPr>
          <w:ilvl w:val="0"/>
          <w:numId w:val="21"/>
        </w:numPr>
        <w:ind w:left="709"/>
        <w:rPr>
          <w:i/>
          <w:iCs/>
        </w:rPr>
      </w:pPr>
      <w:r w:rsidRPr="006C08A4">
        <w:rPr>
          <w:i/>
          <w:iCs/>
        </w:rPr>
        <w:t>Action phase II (April – May 2019)</w:t>
      </w:r>
    </w:p>
    <w:p w14:paraId="05C7EF47" w14:textId="0EB3C7E0" w:rsidR="00155C56" w:rsidRPr="00DC62A0" w:rsidRDefault="00155C56" w:rsidP="00FE5C44">
      <w:r w:rsidRPr="00DC62A0">
        <w:rPr>
          <w:noProof/>
        </w:rPr>
        <w:t>The teacher’s role (especially the students’ guidance through the particular steps) was diminished so the learning tasks were targeted at the students. The tasks were completed with scaffolding in the form of a description of each groups’ solution procedure for the teacher to control each group’s work easier. Formative feedback methods, especially the traffic light method were introduced. This method is supposed to develop students</w:t>
      </w:r>
      <w:r w:rsidRPr="00DC62A0">
        <w:t xml:space="preserve">’ </w:t>
      </w:r>
      <w:r w:rsidRPr="00DC62A0">
        <w:rPr>
          <w:noProof/>
        </w:rPr>
        <w:t>metacognition as well as helping the teacher to orientate in numerous classes (more than 30 students)</w:t>
      </w:r>
      <w:r w:rsidR="00C44384">
        <w:rPr>
          <w:noProof/>
        </w:rPr>
        <w:t>.</w:t>
      </w:r>
      <w:r w:rsidRPr="007B4CF6">
        <w:rPr>
          <w:noProof/>
          <w:vertAlign w:val="superscript"/>
        </w:rPr>
        <w:t>43</w:t>
      </w:r>
      <w:r w:rsidRPr="00DC62A0">
        <w:rPr>
          <w:noProof/>
        </w:rPr>
        <w:t xml:space="preserve"> The intervention continued for another two months. After the intervention, the post-test was realised.</w:t>
      </w:r>
    </w:p>
    <w:p w14:paraId="62333056" w14:textId="77777777" w:rsidR="00155C56" w:rsidRPr="006C08A4" w:rsidRDefault="00155C56" w:rsidP="00FE5C44">
      <w:pPr>
        <w:pStyle w:val="Odstavecseseznamem"/>
        <w:numPr>
          <w:ilvl w:val="0"/>
          <w:numId w:val="21"/>
        </w:numPr>
        <w:ind w:left="709"/>
        <w:rPr>
          <w:i/>
          <w:iCs/>
        </w:rPr>
      </w:pPr>
      <w:r w:rsidRPr="006C08A4">
        <w:rPr>
          <w:i/>
          <w:iCs/>
        </w:rPr>
        <w:t>Reflection phase II (June – September 2019)</w:t>
      </w:r>
    </w:p>
    <w:p w14:paraId="60D24043" w14:textId="77777777" w:rsidR="00155C56" w:rsidRPr="006C08A4" w:rsidRDefault="00155C56" w:rsidP="006C08A4">
      <w:pPr>
        <w:ind w:firstLine="0"/>
        <w:rPr>
          <w:b/>
          <w:i/>
          <w:iCs/>
        </w:rPr>
      </w:pPr>
      <w:r w:rsidRPr="006C08A4">
        <w:rPr>
          <w:i/>
          <w:iCs/>
        </w:rPr>
        <w:t>Post-test (June 2019)</w:t>
      </w:r>
    </w:p>
    <w:p w14:paraId="7CF82F31" w14:textId="77777777" w:rsidR="00155C56" w:rsidRPr="00DC62A0" w:rsidRDefault="00155C56" w:rsidP="00FE5C44">
      <w:pPr>
        <w:rPr>
          <w:b/>
        </w:rPr>
      </w:pPr>
      <w:r w:rsidRPr="00DC62A0">
        <w:t>After another two months, a post-test was given to the students in order to measure the intervention’s effectiveness.</w:t>
      </w:r>
    </w:p>
    <w:p w14:paraId="5837575F" w14:textId="77777777" w:rsidR="00155C56" w:rsidRPr="006C08A4" w:rsidRDefault="00155C56" w:rsidP="006C08A4">
      <w:pPr>
        <w:ind w:firstLine="0"/>
        <w:rPr>
          <w:b/>
          <w:i/>
          <w:iCs/>
        </w:rPr>
      </w:pPr>
      <w:r w:rsidRPr="006C08A4">
        <w:rPr>
          <w:i/>
          <w:iCs/>
        </w:rPr>
        <w:t>Action research evaluation (June – September 2019)</w:t>
      </w:r>
    </w:p>
    <w:p w14:paraId="5E1FB8FE" w14:textId="4950B925" w:rsidR="00155C56" w:rsidRPr="00DC62A0" w:rsidRDefault="00155C56" w:rsidP="00FE5C44">
      <w:pPr>
        <w:rPr>
          <w:noProof/>
        </w:rPr>
      </w:pPr>
      <w:r w:rsidRPr="00DC62A0">
        <w:t xml:space="preserve">To evaluate the test results, the students were divided into three categories according to the score they achieved. The category of </w:t>
      </w:r>
      <w:r w:rsidRPr="00DC62A0">
        <w:rPr>
          <w:i/>
          <w:iCs/>
        </w:rPr>
        <w:t>unsuccessful</w:t>
      </w:r>
      <w:r w:rsidRPr="00DC62A0">
        <w:t xml:space="preserve"> students includes those with a score ≤ 2. </w:t>
      </w:r>
      <w:r w:rsidRPr="00DC62A0">
        <w:rPr>
          <w:i/>
          <w:iCs/>
        </w:rPr>
        <w:t>Partially successful</w:t>
      </w:r>
      <w:r w:rsidRPr="00DC62A0">
        <w:t xml:space="preserve"> students reached 3 or 4 points, the </w:t>
      </w:r>
      <w:r w:rsidRPr="00DC62A0">
        <w:rPr>
          <w:i/>
          <w:iCs/>
        </w:rPr>
        <w:t>successful</w:t>
      </w:r>
      <w:r w:rsidRPr="00DC62A0">
        <w:t xml:space="preserve"> students reached ≥</w:t>
      </w:r>
      <w:r w:rsidR="006D1D1E">
        <w:t xml:space="preserve"> </w:t>
      </w:r>
      <w:r w:rsidRPr="00DC62A0">
        <w:t>5 points. Based on the results, changes to the future plan were made.</w:t>
      </w:r>
    </w:p>
    <w:p w14:paraId="0208CE2E" w14:textId="77777777" w:rsidR="00155C56" w:rsidRPr="00361DBB" w:rsidRDefault="00155C56" w:rsidP="00FE5C44">
      <w:pPr>
        <w:pStyle w:val="Nadpis2"/>
      </w:pPr>
      <w:r w:rsidRPr="00361DBB">
        <w:t>Data analysis</w:t>
      </w:r>
    </w:p>
    <w:p w14:paraId="26DA6F63" w14:textId="77777777" w:rsidR="00155C56" w:rsidRPr="00DC62A0" w:rsidRDefault="00155C56" w:rsidP="00FE5C44">
      <w:pPr>
        <w:rPr>
          <w:noProof/>
        </w:rPr>
      </w:pPr>
      <w:r w:rsidRPr="00DC62A0">
        <w:rPr>
          <w:noProof/>
        </w:rPr>
        <w:t xml:space="preserve">With respect to the data (test scores), a non-parametric test -Friedman’s ANOVA was used followed by the Wilcoxon’s post-hoc test using IBM SPSS Statistics 26. To measure the effect-sizes, </w:t>
      </w:r>
      <w:r w:rsidRPr="00DC62A0">
        <w:rPr>
          <w:i/>
          <w:iCs/>
          <w:noProof/>
        </w:rPr>
        <w:t>r</w:t>
      </w:r>
      <w:r w:rsidRPr="00DC62A0">
        <w:rPr>
          <w:noProof/>
        </w:rPr>
        <w:t xml:space="preserve"> was calculated. Levels of 0.10 are considered a small effect, 0.10-0.30 a medium and over 0.50 a large effect</w:t>
      </w:r>
      <w:r w:rsidRPr="007B4CF6">
        <w:rPr>
          <w:noProof/>
          <w:vertAlign w:val="superscript"/>
        </w:rPr>
        <w:t>44</w:t>
      </w:r>
      <w:r w:rsidRPr="00DC62A0">
        <w:rPr>
          <w:noProof/>
        </w:rPr>
        <w:t>. The level of significance was set to 0.01.</w:t>
      </w:r>
    </w:p>
    <w:p w14:paraId="24EFF70B" w14:textId="77777777" w:rsidR="00155C56" w:rsidRPr="00DC62A0" w:rsidRDefault="00155C56" w:rsidP="00FE5C44">
      <w:pPr>
        <w:rPr>
          <w:noProof/>
        </w:rPr>
      </w:pPr>
      <w:r w:rsidRPr="00DC62A0">
        <w:rPr>
          <w:noProof/>
        </w:rPr>
        <w:lastRenderedPageBreak/>
        <w:t>The statistical methods were applied only to the results of the students who took part in all three test phasess (N = 112). The rest, such as the comparison of relative improvement in a test, the rate of improvement, etc. were calculated for all the students who took part in two compared tests (N = 136).</w:t>
      </w:r>
    </w:p>
    <w:p w14:paraId="084E5E15" w14:textId="77777777" w:rsidR="00155C56" w:rsidRPr="00DC62A0" w:rsidRDefault="00155C56" w:rsidP="00FE5C44">
      <w:pPr>
        <w:pStyle w:val="Nadpis1"/>
        <w:rPr>
          <w:noProof/>
        </w:rPr>
      </w:pPr>
      <w:r w:rsidRPr="00DC62A0">
        <w:t>Findings and discussion</w:t>
      </w:r>
    </w:p>
    <w:p w14:paraId="417C0639" w14:textId="77777777" w:rsidR="00155C56" w:rsidRPr="00361DBB" w:rsidRDefault="00155C56" w:rsidP="00FE5C44">
      <w:pPr>
        <w:pStyle w:val="Nadpis2"/>
      </w:pPr>
      <w:r w:rsidRPr="00361DBB">
        <w:t>Information about respondents</w:t>
      </w:r>
    </w:p>
    <w:p w14:paraId="4E079432" w14:textId="77777777" w:rsidR="00155C56" w:rsidRPr="00DC62A0" w:rsidRDefault="00155C56" w:rsidP="00FE5C44">
      <w:r w:rsidRPr="00DC62A0">
        <w:t>Altogether, 144 students from the first grade of a non-chemical vocational school took part in the action research. All data about students were anonymized. As the action research was conducted without disturbing the normal course of the school year, naturally, not all the students were present in all the lessons during the research. These students were not included in the total sample for the statistics (see Tab. 1).</w:t>
      </w:r>
    </w:p>
    <w:p w14:paraId="13CD13B0" w14:textId="77777777" w:rsidR="00155C56" w:rsidRPr="00DC62A0" w:rsidRDefault="00155C56" w:rsidP="00FE5C44">
      <w:r w:rsidRPr="00DC62A0">
        <w:t>With an exception of two students who graduated from basic school in 2017, all the rest graduated in 2018. Therefore, they were tested with only a summer break pause from graduating basic school. The presumption of them having mastered the basic school objectives was therefore valid. The information about the students is shown in Table 1.</w:t>
      </w:r>
    </w:p>
    <w:p w14:paraId="3D791264" w14:textId="0C2982B2" w:rsidR="00155C56" w:rsidRPr="00DC62A0" w:rsidRDefault="00155C56" w:rsidP="00FE5C44">
      <w:pPr>
        <w:pStyle w:val="Nadpis3"/>
      </w:pPr>
      <w:r w:rsidRPr="00DC62A0">
        <w:t xml:space="preserve">Table </w:t>
      </w:r>
      <w:r w:rsidRPr="00DC62A0">
        <w:fldChar w:fldCharType="begin"/>
      </w:r>
      <w:r w:rsidRPr="00DC62A0">
        <w:instrText xml:space="preserve"> SEQ Table \* ARABIC </w:instrText>
      </w:r>
      <w:r w:rsidRPr="00DC62A0">
        <w:fldChar w:fldCharType="separate"/>
      </w:r>
      <w:r w:rsidR="002526FB">
        <w:rPr>
          <w:noProof/>
        </w:rPr>
        <w:t>1</w:t>
      </w:r>
      <w:r w:rsidRPr="00DC62A0">
        <w:fldChar w:fldCharType="end"/>
      </w:r>
      <w:r w:rsidRPr="00DC62A0">
        <w:t xml:space="preserve"> The number of students in the action research</w:t>
      </w:r>
    </w:p>
    <w:tbl>
      <w:tblPr>
        <w:tblW w:w="0" w:type="auto"/>
        <w:tblCellMar>
          <w:left w:w="57" w:type="dxa"/>
          <w:right w:w="57" w:type="dxa"/>
        </w:tblCellMar>
        <w:tblLook w:val="04A0" w:firstRow="1" w:lastRow="0" w:firstColumn="1" w:lastColumn="0" w:noHBand="0" w:noVBand="1"/>
      </w:tblPr>
      <w:tblGrid>
        <w:gridCol w:w="2461"/>
        <w:gridCol w:w="1042"/>
        <w:gridCol w:w="1162"/>
        <w:gridCol w:w="1175"/>
        <w:gridCol w:w="1995"/>
      </w:tblGrid>
      <w:tr w:rsidR="00155C56" w:rsidRPr="00361DBB" w14:paraId="631BCE06" w14:textId="77777777" w:rsidTr="00FE5C44">
        <w:trPr>
          <w:trHeight w:val="89"/>
        </w:trPr>
        <w:tc>
          <w:tcPr>
            <w:tcW w:w="0" w:type="auto"/>
            <w:shd w:val="clear" w:color="auto" w:fill="D9D9D9" w:themeFill="background1" w:themeFillShade="D9"/>
            <w:vAlign w:val="center"/>
          </w:tcPr>
          <w:p w14:paraId="68C35CCB" w14:textId="77777777" w:rsidR="00155C56" w:rsidRPr="00361DBB" w:rsidRDefault="00155C56" w:rsidP="00FE5C44"/>
        </w:tc>
        <w:tc>
          <w:tcPr>
            <w:tcW w:w="0" w:type="auto"/>
            <w:shd w:val="clear" w:color="auto" w:fill="D9D9D9" w:themeFill="background1" w:themeFillShade="D9"/>
            <w:vAlign w:val="center"/>
          </w:tcPr>
          <w:p w14:paraId="29CBC91D" w14:textId="77777777" w:rsidR="00155C56" w:rsidRPr="00361DBB" w:rsidRDefault="00155C56" w:rsidP="00FE5C44">
            <w:r w:rsidRPr="00361DBB">
              <w:t>N</w:t>
            </w:r>
          </w:p>
        </w:tc>
        <w:tc>
          <w:tcPr>
            <w:tcW w:w="0" w:type="auto"/>
            <w:shd w:val="clear" w:color="auto" w:fill="D9D9D9" w:themeFill="background1" w:themeFillShade="D9"/>
            <w:vAlign w:val="center"/>
          </w:tcPr>
          <w:p w14:paraId="09EF308F" w14:textId="77777777" w:rsidR="00155C56" w:rsidRPr="00361DBB" w:rsidRDefault="00155C56" w:rsidP="00FE5C44">
            <w:r w:rsidRPr="00361DBB">
              <w:t>Girls</w:t>
            </w:r>
          </w:p>
        </w:tc>
        <w:tc>
          <w:tcPr>
            <w:tcW w:w="0" w:type="auto"/>
            <w:shd w:val="clear" w:color="auto" w:fill="D9D9D9" w:themeFill="background1" w:themeFillShade="D9"/>
            <w:vAlign w:val="center"/>
          </w:tcPr>
          <w:p w14:paraId="38269B51" w14:textId="77777777" w:rsidR="00155C56" w:rsidRPr="00361DBB" w:rsidRDefault="00155C56" w:rsidP="00FE5C44">
            <w:r w:rsidRPr="00361DBB">
              <w:t>Boys</w:t>
            </w:r>
          </w:p>
        </w:tc>
        <w:tc>
          <w:tcPr>
            <w:tcW w:w="0" w:type="auto"/>
            <w:shd w:val="clear" w:color="auto" w:fill="D9D9D9" w:themeFill="background1" w:themeFillShade="D9"/>
            <w:vAlign w:val="center"/>
          </w:tcPr>
          <w:p w14:paraId="3C214333" w14:textId="77777777" w:rsidR="00155C56" w:rsidRPr="00361DBB" w:rsidRDefault="00155C56" w:rsidP="00FE5C44">
            <w:r w:rsidRPr="00361DBB">
              <w:t>Basic schools</w:t>
            </w:r>
          </w:p>
        </w:tc>
      </w:tr>
      <w:tr w:rsidR="00155C56" w:rsidRPr="00361DBB" w14:paraId="1ACBAF4B" w14:textId="77777777" w:rsidTr="00FE5C44">
        <w:trPr>
          <w:trHeight w:val="89"/>
        </w:trPr>
        <w:tc>
          <w:tcPr>
            <w:tcW w:w="0" w:type="auto"/>
            <w:shd w:val="clear" w:color="auto" w:fill="auto"/>
            <w:vAlign w:val="center"/>
          </w:tcPr>
          <w:p w14:paraId="3CBB957F" w14:textId="77777777" w:rsidR="00155C56" w:rsidRPr="00361DBB" w:rsidRDefault="00155C56" w:rsidP="00FE5C44">
            <w:r w:rsidRPr="00361DBB">
              <w:t>Students in total</w:t>
            </w:r>
          </w:p>
        </w:tc>
        <w:tc>
          <w:tcPr>
            <w:tcW w:w="0" w:type="auto"/>
            <w:shd w:val="clear" w:color="auto" w:fill="auto"/>
            <w:vAlign w:val="center"/>
          </w:tcPr>
          <w:p w14:paraId="0362F066" w14:textId="77777777" w:rsidR="00155C56" w:rsidRPr="00361DBB" w:rsidRDefault="00155C56" w:rsidP="00FE5C44">
            <w:r w:rsidRPr="00361DBB">
              <w:t>144</w:t>
            </w:r>
          </w:p>
        </w:tc>
        <w:tc>
          <w:tcPr>
            <w:tcW w:w="0" w:type="auto"/>
            <w:shd w:val="clear" w:color="auto" w:fill="auto"/>
            <w:vAlign w:val="center"/>
          </w:tcPr>
          <w:p w14:paraId="05AD2292" w14:textId="77777777" w:rsidR="00155C56" w:rsidRPr="00361DBB" w:rsidRDefault="00155C56" w:rsidP="00FE5C44">
            <w:r w:rsidRPr="00361DBB">
              <w:t>94</w:t>
            </w:r>
          </w:p>
        </w:tc>
        <w:tc>
          <w:tcPr>
            <w:tcW w:w="0" w:type="auto"/>
            <w:shd w:val="clear" w:color="auto" w:fill="auto"/>
            <w:vAlign w:val="center"/>
          </w:tcPr>
          <w:p w14:paraId="5E13E047" w14:textId="77777777" w:rsidR="00155C56" w:rsidRPr="00361DBB" w:rsidRDefault="00155C56" w:rsidP="00FE5C44">
            <w:r w:rsidRPr="00361DBB">
              <w:t>50</w:t>
            </w:r>
          </w:p>
        </w:tc>
        <w:tc>
          <w:tcPr>
            <w:tcW w:w="0" w:type="auto"/>
            <w:shd w:val="clear" w:color="auto" w:fill="auto"/>
            <w:vAlign w:val="center"/>
          </w:tcPr>
          <w:p w14:paraId="3B8FE833" w14:textId="77777777" w:rsidR="00155C56" w:rsidRPr="00361DBB" w:rsidRDefault="00155C56" w:rsidP="00FE5C44">
            <w:r w:rsidRPr="00361DBB">
              <w:t>87</w:t>
            </w:r>
          </w:p>
        </w:tc>
      </w:tr>
      <w:tr w:rsidR="00155C56" w:rsidRPr="00361DBB" w14:paraId="3CC777B9" w14:textId="77777777" w:rsidTr="00FE5C44">
        <w:trPr>
          <w:trHeight w:val="510"/>
        </w:trPr>
        <w:tc>
          <w:tcPr>
            <w:tcW w:w="0" w:type="auto"/>
            <w:shd w:val="clear" w:color="auto" w:fill="auto"/>
            <w:vAlign w:val="center"/>
          </w:tcPr>
          <w:p w14:paraId="13107DA8" w14:textId="77777777" w:rsidR="00155C56" w:rsidRPr="00361DBB" w:rsidRDefault="00155C56" w:rsidP="00FE5C44">
            <w:r w:rsidRPr="00361DBB">
              <w:t>Selected students*</w:t>
            </w:r>
          </w:p>
        </w:tc>
        <w:tc>
          <w:tcPr>
            <w:tcW w:w="0" w:type="auto"/>
            <w:shd w:val="clear" w:color="auto" w:fill="auto"/>
            <w:vAlign w:val="center"/>
          </w:tcPr>
          <w:p w14:paraId="7AB14C5A" w14:textId="77777777" w:rsidR="00155C56" w:rsidRPr="00361DBB" w:rsidRDefault="00155C56" w:rsidP="00FE5C44">
            <w:r w:rsidRPr="00361DBB">
              <w:t>112</w:t>
            </w:r>
          </w:p>
        </w:tc>
        <w:tc>
          <w:tcPr>
            <w:tcW w:w="0" w:type="auto"/>
            <w:shd w:val="clear" w:color="auto" w:fill="auto"/>
            <w:vAlign w:val="center"/>
          </w:tcPr>
          <w:p w14:paraId="7ECB0CFB" w14:textId="77777777" w:rsidR="00155C56" w:rsidRPr="00361DBB" w:rsidRDefault="00155C56" w:rsidP="00FE5C44">
            <w:r w:rsidRPr="00361DBB">
              <w:t>75</w:t>
            </w:r>
          </w:p>
        </w:tc>
        <w:tc>
          <w:tcPr>
            <w:tcW w:w="0" w:type="auto"/>
            <w:shd w:val="clear" w:color="auto" w:fill="auto"/>
            <w:vAlign w:val="center"/>
          </w:tcPr>
          <w:p w14:paraId="4EBDF5CA" w14:textId="77777777" w:rsidR="00155C56" w:rsidRPr="00361DBB" w:rsidRDefault="00155C56" w:rsidP="00FE5C44">
            <w:r w:rsidRPr="00361DBB">
              <w:t>37</w:t>
            </w:r>
          </w:p>
        </w:tc>
        <w:tc>
          <w:tcPr>
            <w:tcW w:w="0" w:type="auto"/>
            <w:shd w:val="clear" w:color="auto" w:fill="auto"/>
            <w:vAlign w:val="center"/>
          </w:tcPr>
          <w:p w14:paraId="688B22EB" w14:textId="77777777" w:rsidR="00155C56" w:rsidRPr="00361DBB" w:rsidRDefault="00155C56" w:rsidP="00FE5C44">
            <w:r w:rsidRPr="00361DBB">
              <w:t>74</w:t>
            </w:r>
          </w:p>
        </w:tc>
      </w:tr>
    </w:tbl>
    <w:p w14:paraId="43C7AC03" w14:textId="77777777" w:rsidR="00155C56" w:rsidRPr="00FE5C44" w:rsidRDefault="00155C56" w:rsidP="00FE5C44">
      <w:pPr>
        <w:ind w:firstLine="0"/>
        <w:rPr>
          <w:sz w:val="20"/>
          <w:szCs w:val="20"/>
        </w:rPr>
      </w:pPr>
      <w:r w:rsidRPr="00FE5C44">
        <w:rPr>
          <w:sz w:val="20"/>
          <w:szCs w:val="20"/>
        </w:rPr>
        <w:t>* The students who took all three tests, therefore are included in the statistical evaluation.</w:t>
      </w:r>
    </w:p>
    <w:p w14:paraId="5E1ED584" w14:textId="45231C56" w:rsidR="00155C56" w:rsidRDefault="00155C56" w:rsidP="00FE5C44">
      <w:r w:rsidRPr="00DC62A0">
        <w:t>The number of basic schools the students came from to the upper-secondary school showed the variety of teaching approaches these students underwent. Also, the pre-test results, in a way, reflect lower-secondary chemistry teaching’s effectiveness at a considerable number of schools. As far as the students’ school success at the beginning of the action research (the first mid-term) was concerned, the overall mean of the students’ school grade was 2,57 (grades from 1 – the best and 5 – the least successful). The grade distribution is shown in Figure 3.</w:t>
      </w:r>
    </w:p>
    <w:p w14:paraId="6F02FB23" w14:textId="60008A5C" w:rsidR="006C08A4" w:rsidRDefault="006C08A4" w:rsidP="00FE5C44">
      <w:r w:rsidRPr="00DC62A0">
        <w:t>There were about 5% of students with a low school-success (judging by their grades). About 30% of the students were considered partially-successful and the rest successful. Given the fact non-chemical vocational school chemistry follows only a slightly advanced chemistry curriculum to lower-secondary school</w:t>
      </w:r>
      <w:r w:rsidRPr="00462733">
        <w:rPr>
          <w:noProof/>
          <w:vertAlign w:val="superscript"/>
        </w:rPr>
        <w:t>9</w:t>
      </w:r>
      <w:r w:rsidRPr="00DC62A0">
        <w:t>, it was possible to assume the students with better grades will be more successful in the pre-test than those with worse grades.</w:t>
      </w:r>
    </w:p>
    <w:p w14:paraId="11574267" w14:textId="77777777" w:rsidR="00C44384" w:rsidRDefault="00C44384" w:rsidP="00FE5C44"/>
    <w:p w14:paraId="2208CBF1" w14:textId="42537B68" w:rsidR="00C44384" w:rsidRPr="00DC62A0" w:rsidRDefault="00227E54" w:rsidP="00FE5C44">
      <w:r w:rsidRPr="00DC62A0">
        <w:rPr>
          <w:noProof/>
        </w:rPr>
        <w:lastRenderedPageBreak/>
        <mc:AlternateContent>
          <mc:Choice Requires="wps">
            <w:drawing>
              <wp:anchor distT="0" distB="0" distL="114300" distR="114300" simplePos="0" relativeHeight="251673600" behindDoc="0" locked="0" layoutInCell="1" allowOverlap="1" wp14:anchorId="14BABE05" wp14:editId="0BAF40ED">
                <wp:simplePos x="0" y="0"/>
                <wp:positionH relativeFrom="margin">
                  <wp:posOffset>6985</wp:posOffset>
                </wp:positionH>
                <wp:positionV relativeFrom="paragraph">
                  <wp:posOffset>2094865</wp:posOffset>
                </wp:positionV>
                <wp:extent cx="2499360" cy="635"/>
                <wp:effectExtent l="0" t="0" r="0" b="7620"/>
                <wp:wrapTopAndBottom/>
                <wp:docPr id="22" name="Textové pole 22"/>
                <wp:cNvGraphicFramePr/>
                <a:graphic xmlns:a="http://schemas.openxmlformats.org/drawingml/2006/main">
                  <a:graphicData uri="http://schemas.microsoft.com/office/word/2010/wordprocessingShape">
                    <wps:wsp>
                      <wps:cNvSpPr txBox="1"/>
                      <wps:spPr>
                        <a:xfrm>
                          <a:off x="0" y="0"/>
                          <a:ext cx="2499360" cy="635"/>
                        </a:xfrm>
                        <a:prstGeom prst="rect">
                          <a:avLst/>
                        </a:prstGeom>
                        <a:solidFill>
                          <a:prstClr val="white"/>
                        </a:solidFill>
                        <a:ln>
                          <a:noFill/>
                        </a:ln>
                      </wps:spPr>
                      <wps:txbx>
                        <w:txbxContent>
                          <w:p w14:paraId="1FE47353" w14:textId="3B984349" w:rsidR="006C08A4" w:rsidRPr="00CA07F1" w:rsidRDefault="006C08A4" w:rsidP="006C08A4">
                            <w:pPr>
                              <w:ind w:firstLine="0"/>
                              <w:rPr>
                                <w:rFonts w:ascii="Bookman Old Style" w:eastAsia="Times New Roman" w:hAnsi="Bookman Old Style"/>
                                <w:noProof/>
                                <w:sz w:val="20"/>
                                <w:szCs w:val="20"/>
                              </w:rPr>
                            </w:pPr>
                            <w:r>
                              <w:t xml:space="preserve">Figure </w:t>
                            </w:r>
                            <w:r>
                              <w:fldChar w:fldCharType="begin"/>
                            </w:r>
                            <w:r>
                              <w:instrText xml:space="preserve"> SEQ Figure \* ARABIC </w:instrText>
                            </w:r>
                            <w:r>
                              <w:fldChar w:fldCharType="separate"/>
                            </w:r>
                            <w:r w:rsidR="002526FB">
                              <w:rPr>
                                <w:noProof/>
                              </w:rPr>
                              <w:t>3</w:t>
                            </w:r>
                            <w:r>
                              <w:rPr>
                                <w:noProof/>
                              </w:rPr>
                              <w:fldChar w:fldCharType="end"/>
                            </w:r>
                            <w:r>
                              <w:t xml:space="preserve"> Student distribution according to the school grades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BABE05" id="Textové pole 22" o:spid="_x0000_s1028" type="#_x0000_t202" style="position:absolute;left:0;text-align:left;margin-left:.55pt;margin-top:164.95pt;width:196.8pt;height:.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" stroked="f">
                <v:textbox style="mso-fit-shape-to-text:t" inset="0,0,0,0">
                  <w:txbxContent>
                    <w:p w14:paraId="1FE47353" w14:textId="3B984349" w:rsidR="006C08A4" w:rsidRPr="00CA07F1" w:rsidRDefault="006C08A4" w:rsidP="006C08A4">
                      <w:pPr>
                        <w:ind w:firstLine="0"/>
                        <w:rPr>
                          <w:rFonts w:ascii="Bookman Old Style" w:eastAsia="Times New Roman" w:hAnsi="Bookman Old Style"/>
                          <w:noProof/>
                          <w:sz w:val="20"/>
                          <w:szCs w:val="20"/>
                        </w:rPr>
                      </w:pPr>
                      <w:r>
                        <w:t xml:space="preserve">Figure </w:t>
                      </w:r>
                      <w:r>
                        <w:fldChar w:fldCharType="begin"/>
                      </w:r>
                      <w:r>
                        <w:instrText xml:space="preserve"> SEQ Figure \* ARABIC </w:instrText>
                      </w:r>
                      <w:r>
                        <w:fldChar w:fldCharType="separate"/>
                      </w:r>
                      <w:r w:rsidR="002526FB">
                        <w:rPr>
                          <w:noProof/>
                        </w:rPr>
                        <w:t>3</w:t>
                      </w:r>
                      <w:r>
                        <w:rPr>
                          <w:noProof/>
                        </w:rPr>
                        <w:fldChar w:fldCharType="end"/>
                      </w:r>
                      <w:r>
                        <w:t xml:space="preserve"> Student distribution according to the school grades</w:t>
                      </w:r>
                    </w:p>
                  </w:txbxContent>
                </v:textbox>
                <w10:wrap type="topAndBottom" anchorx="margin"/>
              </v:shape>
            </w:pict>
          </mc:Fallback>
        </mc:AlternateContent>
      </w:r>
      <w:r w:rsidR="00961607" w:rsidRPr="00DC62A0">
        <w:rPr>
          <w:noProof/>
        </w:rPr>
        <w:drawing>
          <wp:anchor distT="0" distB="0" distL="114300" distR="114300" simplePos="0" relativeHeight="251672576" behindDoc="0" locked="0" layoutInCell="1" allowOverlap="1" wp14:anchorId="2F08B0CD" wp14:editId="738507EC">
            <wp:simplePos x="0" y="0"/>
            <wp:positionH relativeFrom="margin">
              <wp:posOffset>106045</wp:posOffset>
            </wp:positionH>
            <wp:positionV relativeFrom="page">
              <wp:posOffset>952500</wp:posOffset>
            </wp:positionV>
            <wp:extent cx="2880000" cy="1938020"/>
            <wp:effectExtent l="0" t="0" r="0" b="5080"/>
            <wp:wrapTopAndBottom/>
            <wp:docPr id="14" name="Graf 14">
              <a:extLst xmlns:a="http://schemas.openxmlformats.org/drawingml/2006/main">
                <a:ext uri="{FF2B5EF4-FFF2-40B4-BE49-F238E27FC236}">
                  <a16:creationId xmlns:a16="http://schemas.microsoft.com/office/drawing/2014/main" id="{47E42F99-BEAC-45F6-8010-DA1DE9B33B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7FFBA51" w14:textId="37880A6C" w:rsidR="00155C56" w:rsidRPr="00361DBB" w:rsidRDefault="00155C56" w:rsidP="00FE5C44">
      <w:pPr>
        <w:pStyle w:val="Nadpis2"/>
      </w:pPr>
      <w:r w:rsidRPr="00361DBB">
        <w:t>Action research results in total</w:t>
      </w:r>
    </w:p>
    <w:p w14:paraId="189B70FF" w14:textId="16B1EF7B" w:rsidR="00155C56" w:rsidRPr="00DC62A0" w:rsidRDefault="00155C56" w:rsidP="00FE5C44">
      <w:r w:rsidRPr="00DC62A0">
        <w:t>Figure 4 shows the development of students’ test score during the action research. Only results of the students’ participating in all three tests were included to give a more accurate picture of their performance shifts (see Table 2). The results showed the unsuccessful students’ improvement as an effect of the action research. The scores, as expressed by the students’ mean points in the tests, improved from the pre-test to the sub-test and from the sub-test to the post-test. The Friedman’s ANOVA test showed the difference among the three tests is statistically significant (p &lt; 0.001). Kendall’s W test result (W = 0.54) suggests a strong effect of the difference. Particular differences will be described in more detail below test-by-test.</w:t>
      </w:r>
    </w:p>
    <w:p w14:paraId="1E4AA9A0" w14:textId="177F20BE" w:rsidR="00155C56" w:rsidRPr="00DC62A0" w:rsidRDefault="00155C56" w:rsidP="00FE5C44">
      <w:pPr>
        <w:pStyle w:val="Nadpis3"/>
      </w:pPr>
      <w:r w:rsidRPr="00DC62A0">
        <w:t xml:space="preserve">Table </w:t>
      </w:r>
      <w:r w:rsidRPr="00DC62A0">
        <w:fldChar w:fldCharType="begin"/>
      </w:r>
      <w:r w:rsidRPr="00DC62A0">
        <w:instrText xml:space="preserve"> SEQ Table \* ARABIC </w:instrText>
      </w:r>
      <w:r w:rsidRPr="00DC62A0">
        <w:fldChar w:fldCharType="separate"/>
      </w:r>
      <w:r w:rsidR="002526FB">
        <w:rPr>
          <w:noProof/>
        </w:rPr>
        <w:t>2</w:t>
      </w:r>
      <w:r w:rsidRPr="00DC62A0">
        <w:fldChar w:fldCharType="end"/>
      </w:r>
      <w:r w:rsidRPr="00DC62A0">
        <w:t xml:space="preserve"> The overall test results</w:t>
      </w:r>
    </w:p>
    <w:tbl>
      <w:tblPr>
        <w:tblpPr w:leftFromText="141" w:rightFromText="141" w:vertAnchor="text" w:horzAnchor="page" w:tblpX="1065" w:tblpY="-35"/>
        <w:tblW w:w="0" w:type="auto"/>
        <w:tblLook w:val="04A0" w:firstRow="1" w:lastRow="0" w:firstColumn="1" w:lastColumn="0" w:noHBand="0" w:noVBand="1"/>
      </w:tblPr>
      <w:tblGrid>
        <w:gridCol w:w="1610"/>
        <w:gridCol w:w="1144"/>
        <w:gridCol w:w="1330"/>
        <w:gridCol w:w="1324"/>
        <w:gridCol w:w="1244"/>
        <w:gridCol w:w="1283"/>
      </w:tblGrid>
      <w:tr w:rsidR="00155C56" w:rsidRPr="00DC62A0" w14:paraId="40CA97DE" w14:textId="77777777" w:rsidTr="00FE5C44">
        <w:trPr>
          <w:trHeight w:val="426"/>
        </w:trPr>
        <w:tc>
          <w:tcPr>
            <w:tcW w:w="0" w:type="auto"/>
            <w:shd w:val="clear" w:color="auto" w:fill="D9D9D9" w:themeFill="background1" w:themeFillShade="D9"/>
            <w:vAlign w:val="center"/>
          </w:tcPr>
          <w:p w14:paraId="315A2170" w14:textId="77777777" w:rsidR="00155C56" w:rsidRPr="00DC62A0" w:rsidRDefault="00155C56" w:rsidP="00FE5C44"/>
        </w:tc>
        <w:tc>
          <w:tcPr>
            <w:tcW w:w="0" w:type="auto"/>
            <w:shd w:val="clear" w:color="auto" w:fill="D9D9D9" w:themeFill="background1" w:themeFillShade="D9"/>
          </w:tcPr>
          <w:p w14:paraId="69C19602" w14:textId="77777777" w:rsidR="00155C56" w:rsidRPr="00DC62A0" w:rsidRDefault="00155C56" w:rsidP="00FE5C44">
            <w:r w:rsidRPr="00DC62A0">
              <w:t>N</w:t>
            </w:r>
          </w:p>
        </w:tc>
        <w:tc>
          <w:tcPr>
            <w:tcW w:w="0" w:type="auto"/>
            <w:shd w:val="clear" w:color="auto" w:fill="D9D9D9" w:themeFill="background1" w:themeFillShade="D9"/>
          </w:tcPr>
          <w:p w14:paraId="42A4C024" w14:textId="77777777" w:rsidR="00155C56" w:rsidRPr="00DC62A0" w:rsidRDefault="00155C56" w:rsidP="00FE5C44">
            <w:r w:rsidRPr="00DC62A0">
              <w:t>Mean</w:t>
            </w:r>
          </w:p>
        </w:tc>
        <w:tc>
          <w:tcPr>
            <w:tcW w:w="0" w:type="auto"/>
            <w:shd w:val="clear" w:color="auto" w:fill="D9D9D9" w:themeFill="background1" w:themeFillShade="D9"/>
          </w:tcPr>
          <w:p w14:paraId="456BF0C1" w14:textId="77777777" w:rsidR="00155C56" w:rsidRPr="00DC62A0" w:rsidRDefault="00155C56" w:rsidP="00FE5C44">
            <w:r w:rsidRPr="00DC62A0">
              <w:t>SD</w:t>
            </w:r>
          </w:p>
        </w:tc>
        <w:tc>
          <w:tcPr>
            <w:tcW w:w="0" w:type="auto"/>
            <w:shd w:val="clear" w:color="auto" w:fill="D9D9D9" w:themeFill="background1" w:themeFillShade="D9"/>
          </w:tcPr>
          <w:p w14:paraId="5900077C" w14:textId="77777777" w:rsidR="00155C56" w:rsidRPr="00DC62A0" w:rsidRDefault="00155C56" w:rsidP="00FE5C44">
            <w:r w:rsidRPr="00DC62A0">
              <w:t>Min.</w:t>
            </w:r>
          </w:p>
        </w:tc>
        <w:tc>
          <w:tcPr>
            <w:tcW w:w="0" w:type="auto"/>
            <w:shd w:val="clear" w:color="auto" w:fill="D9D9D9" w:themeFill="background1" w:themeFillShade="D9"/>
          </w:tcPr>
          <w:p w14:paraId="712C050C" w14:textId="77777777" w:rsidR="00155C56" w:rsidRPr="00DC62A0" w:rsidRDefault="00155C56" w:rsidP="00FE5C44">
            <w:r w:rsidRPr="00DC62A0">
              <w:t>Max.</w:t>
            </w:r>
          </w:p>
        </w:tc>
      </w:tr>
      <w:tr w:rsidR="00155C56" w:rsidRPr="00DC62A0" w14:paraId="2D2EAE50" w14:textId="77777777" w:rsidTr="00FE5C44">
        <w:trPr>
          <w:trHeight w:val="454"/>
        </w:trPr>
        <w:tc>
          <w:tcPr>
            <w:tcW w:w="0" w:type="auto"/>
            <w:shd w:val="clear" w:color="auto" w:fill="auto"/>
          </w:tcPr>
          <w:p w14:paraId="3730F8E4" w14:textId="77777777" w:rsidR="00155C56" w:rsidRPr="00DC62A0" w:rsidRDefault="00155C56" w:rsidP="00FE5C44">
            <w:r w:rsidRPr="00DC62A0">
              <w:t>Pre-test</w:t>
            </w:r>
          </w:p>
        </w:tc>
        <w:tc>
          <w:tcPr>
            <w:tcW w:w="0" w:type="auto"/>
            <w:shd w:val="clear" w:color="auto" w:fill="auto"/>
          </w:tcPr>
          <w:p w14:paraId="6CC9031D" w14:textId="77777777" w:rsidR="00155C56" w:rsidRPr="00DC62A0" w:rsidRDefault="00155C56" w:rsidP="00FE5C44">
            <w:r w:rsidRPr="00DC62A0">
              <w:t>112</w:t>
            </w:r>
          </w:p>
        </w:tc>
        <w:tc>
          <w:tcPr>
            <w:tcW w:w="0" w:type="auto"/>
            <w:shd w:val="clear" w:color="auto" w:fill="auto"/>
          </w:tcPr>
          <w:p w14:paraId="768969E4" w14:textId="77777777" w:rsidR="00155C56" w:rsidRPr="00DC62A0" w:rsidRDefault="00155C56" w:rsidP="00FE5C44">
            <w:r w:rsidRPr="00DC62A0">
              <w:t>1,04</w:t>
            </w:r>
          </w:p>
        </w:tc>
        <w:tc>
          <w:tcPr>
            <w:tcW w:w="0" w:type="auto"/>
            <w:shd w:val="clear" w:color="auto" w:fill="auto"/>
          </w:tcPr>
          <w:p w14:paraId="10B0417F" w14:textId="77777777" w:rsidR="00155C56" w:rsidRPr="00DC62A0" w:rsidRDefault="00155C56" w:rsidP="00FE5C44">
            <w:r w:rsidRPr="00DC62A0">
              <w:t>1,165</w:t>
            </w:r>
          </w:p>
        </w:tc>
        <w:tc>
          <w:tcPr>
            <w:tcW w:w="0" w:type="auto"/>
            <w:shd w:val="clear" w:color="auto" w:fill="auto"/>
          </w:tcPr>
          <w:p w14:paraId="54CD6DBE" w14:textId="77777777" w:rsidR="00155C56" w:rsidRPr="00DC62A0" w:rsidRDefault="00155C56" w:rsidP="00FE5C44">
            <w:r w:rsidRPr="00DC62A0">
              <w:t>0</w:t>
            </w:r>
          </w:p>
        </w:tc>
        <w:tc>
          <w:tcPr>
            <w:tcW w:w="0" w:type="auto"/>
            <w:shd w:val="clear" w:color="auto" w:fill="auto"/>
          </w:tcPr>
          <w:p w14:paraId="67F7EC3C" w14:textId="77777777" w:rsidR="00155C56" w:rsidRPr="00DC62A0" w:rsidRDefault="00155C56" w:rsidP="00FE5C44">
            <w:r w:rsidRPr="00DC62A0">
              <w:t>4</w:t>
            </w:r>
          </w:p>
        </w:tc>
      </w:tr>
      <w:tr w:rsidR="00155C56" w:rsidRPr="00DC62A0" w14:paraId="433EE6C5" w14:textId="77777777" w:rsidTr="00FE5C44">
        <w:trPr>
          <w:trHeight w:val="454"/>
        </w:trPr>
        <w:tc>
          <w:tcPr>
            <w:tcW w:w="0" w:type="auto"/>
            <w:shd w:val="clear" w:color="auto" w:fill="auto"/>
          </w:tcPr>
          <w:p w14:paraId="72E1F7D8" w14:textId="77777777" w:rsidR="00155C56" w:rsidRPr="00DC62A0" w:rsidRDefault="00155C56" w:rsidP="00FE5C44">
            <w:r w:rsidRPr="00DC62A0">
              <w:t>Sub-test</w:t>
            </w:r>
          </w:p>
        </w:tc>
        <w:tc>
          <w:tcPr>
            <w:tcW w:w="0" w:type="auto"/>
            <w:shd w:val="clear" w:color="auto" w:fill="auto"/>
          </w:tcPr>
          <w:p w14:paraId="61EE0FEE" w14:textId="77777777" w:rsidR="00155C56" w:rsidRPr="00DC62A0" w:rsidRDefault="00155C56" w:rsidP="00FE5C44">
            <w:r w:rsidRPr="00DC62A0">
              <w:t>112</w:t>
            </w:r>
          </w:p>
        </w:tc>
        <w:tc>
          <w:tcPr>
            <w:tcW w:w="0" w:type="auto"/>
            <w:shd w:val="clear" w:color="auto" w:fill="auto"/>
          </w:tcPr>
          <w:p w14:paraId="04E5FE0C" w14:textId="77777777" w:rsidR="00155C56" w:rsidRPr="00DC62A0" w:rsidRDefault="00155C56" w:rsidP="00FE5C44">
            <w:r w:rsidRPr="00DC62A0">
              <w:t>2,47</w:t>
            </w:r>
          </w:p>
        </w:tc>
        <w:tc>
          <w:tcPr>
            <w:tcW w:w="0" w:type="auto"/>
            <w:shd w:val="clear" w:color="auto" w:fill="auto"/>
          </w:tcPr>
          <w:p w14:paraId="064FCB02" w14:textId="77777777" w:rsidR="00155C56" w:rsidRPr="00DC62A0" w:rsidRDefault="00155C56" w:rsidP="00FE5C44">
            <w:r w:rsidRPr="00DC62A0">
              <w:t>1,322</w:t>
            </w:r>
          </w:p>
        </w:tc>
        <w:tc>
          <w:tcPr>
            <w:tcW w:w="0" w:type="auto"/>
            <w:shd w:val="clear" w:color="auto" w:fill="auto"/>
          </w:tcPr>
          <w:p w14:paraId="3E2BCB7E" w14:textId="77777777" w:rsidR="00155C56" w:rsidRPr="00DC62A0" w:rsidRDefault="00155C56" w:rsidP="00FE5C44">
            <w:r w:rsidRPr="00DC62A0">
              <w:t>0</w:t>
            </w:r>
          </w:p>
        </w:tc>
        <w:tc>
          <w:tcPr>
            <w:tcW w:w="0" w:type="auto"/>
            <w:shd w:val="clear" w:color="auto" w:fill="auto"/>
          </w:tcPr>
          <w:p w14:paraId="312A6A5B" w14:textId="77777777" w:rsidR="00155C56" w:rsidRPr="00DC62A0" w:rsidRDefault="00155C56" w:rsidP="00FE5C44">
            <w:r w:rsidRPr="00DC62A0">
              <w:t>6</w:t>
            </w:r>
          </w:p>
        </w:tc>
      </w:tr>
      <w:tr w:rsidR="00155C56" w:rsidRPr="00DC62A0" w14:paraId="2E0C8F1C" w14:textId="77777777" w:rsidTr="00FE5C44">
        <w:trPr>
          <w:trHeight w:val="454"/>
        </w:trPr>
        <w:tc>
          <w:tcPr>
            <w:tcW w:w="0" w:type="auto"/>
            <w:shd w:val="clear" w:color="auto" w:fill="auto"/>
          </w:tcPr>
          <w:p w14:paraId="5F27F8DE" w14:textId="77777777" w:rsidR="00155C56" w:rsidRPr="00DC62A0" w:rsidRDefault="00155C56" w:rsidP="00FE5C44">
            <w:r w:rsidRPr="00DC62A0">
              <w:t>Post-test</w:t>
            </w:r>
          </w:p>
        </w:tc>
        <w:tc>
          <w:tcPr>
            <w:tcW w:w="0" w:type="auto"/>
            <w:shd w:val="clear" w:color="auto" w:fill="auto"/>
          </w:tcPr>
          <w:p w14:paraId="1B834CAB" w14:textId="77777777" w:rsidR="00155C56" w:rsidRPr="00DC62A0" w:rsidRDefault="00155C56" w:rsidP="00FE5C44">
            <w:r w:rsidRPr="00DC62A0">
              <w:t>112</w:t>
            </w:r>
          </w:p>
        </w:tc>
        <w:tc>
          <w:tcPr>
            <w:tcW w:w="0" w:type="auto"/>
            <w:shd w:val="clear" w:color="auto" w:fill="auto"/>
          </w:tcPr>
          <w:p w14:paraId="172104CE" w14:textId="77777777" w:rsidR="00155C56" w:rsidRPr="00DC62A0" w:rsidRDefault="00155C56" w:rsidP="00FE5C44">
            <w:r w:rsidRPr="00DC62A0">
              <w:t>3,28</w:t>
            </w:r>
          </w:p>
        </w:tc>
        <w:tc>
          <w:tcPr>
            <w:tcW w:w="0" w:type="auto"/>
            <w:shd w:val="clear" w:color="auto" w:fill="auto"/>
          </w:tcPr>
          <w:p w14:paraId="68C20DA7" w14:textId="77777777" w:rsidR="00155C56" w:rsidRPr="00DC62A0" w:rsidRDefault="00155C56" w:rsidP="00FE5C44">
            <w:r w:rsidRPr="00DC62A0">
              <w:t>1,623</w:t>
            </w:r>
          </w:p>
        </w:tc>
        <w:tc>
          <w:tcPr>
            <w:tcW w:w="0" w:type="auto"/>
            <w:shd w:val="clear" w:color="auto" w:fill="auto"/>
          </w:tcPr>
          <w:p w14:paraId="7792B00F" w14:textId="77777777" w:rsidR="00155C56" w:rsidRPr="00DC62A0" w:rsidRDefault="00155C56" w:rsidP="00FE5C44">
            <w:r w:rsidRPr="00DC62A0">
              <w:t>0</w:t>
            </w:r>
          </w:p>
        </w:tc>
        <w:tc>
          <w:tcPr>
            <w:tcW w:w="0" w:type="auto"/>
            <w:shd w:val="clear" w:color="auto" w:fill="auto"/>
          </w:tcPr>
          <w:p w14:paraId="51791AF8" w14:textId="77777777" w:rsidR="00155C56" w:rsidRPr="00DC62A0" w:rsidRDefault="00155C56" w:rsidP="00FE5C44">
            <w:r w:rsidRPr="00DC62A0">
              <w:t>6</w:t>
            </w:r>
          </w:p>
        </w:tc>
      </w:tr>
    </w:tbl>
    <w:p w14:paraId="0C6E6BCE" w14:textId="163A898B" w:rsidR="00155C56" w:rsidRDefault="00155C56" w:rsidP="00FE5C44"/>
    <w:p w14:paraId="5EBB4421" w14:textId="1C064C8A" w:rsidR="006C08A4" w:rsidRDefault="006C08A4" w:rsidP="00FE5C44"/>
    <w:p w14:paraId="38B30F98" w14:textId="4869FC4E" w:rsidR="006C08A4" w:rsidRDefault="006C08A4" w:rsidP="00FE5C44"/>
    <w:p w14:paraId="25011E1F" w14:textId="36ED4050" w:rsidR="006C08A4" w:rsidRDefault="006C08A4" w:rsidP="00FE5C44"/>
    <w:p w14:paraId="46C9079E" w14:textId="77777777" w:rsidR="006C08A4" w:rsidRPr="00DC62A0" w:rsidRDefault="006C08A4" w:rsidP="00FE5C44"/>
    <w:p w14:paraId="032A77D6" w14:textId="65943CBF" w:rsidR="006C08A4" w:rsidRDefault="00155C56" w:rsidP="00FE5C44">
      <w:r w:rsidRPr="00DC62A0">
        <w:t>Despite the intervention proved successful, there were still a considerable number of students who reached the level only partially or did not reach it at all see Figure 4.</w:t>
      </w:r>
    </w:p>
    <w:p w14:paraId="18DCB18D" w14:textId="77777777" w:rsidR="00155C56" w:rsidRPr="00DC62A0" w:rsidRDefault="006C08A4" w:rsidP="00FE5C44">
      <w:r w:rsidRPr="00DC62A0">
        <w:rPr>
          <w:noProof/>
        </w:rPr>
        <w:lastRenderedPageBreak/>
        <mc:AlternateContent>
          <mc:Choice Requires="wps">
            <w:drawing>
              <wp:anchor distT="0" distB="0" distL="114300" distR="114300" simplePos="0" relativeHeight="251676672" behindDoc="0" locked="0" layoutInCell="1" allowOverlap="1" wp14:anchorId="675EB6EB" wp14:editId="3DAC0AF5">
                <wp:simplePos x="0" y="0"/>
                <wp:positionH relativeFrom="margin">
                  <wp:posOffset>-635</wp:posOffset>
                </wp:positionH>
                <wp:positionV relativeFrom="paragraph">
                  <wp:posOffset>2620645</wp:posOffset>
                </wp:positionV>
                <wp:extent cx="2781300" cy="467995"/>
                <wp:effectExtent l="0" t="0" r="0" b="8255"/>
                <wp:wrapTopAndBottom/>
                <wp:docPr id="26" name="Textové pole 26"/>
                <wp:cNvGraphicFramePr/>
                <a:graphic xmlns:a="http://schemas.openxmlformats.org/drawingml/2006/main">
                  <a:graphicData uri="http://schemas.microsoft.com/office/word/2010/wordprocessingShape">
                    <wps:wsp>
                      <wps:cNvSpPr txBox="1"/>
                      <wps:spPr>
                        <a:xfrm>
                          <a:off x="0" y="0"/>
                          <a:ext cx="2781300" cy="467995"/>
                        </a:xfrm>
                        <a:prstGeom prst="rect">
                          <a:avLst/>
                        </a:prstGeom>
                        <a:solidFill>
                          <a:prstClr val="white"/>
                        </a:solidFill>
                        <a:ln>
                          <a:noFill/>
                        </a:ln>
                      </wps:spPr>
                      <wps:txbx>
                        <w:txbxContent>
                          <w:p w14:paraId="18DC7BF3" w14:textId="61B8B301" w:rsidR="006C08A4" w:rsidRPr="00A85DCB" w:rsidRDefault="006C08A4" w:rsidP="006C08A4">
                            <w:pPr>
                              <w:ind w:firstLine="0"/>
                            </w:pPr>
                            <w:r w:rsidRPr="00A85DCB">
                              <w:t xml:space="preserve">Figure </w:t>
                            </w:r>
                            <w:r>
                              <w:fldChar w:fldCharType="begin"/>
                            </w:r>
                            <w:r>
                              <w:instrText xml:space="preserve"> SEQ Figure \* ARABIC </w:instrText>
                            </w:r>
                            <w:r>
                              <w:fldChar w:fldCharType="separate"/>
                            </w:r>
                            <w:r w:rsidR="002526FB">
                              <w:rPr>
                                <w:noProof/>
                              </w:rPr>
                              <w:t>4</w:t>
                            </w:r>
                            <w:r>
                              <w:fldChar w:fldCharType="end"/>
                            </w:r>
                            <w:r w:rsidRPr="00A85DCB">
                              <w:t xml:space="preserve"> Students' scores in the three tests according to the success group</w:t>
                            </w:r>
                            <w:r w:rsidR="00961607">
                              <w:t xml:space="preserve"> (N = 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EB6EB" id="Textové pole 26" o:spid="_x0000_s1029" type="#_x0000_t202" style="position:absolute;left:0;text-align:left;margin-left:-.05pt;margin-top:206.35pt;width:219pt;height:36.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" stroked="f">
                <v:textbox inset="0,0,0,0">
                  <w:txbxContent>
                    <w:p w14:paraId="18DC7BF3" w14:textId="61B8B301" w:rsidR="006C08A4" w:rsidRPr="00A85DCB" w:rsidRDefault="006C08A4" w:rsidP="006C08A4">
                      <w:pPr>
                        <w:ind w:firstLine="0"/>
                      </w:pPr>
                      <w:r w:rsidRPr="00A85DCB">
                        <w:t xml:space="preserve">Figure </w:t>
                      </w:r>
                      <w:r>
                        <w:fldChar w:fldCharType="begin"/>
                      </w:r>
                      <w:r>
                        <w:instrText xml:space="preserve"> SEQ Figure \* ARABIC </w:instrText>
                      </w:r>
                      <w:r>
                        <w:fldChar w:fldCharType="separate"/>
                      </w:r>
                      <w:r w:rsidR="002526FB">
                        <w:rPr>
                          <w:noProof/>
                        </w:rPr>
                        <w:t>4</w:t>
                      </w:r>
                      <w:r>
                        <w:fldChar w:fldCharType="end"/>
                      </w:r>
                      <w:r w:rsidRPr="00A85DCB">
                        <w:t xml:space="preserve"> Students' scores in the three tests according to the success group</w:t>
                      </w:r>
                      <w:r w:rsidR="00961607">
                        <w:t xml:space="preserve"> (N = 112)</w:t>
                      </w:r>
                    </w:p>
                  </w:txbxContent>
                </v:textbox>
                <w10:wrap type="topAndBottom" anchorx="margin"/>
              </v:shape>
            </w:pict>
          </mc:Fallback>
        </mc:AlternateContent>
      </w:r>
      <w:r w:rsidRPr="00DC62A0">
        <w:rPr>
          <w:noProof/>
          <w:lang w:val="cs-CZ" w:eastAsia="cs-CZ"/>
        </w:rPr>
        <w:drawing>
          <wp:anchor distT="0" distB="0" distL="114300" distR="114300" simplePos="0" relativeHeight="251675648" behindDoc="0" locked="0" layoutInCell="1" allowOverlap="1" wp14:anchorId="5882A20B" wp14:editId="283BA705">
            <wp:simplePos x="0" y="0"/>
            <wp:positionH relativeFrom="margin">
              <wp:posOffset>0</wp:posOffset>
            </wp:positionH>
            <wp:positionV relativeFrom="paragraph">
              <wp:posOffset>266700</wp:posOffset>
            </wp:positionV>
            <wp:extent cx="2880000" cy="2357755"/>
            <wp:effectExtent l="0" t="0" r="0" b="4445"/>
            <wp:wrapTopAndBottom/>
            <wp:docPr id="25" name="Graf 25">
              <a:extLst xmlns:a="http://schemas.openxmlformats.org/drawingml/2006/main">
                <a:ext uri="{FF2B5EF4-FFF2-40B4-BE49-F238E27FC236}">
                  <a16:creationId xmlns:a16="http://schemas.microsoft.com/office/drawing/2014/main" id="{7645F43B-5366-6E47-87E8-3F271F42EF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F43F07C" w14:textId="77777777" w:rsidR="00155C56" w:rsidRPr="00DC62A0" w:rsidRDefault="00155C56" w:rsidP="00FE5C44">
      <w:pPr>
        <w:pStyle w:val="Nadpis2"/>
        <w:numPr>
          <w:ilvl w:val="1"/>
          <w:numId w:val="20"/>
        </w:numPr>
        <w:rPr>
          <w:noProof/>
        </w:rPr>
      </w:pPr>
      <w:r w:rsidRPr="00DC62A0">
        <w:rPr>
          <w:noProof/>
        </w:rPr>
        <w:t>Pre-test results</w:t>
      </w:r>
    </w:p>
    <w:p w14:paraId="3C6D912D" w14:textId="77777777" w:rsidR="00155C56" w:rsidRPr="00DC62A0" w:rsidRDefault="00155C56" w:rsidP="00FE5C44">
      <w:pPr>
        <w:rPr>
          <w:noProof/>
        </w:rPr>
      </w:pPr>
      <w:r w:rsidRPr="00DC62A0">
        <w:rPr>
          <w:noProof/>
        </w:rPr>
        <w:t>The students’ results in the pre-test are shown in Figure 5. Almost half of them did not receive a single point and were considered unsuccessful. This is in contrast with their school grade (see Figure 3), as these suggest more than a half of the students were successful in chemistry.</w:t>
      </w:r>
    </w:p>
    <w:p w14:paraId="5FADAA69" w14:textId="12E118A9" w:rsidR="00155C56" w:rsidRPr="00DC62A0" w:rsidRDefault="00155C56" w:rsidP="00FE5C44">
      <w:pPr>
        <w:rPr>
          <w:noProof/>
        </w:rPr>
      </w:pPr>
      <w:r w:rsidRPr="00DC62A0">
        <w:rPr>
          <w:noProof/>
        </w:rPr>
        <mc:AlternateContent>
          <mc:Choice Requires="wps">
            <w:drawing>
              <wp:anchor distT="0" distB="0" distL="114300" distR="114300" simplePos="0" relativeHeight="251666432" behindDoc="0" locked="0" layoutInCell="1" allowOverlap="1" wp14:anchorId="6FA220BA" wp14:editId="39CE7822">
                <wp:simplePos x="0" y="0"/>
                <wp:positionH relativeFrom="column">
                  <wp:align>left</wp:align>
                </wp:positionH>
                <wp:positionV relativeFrom="paragraph">
                  <wp:posOffset>2138045</wp:posOffset>
                </wp:positionV>
                <wp:extent cx="3168000" cy="219600"/>
                <wp:effectExtent l="0" t="0" r="0" b="0"/>
                <wp:wrapTopAndBottom/>
                <wp:docPr id="28" name="Textové pole 28"/>
                <wp:cNvGraphicFramePr/>
                <a:graphic xmlns:a="http://schemas.openxmlformats.org/drawingml/2006/main">
                  <a:graphicData uri="http://schemas.microsoft.com/office/word/2010/wordprocessingShape">
                    <wps:wsp>
                      <wps:cNvSpPr txBox="1"/>
                      <wps:spPr>
                        <a:xfrm>
                          <a:off x="0" y="0"/>
                          <a:ext cx="3168000" cy="219600"/>
                        </a:xfrm>
                        <a:prstGeom prst="rect">
                          <a:avLst/>
                        </a:prstGeom>
                        <a:solidFill>
                          <a:prstClr val="white"/>
                        </a:solidFill>
                        <a:ln>
                          <a:noFill/>
                        </a:ln>
                      </wps:spPr>
                      <wps:txbx>
                        <w:txbxContent>
                          <w:p w14:paraId="747A5F24" w14:textId="73CF54B9" w:rsidR="00FE5C44" w:rsidRPr="00A419F6" w:rsidRDefault="00FE5C44" w:rsidP="006C08A4">
                            <w:pPr>
                              <w:ind w:firstLine="0"/>
                              <w:rPr>
                                <w:rFonts w:ascii="Bookman Old Style" w:eastAsia="Times New Roman" w:hAnsi="Bookman Old Style"/>
                                <w:noProof/>
                                <w:sz w:val="20"/>
                                <w:szCs w:val="20"/>
                              </w:rPr>
                            </w:pPr>
                            <w:r>
                              <w:t xml:space="preserve">Figure </w:t>
                            </w:r>
                            <w:r>
                              <w:fldChar w:fldCharType="begin"/>
                            </w:r>
                            <w:r>
                              <w:instrText xml:space="preserve"> SEQ Figure \* ARABIC </w:instrText>
                            </w:r>
                            <w:r>
                              <w:fldChar w:fldCharType="separate"/>
                            </w:r>
                            <w:r w:rsidR="002526FB">
                              <w:rPr>
                                <w:noProof/>
                              </w:rPr>
                              <w:t>5</w:t>
                            </w:r>
                            <w:r>
                              <w:rPr>
                                <w:noProof/>
                              </w:rPr>
                              <w:fldChar w:fldCharType="end"/>
                            </w:r>
                            <w:r>
                              <w:t xml:space="preserve"> Students' success in the pre-test</w:t>
                            </w:r>
                            <w:r w:rsidR="00961607">
                              <w:t xml:space="preserve"> (N = 139)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A220BA" id="Textové pole 28" o:spid="_x0000_s1030" type="#_x0000_t202" style="position:absolute;left:0;text-align:left;margin-left:0;margin-top:168.35pt;width:249.45pt;height:17.3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" stroked="f">
                <v:textbox style="mso-fit-shape-to-text:t" inset="0,0,0,0">
                  <w:txbxContent>
                    <w:p w14:paraId="747A5F24" w14:textId="73CF54B9" w:rsidR="00FE5C44" w:rsidRPr="00A419F6" w:rsidRDefault="00FE5C44" w:rsidP="006C08A4">
                      <w:pPr>
                        <w:ind w:firstLine="0"/>
                        <w:rPr>
                          <w:rFonts w:ascii="Bookman Old Style" w:eastAsia="Times New Roman" w:hAnsi="Bookman Old Style"/>
                          <w:noProof/>
                          <w:sz w:val="20"/>
                          <w:szCs w:val="20"/>
                        </w:rPr>
                      </w:pPr>
                      <w:r>
                        <w:t xml:space="preserve">Figure </w:t>
                      </w:r>
                      <w:r>
                        <w:fldChar w:fldCharType="begin"/>
                      </w:r>
                      <w:r>
                        <w:instrText xml:space="preserve"> SEQ Figure \* ARABIC </w:instrText>
                      </w:r>
                      <w:r>
                        <w:fldChar w:fldCharType="separate"/>
                      </w:r>
                      <w:r w:rsidR="002526FB">
                        <w:rPr>
                          <w:noProof/>
                        </w:rPr>
                        <w:t>5</w:t>
                      </w:r>
                      <w:r>
                        <w:rPr>
                          <w:noProof/>
                        </w:rPr>
                        <w:fldChar w:fldCharType="end"/>
                      </w:r>
                      <w:r>
                        <w:t xml:space="preserve"> Students' success in the pre-test</w:t>
                      </w:r>
                      <w:r w:rsidR="00961607">
                        <w:t xml:space="preserve"> (N = 139)</w:t>
                      </w:r>
                    </w:p>
                  </w:txbxContent>
                </v:textbox>
                <w10:wrap type="topAndBottom"/>
              </v:shape>
            </w:pict>
          </mc:Fallback>
        </mc:AlternateContent>
      </w:r>
      <w:r w:rsidRPr="00DC62A0">
        <w:rPr>
          <w:noProof/>
          <w:lang w:val="cs-CZ" w:eastAsia="cs-CZ"/>
        </w:rPr>
        <w:drawing>
          <wp:anchor distT="0" distB="0" distL="114300" distR="114300" simplePos="0" relativeHeight="251665408" behindDoc="0" locked="0" layoutInCell="1" allowOverlap="1" wp14:anchorId="40E37968" wp14:editId="65F734FF">
            <wp:simplePos x="0" y="0"/>
            <wp:positionH relativeFrom="column">
              <wp:align>left</wp:align>
            </wp:positionH>
            <wp:positionV relativeFrom="paragraph">
              <wp:posOffset>167640</wp:posOffset>
            </wp:positionV>
            <wp:extent cx="2880000" cy="1900800"/>
            <wp:effectExtent l="0" t="0" r="0" b="4445"/>
            <wp:wrapTopAndBottom/>
            <wp:docPr id="24" name="Graf 24">
              <a:extLst xmlns:a="http://schemas.openxmlformats.org/drawingml/2006/main">
                <a:ext uri="{FF2B5EF4-FFF2-40B4-BE49-F238E27FC236}">
                  <a16:creationId xmlns:a16="http://schemas.microsoft.com/office/drawing/2014/main" id="{A75836B0-2E00-422A-8744-E08969D65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DC62A0">
        <w:rPr>
          <w:noProof/>
        </w:rPr>
        <w:t xml:space="preserve">The pre-test results showed that the lower-secondary chemistry objectives were not met by most of the students. 85% of the students did not manage to identify correct elements according to their description in the text. They did not prove their understanding of the element groups within the table, their ability to identify metals, non-metals and metalloids and only 14% proved their knowledge and skills in this respect. Considering the students knowledge regarding factors influencing chemistry reaction rate was concerned (task 2), 65,5% failed to match a particular procedure to the graph of the reaction rate, 28,5% managed partially (matched the procedures correctly without any or correct explanation) and only 5% solved the task correctly. </w:t>
      </w:r>
      <w:r w:rsidRPr="00DC62A0">
        <w:rPr>
          <w:noProof/>
        </w:rPr>
        <w:lastRenderedPageBreak/>
        <w:t>As far as the third task – applying compounds’ physical property data in the tables – was concerned, 83% of the students failed to infer the properties, i.e. apply two sources of information to identify the state of the given compounds. Only 16% of the students managed this task.</w:t>
      </w:r>
    </w:p>
    <w:p w14:paraId="246F555D" w14:textId="1A6AAF9E" w:rsidR="00155C56" w:rsidRPr="00DC62A0" w:rsidRDefault="00155C56" w:rsidP="00FE5C44">
      <w:pPr>
        <w:rPr>
          <w:noProof/>
        </w:rPr>
      </w:pPr>
      <w:r w:rsidRPr="00DC62A0">
        <w:rPr>
          <w:noProof/>
        </w:rPr>
        <w:t>This was an important finding for the teacher’s attitude towards grading. The fact no student was considered successful (reached 5 or 6 points) in the test, suggests that the tested students had not reached the curricular objective for lower-secondary chemistry education. This result supports the findings by the Czech School Inspectorate</w:t>
      </w:r>
      <w:r w:rsidRPr="007B4CF6">
        <w:rPr>
          <w:noProof/>
          <w:vertAlign w:val="superscript"/>
        </w:rPr>
        <w:t>45</w:t>
      </w:r>
      <w:r w:rsidRPr="00DC62A0">
        <w:rPr>
          <w:noProof/>
        </w:rPr>
        <w:t xml:space="preserve">: the students do not possess the knowledge and skills required in this tasks (oriented at the end of compulsory education). The research shows that these results are similar in other school subjects too. </w:t>
      </w:r>
      <w:bookmarkStart w:id="4" w:name="_Hlk51503851"/>
      <w:r w:rsidRPr="00DC62A0">
        <w:rPr>
          <w:noProof/>
        </w:rPr>
        <w:t>Also, these students’ low motivation to handle unfamiliar, more complex and challenging tasks proved to be an intervening factor as many of them gave up solving the task when they first encountered a problem. Nevertheless, this form of teaching, when some information is given and students need to apply it to a new situation, meets the contemporary (chemistry) teaching paradigm</w:t>
      </w:r>
      <w:r w:rsidR="006D1D1E">
        <w:rPr>
          <w:noProof/>
        </w:rPr>
        <w:t>.</w:t>
      </w:r>
      <w:r w:rsidRPr="007B4CF6">
        <w:rPr>
          <w:noProof/>
          <w:vertAlign w:val="superscript"/>
        </w:rPr>
        <w:t>42, 46</w:t>
      </w:r>
    </w:p>
    <w:bookmarkEnd w:id="4"/>
    <w:p w14:paraId="5E2A94BE" w14:textId="72071A57" w:rsidR="00155C56" w:rsidRDefault="00155C56" w:rsidP="00FE5C44">
      <w:r w:rsidRPr="00DC62A0">
        <w:t>There are several possible explanations for this result. First, the curricular objectives as translated to the tasks are too demanding. This would mean the piloting</w:t>
      </w:r>
      <w:r w:rsidRPr="007B4CF6">
        <w:rPr>
          <w:noProof/>
          <w:vertAlign w:val="superscript"/>
        </w:rPr>
        <w:t>21, 34</w:t>
      </w:r>
      <w:r w:rsidRPr="00DC62A0">
        <w:t xml:space="preserve"> was not performed thoroughly enough. Second, non-chemical vocational school students’ attitudes are already formed during lower-secondary school attendance with chemistry being not a popular subject </w:t>
      </w:r>
      <w:r>
        <w:rPr>
          <w:noProof/>
        </w:rPr>
        <w:t>cf.</w:t>
      </w:r>
      <w:r w:rsidRPr="007B4CF6">
        <w:rPr>
          <w:noProof/>
          <w:vertAlign w:val="superscript"/>
        </w:rPr>
        <w:t>47</w:t>
      </w:r>
      <w:r w:rsidRPr="00DC62A0">
        <w:t>, which is reflected not only in their choice of study program, but also in the effort they are willing to put into learning chemistry</w:t>
      </w:r>
      <w:r w:rsidR="00C44384">
        <w:t>.</w:t>
      </w:r>
      <w:r w:rsidRPr="00DC64A1">
        <w:rPr>
          <w:noProof/>
          <w:vertAlign w:val="superscript"/>
        </w:rPr>
        <w:t>9</w:t>
      </w:r>
      <w:r w:rsidRPr="00DC62A0">
        <w:t xml:space="preserve"> If proven true, this would put PISA and other international tests into serious question. Third, the tested curricular objectives are usually tested right after a topic is finished. In this case, it has been more than half a year (for some topics even longer) since the students covered the topics, therefore the students could have forgotten most of it and failed because of the lack of the necessary content knowledge.</w:t>
      </w:r>
    </w:p>
    <w:p w14:paraId="08222DFF" w14:textId="77777777" w:rsidR="006C08A4" w:rsidRPr="00DC62A0" w:rsidRDefault="006C08A4" w:rsidP="00FE5C44"/>
    <w:p w14:paraId="22993390" w14:textId="77777777" w:rsidR="00155C56" w:rsidRPr="00361DBB" w:rsidRDefault="00155C56" w:rsidP="00FE5C44">
      <w:pPr>
        <w:pStyle w:val="Nadpis2"/>
      </w:pPr>
      <w:r w:rsidRPr="00361DBB">
        <w:t>Sub-test</w:t>
      </w:r>
    </w:p>
    <w:p w14:paraId="6A5BDC6C" w14:textId="419B2D7D" w:rsidR="00155C56" w:rsidRDefault="00155C56" w:rsidP="00FE5C44">
      <w:pPr>
        <w:rPr>
          <w:noProof/>
        </w:rPr>
      </w:pPr>
      <w:r w:rsidRPr="00DC62A0">
        <w:rPr>
          <w:noProof/>
        </w:rPr>
        <w:t xml:space="preserve">After two months of the action (intervention), a sub-test was carried out. Again, three problem tasks of comparable difficulty </w:t>
      </w:r>
      <w:r>
        <w:rPr>
          <w:noProof/>
        </w:rPr>
        <w:t>see</w:t>
      </w:r>
      <w:r w:rsidRPr="007B4CF6">
        <w:rPr>
          <w:noProof/>
          <w:vertAlign w:val="superscript"/>
        </w:rPr>
        <w:t>33</w:t>
      </w:r>
      <w:r w:rsidRPr="00DC62A0">
        <w:rPr>
          <w:noProof/>
        </w:rPr>
        <w:t xml:space="preserve"> to the pre-test were used. The students could achieve a maximum of six points (see Figure 6).</w:t>
      </w:r>
    </w:p>
    <w:p w14:paraId="25E4F08F" w14:textId="69173D45" w:rsidR="006C08A4" w:rsidRPr="00DC62A0" w:rsidRDefault="006C08A4" w:rsidP="006C08A4">
      <w:r w:rsidRPr="00DC62A0">
        <w:rPr>
          <w:noProof/>
        </w:rPr>
        <w:t xml:space="preserve">The intervention seems to have a positive effect on the students’ results. The number of students with 0 or 1 point diminished rapidly, causing the 33% of students  from the unsuccessful to move into partially successful group. There were also 6 students in the successful group (two students who solved the tasks completely correctly (6 points) and another six with five points in total. A statistically significant difference </w:t>
      </w:r>
      <w:r w:rsidRPr="00DC62A0">
        <w:t xml:space="preserve">(p </w:t>
      </w:r>
      <w:r w:rsidR="00C44384">
        <w:t>&lt;</w:t>
      </w:r>
      <w:r w:rsidRPr="00DC62A0">
        <w:t xml:space="preserve"> .00</w:t>
      </w:r>
      <w:r w:rsidR="00C44384">
        <w:t>1</w:t>
      </w:r>
      <w:r w:rsidRPr="00DC62A0">
        <w:t xml:space="preserve">) </w:t>
      </w:r>
      <w:r w:rsidRPr="00DC62A0">
        <w:rPr>
          <w:noProof/>
        </w:rPr>
        <w:t xml:space="preserve">was found between </w:t>
      </w:r>
      <w:r w:rsidRPr="00DC62A0">
        <w:rPr>
          <w:noProof/>
        </w:rPr>
        <w:lastRenderedPageBreak/>
        <w:t>the pre- and sub-test results</w:t>
      </w:r>
      <w:r w:rsidRPr="00DC62A0">
        <w:t xml:space="preserve">. </w:t>
      </w:r>
      <w:r w:rsidRPr="00DC62A0">
        <w:rPr>
          <w:noProof/>
        </w:rPr>
        <w:t xml:space="preserve">The comparative analysis results are presented in the Table 3. </w:t>
      </w:r>
      <w:r w:rsidRPr="00DC62A0">
        <w:t xml:space="preserve">The </w:t>
      </w:r>
      <w:r w:rsidRPr="00DC62A0">
        <w:rPr>
          <w:noProof/>
          <w:lang w:val="cs-CZ" w:eastAsia="cs-CZ"/>
        </w:rPr>
        <w:drawing>
          <wp:anchor distT="0" distB="0" distL="114300" distR="114300" simplePos="0" relativeHeight="251667456" behindDoc="0" locked="0" layoutInCell="1" allowOverlap="1" wp14:anchorId="577492D6" wp14:editId="3F08FC4C">
            <wp:simplePos x="0" y="0"/>
            <wp:positionH relativeFrom="margin">
              <wp:posOffset>38100</wp:posOffset>
            </wp:positionH>
            <wp:positionV relativeFrom="paragraph">
              <wp:posOffset>840105</wp:posOffset>
            </wp:positionV>
            <wp:extent cx="2880000" cy="1900555"/>
            <wp:effectExtent l="0" t="0" r="0" b="4445"/>
            <wp:wrapTopAndBottom/>
            <wp:docPr id="31" name="Graf 31">
              <a:extLst xmlns:a="http://schemas.openxmlformats.org/drawingml/2006/main">
                <a:ext uri="{FF2B5EF4-FFF2-40B4-BE49-F238E27FC236}">
                  <a16:creationId xmlns:a16="http://schemas.microsoft.com/office/drawing/2014/main" id="{EE89538F-9683-4EF0-9DAB-EC879E7C4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DC62A0">
        <w:rPr>
          <w:noProof/>
        </w:rPr>
        <mc:AlternateContent>
          <mc:Choice Requires="wps">
            <w:drawing>
              <wp:anchor distT="0" distB="0" distL="114300" distR="114300" simplePos="0" relativeHeight="251668480" behindDoc="0" locked="0" layoutInCell="1" allowOverlap="1" wp14:anchorId="509844EB" wp14:editId="318984B6">
                <wp:simplePos x="0" y="0"/>
                <wp:positionH relativeFrom="column">
                  <wp:posOffset>38100</wp:posOffset>
                </wp:positionH>
                <wp:positionV relativeFrom="paragraph">
                  <wp:posOffset>2740660</wp:posOffset>
                </wp:positionV>
                <wp:extent cx="3168015" cy="635"/>
                <wp:effectExtent l="0" t="0" r="0" b="0"/>
                <wp:wrapTopAndBottom/>
                <wp:docPr id="32" name="Textové pole 32"/>
                <wp:cNvGraphicFramePr/>
                <a:graphic xmlns:a="http://schemas.openxmlformats.org/drawingml/2006/main">
                  <a:graphicData uri="http://schemas.microsoft.com/office/word/2010/wordprocessingShape">
                    <wps:wsp>
                      <wps:cNvSpPr txBox="1"/>
                      <wps:spPr>
                        <a:xfrm>
                          <a:off x="0" y="0"/>
                          <a:ext cx="3168015" cy="635"/>
                        </a:xfrm>
                        <a:prstGeom prst="rect">
                          <a:avLst/>
                        </a:prstGeom>
                        <a:solidFill>
                          <a:prstClr val="white"/>
                        </a:solidFill>
                        <a:ln>
                          <a:noFill/>
                        </a:ln>
                      </wps:spPr>
                      <wps:txbx>
                        <w:txbxContent>
                          <w:p w14:paraId="57F09001" w14:textId="1543E59D" w:rsidR="00FE5C44" w:rsidRPr="008A5373" w:rsidRDefault="00FE5C44" w:rsidP="006C08A4">
                            <w:pPr>
                              <w:ind w:firstLine="0"/>
                            </w:pPr>
                            <w:r w:rsidRPr="008A5373">
                              <w:t xml:space="preserve">Figure </w:t>
                            </w:r>
                            <w:r>
                              <w:fldChar w:fldCharType="begin"/>
                            </w:r>
                            <w:r>
                              <w:instrText xml:space="preserve"> SEQ Figure \* ARABIC </w:instrText>
                            </w:r>
                            <w:r>
                              <w:fldChar w:fldCharType="separate"/>
                            </w:r>
                            <w:r w:rsidR="002526FB">
                              <w:rPr>
                                <w:noProof/>
                              </w:rPr>
                              <w:t>6</w:t>
                            </w:r>
                            <w:r>
                              <w:fldChar w:fldCharType="end"/>
                            </w:r>
                            <w:r w:rsidRPr="008A5373">
                              <w:t xml:space="preserve"> Students' success in the sub-test</w:t>
                            </w:r>
                            <w:r w:rsidR="00961607">
                              <w:t xml:space="preserve"> (N = 136)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9844EB" id="Textové pole 32" o:spid="_x0000_s1031" type="#_x0000_t202" style="position:absolute;left:0;text-align:left;margin-left:3pt;margin-top:215.8pt;width:249.4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" stroked="f">
                <v:textbox style="mso-fit-shape-to-text:t" inset="0,0,0,0">
                  <w:txbxContent>
                    <w:p w14:paraId="57F09001" w14:textId="1543E59D" w:rsidR="00FE5C44" w:rsidRPr="008A5373" w:rsidRDefault="00FE5C44" w:rsidP="006C08A4">
                      <w:pPr>
                        <w:ind w:firstLine="0"/>
                      </w:pPr>
                      <w:r w:rsidRPr="008A5373">
                        <w:t xml:space="preserve">Figure </w:t>
                      </w:r>
                      <w:r>
                        <w:fldChar w:fldCharType="begin"/>
                      </w:r>
                      <w:r>
                        <w:instrText xml:space="preserve"> SEQ Figure \* ARABIC </w:instrText>
                      </w:r>
                      <w:r>
                        <w:fldChar w:fldCharType="separate"/>
                      </w:r>
                      <w:r w:rsidR="002526FB">
                        <w:rPr>
                          <w:noProof/>
                        </w:rPr>
                        <w:t>6</w:t>
                      </w:r>
                      <w:r>
                        <w:fldChar w:fldCharType="end"/>
                      </w:r>
                      <w:r w:rsidRPr="008A5373">
                        <w:t xml:space="preserve"> Students' success in the sub-test</w:t>
                      </w:r>
                      <w:r w:rsidR="00961607">
                        <w:t xml:space="preserve"> (N = 136)</w:t>
                      </w:r>
                    </w:p>
                  </w:txbxContent>
                </v:textbox>
                <w10:wrap type="topAndBottom"/>
              </v:shape>
            </w:pict>
          </mc:Fallback>
        </mc:AlternateContent>
      </w:r>
      <w:r w:rsidRPr="00DC62A0">
        <w:t>effect of the difference (r = .501) is large.</w:t>
      </w:r>
    </w:p>
    <w:p w14:paraId="2EF5BD75" w14:textId="395E6240" w:rsidR="006C08A4" w:rsidRDefault="006C08A4" w:rsidP="006C08A4"/>
    <w:p w14:paraId="64451A72" w14:textId="6C99475E" w:rsidR="00155C56" w:rsidRPr="00DC62A0" w:rsidRDefault="00155C56" w:rsidP="006C08A4">
      <w:pPr>
        <w:pStyle w:val="Nadpis3"/>
      </w:pPr>
      <w:r w:rsidRPr="00DC62A0">
        <w:t xml:space="preserve">Table </w:t>
      </w:r>
      <w:r w:rsidRPr="00DC62A0">
        <w:fldChar w:fldCharType="begin"/>
      </w:r>
      <w:r w:rsidRPr="00DC62A0">
        <w:instrText xml:space="preserve"> SEQ Table \* ARABIC </w:instrText>
      </w:r>
      <w:r w:rsidRPr="00DC62A0">
        <w:fldChar w:fldCharType="separate"/>
      </w:r>
      <w:r w:rsidR="002526FB">
        <w:rPr>
          <w:noProof/>
        </w:rPr>
        <w:t>3</w:t>
      </w:r>
      <w:r w:rsidRPr="00DC62A0">
        <w:fldChar w:fldCharType="end"/>
      </w:r>
      <w:r w:rsidRPr="00DC62A0">
        <w:t xml:space="preserve"> Descriptive Statistics pre-test - sub-test</w:t>
      </w:r>
    </w:p>
    <w:tbl>
      <w:tblPr>
        <w:tblpPr w:leftFromText="141" w:rightFromText="141" w:vertAnchor="text" w:horzAnchor="page" w:tblpX="1065" w:tblpY="-35"/>
        <w:tblW w:w="0" w:type="auto"/>
        <w:tblLook w:val="04A0" w:firstRow="1" w:lastRow="0" w:firstColumn="1" w:lastColumn="0" w:noHBand="0" w:noVBand="1"/>
      </w:tblPr>
      <w:tblGrid>
        <w:gridCol w:w="1570"/>
        <w:gridCol w:w="1144"/>
        <w:gridCol w:w="1330"/>
        <w:gridCol w:w="1324"/>
        <w:gridCol w:w="1244"/>
        <w:gridCol w:w="1283"/>
      </w:tblGrid>
      <w:tr w:rsidR="00155C56" w:rsidRPr="00DC62A0" w14:paraId="2E0620CF" w14:textId="77777777" w:rsidTr="00FE5C44">
        <w:trPr>
          <w:trHeight w:val="454"/>
        </w:trPr>
        <w:tc>
          <w:tcPr>
            <w:tcW w:w="0" w:type="auto"/>
            <w:shd w:val="clear" w:color="auto" w:fill="D9D9D9" w:themeFill="background1" w:themeFillShade="D9"/>
            <w:vAlign w:val="center"/>
          </w:tcPr>
          <w:p w14:paraId="4A1484C5" w14:textId="77777777" w:rsidR="00155C56" w:rsidRPr="00DC62A0" w:rsidRDefault="00155C56" w:rsidP="00FE5C44"/>
        </w:tc>
        <w:tc>
          <w:tcPr>
            <w:tcW w:w="0" w:type="auto"/>
            <w:shd w:val="clear" w:color="auto" w:fill="D9D9D9" w:themeFill="background1" w:themeFillShade="D9"/>
          </w:tcPr>
          <w:p w14:paraId="10364EFD" w14:textId="77777777" w:rsidR="00155C56" w:rsidRPr="00DC62A0" w:rsidRDefault="00155C56" w:rsidP="00FE5C44">
            <w:r w:rsidRPr="00DC62A0">
              <w:t>N</w:t>
            </w:r>
          </w:p>
        </w:tc>
        <w:tc>
          <w:tcPr>
            <w:tcW w:w="0" w:type="auto"/>
            <w:shd w:val="clear" w:color="auto" w:fill="D9D9D9" w:themeFill="background1" w:themeFillShade="D9"/>
          </w:tcPr>
          <w:p w14:paraId="0E80F616" w14:textId="77777777" w:rsidR="00155C56" w:rsidRPr="00DC62A0" w:rsidRDefault="00155C56" w:rsidP="00FE5C44">
            <w:r w:rsidRPr="00DC62A0">
              <w:t>Mean</w:t>
            </w:r>
          </w:p>
        </w:tc>
        <w:tc>
          <w:tcPr>
            <w:tcW w:w="0" w:type="auto"/>
            <w:shd w:val="clear" w:color="auto" w:fill="D9D9D9" w:themeFill="background1" w:themeFillShade="D9"/>
          </w:tcPr>
          <w:p w14:paraId="046D69FC" w14:textId="77777777" w:rsidR="00155C56" w:rsidRPr="00DC62A0" w:rsidRDefault="00155C56" w:rsidP="00FE5C44">
            <w:r w:rsidRPr="00DC62A0">
              <w:t>SD</w:t>
            </w:r>
          </w:p>
        </w:tc>
        <w:tc>
          <w:tcPr>
            <w:tcW w:w="0" w:type="auto"/>
            <w:shd w:val="clear" w:color="auto" w:fill="D9D9D9" w:themeFill="background1" w:themeFillShade="D9"/>
          </w:tcPr>
          <w:p w14:paraId="7487A0AA" w14:textId="77777777" w:rsidR="00155C56" w:rsidRPr="00DC62A0" w:rsidRDefault="00155C56" w:rsidP="00FE5C44">
            <w:r w:rsidRPr="00DC62A0">
              <w:t>Min.</w:t>
            </w:r>
          </w:p>
        </w:tc>
        <w:tc>
          <w:tcPr>
            <w:tcW w:w="0" w:type="auto"/>
            <w:shd w:val="clear" w:color="auto" w:fill="D9D9D9" w:themeFill="background1" w:themeFillShade="D9"/>
          </w:tcPr>
          <w:p w14:paraId="122B9BD6" w14:textId="77777777" w:rsidR="00155C56" w:rsidRPr="00DC62A0" w:rsidRDefault="00155C56" w:rsidP="00FE5C44">
            <w:r w:rsidRPr="00DC62A0">
              <w:t>Max.</w:t>
            </w:r>
          </w:p>
        </w:tc>
      </w:tr>
      <w:tr w:rsidR="00155C56" w:rsidRPr="00DC62A0" w14:paraId="1B98B623" w14:textId="77777777" w:rsidTr="00FE5C44">
        <w:trPr>
          <w:trHeight w:val="454"/>
        </w:trPr>
        <w:tc>
          <w:tcPr>
            <w:tcW w:w="0" w:type="auto"/>
            <w:shd w:val="clear" w:color="auto" w:fill="auto"/>
          </w:tcPr>
          <w:p w14:paraId="3C25644A" w14:textId="77777777" w:rsidR="00155C56" w:rsidRPr="00DC62A0" w:rsidRDefault="00155C56" w:rsidP="00FE5C44">
            <w:r w:rsidRPr="00DC62A0">
              <w:t>Pre-test</w:t>
            </w:r>
          </w:p>
        </w:tc>
        <w:tc>
          <w:tcPr>
            <w:tcW w:w="0" w:type="auto"/>
            <w:shd w:val="clear" w:color="auto" w:fill="auto"/>
          </w:tcPr>
          <w:p w14:paraId="0185427A" w14:textId="77777777" w:rsidR="00155C56" w:rsidRPr="00DC62A0" w:rsidRDefault="00155C56" w:rsidP="00FE5C44">
            <w:r w:rsidRPr="00DC62A0">
              <w:t>112</w:t>
            </w:r>
          </w:p>
        </w:tc>
        <w:tc>
          <w:tcPr>
            <w:tcW w:w="0" w:type="auto"/>
            <w:shd w:val="clear" w:color="auto" w:fill="auto"/>
          </w:tcPr>
          <w:p w14:paraId="705402C2" w14:textId="77777777" w:rsidR="00155C56" w:rsidRPr="00DC62A0" w:rsidRDefault="00155C56" w:rsidP="00FE5C44">
            <w:r w:rsidRPr="00DC62A0">
              <w:t>1,04</w:t>
            </w:r>
          </w:p>
        </w:tc>
        <w:tc>
          <w:tcPr>
            <w:tcW w:w="0" w:type="auto"/>
            <w:shd w:val="clear" w:color="auto" w:fill="auto"/>
          </w:tcPr>
          <w:p w14:paraId="61FAAE68" w14:textId="77777777" w:rsidR="00155C56" w:rsidRPr="00DC62A0" w:rsidRDefault="00155C56" w:rsidP="00FE5C44">
            <w:r w:rsidRPr="00DC62A0">
              <w:t>1,165</w:t>
            </w:r>
          </w:p>
        </w:tc>
        <w:tc>
          <w:tcPr>
            <w:tcW w:w="0" w:type="auto"/>
            <w:shd w:val="clear" w:color="auto" w:fill="auto"/>
          </w:tcPr>
          <w:p w14:paraId="6901C0BE" w14:textId="77777777" w:rsidR="00155C56" w:rsidRPr="00DC62A0" w:rsidRDefault="00155C56" w:rsidP="00FE5C44">
            <w:r w:rsidRPr="00DC62A0">
              <w:t>0</w:t>
            </w:r>
          </w:p>
        </w:tc>
        <w:tc>
          <w:tcPr>
            <w:tcW w:w="0" w:type="auto"/>
            <w:shd w:val="clear" w:color="auto" w:fill="auto"/>
          </w:tcPr>
          <w:p w14:paraId="034C279F" w14:textId="77777777" w:rsidR="00155C56" w:rsidRPr="00DC62A0" w:rsidRDefault="00155C56" w:rsidP="00FE5C44">
            <w:r w:rsidRPr="00DC62A0">
              <w:t>4</w:t>
            </w:r>
          </w:p>
        </w:tc>
      </w:tr>
      <w:tr w:rsidR="00155C56" w:rsidRPr="00DC62A0" w14:paraId="31C8FBB1" w14:textId="77777777" w:rsidTr="00FE5C44">
        <w:trPr>
          <w:trHeight w:val="454"/>
        </w:trPr>
        <w:tc>
          <w:tcPr>
            <w:tcW w:w="0" w:type="auto"/>
            <w:shd w:val="clear" w:color="auto" w:fill="auto"/>
          </w:tcPr>
          <w:p w14:paraId="4C90191C" w14:textId="77777777" w:rsidR="00155C56" w:rsidRPr="00DC62A0" w:rsidRDefault="00155C56" w:rsidP="00FE5C44">
            <w:r w:rsidRPr="00DC62A0">
              <w:t>Sub-test</w:t>
            </w:r>
          </w:p>
        </w:tc>
        <w:tc>
          <w:tcPr>
            <w:tcW w:w="0" w:type="auto"/>
            <w:shd w:val="clear" w:color="auto" w:fill="auto"/>
          </w:tcPr>
          <w:p w14:paraId="4F202116" w14:textId="77777777" w:rsidR="00155C56" w:rsidRPr="00DC62A0" w:rsidRDefault="00155C56" w:rsidP="00FE5C44">
            <w:r w:rsidRPr="00DC62A0">
              <w:t>112</w:t>
            </w:r>
          </w:p>
        </w:tc>
        <w:tc>
          <w:tcPr>
            <w:tcW w:w="0" w:type="auto"/>
            <w:shd w:val="clear" w:color="auto" w:fill="auto"/>
          </w:tcPr>
          <w:p w14:paraId="1EA221A2" w14:textId="77777777" w:rsidR="00155C56" w:rsidRPr="00DC62A0" w:rsidRDefault="00155C56" w:rsidP="00FE5C44">
            <w:r w:rsidRPr="00DC62A0">
              <w:t>2,47</w:t>
            </w:r>
          </w:p>
        </w:tc>
        <w:tc>
          <w:tcPr>
            <w:tcW w:w="0" w:type="auto"/>
            <w:shd w:val="clear" w:color="auto" w:fill="auto"/>
          </w:tcPr>
          <w:p w14:paraId="4CF1191F" w14:textId="77777777" w:rsidR="00155C56" w:rsidRPr="00DC62A0" w:rsidRDefault="00155C56" w:rsidP="00FE5C44">
            <w:r w:rsidRPr="00DC62A0">
              <w:t>1,322</w:t>
            </w:r>
          </w:p>
        </w:tc>
        <w:tc>
          <w:tcPr>
            <w:tcW w:w="0" w:type="auto"/>
            <w:shd w:val="clear" w:color="auto" w:fill="auto"/>
          </w:tcPr>
          <w:p w14:paraId="585D88DC" w14:textId="77777777" w:rsidR="00155C56" w:rsidRPr="00DC62A0" w:rsidRDefault="00155C56" w:rsidP="00FE5C44">
            <w:r w:rsidRPr="00DC62A0">
              <w:t>0</w:t>
            </w:r>
          </w:p>
        </w:tc>
        <w:tc>
          <w:tcPr>
            <w:tcW w:w="0" w:type="auto"/>
            <w:shd w:val="clear" w:color="auto" w:fill="auto"/>
          </w:tcPr>
          <w:p w14:paraId="17584E85" w14:textId="77777777" w:rsidR="00155C56" w:rsidRPr="00DC62A0" w:rsidRDefault="00155C56" w:rsidP="00FE5C44">
            <w:r w:rsidRPr="00DC62A0">
              <w:t>6</w:t>
            </w:r>
          </w:p>
        </w:tc>
      </w:tr>
    </w:tbl>
    <w:p w14:paraId="066C71B2" w14:textId="77777777" w:rsidR="00155C56" w:rsidRPr="00DC62A0" w:rsidRDefault="00155C56" w:rsidP="00FE5C44"/>
    <w:p w14:paraId="09527C94" w14:textId="39E0818A" w:rsidR="00155C56" w:rsidRDefault="00155C56" w:rsidP="00FE5C44"/>
    <w:p w14:paraId="74D66232" w14:textId="5F821AEA" w:rsidR="006C08A4" w:rsidRDefault="006C08A4" w:rsidP="00FE5C44"/>
    <w:p w14:paraId="1D4F5B80" w14:textId="77777777" w:rsidR="006C08A4" w:rsidRPr="00DC62A0" w:rsidRDefault="006C08A4" w:rsidP="00FE5C44"/>
    <w:p w14:paraId="36220713" w14:textId="77777777" w:rsidR="00155C56" w:rsidRPr="00DC62A0" w:rsidRDefault="00155C56" w:rsidP="00FE5C44">
      <w:pPr>
        <w:rPr>
          <w:noProof/>
        </w:rPr>
      </w:pPr>
      <w:r w:rsidRPr="00DC62A0">
        <w:t>The students’ skills seem to have developed, especially in the transfer of the students unsuccessful to successful in the test.</w:t>
      </w:r>
    </w:p>
    <w:p w14:paraId="5276331A" w14:textId="77777777" w:rsidR="00155C56" w:rsidRPr="00DC62A0" w:rsidRDefault="00155C56" w:rsidP="00FE5C44">
      <w:pPr>
        <w:rPr>
          <w:noProof/>
        </w:rPr>
      </w:pPr>
      <w:r w:rsidRPr="00DC62A0">
        <w:rPr>
          <w:noProof/>
        </w:rPr>
        <w:t>More detailed information was received after performing a post-hoc test. The Wilcoxon signed ranks test results show that 82 students improved, 23 achieved the same score and 7 received less points. This shift was mainly caused by 30 (27%) students improving only by 1 and 2 points (mostly from 0 to 1 or 2 points). In the group of students successful in the sub-test, with an exception of two students who improved from an original 3 to 5 or 6 points, the rest improved from 0, 1 or 2 points. Therefore, it is possible to assume the intervention plan targeted all groups of students.</w:t>
      </w:r>
    </w:p>
    <w:p w14:paraId="1B934610" w14:textId="729D5691" w:rsidR="00155C56" w:rsidRPr="00DC62A0" w:rsidRDefault="00155C56" w:rsidP="00FE5C44">
      <w:pPr>
        <w:rPr>
          <w:noProof/>
        </w:rPr>
      </w:pPr>
      <w:r w:rsidRPr="00DC62A0">
        <w:rPr>
          <w:noProof/>
        </w:rPr>
        <w:t>Most of the students whose results worsened in the sub-test received 3 or 4 points in the pre-test and only 2 in the sub-test. With the comparable difficulty of the tasks in mind, this result can be explained by false positive pre-test results</w:t>
      </w:r>
      <w:r w:rsidR="00C44384">
        <w:rPr>
          <w:noProof/>
        </w:rPr>
        <w:t>.</w:t>
      </w:r>
      <w:r w:rsidRPr="00DC64A1">
        <w:rPr>
          <w:noProof/>
          <w:vertAlign w:val="superscript"/>
        </w:rPr>
        <w:t>26, 35</w:t>
      </w:r>
    </w:p>
    <w:p w14:paraId="7BF39093" w14:textId="77777777" w:rsidR="00155C56" w:rsidRPr="00DC62A0" w:rsidRDefault="00155C56" w:rsidP="00FE5C44">
      <w:pPr>
        <w:rPr>
          <w:noProof/>
        </w:rPr>
      </w:pPr>
      <w:r w:rsidRPr="00DC62A0">
        <w:rPr>
          <w:noProof/>
        </w:rPr>
        <w:t>The students who did not score differently in the sub-test or the pre-test mostly remained with 0, 1 or 3 points. In the first two groups, the intervention seems not to have affected these students. In case of the latter group, a limited number of these students seems to have been reached and remain in the middle of the point scale.</w:t>
      </w:r>
    </w:p>
    <w:p w14:paraId="49FE6385" w14:textId="77777777" w:rsidR="00155C56" w:rsidRPr="00DC62A0" w:rsidRDefault="00155C56" w:rsidP="00FE5C44">
      <w:pPr>
        <w:rPr>
          <w:noProof/>
        </w:rPr>
      </w:pPr>
      <w:r w:rsidRPr="00DC62A0">
        <w:rPr>
          <w:noProof/>
        </w:rPr>
        <w:lastRenderedPageBreak/>
        <w:t>In spite of the positive shift after the first intervention, 58% of the students still did not reach at least 3 points (50% of the points) and are therefore considered unsuccessful. Seven of the eight students from the qualitative (eye-tracking) study were in the unsuccessful group of students after the sub-test. The strategies and problems as identified by</w:t>
      </w:r>
      <w:r w:rsidRPr="00DC64A1">
        <w:rPr>
          <w:noProof/>
          <w:vertAlign w:val="superscript"/>
        </w:rPr>
        <w:t>35</w:t>
      </w:r>
      <w:r w:rsidRPr="00DC62A0">
        <w:rPr>
          <w:noProof/>
        </w:rPr>
        <w:t xml:space="preserve"> apply more to the unsuccessful students. This is in favour of the action plan with these particular students.</w:t>
      </w:r>
    </w:p>
    <w:p w14:paraId="3F3CB291" w14:textId="77777777" w:rsidR="00155C56" w:rsidRPr="00361DBB" w:rsidRDefault="00155C56" w:rsidP="00FE5C44">
      <w:pPr>
        <w:pStyle w:val="Nadpis2"/>
      </w:pPr>
      <w:r w:rsidRPr="00361DBB">
        <w:t>Post-test</w:t>
      </w:r>
      <w:bookmarkStart w:id="5" w:name="_Hlk51503858"/>
    </w:p>
    <w:p w14:paraId="169B48EF" w14:textId="77777777" w:rsidR="00155C56" w:rsidRPr="00DC62A0" w:rsidRDefault="00155C56" w:rsidP="00FE5C44">
      <w:pPr>
        <w:rPr>
          <w:noProof/>
        </w:rPr>
      </w:pPr>
      <w:r w:rsidRPr="00DC62A0">
        <w:t>Evaluating the second intervention phase was conducted with the use of a post-test. Again, it consisted of 3 problem tasks very similar to the pre-test. Figure 7 shows an increase in the group of partially successful (3-4 points) and successful (5-6 points) students, together with a decrease in the number of unsuccessful students compared to Figure 6.</w:t>
      </w:r>
    </w:p>
    <w:p w14:paraId="5E49ADA6" w14:textId="77777777" w:rsidR="00155C56" w:rsidRPr="00DC62A0" w:rsidRDefault="00155C56" w:rsidP="00FE5C44"/>
    <w:p w14:paraId="4B979551" w14:textId="77777777" w:rsidR="00155C56" w:rsidRPr="00DC62A0" w:rsidRDefault="00155C56" w:rsidP="00FE5C44">
      <w:r w:rsidRPr="00DC62A0">
        <w:t>There were 25% unsuccessful, 63% partially successful, and 27% successful task 1 solvers. In the second task, 27% failed, 22% solved it partially successfully and 51% successfully. 48% failed and 48% succeeded in solving the third task after the intervention.</w:t>
      </w:r>
    </w:p>
    <w:p w14:paraId="1148205E" w14:textId="54340BC1" w:rsidR="00155C56" w:rsidRDefault="00155C56" w:rsidP="00FE5C44">
      <w:r w:rsidRPr="00DC62A0">
        <w:rPr>
          <w:noProof/>
        </w:rPr>
        <mc:AlternateContent>
          <mc:Choice Requires="wps">
            <w:drawing>
              <wp:anchor distT="0" distB="0" distL="114300" distR="114300" simplePos="0" relativeHeight="251670528" behindDoc="0" locked="0" layoutInCell="1" allowOverlap="1" wp14:anchorId="0AEC84A4" wp14:editId="3EEFBA44">
                <wp:simplePos x="0" y="0"/>
                <wp:positionH relativeFrom="column">
                  <wp:posOffset>151765</wp:posOffset>
                </wp:positionH>
                <wp:positionV relativeFrom="paragraph">
                  <wp:posOffset>2578735</wp:posOffset>
                </wp:positionV>
                <wp:extent cx="3609340" cy="487680"/>
                <wp:effectExtent l="0" t="0" r="0" b="7620"/>
                <wp:wrapTopAndBottom/>
                <wp:docPr id="1" name="Textové pole 1"/>
                <wp:cNvGraphicFramePr/>
                <a:graphic xmlns:a="http://schemas.openxmlformats.org/drawingml/2006/main">
                  <a:graphicData uri="http://schemas.microsoft.com/office/word/2010/wordprocessingShape">
                    <wps:wsp>
                      <wps:cNvSpPr txBox="1"/>
                      <wps:spPr>
                        <a:xfrm>
                          <a:off x="0" y="0"/>
                          <a:ext cx="3609340" cy="487680"/>
                        </a:xfrm>
                        <a:prstGeom prst="rect">
                          <a:avLst/>
                        </a:prstGeom>
                        <a:solidFill>
                          <a:prstClr val="white"/>
                        </a:solidFill>
                        <a:ln>
                          <a:noFill/>
                        </a:ln>
                      </wps:spPr>
                      <wps:txbx>
                        <w:txbxContent>
                          <w:p w14:paraId="74F5B5ED" w14:textId="5EFBBD61" w:rsidR="00FE5C44" w:rsidRPr="008A5373" w:rsidRDefault="00FE5C44" w:rsidP="00961607">
                            <w:pPr>
                              <w:ind w:firstLine="0"/>
                            </w:pPr>
                            <w:r w:rsidRPr="008A5373">
                              <w:t xml:space="preserve">Figure </w:t>
                            </w:r>
                            <w:r>
                              <w:fldChar w:fldCharType="begin"/>
                            </w:r>
                            <w:r>
                              <w:instrText xml:space="preserve"> SEQ Figure \* ARABIC </w:instrText>
                            </w:r>
                            <w:r>
                              <w:fldChar w:fldCharType="separate"/>
                            </w:r>
                            <w:r w:rsidR="002526FB">
                              <w:rPr>
                                <w:noProof/>
                              </w:rPr>
                              <w:t>7</w:t>
                            </w:r>
                            <w:r>
                              <w:fldChar w:fldCharType="end"/>
                            </w:r>
                            <w:r w:rsidRPr="008A5373">
                              <w:t xml:space="preserve"> Students' success in the post-test: number of points received</w:t>
                            </w:r>
                            <w:r w:rsidR="00961607">
                              <w:t xml:space="preserve"> (N = 115)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C84A4" id="Textové pole 1" o:spid="_x0000_s1032" type="#_x0000_t202" style="position:absolute;left:0;text-align:left;margin-left:11.95pt;margin-top:203.05pt;width:284.2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" stroked="f">
                <v:textbox inset="0,0,0,0">
                  <w:txbxContent>
                    <w:p w14:paraId="74F5B5ED" w14:textId="5EFBBD61" w:rsidR="00FE5C44" w:rsidRPr="008A5373" w:rsidRDefault="00FE5C44" w:rsidP="00961607">
                      <w:pPr>
                        <w:ind w:firstLine="0"/>
                      </w:pPr>
                      <w:r w:rsidRPr="008A5373">
                        <w:t xml:space="preserve">Figure </w:t>
                      </w:r>
                      <w:r>
                        <w:fldChar w:fldCharType="begin"/>
                      </w:r>
                      <w:r>
                        <w:instrText xml:space="preserve"> SEQ Figure \* ARABIC </w:instrText>
                      </w:r>
                      <w:r>
                        <w:fldChar w:fldCharType="separate"/>
                      </w:r>
                      <w:r w:rsidR="002526FB">
                        <w:rPr>
                          <w:noProof/>
                        </w:rPr>
                        <w:t>7</w:t>
                      </w:r>
                      <w:r>
                        <w:fldChar w:fldCharType="end"/>
                      </w:r>
                      <w:r w:rsidRPr="008A5373">
                        <w:t xml:space="preserve"> Students' success in the post-test: number of points received</w:t>
                      </w:r>
                      <w:r w:rsidR="00961607">
                        <w:t xml:space="preserve"> (N = 115)</w:t>
                      </w:r>
                    </w:p>
                  </w:txbxContent>
                </v:textbox>
                <w10:wrap type="topAndBottom"/>
              </v:shape>
            </w:pict>
          </mc:Fallback>
        </mc:AlternateContent>
      </w:r>
      <w:r w:rsidRPr="00DC62A0">
        <w:rPr>
          <w:noProof/>
          <w:lang w:val="cs-CZ" w:eastAsia="cs-CZ"/>
        </w:rPr>
        <w:drawing>
          <wp:anchor distT="0" distB="0" distL="114300" distR="114300" simplePos="0" relativeHeight="251669504" behindDoc="0" locked="0" layoutInCell="1" allowOverlap="1" wp14:anchorId="2AE9F52D" wp14:editId="20B9276C">
            <wp:simplePos x="0" y="0"/>
            <wp:positionH relativeFrom="column">
              <wp:posOffset>0</wp:posOffset>
            </wp:positionH>
            <wp:positionV relativeFrom="paragraph">
              <wp:posOffset>792480</wp:posOffset>
            </wp:positionV>
            <wp:extent cx="2880000" cy="1900800"/>
            <wp:effectExtent l="0" t="0" r="0" b="4445"/>
            <wp:wrapTopAndBottom/>
            <wp:docPr id="33" name="Graf 33">
              <a:extLst xmlns:a="http://schemas.openxmlformats.org/drawingml/2006/main">
                <a:ext uri="{FF2B5EF4-FFF2-40B4-BE49-F238E27FC236}">
                  <a16:creationId xmlns:a16="http://schemas.microsoft.com/office/drawing/2014/main" id="{D8416EC0-91BE-4A24-ABF4-8ECDC15113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DC62A0">
        <w:t>The percentage as well as the means (see Table 4) show an overall increase in the students’ results. The value of the Friedman’s ANOVA test (p &lt; .001) shows the difference is statistically significant. The effect of the difference (r = 0.284) was medium.</w:t>
      </w:r>
    </w:p>
    <w:p w14:paraId="6BB3C2DA" w14:textId="77777777" w:rsidR="006C08A4" w:rsidRPr="00DC62A0" w:rsidRDefault="006C08A4" w:rsidP="00FE5C44"/>
    <w:bookmarkEnd w:id="5"/>
    <w:p w14:paraId="170E64C2" w14:textId="77777777" w:rsidR="00155C56" w:rsidRPr="00DC62A0" w:rsidRDefault="00155C56" w:rsidP="00FE5C44">
      <w:r w:rsidRPr="00DC62A0">
        <w:t>The post-hoc test’s results showed that 67 students improved, 25 received the same number of points and 20 scored worse comparing to the sub-test.</w:t>
      </w:r>
    </w:p>
    <w:p w14:paraId="1E3C1935" w14:textId="77777777" w:rsidR="00155C56" w:rsidRPr="00DC62A0" w:rsidRDefault="00155C56" w:rsidP="00FE5C44">
      <w:r w:rsidRPr="00DC62A0">
        <w:t>The students who received 5 or six points (61 resp. 39%) mostly improved from 3 resp. 4 points in the sub-test. Surprisingly, only three students who received 5 or 6 points in the sub-test confirmed their result by reaching the same score in the final test. Two of them even sank into the unsuccessful category with 2 or 1 point in the post-test.</w:t>
      </w:r>
    </w:p>
    <w:p w14:paraId="029FB89C" w14:textId="77777777" w:rsidR="00155C56" w:rsidRPr="00DC62A0" w:rsidRDefault="00155C56" w:rsidP="00FE5C44">
      <w:r w:rsidRPr="00DC62A0">
        <w:lastRenderedPageBreak/>
        <w:t xml:space="preserve">As far as the group with no shift in their score was concerned, the majority received 2 resp. 3 points (33 resp. 21%). This, again, could be caused by these students’ limits. For </w:t>
      </w:r>
      <w:proofErr w:type="spellStart"/>
      <w:r w:rsidRPr="00DC62A0">
        <w:t>for</w:t>
      </w:r>
      <w:proofErr w:type="spellEnd"/>
      <w:r w:rsidRPr="00DC62A0">
        <w:t xml:space="preserve"> most of the students in the group with a negative shift, the decline in score was relatively small. 16 students (47%) scored 2 points lower and 12 students (35%) 1 point lower. Several students who succeeded in the sub-test got a lower score in the post-test (7 from 4 points, 5 from 3 points and 4 from 5 points). Only several students sank more dramatically - 3 students to 0 and for 4 students to 1 point.</w:t>
      </w:r>
    </w:p>
    <w:p w14:paraId="4479EE8C" w14:textId="6F7E21A8" w:rsidR="00155C56" w:rsidRPr="00DC62A0" w:rsidRDefault="00155C56" w:rsidP="00FE5C44">
      <w:pPr>
        <w:pStyle w:val="Nadpis3"/>
      </w:pPr>
      <w:r w:rsidRPr="00DC62A0">
        <w:t xml:space="preserve">Table </w:t>
      </w:r>
      <w:r w:rsidRPr="00DC62A0">
        <w:fldChar w:fldCharType="begin"/>
      </w:r>
      <w:r w:rsidRPr="00DC62A0">
        <w:instrText xml:space="preserve"> SEQ Table \* ARABIC </w:instrText>
      </w:r>
      <w:r w:rsidRPr="00DC62A0">
        <w:fldChar w:fldCharType="separate"/>
      </w:r>
      <w:r w:rsidR="002526FB">
        <w:rPr>
          <w:noProof/>
        </w:rPr>
        <w:t>4</w:t>
      </w:r>
      <w:r w:rsidRPr="00DC62A0">
        <w:fldChar w:fldCharType="end"/>
      </w:r>
      <w:r w:rsidRPr="00DC62A0">
        <w:t xml:space="preserve"> Descriptive Statistics sub-test - post-test</w:t>
      </w:r>
    </w:p>
    <w:tbl>
      <w:tblPr>
        <w:tblpPr w:leftFromText="141" w:rightFromText="141" w:vertAnchor="text" w:horzAnchor="page" w:tblpX="1065" w:tblpY="-35"/>
        <w:tblW w:w="0" w:type="auto"/>
        <w:tblLook w:val="04A0" w:firstRow="1" w:lastRow="0" w:firstColumn="1" w:lastColumn="0" w:noHBand="0" w:noVBand="1"/>
      </w:tblPr>
      <w:tblGrid>
        <w:gridCol w:w="1610"/>
        <w:gridCol w:w="1144"/>
        <w:gridCol w:w="1330"/>
        <w:gridCol w:w="1324"/>
        <w:gridCol w:w="1244"/>
        <w:gridCol w:w="1283"/>
      </w:tblGrid>
      <w:tr w:rsidR="00155C56" w:rsidRPr="00DC62A0" w14:paraId="75682056" w14:textId="77777777" w:rsidTr="00FE5C44">
        <w:trPr>
          <w:trHeight w:val="454"/>
        </w:trPr>
        <w:tc>
          <w:tcPr>
            <w:tcW w:w="0" w:type="auto"/>
            <w:shd w:val="clear" w:color="auto" w:fill="D9D9D9" w:themeFill="background1" w:themeFillShade="D9"/>
            <w:vAlign w:val="center"/>
          </w:tcPr>
          <w:p w14:paraId="14C13B58" w14:textId="77777777" w:rsidR="00155C56" w:rsidRPr="00DC62A0" w:rsidRDefault="00155C56" w:rsidP="00FE5C44"/>
        </w:tc>
        <w:tc>
          <w:tcPr>
            <w:tcW w:w="0" w:type="auto"/>
            <w:shd w:val="clear" w:color="auto" w:fill="D9D9D9" w:themeFill="background1" w:themeFillShade="D9"/>
          </w:tcPr>
          <w:p w14:paraId="540E5837" w14:textId="77777777" w:rsidR="00155C56" w:rsidRPr="00361DBB" w:rsidRDefault="00155C56" w:rsidP="00FE5C44">
            <w:r w:rsidRPr="00361DBB">
              <w:t>N</w:t>
            </w:r>
          </w:p>
        </w:tc>
        <w:tc>
          <w:tcPr>
            <w:tcW w:w="0" w:type="auto"/>
            <w:shd w:val="clear" w:color="auto" w:fill="D9D9D9" w:themeFill="background1" w:themeFillShade="D9"/>
          </w:tcPr>
          <w:p w14:paraId="455B0721" w14:textId="77777777" w:rsidR="00155C56" w:rsidRPr="00361DBB" w:rsidRDefault="00155C56" w:rsidP="00FE5C44">
            <w:r w:rsidRPr="00361DBB">
              <w:t>Mean</w:t>
            </w:r>
          </w:p>
        </w:tc>
        <w:tc>
          <w:tcPr>
            <w:tcW w:w="0" w:type="auto"/>
            <w:shd w:val="clear" w:color="auto" w:fill="D9D9D9" w:themeFill="background1" w:themeFillShade="D9"/>
          </w:tcPr>
          <w:p w14:paraId="502D4BF6" w14:textId="77777777" w:rsidR="00155C56" w:rsidRPr="00361DBB" w:rsidRDefault="00155C56" w:rsidP="00FE5C44">
            <w:r w:rsidRPr="00361DBB">
              <w:t>SD</w:t>
            </w:r>
          </w:p>
        </w:tc>
        <w:tc>
          <w:tcPr>
            <w:tcW w:w="0" w:type="auto"/>
            <w:shd w:val="clear" w:color="auto" w:fill="D9D9D9" w:themeFill="background1" w:themeFillShade="D9"/>
          </w:tcPr>
          <w:p w14:paraId="74C80770" w14:textId="77777777" w:rsidR="00155C56" w:rsidRPr="00361DBB" w:rsidRDefault="00155C56" w:rsidP="00FE5C44">
            <w:r w:rsidRPr="00361DBB">
              <w:t>Min.</w:t>
            </w:r>
          </w:p>
        </w:tc>
        <w:tc>
          <w:tcPr>
            <w:tcW w:w="0" w:type="auto"/>
            <w:shd w:val="clear" w:color="auto" w:fill="D9D9D9" w:themeFill="background1" w:themeFillShade="D9"/>
          </w:tcPr>
          <w:p w14:paraId="38D2432E" w14:textId="77777777" w:rsidR="00155C56" w:rsidRPr="00361DBB" w:rsidRDefault="00155C56" w:rsidP="00FE5C44">
            <w:r w:rsidRPr="00361DBB">
              <w:t>Max.</w:t>
            </w:r>
          </w:p>
        </w:tc>
      </w:tr>
      <w:tr w:rsidR="00155C56" w:rsidRPr="00DC62A0" w14:paraId="3F3E3FB6" w14:textId="77777777" w:rsidTr="00FE5C44">
        <w:trPr>
          <w:trHeight w:val="454"/>
        </w:trPr>
        <w:tc>
          <w:tcPr>
            <w:tcW w:w="0" w:type="auto"/>
            <w:shd w:val="clear" w:color="auto" w:fill="auto"/>
          </w:tcPr>
          <w:p w14:paraId="36AD8146" w14:textId="77777777" w:rsidR="00155C56" w:rsidRPr="00DC62A0" w:rsidRDefault="00155C56" w:rsidP="00FE5C44">
            <w:r w:rsidRPr="00DC62A0">
              <w:t>Sub-test</w:t>
            </w:r>
          </w:p>
        </w:tc>
        <w:tc>
          <w:tcPr>
            <w:tcW w:w="0" w:type="auto"/>
            <w:shd w:val="clear" w:color="auto" w:fill="auto"/>
          </w:tcPr>
          <w:p w14:paraId="394521FD" w14:textId="77777777" w:rsidR="00155C56" w:rsidRPr="00DC62A0" w:rsidRDefault="00155C56" w:rsidP="00FE5C44">
            <w:r w:rsidRPr="00DC62A0">
              <w:t>112</w:t>
            </w:r>
          </w:p>
        </w:tc>
        <w:tc>
          <w:tcPr>
            <w:tcW w:w="0" w:type="auto"/>
            <w:shd w:val="clear" w:color="auto" w:fill="auto"/>
          </w:tcPr>
          <w:p w14:paraId="2C35AC4C" w14:textId="77777777" w:rsidR="00155C56" w:rsidRPr="00DC62A0" w:rsidRDefault="00155C56" w:rsidP="00FE5C44">
            <w:r w:rsidRPr="00DC62A0">
              <w:t>2,47</w:t>
            </w:r>
          </w:p>
        </w:tc>
        <w:tc>
          <w:tcPr>
            <w:tcW w:w="0" w:type="auto"/>
            <w:shd w:val="clear" w:color="auto" w:fill="auto"/>
          </w:tcPr>
          <w:p w14:paraId="221F9ABB" w14:textId="77777777" w:rsidR="00155C56" w:rsidRPr="00DC62A0" w:rsidRDefault="00155C56" w:rsidP="00FE5C44">
            <w:r w:rsidRPr="00DC62A0">
              <w:t>1,322</w:t>
            </w:r>
          </w:p>
        </w:tc>
        <w:tc>
          <w:tcPr>
            <w:tcW w:w="0" w:type="auto"/>
            <w:shd w:val="clear" w:color="auto" w:fill="auto"/>
          </w:tcPr>
          <w:p w14:paraId="317FB779" w14:textId="77777777" w:rsidR="00155C56" w:rsidRPr="00DC62A0" w:rsidRDefault="00155C56" w:rsidP="00FE5C44">
            <w:r w:rsidRPr="00DC62A0">
              <w:t>0</w:t>
            </w:r>
          </w:p>
        </w:tc>
        <w:tc>
          <w:tcPr>
            <w:tcW w:w="0" w:type="auto"/>
            <w:shd w:val="clear" w:color="auto" w:fill="auto"/>
          </w:tcPr>
          <w:p w14:paraId="0BAE7800" w14:textId="77777777" w:rsidR="00155C56" w:rsidRPr="00DC62A0" w:rsidRDefault="00155C56" w:rsidP="00FE5C44">
            <w:r w:rsidRPr="00DC62A0">
              <w:t>6</w:t>
            </w:r>
          </w:p>
        </w:tc>
      </w:tr>
      <w:tr w:rsidR="00155C56" w:rsidRPr="00DC62A0" w14:paraId="01B9F77E" w14:textId="77777777" w:rsidTr="00FE5C44">
        <w:trPr>
          <w:trHeight w:val="454"/>
        </w:trPr>
        <w:tc>
          <w:tcPr>
            <w:tcW w:w="0" w:type="auto"/>
            <w:shd w:val="clear" w:color="auto" w:fill="auto"/>
          </w:tcPr>
          <w:p w14:paraId="521F0D4C" w14:textId="77777777" w:rsidR="00155C56" w:rsidRPr="00DC62A0" w:rsidRDefault="00155C56" w:rsidP="00FE5C44">
            <w:r w:rsidRPr="00DC62A0">
              <w:t>Post-test</w:t>
            </w:r>
          </w:p>
        </w:tc>
        <w:tc>
          <w:tcPr>
            <w:tcW w:w="0" w:type="auto"/>
            <w:shd w:val="clear" w:color="auto" w:fill="auto"/>
          </w:tcPr>
          <w:p w14:paraId="0C4DF0D5" w14:textId="77777777" w:rsidR="00155C56" w:rsidRPr="00DC62A0" w:rsidRDefault="00155C56" w:rsidP="00FE5C44">
            <w:r w:rsidRPr="00DC62A0">
              <w:t>112</w:t>
            </w:r>
          </w:p>
        </w:tc>
        <w:tc>
          <w:tcPr>
            <w:tcW w:w="0" w:type="auto"/>
            <w:shd w:val="clear" w:color="auto" w:fill="auto"/>
          </w:tcPr>
          <w:p w14:paraId="251CD527" w14:textId="77777777" w:rsidR="00155C56" w:rsidRPr="00DC62A0" w:rsidRDefault="00155C56" w:rsidP="00FE5C44">
            <w:r w:rsidRPr="00DC62A0">
              <w:t>3,28</w:t>
            </w:r>
          </w:p>
        </w:tc>
        <w:tc>
          <w:tcPr>
            <w:tcW w:w="0" w:type="auto"/>
            <w:shd w:val="clear" w:color="auto" w:fill="auto"/>
          </w:tcPr>
          <w:p w14:paraId="5E29EE5E" w14:textId="77777777" w:rsidR="00155C56" w:rsidRPr="00DC62A0" w:rsidRDefault="00155C56" w:rsidP="00FE5C44">
            <w:r w:rsidRPr="00DC62A0">
              <w:t>1,623</w:t>
            </w:r>
          </w:p>
        </w:tc>
        <w:tc>
          <w:tcPr>
            <w:tcW w:w="0" w:type="auto"/>
            <w:shd w:val="clear" w:color="auto" w:fill="auto"/>
          </w:tcPr>
          <w:p w14:paraId="09AA64A4" w14:textId="77777777" w:rsidR="00155C56" w:rsidRPr="00DC62A0" w:rsidRDefault="00155C56" w:rsidP="00FE5C44">
            <w:r w:rsidRPr="00DC62A0">
              <w:t>0</w:t>
            </w:r>
          </w:p>
        </w:tc>
        <w:tc>
          <w:tcPr>
            <w:tcW w:w="0" w:type="auto"/>
            <w:shd w:val="clear" w:color="auto" w:fill="auto"/>
          </w:tcPr>
          <w:p w14:paraId="68E3AEE8" w14:textId="77777777" w:rsidR="00155C56" w:rsidRPr="00DC62A0" w:rsidRDefault="00155C56" w:rsidP="00FE5C44">
            <w:r w:rsidRPr="00DC62A0">
              <w:t>6</w:t>
            </w:r>
          </w:p>
        </w:tc>
      </w:tr>
    </w:tbl>
    <w:p w14:paraId="56583DE4" w14:textId="04ADC9ED" w:rsidR="00155C56" w:rsidRDefault="00155C56" w:rsidP="00FE5C44"/>
    <w:p w14:paraId="1A282E7D" w14:textId="2D675C5A" w:rsidR="006C08A4" w:rsidRDefault="006C08A4" w:rsidP="00FE5C44"/>
    <w:p w14:paraId="714EBE56" w14:textId="74E8DAAE" w:rsidR="006C08A4" w:rsidRDefault="006C08A4" w:rsidP="00FE5C44"/>
    <w:p w14:paraId="241A45B7" w14:textId="77777777" w:rsidR="006C08A4" w:rsidRPr="00DC62A0" w:rsidRDefault="006C08A4" w:rsidP="00FE5C44"/>
    <w:p w14:paraId="353A7221" w14:textId="77777777" w:rsidR="00155C56" w:rsidRPr="00DC62A0" w:rsidRDefault="00155C56" w:rsidP="00FE5C44">
      <w:r w:rsidRPr="00DC62A0">
        <w:t xml:space="preserve">The overall success of the intervention was assessed using the pre-test - post-test comparison. Table 5 shows the overall difference in the mean score. The p value (p &lt; 0.001) showed a statistically significant difference between the two test results. The </w:t>
      </w:r>
      <w:proofErr w:type="spellStart"/>
      <w:r w:rsidRPr="00DC62A0">
        <w:t>r-value</w:t>
      </w:r>
      <w:proofErr w:type="spellEnd"/>
      <w:r w:rsidRPr="00DC62A0">
        <w:t xml:space="preserve"> (r = 0.545) showed a large effect. 93 students’ results improved, 13 remained unchanged and 6 worsened.</w:t>
      </w:r>
    </w:p>
    <w:p w14:paraId="1E39262B" w14:textId="1FE970F6" w:rsidR="00155C56" w:rsidRPr="00DC62A0" w:rsidRDefault="00155C56" w:rsidP="00FE5C44">
      <w:pPr>
        <w:pStyle w:val="Nadpis3"/>
      </w:pPr>
      <w:r w:rsidRPr="00DC62A0">
        <w:t xml:space="preserve">Table </w:t>
      </w:r>
      <w:r w:rsidRPr="00DC62A0">
        <w:fldChar w:fldCharType="begin"/>
      </w:r>
      <w:r w:rsidRPr="00DC62A0">
        <w:instrText xml:space="preserve"> SEQ Table \* ARABIC </w:instrText>
      </w:r>
      <w:r w:rsidRPr="00DC62A0">
        <w:fldChar w:fldCharType="separate"/>
      </w:r>
      <w:r w:rsidR="002526FB">
        <w:rPr>
          <w:noProof/>
        </w:rPr>
        <w:t>5</w:t>
      </w:r>
      <w:r w:rsidRPr="00DC62A0">
        <w:fldChar w:fldCharType="end"/>
      </w:r>
      <w:r w:rsidRPr="00DC62A0">
        <w:t xml:space="preserve"> Descriptive Statistics pre-test - post-test</w:t>
      </w:r>
    </w:p>
    <w:tbl>
      <w:tblPr>
        <w:tblpPr w:leftFromText="141" w:rightFromText="141" w:vertAnchor="text" w:horzAnchor="page" w:tblpX="1065" w:tblpY="-35"/>
        <w:tblW w:w="0" w:type="auto"/>
        <w:tblLook w:val="04A0" w:firstRow="1" w:lastRow="0" w:firstColumn="1" w:lastColumn="0" w:noHBand="0" w:noVBand="1"/>
      </w:tblPr>
      <w:tblGrid>
        <w:gridCol w:w="1610"/>
        <w:gridCol w:w="1144"/>
        <w:gridCol w:w="1330"/>
        <w:gridCol w:w="1324"/>
        <w:gridCol w:w="1244"/>
        <w:gridCol w:w="1283"/>
      </w:tblGrid>
      <w:tr w:rsidR="00155C56" w:rsidRPr="00DC62A0" w14:paraId="1274B6BE" w14:textId="77777777" w:rsidTr="00FE5C44">
        <w:trPr>
          <w:trHeight w:val="454"/>
        </w:trPr>
        <w:tc>
          <w:tcPr>
            <w:tcW w:w="0" w:type="auto"/>
            <w:shd w:val="clear" w:color="auto" w:fill="D9D9D9" w:themeFill="background1" w:themeFillShade="D9"/>
            <w:vAlign w:val="center"/>
          </w:tcPr>
          <w:p w14:paraId="117A12B8" w14:textId="77777777" w:rsidR="00155C56" w:rsidRPr="00DC62A0" w:rsidRDefault="00155C56" w:rsidP="00FE5C44"/>
        </w:tc>
        <w:tc>
          <w:tcPr>
            <w:tcW w:w="0" w:type="auto"/>
            <w:shd w:val="clear" w:color="auto" w:fill="D9D9D9" w:themeFill="background1" w:themeFillShade="D9"/>
          </w:tcPr>
          <w:p w14:paraId="132CE12E" w14:textId="77777777" w:rsidR="00155C56" w:rsidRPr="00361DBB" w:rsidRDefault="00155C56" w:rsidP="00FE5C44">
            <w:r w:rsidRPr="00361DBB">
              <w:t>N</w:t>
            </w:r>
          </w:p>
        </w:tc>
        <w:tc>
          <w:tcPr>
            <w:tcW w:w="0" w:type="auto"/>
            <w:shd w:val="clear" w:color="auto" w:fill="D9D9D9" w:themeFill="background1" w:themeFillShade="D9"/>
          </w:tcPr>
          <w:p w14:paraId="3BC76E5D" w14:textId="77777777" w:rsidR="00155C56" w:rsidRPr="00361DBB" w:rsidRDefault="00155C56" w:rsidP="00FE5C44">
            <w:r w:rsidRPr="00361DBB">
              <w:t>Mean</w:t>
            </w:r>
          </w:p>
        </w:tc>
        <w:tc>
          <w:tcPr>
            <w:tcW w:w="0" w:type="auto"/>
            <w:shd w:val="clear" w:color="auto" w:fill="D9D9D9" w:themeFill="background1" w:themeFillShade="D9"/>
          </w:tcPr>
          <w:p w14:paraId="6CE1B8A7" w14:textId="77777777" w:rsidR="00155C56" w:rsidRPr="00361DBB" w:rsidRDefault="00155C56" w:rsidP="00FE5C44">
            <w:r w:rsidRPr="00361DBB">
              <w:t>SD</w:t>
            </w:r>
          </w:p>
        </w:tc>
        <w:tc>
          <w:tcPr>
            <w:tcW w:w="0" w:type="auto"/>
            <w:shd w:val="clear" w:color="auto" w:fill="D9D9D9" w:themeFill="background1" w:themeFillShade="D9"/>
          </w:tcPr>
          <w:p w14:paraId="2A75DAD3" w14:textId="77777777" w:rsidR="00155C56" w:rsidRPr="00361DBB" w:rsidRDefault="00155C56" w:rsidP="00FE5C44">
            <w:r w:rsidRPr="00361DBB">
              <w:t>Min.</w:t>
            </w:r>
          </w:p>
        </w:tc>
        <w:tc>
          <w:tcPr>
            <w:tcW w:w="0" w:type="auto"/>
            <w:shd w:val="clear" w:color="auto" w:fill="D9D9D9" w:themeFill="background1" w:themeFillShade="D9"/>
          </w:tcPr>
          <w:p w14:paraId="0658A9BF" w14:textId="77777777" w:rsidR="00155C56" w:rsidRPr="00361DBB" w:rsidRDefault="00155C56" w:rsidP="00FE5C44">
            <w:r w:rsidRPr="00361DBB">
              <w:t>Max.</w:t>
            </w:r>
          </w:p>
        </w:tc>
      </w:tr>
      <w:tr w:rsidR="00155C56" w:rsidRPr="00DC62A0" w14:paraId="4FD553B0" w14:textId="77777777" w:rsidTr="00FE5C44">
        <w:trPr>
          <w:trHeight w:val="454"/>
        </w:trPr>
        <w:tc>
          <w:tcPr>
            <w:tcW w:w="0" w:type="auto"/>
            <w:shd w:val="clear" w:color="auto" w:fill="auto"/>
          </w:tcPr>
          <w:p w14:paraId="22934CE6" w14:textId="77777777" w:rsidR="00155C56" w:rsidRPr="00DC62A0" w:rsidRDefault="00155C56" w:rsidP="00FE5C44">
            <w:r w:rsidRPr="00DC62A0">
              <w:t>Pre-test</w:t>
            </w:r>
          </w:p>
        </w:tc>
        <w:tc>
          <w:tcPr>
            <w:tcW w:w="0" w:type="auto"/>
            <w:shd w:val="clear" w:color="auto" w:fill="auto"/>
          </w:tcPr>
          <w:p w14:paraId="07F9DE0A" w14:textId="77777777" w:rsidR="00155C56" w:rsidRPr="00DC62A0" w:rsidRDefault="00155C56" w:rsidP="00FE5C44">
            <w:r w:rsidRPr="00DC62A0">
              <w:t>112</w:t>
            </w:r>
          </w:p>
        </w:tc>
        <w:tc>
          <w:tcPr>
            <w:tcW w:w="0" w:type="auto"/>
            <w:shd w:val="clear" w:color="auto" w:fill="auto"/>
          </w:tcPr>
          <w:p w14:paraId="17C7C7E1" w14:textId="77777777" w:rsidR="00155C56" w:rsidRPr="00DC62A0" w:rsidRDefault="00155C56" w:rsidP="00FE5C44">
            <w:r w:rsidRPr="00DC62A0">
              <w:t>1,04</w:t>
            </w:r>
          </w:p>
        </w:tc>
        <w:tc>
          <w:tcPr>
            <w:tcW w:w="0" w:type="auto"/>
            <w:shd w:val="clear" w:color="auto" w:fill="auto"/>
          </w:tcPr>
          <w:p w14:paraId="664BB696" w14:textId="77777777" w:rsidR="00155C56" w:rsidRPr="00DC62A0" w:rsidRDefault="00155C56" w:rsidP="00FE5C44">
            <w:r w:rsidRPr="00DC62A0">
              <w:t>1,165</w:t>
            </w:r>
          </w:p>
        </w:tc>
        <w:tc>
          <w:tcPr>
            <w:tcW w:w="0" w:type="auto"/>
            <w:shd w:val="clear" w:color="auto" w:fill="auto"/>
          </w:tcPr>
          <w:p w14:paraId="01A88D03" w14:textId="77777777" w:rsidR="00155C56" w:rsidRPr="00DC62A0" w:rsidRDefault="00155C56" w:rsidP="00FE5C44">
            <w:r w:rsidRPr="00DC62A0">
              <w:t>0</w:t>
            </w:r>
          </w:p>
        </w:tc>
        <w:tc>
          <w:tcPr>
            <w:tcW w:w="0" w:type="auto"/>
            <w:shd w:val="clear" w:color="auto" w:fill="auto"/>
          </w:tcPr>
          <w:p w14:paraId="3A364A83" w14:textId="77777777" w:rsidR="00155C56" w:rsidRPr="00DC62A0" w:rsidRDefault="00155C56" w:rsidP="00FE5C44">
            <w:r w:rsidRPr="00DC62A0">
              <w:t>4</w:t>
            </w:r>
          </w:p>
        </w:tc>
      </w:tr>
      <w:tr w:rsidR="00155C56" w:rsidRPr="00DC62A0" w14:paraId="614684B5" w14:textId="77777777" w:rsidTr="00FE5C44">
        <w:trPr>
          <w:trHeight w:val="454"/>
        </w:trPr>
        <w:tc>
          <w:tcPr>
            <w:tcW w:w="0" w:type="auto"/>
            <w:shd w:val="clear" w:color="auto" w:fill="auto"/>
          </w:tcPr>
          <w:p w14:paraId="45F872E9" w14:textId="77777777" w:rsidR="00155C56" w:rsidRPr="00DC62A0" w:rsidRDefault="00155C56" w:rsidP="00FE5C44">
            <w:r w:rsidRPr="00DC62A0">
              <w:t>Post-test</w:t>
            </w:r>
          </w:p>
        </w:tc>
        <w:tc>
          <w:tcPr>
            <w:tcW w:w="0" w:type="auto"/>
            <w:shd w:val="clear" w:color="auto" w:fill="auto"/>
          </w:tcPr>
          <w:p w14:paraId="675D24AA" w14:textId="77777777" w:rsidR="00155C56" w:rsidRPr="00DC62A0" w:rsidRDefault="00155C56" w:rsidP="00FE5C44">
            <w:r w:rsidRPr="00DC62A0">
              <w:t>112</w:t>
            </w:r>
          </w:p>
        </w:tc>
        <w:tc>
          <w:tcPr>
            <w:tcW w:w="0" w:type="auto"/>
            <w:shd w:val="clear" w:color="auto" w:fill="auto"/>
          </w:tcPr>
          <w:p w14:paraId="7B548DA8" w14:textId="77777777" w:rsidR="00155C56" w:rsidRPr="00DC62A0" w:rsidRDefault="00155C56" w:rsidP="00FE5C44">
            <w:r w:rsidRPr="00DC62A0">
              <w:t>3,28</w:t>
            </w:r>
          </w:p>
        </w:tc>
        <w:tc>
          <w:tcPr>
            <w:tcW w:w="0" w:type="auto"/>
            <w:shd w:val="clear" w:color="auto" w:fill="auto"/>
          </w:tcPr>
          <w:p w14:paraId="75CB688E" w14:textId="77777777" w:rsidR="00155C56" w:rsidRPr="00DC62A0" w:rsidRDefault="00155C56" w:rsidP="00FE5C44">
            <w:r w:rsidRPr="00DC62A0">
              <w:t>1,623</w:t>
            </w:r>
          </w:p>
        </w:tc>
        <w:tc>
          <w:tcPr>
            <w:tcW w:w="0" w:type="auto"/>
            <w:shd w:val="clear" w:color="auto" w:fill="auto"/>
          </w:tcPr>
          <w:p w14:paraId="1776F99D" w14:textId="77777777" w:rsidR="00155C56" w:rsidRPr="00DC62A0" w:rsidRDefault="00155C56" w:rsidP="00FE5C44">
            <w:r w:rsidRPr="00DC62A0">
              <w:t>0</w:t>
            </w:r>
          </w:p>
        </w:tc>
        <w:tc>
          <w:tcPr>
            <w:tcW w:w="0" w:type="auto"/>
            <w:shd w:val="clear" w:color="auto" w:fill="auto"/>
          </w:tcPr>
          <w:p w14:paraId="4A52B069" w14:textId="77777777" w:rsidR="00155C56" w:rsidRPr="00DC62A0" w:rsidRDefault="00155C56" w:rsidP="00FE5C44">
            <w:r w:rsidRPr="00DC62A0">
              <w:t>6</w:t>
            </w:r>
          </w:p>
        </w:tc>
      </w:tr>
    </w:tbl>
    <w:p w14:paraId="695E086A" w14:textId="1EF144BD" w:rsidR="00155C56" w:rsidRDefault="00155C56" w:rsidP="00FE5C44"/>
    <w:p w14:paraId="28E6D689" w14:textId="3AC1115F" w:rsidR="006C08A4" w:rsidRDefault="006C08A4" w:rsidP="00FE5C44"/>
    <w:p w14:paraId="1BC44DEB" w14:textId="54EDF322" w:rsidR="006C08A4" w:rsidRDefault="006C08A4" w:rsidP="00FE5C44"/>
    <w:p w14:paraId="4795331F" w14:textId="77777777" w:rsidR="006C08A4" w:rsidRPr="00DC62A0" w:rsidRDefault="006C08A4" w:rsidP="00FE5C44"/>
    <w:p w14:paraId="74889DE4" w14:textId="5D58D469" w:rsidR="00155C56" w:rsidRPr="00DC62A0" w:rsidRDefault="00155C56" w:rsidP="00FE5C44">
      <w:r w:rsidRPr="00DC62A0">
        <w:t>The intervention seems have effect on the students with some fundamental knowledge and skills which could be further developed. 56% of the students whose results did not change received 0 points. Also, most students whose result worsened from the pre- to post-test (63% out of all students whose results worsened; N = 16) received no points in the post-test. As these students achieved only 1 or 2 points in the pre-test, therefore still unsuccessful, the situation is similar to the students who did not score any point in the pre-test. There are two possible explanations of this result. First, a certain indifference towards the influence of school, i.e. the intervention steps is presumed. Apart from aforementioned reading skills, students’ misconceptions had been blamed to prevent them from learning chemistry</w:t>
      </w:r>
      <w:r w:rsidR="00C44384">
        <w:t>.</w:t>
      </w:r>
      <w:r w:rsidRPr="00DC64A1">
        <w:rPr>
          <w:noProof/>
          <w:vertAlign w:val="superscript"/>
        </w:rPr>
        <w:t>48</w:t>
      </w:r>
      <w:r w:rsidRPr="00DC62A0">
        <w:t xml:space="preserve"> Second, The intervention built upon certain basic skills. The unsuccessful students might have been below this level. Considering the fact, the research was performed on upper-secondary students, this was not anticipated. The qualitative part of the study revealed that many problems lie, apart from lack of knowledge, in reading and the inability to identify the problem</w:t>
      </w:r>
      <w:r w:rsidR="00C44384">
        <w:t>.</w:t>
      </w:r>
      <w:r w:rsidRPr="007B4CF6">
        <w:rPr>
          <w:noProof/>
          <w:vertAlign w:val="superscript"/>
        </w:rPr>
        <w:t>26</w:t>
      </w:r>
      <w:r w:rsidRPr="00DC62A0">
        <w:t xml:space="preserve"> For many </w:t>
      </w:r>
      <w:r w:rsidRPr="00DC62A0">
        <w:lastRenderedPageBreak/>
        <w:t>students, this was corrected by the described intervention. The students' ability to read chemistry texts</w:t>
      </w:r>
      <w:r w:rsidRPr="007B4CF6">
        <w:rPr>
          <w:noProof/>
          <w:vertAlign w:val="superscript"/>
        </w:rPr>
        <w:t>41</w:t>
      </w:r>
      <w:r w:rsidRPr="00DC62A0">
        <w:t xml:space="preserve"> seems to have increased by the practice, so did their ability to identify the problem, as well as indicia given in the task for the problem to be solved</w:t>
      </w:r>
      <w:r w:rsidR="00C44384">
        <w:t>.</w:t>
      </w:r>
      <w:r w:rsidRPr="00DC64A1">
        <w:rPr>
          <w:noProof/>
          <w:vertAlign w:val="superscript"/>
        </w:rPr>
        <w:t>49-50</w:t>
      </w:r>
      <w:r w:rsidRPr="00DC62A0">
        <w:t xml:space="preserve"> As observed in the lessons, experiencing success motivated the students to stay on a task, even if it seemed difficult at the beginning.</w:t>
      </w:r>
    </w:p>
    <w:p w14:paraId="381E1B3B" w14:textId="41C8BFDA" w:rsidR="00155C56" w:rsidRPr="00DC62A0" w:rsidRDefault="00155C56" w:rsidP="00FE5C44">
      <w:bookmarkStart w:id="6" w:name="_Hlk51503864"/>
      <w:r w:rsidRPr="00DC62A0">
        <w:t>The intervention showed that problem-solving skills can be promoted when systematically worked upon</w:t>
      </w:r>
      <w:r w:rsidR="00C44384">
        <w:t>.</w:t>
      </w:r>
      <w:r w:rsidRPr="007B4CF6">
        <w:rPr>
          <w:noProof/>
          <w:vertAlign w:val="superscript"/>
        </w:rPr>
        <w:t>18</w:t>
      </w:r>
      <w:r w:rsidRPr="00DC62A0">
        <w:t xml:space="preserve"> Focusing on relevant</w:t>
      </w:r>
      <w:r w:rsidRPr="00DC64A1">
        <w:rPr>
          <w:noProof/>
          <w:vertAlign w:val="superscript"/>
        </w:rPr>
        <w:t>51</w:t>
      </w:r>
      <w:r w:rsidRPr="00DC62A0">
        <w:t xml:space="preserve"> problems seems more important than just on knowledge that students are often unable to apply</w:t>
      </w:r>
      <w:r w:rsidR="00C44384">
        <w:t>.</w:t>
      </w:r>
      <w:r w:rsidRPr="007B4CF6">
        <w:rPr>
          <w:noProof/>
          <w:vertAlign w:val="superscript"/>
        </w:rPr>
        <w:t>42, 46</w:t>
      </w:r>
    </w:p>
    <w:p w14:paraId="76077362" w14:textId="717F2033" w:rsidR="00155C56" w:rsidRPr="00DC62A0" w:rsidRDefault="00155C56" w:rsidP="00FE5C44">
      <w:r w:rsidRPr="00DC62A0">
        <w:t>Nevertheless, the results showed there was still a group of students whose abilities could not be improved in the above-described manner. This points to a new, necessary line of research</w:t>
      </w:r>
      <w:r w:rsidR="006C08A4">
        <w:t> </w:t>
      </w:r>
      <w:r w:rsidRPr="00DC62A0">
        <w:t>- identification of appropriate intervention underachieving students would benefit from.</w:t>
      </w:r>
    </w:p>
    <w:bookmarkEnd w:id="6"/>
    <w:p w14:paraId="16E26559" w14:textId="77777777" w:rsidR="00155C56" w:rsidRPr="00361DBB" w:rsidRDefault="00155C56" w:rsidP="00FE5C44">
      <w:pPr>
        <w:pStyle w:val="Nadpis1"/>
      </w:pPr>
      <w:r w:rsidRPr="00361DBB">
        <w:t>Limitations</w:t>
      </w:r>
    </w:p>
    <w:p w14:paraId="0656CCCB" w14:textId="4D0ED246" w:rsidR="00155C56" w:rsidRPr="00DC62A0" w:rsidRDefault="00155C56" w:rsidP="00FE5C44">
      <w:r w:rsidRPr="00DC62A0">
        <w:t>Several limitations in this study were caused by the research method used. The typical limit of action research is that the teacher is the only researcher</w:t>
      </w:r>
      <w:r w:rsidR="00C44384">
        <w:t>.</w:t>
      </w:r>
      <w:r w:rsidRPr="00DC64A1">
        <w:rPr>
          <w:noProof/>
          <w:vertAlign w:val="superscript"/>
        </w:rPr>
        <w:t>52</w:t>
      </w:r>
      <w:r w:rsidRPr="00DC62A0">
        <w:t xml:space="preserve"> The effect was eased by an academic’s participation. Another limitation is related to the results’ vigor. They are limited by a low number of respondents. It exceeds usual action research samples; however, it does not enable a full generalization of the results. Also, the respondent choice – students from one vocational school – may influence the results because the students’ focus may divert from science </w:t>
      </w:r>
      <w:r>
        <w:rPr>
          <w:noProof/>
        </w:rPr>
        <w:t>cf.</w:t>
      </w:r>
      <w:r w:rsidRPr="00782C42">
        <w:rPr>
          <w:noProof/>
          <w:vertAlign w:val="superscript"/>
        </w:rPr>
        <w:t>9</w:t>
      </w:r>
      <w:r w:rsidRPr="00DC62A0">
        <w:t xml:space="preserve"> On the other hand, the sample represents students from various lower-secondary schools (87) and therefore has the potential to reflect reality. Another limit of the study is the lack of repeatability and </w:t>
      </w:r>
      <w:proofErr w:type="spellStart"/>
      <w:r w:rsidRPr="00DC62A0">
        <w:t>rigour</w:t>
      </w:r>
      <w:proofErr w:type="spellEnd"/>
      <w:r w:rsidRPr="00DC62A0">
        <w:t xml:space="preserve"> as the feedback the teacher gave students reflected their actual problems. Nevertheless, there are certain steps which can be repeated with other students with no changes. By repeating the process, the range of problem-solving skills is expected to become clear enough so the pre-test’s qualitative part could be omitted, and the procedure run universally.</w:t>
      </w:r>
    </w:p>
    <w:p w14:paraId="4AFB49D5" w14:textId="77777777" w:rsidR="00155C56" w:rsidRPr="00DC62A0" w:rsidRDefault="00155C56" w:rsidP="00FE5C44">
      <w:r w:rsidRPr="00DC62A0">
        <w:t>Last but not least, a limit of the intervention needs to be discussed. Despite teachers cannot always attract and have influence on all the students, this considerably high number of students seemingly unaffected by the intervention is a group which requires more attention in the future. Apart from a typical sample for qualitative eye-tracking study (successful vs. unsuccessful, novice vs. experts), these could be given a special attention. A follow up intervention which would target these students better would complete the results.</w:t>
      </w:r>
    </w:p>
    <w:p w14:paraId="254C522A" w14:textId="77777777" w:rsidR="00155C56" w:rsidRPr="00361DBB" w:rsidRDefault="00155C56" w:rsidP="00FE5C44">
      <w:pPr>
        <w:pStyle w:val="Nadpis1"/>
      </w:pPr>
      <w:r w:rsidRPr="00361DBB">
        <w:lastRenderedPageBreak/>
        <w:t>Conclusions</w:t>
      </w:r>
    </w:p>
    <w:p w14:paraId="7BF8CA4E" w14:textId="77777777" w:rsidR="00155C56" w:rsidRPr="00DC62A0" w:rsidRDefault="00155C56" w:rsidP="00FE5C44">
      <w:r w:rsidRPr="00DC62A0">
        <w:t xml:space="preserve">The presented action plan can be considered effective as it helped improve the students’ problem-solving skills. At the beginning, only 15% of the students received at least half of the test points. In the pre-test, the maximal reached score was four points out of six, with almost half of the students receiving no points and another 38% only one or two points (unsuccessful). The results show the students entering upper-secondary schools mostly did not reach the lower-secondary chemistry curricular objectives with the students’ chemistry knowledge and skills on a rather low level. </w:t>
      </w:r>
      <w:bookmarkStart w:id="7" w:name="_Hlk51503871"/>
      <w:r w:rsidRPr="00DC62A0">
        <w:t>They did not understand the basic concepts, e.g. a proton number, electronegativity or conductivity. Also, the students struggled with chemical processes used in real life, such as a chemical reaction or how to prepare a solution This may serve as an argument for undergoing curricular reform.</w:t>
      </w:r>
    </w:p>
    <w:p w14:paraId="12760342" w14:textId="77777777" w:rsidR="00155C56" w:rsidRPr="00DC62A0" w:rsidRDefault="00155C56" w:rsidP="00FE5C44">
      <w:r w:rsidRPr="00DC62A0">
        <w:t>The intervention focused on the students’ ability to apply the basic knowledge gained from the text and break up the presented problem into partial steps. After the intervention, 65% of the students achieved more than half points (shift from 15%), with 30% students considered successful (from 0% at the beginning). This shift applied especially to students who proved at least an elementary background (knowledge, strategies, skills). A considerable number of students without this background proven in the pre-test showed no progress after the intervention, which suggests alternative approach is needed for these students’ improvement.</w:t>
      </w:r>
    </w:p>
    <w:bookmarkEnd w:id="7"/>
    <w:p w14:paraId="5467A443" w14:textId="77777777" w:rsidR="00155C56" w:rsidRPr="00DC62A0" w:rsidRDefault="00155C56" w:rsidP="00FE5C44">
      <w:r w:rsidRPr="00DC62A0">
        <w:t>The overall positive effect of the intervention could be caused by the foundation received from the earlier performed eye-tracking study completed with retrospective think-aloud. It helped identify reading problems in particular, but also other limiting strategies and helped to shape the intervention to fit the students’ needs as well as possible.</w:t>
      </w:r>
    </w:p>
    <w:p w14:paraId="27157B67" w14:textId="77777777" w:rsidR="00155C56" w:rsidRPr="00DC62A0" w:rsidRDefault="00155C56" w:rsidP="00FE5C44">
      <w:r w:rsidRPr="00DC62A0">
        <w:t>Another favorable aspect of the intervention was the combination of using problem tasks, expertly evaluated (and if needed altered) groupwork, gradually phased problem-solving steps and formative assessment, which seems to have led to the positive results. This approach led to error retrieval in quite a short period of time (2 months, 1 lesson a week).</w:t>
      </w:r>
    </w:p>
    <w:p w14:paraId="7E2BE8D1" w14:textId="77777777" w:rsidR="00155C56" w:rsidRPr="00DC62A0" w:rsidRDefault="00155C56" w:rsidP="00FE5C44">
      <w:r w:rsidRPr="00DC62A0">
        <w:t>Based on the experience with the tasks, their more frequent use can be recommended by the teacher. The question of the task results’ evaluation can be solved either by using open-ended questions or multiple-tier tasks to limit the false-positive results.</w:t>
      </w:r>
    </w:p>
    <w:p w14:paraId="758FA849" w14:textId="77777777" w:rsidR="00155C56" w:rsidRPr="00DC62A0" w:rsidRDefault="00155C56" w:rsidP="00FE5C44">
      <w:r w:rsidRPr="00DC62A0">
        <w:t>With enough data about students’ problem-solving skills gathered from several studies like this, the qualitative phase (think aloud supported with eye-tracking study) could be omitted. Students could be tested only to find their actual state of knowledge and skills based on a pre-test. Later, a set of “bespoke” tasks (different versions of the tasks based on the pre-test) could be used in a similar way.</w:t>
      </w:r>
    </w:p>
    <w:p w14:paraId="2337FD38" w14:textId="77777777" w:rsidR="00155C56" w:rsidRPr="00361DBB" w:rsidRDefault="00155C56" w:rsidP="00FE5C44">
      <w:pPr>
        <w:pStyle w:val="Nadpis1"/>
      </w:pPr>
      <w:r w:rsidRPr="00361DBB">
        <w:lastRenderedPageBreak/>
        <w:t>Implications</w:t>
      </w:r>
    </w:p>
    <w:p w14:paraId="35FA1B32" w14:textId="77777777" w:rsidR="00155C56" w:rsidRPr="00DC62A0" w:rsidRDefault="00155C56" w:rsidP="00FE5C44">
      <w:pPr>
        <w:pStyle w:val="Nadpis2"/>
      </w:pPr>
      <w:r w:rsidRPr="00DC62A0">
        <w:t>For educators</w:t>
      </w:r>
    </w:p>
    <w:p w14:paraId="56F21C70" w14:textId="77777777" w:rsidR="00155C56" w:rsidRPr="00DC62A0" w:rsidRDefault="00155C56" w:rsidP="00FE5C44">
      <w:r w:rsidRPr="00DC62A0">
        <w:t>As the problem-solving ability is one of 21</w:t>
      </w:r>
      <w:r w:rsidRPr="00DC62A0">
        <w:rPr>
          <w:vertAlign w:val="superscript"/>
        </w:rPr>
        <w:t>st</w:t>
      </w:r>
      <w:r w:rsidRPr="00DC62A0">
        <w:t xml:space="preserve"> century competencies</w:t>
      </w:r>
      <w:r w:rsidRPr="00462733">
        <w:rPr>
          <w:noProof/>
          <w:vertAlign w:val="superscript"/>
        </w:rPr>
        <w:t>14</w:t>
      </w:r>
      <w:r w:rsidRPr="00DC62A0">
        <w:t>, teachers should build their lessons around problem tasks which on one hand contain subject-matter of a corresponding topic, and, on the other hand, develop students’ problem-solving skills. Having students work in groups further adds to other skills such as groupwork and communication. Moreover, using the traffic-light method of formative feedback proved to be an effective tool in classroom instruction.</w:t>
      </w:r>
    </w:p>
    <w:p w14:paraId="2139D546" w14:textId="77777777" w:rsidR="00155C56" w:rsidRPr="00DC62A0" w:rsidRDefault="00155C56" w:rsidP="00FE5C44">
      <w:pPr>
        <w:pStyle w:val="Nadpis2"/>
      </w:pPr>
      <w:r w:rsidRPr="00DC62A0">
        <w:t>For researchers</w:t>
      </w:r>
    </w:p>
    <w:p w14:paraId="42B79713" w14:textId="77777777" w:rsidR="00155C56" w:rsidRPr="00DC62A0" w:rsidRDefault="00155C56" w:rsidP="00FE5C44">
      <w:r w:rsidRPr="00DC62A0">
        <w:t>A cooperation of a teacher with a researcher proved to fill the gap between educational research and the implemented curriculum. The research results relevant to the lesson instruction had their value for the teacher. In addition, the researcher could experience an unusually instant effect of the offered evidence-based improvements.</w:t>
      </w:r>
    </w:p>
    <w:p w14:paraId="58E691E3" w14:textId="77777777" w:rsidR="006C08A4" w:rsidRDefault="006C08A4" w:rsidP="006C08A4">
      <w:pPr>
        <w:ind w:firstLine="0"/>
      </w:pPr>
    </w:p>
    <w:p w14:paraId="182B9A08" w14:textId="35034122" w:rsidR="00155C56" w:rsidRPr="006C08A4" w:rsidRDefault="00155C56" w:rsidP="006C08A4">
      <w:pPr>
        <w:ind w:firstLine="0"/>
        <w:rPr>
          <w:b/>
          <w:bCs/>
        </w:rPr>
      </w:pPr>
      <w:r w:rsidRPr="006C08A4">
        <w:rPr>
          <w:b/>
          <w:bCs/>
        </w:rPr>
        <w:t>Acknowledgments</w:t>
      </w:r>
    </w:p>
    <w:p w14:paraId="5BC0EE7C" w14:textId="77777777" w:rsidR="00155C56" w:rsidRPr="00DC62A0" w:rsidRDefault="00155C56" w:rsidP="00FE5C44">
      <w:r w:rsidRPr="00DC62A0">
        <w:rPr>
          <w:lang w:val="en-GB"/>
        </w:rPr>
        <w:t>This work has been supported by the Charles University Research Centre program No. UNCE/HUM/024.</w:t>
      </w:r>
    </w:p>
    <w:p w14:paraId="27080B6A" w14:textId="77777777" w:rsidR="006C08A4" w:rsidRDefault="006C08A4" w:rsidP="006C08A4">
      <w:pPr>
        <w:ind w:firstLine="0"/>
        <w:rPr>
          <w:b/>
          <w:bCs/>
        </w:rPr>
      </w:pPr>
    </w:p>
    <w:p w14:paraId="1389F320" w14:textId="207797D2" w:rsidR="00155C56" w:rsidRPr="006C08A4" w:rsidRDefault="00155C56" w:rsidP="006C08A4">
      <w:pPr>
        <w:ind w:firstLine="0"/>
        <w:rPr>
          <w:b/>
          <w:bCs/>
        </w:rPr>
      </w:pPr>
      <w:r w:rsidRPr="006C08A4">
        <w:rPr>
          <w:b/>
          <w:bCs/>
        </w:rPr>
        <w:t>Declaration of interest</w:t>
      </w:r>
    </w:p>
    <w:p w14:paraId="2E40D191" w14:textId="77777777" w:rsidR="00155C56" w:rsidRPr="00DC62A0" w:rsidRDefault="00155C56" w:rsidP="00FE5C44">
      <w:pPr>
        <w:rPr>
          <w:w w:val="108"/>
        </w:rPr>
      </w:pPr>
      <w:r w:rsidRPr="00DC62A0">
        <w:rPr>
          <w:w w:val="108"/>
        </w:rPr>
        <w:t>As it was action research, the first author was teaching the students. No other conflict is to declare.</w:t>
      </w:r>
    </w:p>
    <w:p w14:paraId="07B47156" w14:textId="77777777" w:rsidR="00155C56" w:rsidRPr="00361DBB" w:rsidRDefault="00155C56" w:rsidP="00FE5C44">
      <w:pPr>
        <w:pStyle w:val="Nadpis1"/>
      </w:pPr>
      <w:r>
        <w:t>Reference</w:t>
      </w:r>
    </w:p>
    <w:p w14:paraId="306C9290" w14:textId="77777777" w:rsidR="00155C56" w:rsidRPr="00DC64A1" w:rsidRDefault="00155C56" w:rsidP="006C08A4">
      <w:pPr>
        <w:pStyle w:val="EndNoteBibliography"/>
        <w:tabs>
          <w:tab w:val="left" w:pos="567"/>
        </w:tabs>
        <w:ind w:left="567" w:hanging="567"/>
      </w:pPr>
      <w:r w:rsidRPr="00DC64A1">
        <w:t>1.</w:t>
      </w:r>
      <w:r w:rsidRPr="00DC64A1">
        <w:tab/>
        <w:t xml:space="preserve">N. Costa; L. Marques; R. Kempa. </w:t>
      </w:r>
      <w:r w:rsidRPr="00DC64A1">
        <w:rPr>
          <w:i/>
        </w:rPr>
        <w:t>Res. Sci. Tech. Educ.</w:t>
      </w:r>
      <w:r w:rsidRPr="00DC64A1">
        <w:t xml:space="preserve"> </w:t>
      </w:r>
      <w:r w:rsidRPr="00DC64A1">
        <w:rPr>
          <w:b/>
        </w:rPr>
        <w:t>2000,</w:t>
      </w:r>
      <w:r w:rsidRPr="00DC64A1">
        <w:t xml:space="preserve"> </w:t>
      </w:r>
      <w:r w:rsidRPr="00DC64A1">
        <w:rPr>
          <w:i/>
        </w:rPr>
        <w:t>18</w:t>
      </w:r>
      <w:r w:rsidRPr="00DC64A1">
        <w:t xml:space="preserve">, 37-44. </w:t>
      </w:r>
      <w:r w:rsidRPr="00DC64A1">
        <w:rPr>
          <w:b/>
        </w:rPr>
        <w:t>DOI:</w:t>
      </w:r>
      <w:r w:rsidRPr="00DC64A1">
        <w:t xml:space="preserve"> 10.1080/713694955</w:t>
      </w:r>
    </w:p>
    <w:p w14:paraId="503F5921" w14:textId="77777777" w:rsidR="00155C56" w:rsidRPr="00DC64A1" w:rsidRDefault="00155C56" w:rsidP="006C08A4">
      <w:pPr>
        <w:pStyle w:val="EndNoteBibliography"/>
        <w:tabs>
          <w:tab w:val="left" w:pos="567"/>
        </w:tabs>
        <w:ind w:left="567" w:hanging="567"/>
      </w:pPr>
      <w:r w:rsidRPr="004A264B">
        <w:rPr>
          <w:lang w:val="de-DE"/>
        </w:rPr>
        <w:t>2.</w:t>
      </w:r>
      <w:r w:rsidRPr="004A264B">
        <w:rPr>
          <w:lang w:val="de-DE"/>
        </w:rPr>
        <w:tab/>
        <w:t xml:space="preserve">R. Vanderlinde; J. van Braak. </w:t>
      </w:r>
      <w:r w:rsidRPr="00DC64A1">
        <w:rPr>
          <w:i/>
        </w:rPr>
        <w:t>Brit. Educ. Res. J.</w:t>
      </w:r>
      <w:r w:rsidRPr="00DC64A1">
        <w:t xml:space="preserve"> </w:t>
      </w:r>
      <w:r w:rsidRPr="00DC64A1">
        <w:rPr>
          <w:b/>
        </w:rPr>
        <w:t>2010,</w:t>
      </w:r>
      <w:r w:rsidRPr="00DC64A1">
        <w:t xml:space="preserve"> </w:t>
      </w:r>
      <w:r w:rsidRPr="00DC64A1">
        <w:rPr>
          <w:i/>
        </w:rPr>
        <w:t>36</w:t>
      </w:r>
      <w:r w:rsidRPr="00DC64A1">
        <w:t xml:space="preserve">, 299-316. </w:t>
      </w:r>
      <w:r w:rsidRPr="00DC64A1">
        <w:rPr>
          <w:b/>
        </w:rPr>
        <w:t>DOI:</w:t>
      </w:r>
      <w:r w:rsidRPr="00DC64A1">
        <w:t xml:space="preserve"> 10.1080/01411920902919257</w:t>
      </w:r>
    </w:p>
    <w:p w14:paraId="294B3762" w14:textId="77777777" w:rsidR="00155C56" w:rsidRPr="00DC64A1" w:rsidRDefault="00155C56" w:rsidP="006C08A4">
      <w:pPr>
        <w:pStyle w:val="EndNoteBibliography"/>
        <w:tabs>
          <w:tab w:val="left" w:pos="567"/>
        </w:tabs>
        <w:ind w:left="567" w:hanging="567"/>
      </w:pPr>
      <w:r w:rsidRPr="00DC64A1">
        <w:t>3.</w:t>
      </w:r>
      <w:r w:rsidRPr="00DC64A1">
        <w:tab/>
        <w:t>W. Carr, Becoming critical: Knowing through action research. Deakin University: 1983.</w:t>
      </w:r>
    </w:p>
    <w:p w14:paraId="45986FC3" w14:textId="77777777" w:rsidR="00155C56" w:rsidRPr="00DC64A1" w:rsidRDefault="00155C56" w:rsidP="006C08A4">
      <w:pPr>
        <w:pStyle w:val="EndNoteBibliography"/>
        <w:tabs>
          <w:tab w:val="left" w:pos="567"/>
        </w:tabs>
        <w:ind w:left="567" w:hanging="567"/>
      </w:pPr>
      <w:r w:rsidRPr="00DC64A1">
        <w:t>4.</w:t>
      </w:r>
      <w:r w:rsidRPr="00DC64A1">
        <w:tab/>
        <w:t xml:space="preserve">M. Souto-Manning. </w:t>
      </w:r>
      <w:r w:rsidRPr="00DC64A1">
        <w:rPr>
          <w:i/>
        </w:rPr>
        <w:t>Childhood Educ.</w:t>
      </w:r>
      <w:r w:rsidRPr="00DC64A1">
        <w:t xml:space="preserve"> </w:t>
      </w:r>
      <w:r w:rsidRPr="00DC64A1">
        <w:rPr>
          <w:b/>
        </w:rPr>
        <w:t>2012,</w:t>
      </w:r>
      <w:r w:rsidRPr="00DC64A1">
        <w:t xml:space="preserve"> </w:t>
      </w:r>
      <w:r w:rsidRPr="00DC64A1">
        <w:rPr>
          <w:i/>
        </w:rPr>
        <w:t>88</w:t>
      </w:r>
      <w:r w:rsidRPr="00DC64A1">
        <w:t xml:space="preserve">, 54-56. </w:t>
      </w:r>
      <w:r w:rsidRPr="00DC64A1">
        <w:rPr>
          <w:b/>
        </w:rPr>
        <w:t>DOI:</w:t>
      </w:r>
      <w:r w:rsidRPr="00DC64A1">
        <w:t xml:space="preserve"> 10.1080/00094056.2012.643726</w:t>
      </w:r>
    </w:p>
    <w:p w14:paraId="0404586C" w14:textId="77777777" w:rsidR="00155C56" w:rsidRPr="00DC64A1" w:rsidRDefault="00155C56" w:rsidP="006C08A4">
      <w:pPr>
        <w:pStyle w:val="EndNoteBibliography"/>
        <w:tabs>
          <w:tab w:val="left" w:pos="567"/>
        </w:tabs>
        <w:ind w:left="567" w:hanging="567"/>
      </w:pPr>
      <w:r w:rsidRPr="00DC64A1">
        <w:t>5.</w:t>
      </w:r>
      <w:r w:rsidRPr="00DC64A1">
        <w:tab/>
        <w:t xml:space="preserve">L. Partanen. How student-centred teaching in quantum chemistry affects students' experiences of learning and motivation-a self-determination theory perspective </w:t>
      </w:r>
      <w:r w:rsidRPr="00DC64A1">
        <w:rPr>
          <w:b/>
        </w:rPr>
        <w:t>2020,</w:t>
      </w:r>
      <w:r w:rsidRPr="00DC64A1">
        <w:t xml:space="preserve"> 21, 79-94. </w:t>
      </w:r>
      <w:r w:rsidRPr="00DC64A1">
        <w:rPr>
          <w:b/>
        </w:rPr>
        <w:t>DOI:</w:t>
      </w:r>
      <w:r w:rsidRPr="00DC64A1">
        <w:t xml:space="preserve"> 10.1039/c9rp00036d</w:t>
      </w:r>
    </w:p>
    <w:p w14:paraId="35C0CCC6" w14:textId="77777777" w:rsidR="00155C56" w:rsidRPr="00DC64A1" w:rsidRDefault="00155C56" w:rsidP="006C08A4">
      <w:pPr>
        <w:pStyle w:val="EndNoteBibliography"/>
        <w:tabs>
          <w:tab w:val="left" w:pos="567"/>
        </w:tabs>
        <w:ind w:left="567" w:hanging="567"/>
      </w:pPr>
      <w:r w:rsidRPr="00DC64A1">
        <w:t>6.</w:t>
      </w:r>
      <w:r w:rsidRPr="00DC64A1">
        <w:tab/>
        <w:t xml:space="preserve">M. Stuckey; I. Eilks. Increasing student motivation and the perception of chemistry's relevance in the classroom by learning about tattooing from a chemical and societal view </w:t>
      </w:r>
      <w:r w:rsidRPr="00DC64A1">
        <w:rPr>
          <w:b/>
        </w:rPr>
        <w:t>2014,</w:t>
      </w:r>
      <w:r w:rsidRPr="00DC64A1">
        <w:t xml:space="preserve"> 15, 156-167. </w:t>
      </w:r>
      <w:r w:rsidRPr="00DC64A1">
        <w:rPr>
          <w:b/>
        </w:rPr>
        <w:t>DOI:</w:t>
      </w:r>
      <w:r w:rsidRPr="00DC64A1">
        <w:t xml:space="preserve"> 10.1039/c3rp00146f</w:t>
      </w:r>
    </w:p>
    <w:p w14:paraId="407CA1D8" w14:textId="572ED748" w:rsidR="00155C56" w:rsidRPr="00DC64A1" w:rsidRDefault="00155C56" w:rsidP="006C08A4">
      <w:pPr>
        <w:pStyle w:val="EndNoteBibliography"/>
        <w:tabs>
          <w:tab w:val="left" w:pos="567"/>
        </w:tabs>
        <w:ind w:left="567" w:hanging="567"/>
      </w:pPr>
      <w:r w:rsidRPr="00DC64A1">
        <w:t>7.</w:t>
      </w:r>
      <w:r w:rsidRPr="00DC64A1">
        <w:tab/>
        <w:t xml:space="preserve">C. A. Mertler, Action research: Teachers as researchers in the classroom. Sage </w:t>
      </w:r>
      <w:r w:rsidRPr="002C7B7A">
        <w:rPr>
          <w:b/>
          <w:bCs/>
        </w:rPr>
        <w:t>2009</w:t>
      </w:r>
      <w:r w:rsidRPr="00DC64A1">
        <w:t>.</w:t>
      </w:r>
    </w:p>
    <w:p w14:paraId="0859B41D" w14:textId="12E633EE" w:rsidR="00155C56" w:rsidRPr="00DC64A1" w:rsidRDefault="00155C56" w:rsidP="006C08A4">
      <w:pPr>
        <w:pStyle w:val="EndNoteBibliography"/>
        <w:tabs>
          <w:tab w:val="left" w:pos="567"/>
        </w:tabs>
        <w:ind w:left="567" w:hanging="567"/>
      </w:pPr>
      <w:r w:rsidRPr="00DC64A1">
        <w:t>8.</w:t>
      </w:r>
      <w:r w:rsidRPr="00DC64A1">
        <w:tab/>
      </w:r>
      <w:r w:rsidR="002C7B7A" w:rsidRPr="002C7B7A">
        <w:t xml:space="preserve">L. Cohen; L. Manion; K. Morrison, Educational research methodology. Metaixmio: Athens, </w:t>
      </w:r>
      <w:r w:rsidR="002C7B7A" w:rsidRPr="002C7B7A">
        <w:rPr>
          <w:b/>
          <w:bCs/>
        </w:rPr>
        <w:t>1994</w:t>
      </w:r>
      <w:r w:rsidR="002C7B7A" w:rsidRPr="002C7B7A">
        <w:t>.</w:t>
      </w:r>
      <w:r w:rsidRPr="00DC64A1">
        <w:t xml:space="preserve"> </w:t>
      </w:r>
    </w:p>
    <w:p w14:paraId="745F6B70" w14:textId="58A13CF2" w:rsidR="00155C56" w:rsidRPr="00DC64A1" w:rsidRDefault="00155C56" w:rsidP="006C08A4">
      <w:pPr>
        <w:pStyle w:val="EndNoteBibliography"/>
        <w:tabs>
          <w:tab w:val="left" w:pos="567"/>
        </w:tabs>
        <w:ind w:left="567" w:hanging="567"/>
      </w:pPr>
      <w:r w:rsidRPr="00DC64A1">
        <w:t>9.</w:t>
      </w:r>
      <w:r w:rsidRPr="00DC64A1">
        <w:tab/>
      </w:r>
      <w:r w:rsidR="002C7B7A" w:rsidRPr="002C7B7A">
        <w:t xml:space="preserve">M. Rusek. Výzkum postojů žáků středních škol k výuce chemie na základní škole [Research on students’ attitudes towards chemistry education at lower-secondary schools]. [Doctral dissertation], Univerzita Karlova, Praha, </w:t>
      </w:r>
      <w:r w:rsidR="002C7B7A" w:rsidRPr="002C7B7A">
        <w:rPr>
          <w:b/>
          <w:bCs/>
        </w:rPr>
        <w:t>2013</w:t>
      </w:r>
      <w:r w:rsidR="002C7B7A" w:rsidRPr="002C7B7A">
        <w:t>.</w:t>
      </w:r>
    </w:p>
    <w:p w14:paraId="0BA99CA7" w14:textId="77777777" w:rsidR="00155C56" w:rsidRPr="00DC64A1" w:rsidRDefault="00155C56" w:rsidP="006C08A4">
      <w:pPr>
        <w:pStyle w:val="EndNoteBibliography"/>
        <w:tabs>
          <w:tab w:val="left" w:pos="567"/>
        </w:tabs>
        <w:ind w:left="567" w:hanging="567"/>
      </w:pPr>
      <w:r w:rsidRPr="00DC64A1">
        <w:t>10.</w:t>
      </w:r>
      <w:r w:rsidRPr="00DC64A1">
        <w:tab/>
        <w:t xml:space="preserve">M. Rusek. </w:t>
      </w:r>
      <w:r w:rsidRPr="00DC64A1">
        <w:rPr>
          <w:i/>
        </w:rPr>
        <w:t>Scientia Educ.</w:t>
      </w:r>
      <w:r w:rsidRPr="00DC64A1">
        <w:t xml:space="preserve"> </w:t>
      </w:r>
      <w:r w:rsidRPr="00DC64A1">
        <w:rPr>
          <w:b/>
        </w:rPr>
        <w:t>2014,</w:t>
      </w:r>
      <w:r w:rsidRPr="00DC64A1">
        <w:t xml:space="preserve"> </w:t>
      </w:r>
      <w:r w:rsidRPr="00DC64A1">
        <w:rPr>
          <w:i/>
        </w:rPr>
        <w:t>5</w:t>
      </w:r>
      <w:r w:rsidRPr="00DC64A1">
        <w:t xml:space="preserve">, 13-29. </w:t>
      </w:r>
      <w:r w:rsidRPr="00DC64A1">
        <w:rPr>
          <w:b/>
        </w:rPr>
        <w:t>DOI:</w:t>
      </w:r>
      <w:r w:rsidRPr="00DC64A1">
        <w:t xml:space="preserve"> 10.14712/18047106.113</w:t>
      </w:r>
    </w:p>
    <w:p w14:paraId="5289C643" w14:textId="448FAEB9" w:rsidR="002C7B7A" w:rsidRDefault="002C7B7A" w:rsidP="006C08A4">
      <w:pPr>
        <w:pStyle w:val="EndNoteBibliography"/>
        <w:tabs>
          <w:tab w:val="left" w:pos="567"/>
        </w:tabs>
        <w:ind w:left="567" w:hanging="567"/>
      </w:pPr>
      <w:r>
        <w:lastRenderedPageBreak/>
        <w:t>11.</w:t>
      </w:r>
      <w:r>
        <w:tab/>
        <w:t xml:space="preserve">Rámcový vzdělávací program pro gymnázia [Framework educational programme for grammar schools]. Výzkumný ústav pedagogický v Praze, Praha, </w:t>
      </w:r>
      <w:r w:rsidRPr="002C7B7A">
        <w:rPr>
          <w:b/>
          <w:bCs/>
        </w:rPr>
        <w:t>2007</w:t>
      </w:r>
      <w:r>
        <w:t>; p 100.</w:t>
      </w:r>
    </w:p>
    <w:p w14:paraId="2C230E88" w14:textId="0A87D002" w:rsidR="00155C56" w:rsidRPr="00DC64A1" w:rsidRDefault="002C7B7A" w:rsidP="006C08A4">
      <w:pPr>
        <w:pStyle w:val="EndNoteBibliography"/>
        <w:tabs>
          <w:tab w:val="left" w:pos="567"/>
        </w:tabs>
        <w:ind w:left="567" w:hanging="567"/>
      </w:pPr>
      <w:r>
        <w:t>12.</w:t>
      </w:r>
      <w:r>
        <w:tab/>
        <w:t xml:space="preserve">Rámcový vzdělávací program pro obor vzdělání 78-42-M/02 Ekonomické lyceum [Framework educational programme for vocational field 78-42-M/02 Economic lyceum]. </w:t>
      </w:r>
      <w:r w:rsidRPr="004A264B">
        <w:rPr>
          <w:lang w:val="de-DE"/>
        </w:rPr>
        <w:t xml:space="preserve">NÚOV: Praha, </w:t>
      </w:r>
      <w:r w:rsidRPr="004A264B">
        <w:rPr>
          <w:b/>
          <w:bCs/>
          <w:lang w:val="de-DE"/>
        </w:rPr>
        <w:t>2007</w:t>
      </w:r>
      <w:r w:rsidRPr="004A264B">
        <w:rPr>
          <w:lang w:val="de-DE"/>
        </w:rPr>
        <w:t>.</w:t>
      </w:r>
      <w:r w:rsidR="00155C56" w:rsidRPr="004A264B">
        <w:rPr>
          <w:lang w:val="de-DE"/>
        </w:rPr>
        <w:t>13.</w:t>
      </w:r>
      <w:r w:rsidR="00155C56" w:rsidRPr="004A264B">
        <w:rPr>
          <w:lang w:val="de-DE"/>
        </w:rPr>
        <w:tab/>
        <w:t xml:space="preserve">R. Elmas; M. Rusek; A. Lindell; P. Nieminen; K. Kasapoglu; M. Bílek. </w:t>
      </w:r>
      <w:r w:rsidR="00155C56" w:rsidRPr="00DC64A1">
        <w:rPr>
          <w:i/>
        </w:rPr>
        <w:t>Chem. Educ. Res. Pract.</w:t>
      </w:r>
      <w:r w:rsidR="00155C56" w:rsidRPr="00DC64A1">
        <w:t xml:space="preserve"> </w:t>
      </w:r>
      <w:r w:rsidR="00155C56" w:rsidRPr="00DC64A1">
        <w:rPr>
          <w:b/>
        </w:rPr>
        <w:t>2020,</w:t>
      </w:r>
      <w:r w:rsidR="00155C56" w:rsidRPr="00DC64A1">
        <w:t xml:space="preserve"> </w:t>
      </w:r>
      <w:r w:rsidR="00155C56" w:rsidRPr="00DC64A1">
        <w:rPr>
          <w:i/>
        </w:rPr>
        <w:t>21</w:t>
      </w:r>
      <w:r w:rsidR="00155C56" w:rsidRPr="00DC64A1">
        <w:t xml:space="preserve">, 839-851. </w:t>
      </w:r>
      <w:r w:rsidR="00155C56" w:rsidRPr="00DC64A1">
        <w:rPr>
          <w:b/>
        </w:rPr>
        <w:t>DOI:</w:t>
      </w:r>
      <w:r w:rsidR="00155C56" w:rsidRPr="00DC64A1">
        <w:t xml:space="preserve"> 10.1039/D0RP00058B</w:t>
      </w:r>
    </w:p>
    <w:p w14:paraId="57F13AB1" w14:textId="77777777" w:rsidR="00155C56" w:rsidRPr="00DC64A1" w:rsidRDefault="00155C56" w:rsidP="006C08A4">
      <w:pPr>
        <w:pStyle w:val="EndNoteBibliography"/>
        <w:tabs>
          <w:tab w:val="left" w:pos="567"/>
        </w:tabs>
        <w:ind w:left="567" w:hanging="567"/>
      </w:pPr>
      <w:r w:rsidRPr="00DC64A1">
        <w:t>14.</w:t>
      </w:r>
      <w:r w:rsidRPr="00DC64A1">
        <w:tab/>
        <w:t>J. A. Bellanca, 21st century skills: Rethinking how students learn. Solution Tree Press: 2010.</w:t>
      </w:r>
    </w:p>
    <w:p w14:paraId="5C65767C" w14:textId="77777777" w:rsidR="00155C56" w:rsidRPr="00DC64A1" w:rsidRDefault="00155C56" w:rsidP="006C08A4">
      <w:pPr>
        <w:pStyle w:val="EndNoteBibliography"/>
        <w:tabs>
          <w:tab w:val="left" w:pos="567"/>
        </w:tabs>
        <w:ind w:left="567" w:hanging="567"/>
      </w:pPr>
      <w:r w:rsidRPr="00DC64A1">
        <w:t>15.</w:t>
      </w:r>
      <w:r w:rsidRPr="00DC64A1">
        <w:tab/>
        <w:t xml:space="preserve">B. Sket; S. A. Glazar; J. Vogrinc. </w:t>
      </w:r>
      <w:r w:rsidRPr="00DC64A1">
        <w:rPr>
          <w:i/>
        </w:rPr>
        <w:t>Acta Chim. Slov.</w:t>
      </w:r>
      <w:r w:rsidRPr="00DC64A1">
        <w:t xml:space="preserve"> </w:t>
      </w:r>
      <w:r w:rsidRPr="00DC64A1">
        <w:rPr>
          <w:b/>
        </w:rPr>
        <w:t>2015,</w:t>
      </w:r>
      <w:r w:rsidRPr="00DC64A1">
        <w:t xml:space="preserve"> </w:t>
      </w:r>
      <w:r w:rsidRPr="00DC64A1">
        <w:rPr>
          <w:i/>
        </w:rPr>
        <w:t>62</w:t>
      </w:r>
      <w:r w:rsidRPr="00DC64A1">
        <w:t xml:space="preserve">, 462-472. </w:t>
      </w:r>
      <w:r w:rsidRPr="00DC64A1">
        <w:rPr>
          <w:b/>
        </w:rPr>
        <w:t>DOI:</w:t>
      </w:r>
      <w:r w:rsidRPr="00DC64A1">
        <w:t xml:space="preserve"> 10.17344/acsi.2014.1148</w:t>
      </w:r>
    </w:p>
    <w:p w14:paraId="3B7F5940" w14:textId="77777777" w:rsidR="00155C56" w:rsidRPr="00DC64A1" w:rsidRDefault="00155C56" w:rsidP="006C08A4">
      <w:pPr>
        <w:pStyle w:val="EndNoteBibliography"/>
        <w:tabs>
          <w:tab w:val="left" w:pos="567"/>
        </w:tabs>
        <w:ind w:left="567" w:hanging="567"/>
      </w:pPr>
      <w:r w:rsidRPr="00DC64A1">
        <w:t>16.</w:t>
      </w:r>
      <w:r w:rsidRPr="00DC64A1">
        <w:tab/>
        <w:t xml:space="preserve">R. F. Angawi. Using a problem solving-cooperative learning approach to improve students' skills for interpreting 1H NMR spectra of unknown compounds in an organic spectroscopy course </w:t>
      </w:r>
      <w:r w:rsidRPr="00DC64A1">
        <w:rPr>
          <w:b/>
        </w:rPr>
        <w:t>2014,</w:t>
      </w:r>
      <w:r w:rsidRPr="00DC64A1">
        <w:t xml:space="preserve"> 91, 823-829. </w:t>
      </w:r>
      <w:r w:rsidRPr="00DC64A1">
        <w:rPr>
          <w:b/>
        </w:rPr>
        <w:t>DOI:</w:t>
      </w:r>
      <w:r w:rsidRPr="00DC64A1">
        <w:t xml:space="preserve"> 10.1021/ed4004436</w:t>
      </w:r>
    </w:p>
    <w:p w14:paraId="1F8FBCCD" w14:textId="77777777" w:rsidR="00155C56" w:rsidRPr="00DC64A1" w:rsidRDefault="00155C56" w:rsidP="006C08A4">
      <w:pPr>
        <w:pStyle w:val="EndNoteBibliography"/>
        <w:tabs>
          <w:tab w:val="left" w:pos="567"/>
        </w:tabs>
        <w:ind w:left="567" w:hanging="567"/>
      </w:pPr>
      <w:r w:rsidRPr="00DC64A1">
        <w:t>17.</w:t>
      </w:r>
      <w:r w:rsidRPr="00DC64A1">
        <w:tab/>
        <w:t xml:space="preserve">E. Hejnová; M. Kekule. </w:t>
      </w:r>
      <w:r w:rsidRPr="00DC64A1">
        <w:rPr>
          <w:i/>
        </w:rPr>
        <w:t>Scientia Educ.</w:t>
      </w:r>
      <w:r w:rsidRPr="00DC64A1">
        <w:t xml:space="preserve"> </w:t>
      </w:r>
      <w:r w:rsidRPr="00DC64A1">
        <w:rPr>
          <w:b/>
        </w:rPr>
        <w:t>2018,</w:t>
      </w:r>
      <w:r w:rsidRPr="00DC64A1">
        <w:t xml:space="preserve"> </w:t>
      </w:r>
      <w:r w:rsidRPr="00DC64A1">
        <w:rPr>
          <w:i/>
        </w:rPr>
        <w:t>9</w:t>
      </w:r>
      <w:r w:rsidRPr="00DC64A1">
        <w:t xml:space="preserve">, 102-116. </w:t>
      </w:r>
      <w:r w:rsidRPr="00DC64A1">
        <w:rPr>
          <w:b/>
        </w:rPr>
        <w:t>DOI:</w:t>
      </w:r>
      <w:r w:rsidRPr="00DC64A1">
        <w:t xml:space="preserve"> 10.14712/18047106.1018</w:t>
      </w:r>
    </w:p>
    <w:p w14:paraId="684AC210" w14:textId="77777777" w:rsidR="00155C56" w:rsidRPr="00DC64A1" w:rsidRDefault="00155C56" w:rsidP="006C08A4">
      <w:pPr>
        <w:pStyle w:val="EndNoteBibliography"/>
        <w:tabs>
          <w:tab w:val="left" w:pos="567"/>
        </w:tabs>
        <w:ind w:left="567" w:hanging="567"/>
      </w:pPr>
      <w:r w:rsidRPr="00DC64A1">
        <w:t>18.</w:t>
      </w:r>
      <w:r w:rsidRPr="00DC64A1">
        <w:tab/>
        <w:t xml:space="preserve">A. H. Johnstone. </w:t>
      </w:r>
      <w:r w:rsidRPr="00DC64A1">
        <w:rPr>
          <w:i/>
        </w:rPr>
        <w:t>Uni. Chem. Educ.</w:t>
      </w:r>
      <w:r w:rsidRPr="00DC64A1">
        <w:t xml:space="preserve"> </w:t>
      </w:r>
      <w:r w:rsidRPr="00DC64A1">
        <w:rPr>
          <w:b/>
        </w:rPr>
        <w:t>2001,</w:t>
      </w:r>
      <w:r w:rsidRPr="00DC64A1">
        <w:t xml:space="preserve"> </w:t>
      </w:r>
      <w:r w:rsidRPr="00DC64A1">
        <w:rPr>
          <w:i/>
        </w:rPr>
        <w:t>5</w:t>
      </w:r>
      <w:r w:rsidRPr="00DC64A1">
        <w:t xml:space="preserve">, 12-18. </w:t>
      </w:r>
    </w:p>
    <w:p w14:paraId="1703C57E" w14:textId="77777777" w:rsidR="00155C56" w:rsidRPr="00DC64A1" w:rsidRDefault="00155C56" w:rsidP="006C08A4">
      <w:pPr>
        <w:pStyle w:val="EndNoteBibliography"/>
        <w:tabs>
          <w:tab w:val="left" w:pos="567"/>
        </w:tabs>
        <w:ind w:left="567" w:hanging="567"/>
      </w:pPr>
      <w:r w:rsidRPr="00DC64A1">
        <w:t>19.</w:t>
      </w:r>
      <w:r w:rsidRPr="00DC64A1">
        <w:tab/>
        <w:t xml:space="preserve">OECD, PISA 2018 Results (Volume I). </w:t>
      </w:r>
      <w:r w:rsidRPr="002C7B7A">
        <w:rPr>
          <w:b/>
          <w:bCs/>
        </w:rPr>
        <w:t>2019</w:t>
      </w:r>
      <w:r w:rsidRPr="00DC64A1">
        <w:t>.</w:t>
      </w:r>
    </w:p>
    <w:p w14:paraId="06BC38E9" w14:textId="77777777" w:rsidR="00155C56" w:rsidRPr="00DC64A1" w:rsidRDefault="00155C56" w:rsidP="006C08A4">
      <w:pPr>
        <w:pStyle w:val="EndNoteBibliography"/>
        <w:tabs>
          <w:tab w:val="left" w:pos="567"/>
        </w:tabs>
        <w:ind w:left="567" w:hanging="567"/>
      </w:pPr>
      <w:r w:rsidRPr="00DC64A1">
        <w:t>20.</w:t>
      </w:r>
      <w:r w:rsidRPr="00DC64A1">
        <w:tab/>
        <w:t xml:space="preserve">OECD, PISA 2015 Results (Volume I). </w:t>
      </w:r>
      <w:r w:rsidRPr="002C7B7A">
        <w:rPr>
          <w:b/>
          <w:bCs/>
        </w:rPr>
        <w:t>2016</w:t>
      </w:r>
      <w:r w:rsidRPr="00DC64A1">
        <w:t>.</w:t>
      </w:r>
    </w:p>
    <w:p w14:paraId="67E42427" w14:textId="77777777" w:rsidR="002C7B7A" w:rsidRDefault="002C7B7A" w:rsidP="006C08A4">
      <w:pPr>
        <w:pStyle w:val="EndNoteBibliography"/>
        <w:tabs>
          <w:tab w:val="left" w:pos="567"/>
        </w:tabs>
        <w:ind w:left="567" w:hanging="567"/>
      </w:pPr>
      <w:r>
        <w:t>21.</w:t>
      </w:r>
      <w:r>
        <w:tab/>
        <w:t xml:space="preserve">K. Vojíř. Tvorba učebních úloh s problémovými prvky ze vzdělávacího oboru Chemie [Development of chemistry problem tasks]. [Master thesis]. Univerzita Karlova, Praha, </w:t>
      </w:r>
      <w:r w:rsidRPr="002C7B7A">
        <w:rPr>
          <w:b/>
          <w:bCs/>
        </w:rPr>
        <w:t>2017</w:t>
      </w:r>
      <w:r>
        <w:t>.</w:t>
      </w:r>
    </w:p>
    <w:p w14:paraId="1408D3E7" w14:textId="364BD9F0" w:rsidR="00155C56" w:rsidRPr="00DC64A1" w:rsidRDefault="002C7B7A" w:rsidP="006C08A4">
      <w:pPr>
        <w:pStyle w:val="EndNoteBibliography"/>
        <w:tabs>
          <w:tab w:val="left" w:pos="567"/>
        </w:tabs>
        <w:ind w:left="567" w:hanging="567"/>
      </w:pPr>
      <w:r>
        <w:t>22.</w:t>
      </w:r>
      <w:r>
        <w:tab/>
        <w:t xml:space="preserve">K. Koreneková. Výzkum strategií uplatňovaných žáky při řešení problémových úloh z chemie [Research on strategies students use when solving problem tasks]. [Master thesis], Praha, </w:t>
      </w:r>
      <w:r w:rsidRPr="002C7B7A">
        <w:rPr>
          <w:b/>
          <w:bCs/>
        </w:rPr>
        <w:t>2018</w:t>
      </w:r>
      <w:r>
        <w:t>.</w:t>
      </w:r>
    </w:p>
    <w:p w14:paraId="31B5FD7D" w14:textId="2462E05E" w:rsidR="00155C56" w:rsidRPr="004A264B" w:rsidRDefault="00155C56" w:rsidP="006C08A4">
      <w:pPr>
        <w:pStyle w:val="EndNoteBibliography"/>
        <w:tabs>
          <w:tab w:val="left" w:pos="567"/>
        </w:tabs>
        <w:ind w:left="567" w:hanging="567"/>
        <w:rPr>
          <w:lang w:val="de-DE"/>
        </w:rPr>
      </w:pPr>
      <w:r w:rsidRPr="00DC64A1">
        <w:t>23.</w:t>
      </w:r>
      <w:r w:rsidRPr="00DC64A1">
        <w:tab/>
        <w:t xml:space="preserve">I. V. Mullis; A. M. Kennedy; M. O. Martin; M. Sainsbury, PIRLS 2006 Assessment Framework and Specifications: Progress in International Reading Literacy Study. </w:t>
      </w:r>
      <w:r w:rsidRPr="004A264B">
        <w:rPr>
          <w:lang w:val="de-DE"/>
        </w:rPr>
        <w:t xml:space="preserve">ERIC </w:t>
      </w:r>
      <w:r w:rsidRPr="004A264B">
        <w:rPr>
          <w:b/>
          <w:bCs/>
          <w:lang w:val="de-DE"/>
        </w:rPr>
        <w:t>2004</w:t>
      </w:r>
      <w:r w:rsidRPr="004A264B">
        <w:rPr>
          <w:lang w:val="de-DE"/>
        </w:rPr>
        <w:t>.</w:t>
      </w:r>
    </w:p>
    <w:p w14:paraId="2DCA8392" w14:textId="77777777" w:rsidR="00155C56" w:rsidRPr="00DC64A1" w:rsidRDefault="00155C56" w:rsidP="006C08A4">
      <w:pPr>
        <w:pStyle w:val="EndNoteBibliography"/>
        <w:tabs>
          <w:tab w:val="left" w:pos="567"/>
        </w:tabs>
        <w:ind w:left="567" w:hanging="567"/>
      </w:pPr>
      <w:r w:rsidRPr="004A264B">
        <w:rPr>
          <w:lang w:val="de-DE"/>
        </w:rPr>
        <w:t>24.</w:t>
      </w:r>
      <w:r w:rsidRPr="004A264B">
        <w:rPr>
          <w:lang w:val="de-DE"/>
        </w:rPr>
        <w:tab/>
        <w:t xml:space="preserve">S. Greiff; S. Wüstenberg; B. Csapó; A. Demetriou; J. Hautamäki; A. C. Graesser; R. Martin. </w:t>
      </w:r>
      <w:r w:rsidRPr="00DC64A1">
        <w:rPr>
          <w:i/>
        </w:rPr>
        <w:t>Educ. Res. Rev.</w:t>
      </w:r>
      <w:r w:rsidRPr="00DC64A1">
        <w:t xml:space="preserve"> </w:t>
      </w:r>
      <w:r w:rsidRPr="00DC64A1">
        <w:rPr>
          <w:b/>
        </w:rPr>
        <w:t>2014</w:t>
      </w:r>
      <w:r w:rsidRPr="00DC64A1">
        <w:t xml:space="preserve">, 74-83. </w:t>
      </w:r>
      <w:r w:rsidRPr="00DC64A1">
        <w:rPr>
          <w:b/>
        </w:rPr>
        <w:t>DOI:</w:t>
      </w:r>
      <w:r w:rsidRPr="00DC64A1">
        <w:t xml:space="preserve"> 10.1016/j.edurev.2014.10.002</w:t>
      </w:r>
    </w:p>
    <w:p w14:paraId="4D2645BD" w14:textId="77777777" w:rsidR="00155C56" w:rsidRPr="00DC64A1" w:rsidRDefault="00155C56" w:rsidP="006C08A4">
      <w:pPr>
        <w:pStyle w:val="EndNoteBibliography"/>
        <w:tabs>
          <w:tab w:val="left" w:pos="567"/>
        </w:tabs>
        <w:ind w:left="567" w:hanging="567"/>
      </w:pPr>
      <w:r w:rsidRPr="00DC64A1">
        <w:t>25.</w:t>
      </w:r>
      <w:r w:rsidRPr="00DC64A1">
        <w:tab/>
        <w:t xml:space="preserve">G. Polya, </w:t>
      </w:r>
      <w:r w:rsidRPr="00DC64A1">
        <w:rPr>
          <w:i/>
        </w:rPr>
        <w:t>How to solve it: A new aspect of mathematical method</w:t>
      </w:r>
      <w:r w:rsidRPr="00DC64A1">
        <w:t xml:space="preserve">. Princeton university press: New Jersey, </w:t>
      </w:r>
      <w:r w:rsidRPr="002C7B7A">
        <w:rPr>
          <w:b/>
          <w:bCs/>
        </w:rPr>
        <w:t>2004</w:t>
      </w:r>
      <w:r w:rsidRPr="00DC64A1">
        <w:t>.</w:t>
      </w:r>
    </w:p>
    <w:p w14:paraId="504E4B5C" w14:textId="77777777" w:rsidR="00155C56" w:rsidRPr="00DC64A1" w:rsidRDefault="00155C56" w:rsidP="006C08A4">
      <w:pPr>
        <w:pStyle w:val="EndNoteBibliography"/>
        <w:tabs>
          <w:tab w:val="left" w:pos="567"/>
        </w:tabs>
        <w:ind w:left="567" w:hanging="567"/>
      </w:pPr>
      <w:r w:rsidRPr="00DC64A1">
        <w:t>26.</w:t>
      </w:r>
      <w:r w:rsidRPr="00DC64A1">
        <w:tab/>
        <w:t xml:space="preserve">M. Tóthová; M. Rusek; V. Chytrý. </w:t>
      </w:r>
      <w:r w:rsidRPr="00DC64A1">
        <w:rPr>
          <w:i/>
        </w:rPr>
        <w:t>J. Chem. Educ.</w:t>
      </w:r>
      <w:r w:rsidRPr="00DC64A1">
        <w:t xml:space="preserve"> </w:t>
      </w:r>
      <w:r w:rsidRPr="00DC64A1">
        <w:rPr>
          <w:b/>
        </w:rPr>
        <w:t>2021,</w:t>
      </w:r>
      <w:r w:rsidRPr="00DC64A1">
        <w:t xml:space="preserve"> </w:t>
      </w:r>
      <w:r w:rsidRPr="00DC64A1">
        <w:rPr>
          <w:i/>
        </w:rPr>
        <w:t>98</w:t>
      </w:r>
      <w:r w:rsidRPr="00DC64A1">
        <w:t xml:space="preserve">, 1831-1840. </w:t>
      </w:r>
      <w:r w:rsidRPr="00DC64A1">
        <w:rPr>
          <w:b/>
        </w:rPr>
        <w:t>DOI:</w:t>
      </w:r>
      <w:r w:rsidRPr="00DC64A1">
        <w:t xml:space="preserve"> 10.1021/acs.jchemed.1c00167</w:t>
      </w:r>
    </w:p>
    <w:p w14:paraId="66ADF13F" w14:textId="77777777" w:rsidR="00155C56" w:rsidRPr="00DC64A1" w:rsidRDefault="00155C56" w:rsidP="006C08A4">
      <w:pPr>
        <w:pStyle w:val="EndNoteBibliography"/>
        <w:tabs>
          <w:tab w:val="left" w:pos="567"/>
        </w:tabs>
        <w:ind w:left="567" w:hanging="567"/>
      </w:pPr>
      <w:r w:rsidRPr="00DC64A1">
        <w:t>27.</w:t>
      </w:r>
      <w:r w:rsidRPr="00DC64A1">
        <w:tab/>
        <w:t xml:space="preserve">M. L. Lai; M. J. Tsai; F. Y. Yang; C. Y. Hsu; T. C. Liu; S. W. Y. Lee; M. H. Lee; G. L. Chiou; J. C. Liang; C. C. Tsai. </w:t>
      </w:r>
      <w:r w:rsidRPr="00DC64A1">
        <w:rPr>
          <w:i/>
        </w:rPr>
        <w:t>A review of using eye-tracking technology in exploring learning from 2000 to 2012</w:t>
      </w:r>
      <w:r w:rsidRPr="00DC64A1">
        <w:t xml:space="preserve"> </w:t>
      </w:r>
      <w:r w:rsidRPr="00DC64A1">
        <w:rPr>
          <w:b/>
        </w:rPr>
        <w:t>2013,</w:t>
      </w:r>
      <w:r w:rsidRPr="00DC64A1">
        <w:t xml:space="preserve"> </w:t>
      </w:r>
      <w:r w:rsidRPr="00DC64A1">
        <w:rPr>
          <w:i/>
        </w:rPr>
        <w:t>10</w:t>
      </w:r>
      <w:r w:rsidRPr="00DC64A1">
        <w:t xml:space="preserve">, 90-115. </w:t>
      </w:r>
      <w:r w:rsidRPr="00DC64A1">
        <w:rPr>
          <w:b/>
        </w:rPr>
        <w:t>DOI:</w:t>
      </w:r>
      <w:r w:rsidRPr="00DC64A1">
        <w:t xml:space="preserve"> 10.1016/j.edurev.2013.10.001</w:t>
      </w:r>
    </w:p>
    <w:p w14:paraId="3A0CDC26" w14:textId="77777777" w:rsidR="00155C56" w:rsidRPr="00DC64A1" w:rsidRDefault="00155C56" w:rsidP="006C08A4">
      <w:pPr>
        <w:pStyle w:val="EndNoteBibliography"/>
        <w:tabs>
          <w:tab w:val="left" w:pos="567"/>
        </w:tabs>
        <w:ind w:left="567" w:hanging="567"/>
      </w:pPr>
      <w:r w:rsidRPr="00DC64A1">
        <w:t>28.</w:t>
      </w:r>
      <w:r w:rsidRPr="00DC64A1">
        <w:tab/>
        <w:t xml:space="preserve">M. Slapničar; V. Tompa; S. A. Glažar; I. Devetak; J. Pavlin. </w:t>
      </w:r>
      <w:r w:rsidRPr="00DC64A1">
        <w:rPr>
          <w:i/>
        </w:rPr>
        <w:t>Acta Chim. Slov.</w:t>
      </w:r>
      <w:r w:rsidRPr="00DC64A1">
        <w:t xml:space="preserve"> </w:t>
      </w:r>
      <w:r w:rsidRPr="00DC64A1">
        <w:rPr>
          <w:b/>
        </w:rPr>
        <w:t>2020,</w:t>
      </w:r>
      <w:r w:rsidRPr="00DC64A1">
        <w:t xml:space="preserve"> </w:t>
      </w:r>
      <w:r w:rsidRPr="00DC64A1">
        <w:rPr>
          <w:i/>
        </w:rPr>
        <w:t>67</w:t>
      </w:r>
      <w:r w:rsidRPr="00DC64A1">
        <w:t xml:space="preserve">, 904-915. </w:t>
      </w:r>
      <w:r w:rsidRPr="00DC64A1">
        <w:rPr>
          <w:b/>
        </w:rPr>
        <w:t>DOI:</w:t>
      </w:r>
      <w:r w:rsidRPr="00DC64A1">
        <w:t xml:space="preserve"> 10.17344/acsi.2020.5908</w:t>
      </w:r>
    </w:p>
    <w:p w14:paraId="1A66649D" w14:textId="77777777" w:rsidR="00155C56" w:rsidRPr="00DC64A1" w:rsidRDefault="00155C56" w:rsidP="006C08A4">
      <w:pPr>
        <w:pStyle w:val="EndNoteBibliography"/>
        <w:tabs>
          <w:tab w:val="left" w:pos="567"/>
        </w:tabs>
        <w:ind w:left="567" w:hanging="567"/>
      </w:pPr>
      <w:r w:rsidRPr="00DC64A1">
        <w:t>29.</w:t>
      </w:r>
      <w:r w:rsidRPr="00DC64A1">
        <w:tab/>
        <w:t xml:space="preserve">M. Slapničar; V. Tompa; I. Devetak; S. A. Glažar; J. Pavlin, Using an Eye-Tracker to Study Students’ Attention Allocation When Solving a Context-Based Problem on the Sublimation of Water. In </w:t>
      </w:r>
      <w:r w:rsidRPr="00DC64A1">
        <w:rPr>
          <w:i/>
        </w:rPr>
        <w:t>Applying Bio-Measurements Methodologies in Science Education Research</w:t>
      </w:r>
      <w:r w:rsidRPr="00DC64A1">
        <w:t xml:space="preserve">, Devetak, I.; Glažar, S. A., Eds. Springer International Publishing: Cham, </w:t>
      </w:r>
      <w:r w:rsidRPr="002C7B7A">
        <w:rPr>
          <w:b/>
          <w:bCs/>
        </w:rPr>
        <w:t>2021</w:t>
      </w:r>
      <w:r w:rsidRPr="00DC64A1">
        <w:t>; pp 107-127.</w:t>
      </w:r>
    </w:p>
    <w:p w14:paraId="652EA776" w14:textId="77777777" w:rsidR="00155C56" w:rsidRPr="00DC64A1" w:rsidRDefault="00155C56" w:rsidP="006C08A4">
      <w:pPr>
        <w:pStyle w:val="EndNoteBibliography"/>
        <w:tabs>
          <w:tab w:val="left" w:pos="567"/>
        </w:tabs>
        <w:ind w:left="567" w:hanging="567"/>
      </w:pPr>
      <w:r w:rsidRPr="00DC64A1">
        <w:t>30.</w:t>
      </w:r>
      <w:r w:rsidRPr="00DC64A1">
        <w:tab/>
        <w:t xml:space="preserve">M. Rodemer; J. Eckhard; N. Graulich; S. Bernholt. </w:t>
      </w:r>
      <w:r w:rsidRPr="00DC64A1">
        <w:rPr>
          <w:i/>
        </w:rPr>
        <w:t>Decoding Case Comparisons in Organic Chemistry: Eye-Tracking Students’ Visual Behavior</w:t>
      </w:r>
      <w:r w:rsidRPr="00DC64A1">
        <w:t xml:space="preserve"> </w:t>
      </w:r>
      <w:r w:rsidRPr="00DC64A1">
        <w:rPr>
          <w:b/>
        </w:rPr>
        <w:t>2020,</w:t>
      </w:r>
      <w:r w:rsidRPr="00DC64A1">
        <w:t xml:space="preserve"> </w:t>
      </w:r>
      <w:r w:rsidRPr="00DC64A1">
        <w:rPr>
          <w:i/>
        </w:rPr>
        <w:t>97</w:t>
      </w:r>
      <w:r w:rsidRPr="00DC64A1">
        <w:t xml:space="preserve">, 3530-3539. </w:t>
      </w:r>
      <w:r w:rsidRPr="00DC64A1">
        <w:rPr>
          <w:b/>
        </w:rPr>
        <w:t>DOI:</w:t>
      </w:r>
      <w:r w:rsidRPr="00DC64A1">
        <w:t xml:space="preserve"> 10.1021/acs.jchemed.0c00418</w:t>
      </w:r>
    </w:p>
    <w:p w14:paraId="49DB3E32" w14:textId="77777777" w:rsidR="00155C56" w:rsidRPr="00DC64A1" w:rsidRDefault="00155C56" w:rsidP="006C08A4">
      <w:pPr>
        <w:pStyle w:val="EndNoteBibliography"/>
        <w:tabs>
          <w:tab w:val="left" w:pos="567"/>
        </w:tabs>
        <w:ind w:left="567" w:hanging="567"/>
      </w:pPr>
      <w:r w:rsidRPr="00DC64A1">
        <w:t>31.</w:t>
      </w:r>
      <w:r w:rsidRPr="00DC64A1">
        <w:tab/>
        <w:t>R. Evans, The Human Side of School Change: Reform, Resistance, and the Real-Life Problems of Innovation. The Jossey-Bass Education Series ERIC: 1996.</w:t>
      </w:r>
    </w:p>
    <w:p w14:paraId="7AEDE651" w14:textId="77777777" w:rsidR="00155C56" w:rsidRPr="00DC64A1" w:rsidRDefault="00155C56" w:rsidP="006C08A4">
      <w:pPr>
        <w:pStyle w:val="EndNoteBibliography"/>
        <w:tabs>
          <w:tab w:val="left" w:pos="567"/>
        </w:tabs>
        <w:ind w:left="567" w:hanging="567"/>
      </w:pPr>
      <w:r w:rsidRPr="00DC64A1">
        <w:t>32.</w:t>
      </w:r>
      <w:r w:rsidRPr="00DC64A1">
        <w:tab/>
        <w:t xml:space="preserve">G. W. Kuhne; B. A. Quigley. </w:t>
      </w:r>
      <w:r w:rsidRPr="00DC64A1">
        <w:rPr>
          <w:i/>
        </w:rPr>
        <w:t>New Dir. Adult Cont. Educ.</w:t>
      </w:r>
      <w:r w:rsidRPr="00DC64A1">
        <w:t xml:space="preserve"> </w:t>
      </w:r>
      <w:r w:rsidRPr="00DC64A1">
        <w:rPr>
          <w:b/>
        </w:rPr>
        <w:t>1997,</w:t>
      </w:r>
      <w:r w:rsidRPr="00DC64A1">
        <w:t xml:space="preserve"> </w:t>
      </w:r>
      <w:r w:rsidRPr="00DC64A1">
        <w:rPr>
          <w:i/>
        </w:rPr>
        <w:t>73</w:t>
      </w:r>
      <w:r w:rsidRPr="00DC64A1">
        <w:t xml:space="preserve">, 23-40. </w:t>
      </w:r>
      <w:r w:rsidRPr="00DC64A1">
        <w:rPr>
          <w:b/>
        </w:rPr>
        <w:t>DOI:</w:t>
      </w:r>
      <w:r w:rsidRPr="00DC64A1">
        <w:t xml:space="preserve"> 10.1002/ace.7302</w:t>
      </w:r>
    </w:p>
    <w:p w14:paraId="65945865" w14:textId="77777777" w:rsidR="002C7B7A" w:rsidRDefault="002C7B7A" w:rsidP="006C08A4">
      <w:pPr>
        <w:pStyle w:val="EndNoteBibliography"/>
        <w:tabs>
          <w:tab w:val="left" w:pos="567"/>
        </w:tabs>
        <w:ind w:left="567" w:hanging="567"/>
      </w:pPr>
      <w:r>
        <w:t>33.</w:t>
      </w:r>
      <w:r>
        <w:tab/>
        <w:t xml:space="preserve">J. Holec; M. Rusek, Metodické komentáře a úlohy ke Standardům pro základní vzdělávání – chemie [Methodical comments and tasks for Lower-secondary school education standards - chemistry]. NÚV: Praha, </w:t>
      </w:r>
      <w:r w:rsidRPr="002C7B7A">
        <w:rPr>
          <w:b/>
          <w:bCs/>
        </w:rPr>
        <w:t>2016</w:t>
      </w:r>
      <w:r>
        <w:t>; p 105.</w:t>
      </w:r>
    </w:p>
    <w:p w14:paraId="6FC58298" w14:textId="071017E6" w:rsidR="00155C56" w:rsidRPr="00DC64A1" w:rsidRDefault="002C7B7A" w:rsidP="006C08A4">
      <w:pPr>
        <w:pStyle w:val="EndNoteBibliography"/>
        <w:tabs>
          <w:tab w:val="left" w:pos="567"/>
        </w:tabs>
        <w:ind w:left="567" w:hanging="567"/>
      </w:pPr>
      <w:r>
        <w:t>34.</w:t>
      </w:r>
      <w:r>
        <w:tab/>
        <w:t xml:space="preserve">K. Vojíř; J. Holec; M. Rusek, Přírodopisné a chemické úlohy pro základní vzdělávání a jejich metodické komentáře [Biological and chemical tasks for lower-secondary education and their methodical comments]. In Projektové vyučování v přírodovědných </w:t>
      </w:r>
      <w:r>
        <w:lastRenderedPageBreak/>
        <w:t xml:space="preserve">předmětech XIV., Rusek, M.; Stárková, D.; Bílková Metelková, I., Eds. Univerzita Karlova, Pedagogická fakulta: Praha, </w:t>
      </w:r>
      <w:r w:rsidRPr="002C7B7A">
        <w:rPr>
          <w:b/>
          <w:bCs/>
        </w:rPr>
        <w:t>2017</w:t>
      </w:r>
      <w:r>
        <w:t>; pp 221-228.</w:t>
      </w:r>
    </w:p>
    <w:p w14:paraId="07300000" w14:textId="77777777" w:rsidR="00155C56" w:rsidRPr="00DC64A1" w:rsidRDefault="00155C56" w:rsidP="006C08A4">
      <w:pPr>
        <w:pStyle w:val="EndNoteBibliography"/>
        <w:tabs>
          <w:tab w:val="left" w:pos="567"/>
        </w:tabs>
        <w:ind w:left="567" w:hanging="567"/>
      </w:pPr>
      <w:r w:rsidRPr="00DC64A1">
        <w:t>35.</w:t>
      </w:r>
      <w:r w:rsidRPr="00DC64A1">
        <w:tab/>
        <w:t xml:space="preserve">M. Rusek; K. Koreneková; M. Tóthová, How Much Do We Know about the Way Students Solve Problem-tasks. In </w:t>
      </w:r>
      <w:r w:rsidRPr="00DC64A1">
        <w:rPr>
          <w:i/>
        </w:rPr>
        <w:t>Project-based Education and Other Activating Strategies in Science Education XVI.</w:t>
      </w:r>
      <w:r w:rsidRPr="00DC64A1">
        <w:t xml:space="preserve">, Rusek, M.; Vojíř, K., Eds. Charles University, Faculty of Education: Prague, </w:t>
      </w:r>
      <w:r w:rsidRPr="002C7B7A">
        <w:rPr>
          <w:b/>
          <w:bCs/>
        </w:rPr>
        <w:t>2019</w:t>
      </w:r>
      <w:r w:rsidRPr="00DC64A1">
        <w:t>; pp 98-104.</w:t>
      </w:r>
    </w:p>
    <w:p w14:paraId="577CC05D" w14:textId="77777777" w:rsidR="00155C56" w:rsidRPr="00DC64A1" w:rsidRDefault="00155C56" w:rsidP="006C08A4">
      <w:pPr>
        <w:pStyle w:val="EndNoteBibliography"/>
        <w:tabs>
          <w:tab w:val="left" w:pos="567"/>
        </w:tabs>
        <w:ind w:left="567" w:hanging="567"/>
      </w:pPr>
      <w:r w:rsidRPr="00DC64A1">
        <w:t>36.</w:t>
      </w:r>
      <w:r w:rsidRPr="00DC64A1">
        <w:tab/>
        <w:t xml:space="preserve">A. S. Dhillon. </w:t>
      </w:r>
      <w:r w:rsidRPr="00DC64A1">
        <w:rPr>
          <w:i/>
        </w:rPr>
        <w:t>Individual differences within problem</w:t>
      </w:r>
      <w:r w:rsidRPr="00DC64A1">
        <w:rPr>
          <w:rFonts w:ascii="Times New Roman" w:hAnsi="Times New Roman"/>
          <w:i/>
        </w:rPr>
        <w:t>‐</w:t>
      </w:r>
      <w:r w:rsidRPr="00DC64A1">
        <w:rPr>
          <w:i/>
        </w:rPr>
        <w:t>solving strategies used in physics</w:t>
      </w:r>
      <w:r w:rsidRPr="00DC64A1">
        <w:t xml:space="preserve"> </w:t>
      </w:r>
      <w:r w:rsidRPr="00DC64A1">
        <w:rPr>
          <w:b/>
        </w:rPr>
        <w:t>1998,</w:t>
      </w:r>
      <w:r w:rsidRPr="00DC64A1">
        <w:t xml:space="preserve"> </w:t>
      </w:r>
      <w:r w:rsidRPr="00DC64A1">
        <w:rPr>
          <w:i/>
        </w:rPr>
        <w:t>82</w:t>
      </w:r>
      <w:r w:rsidRPr="00DC64A1">
        <w:t xml:space="preserve">, 379-405. </w:t>
      </w:r>
      <w:r w:rsidRPr="00DC64A1">
        <w:rPr>
          <w:b/>
        </w:rPr>
        <w:t>DOI:</w:t>
      </w:r>
      <w:r w:rsidRPr="00DC64A1">
        <w:t xml:space="preserve"> 10.1002/(SICI)1098-237X(199806)82:3&lt;379::AID-SCE5&gt;3.0.CO;2-9</w:t>
      </w:r>
    </w:p>
    <w:p w14:paraId="67EC8ABF" w14:textId="77777777" w:rsidR="00155C56" w:rsidRPr="00DC64A1" w:rsidRDefault="00155C56" w:rsidP="006C08A4">
      <w:pPr>
        <w:pStyle w:val="EndNoteBibliography"/>
        <w:tabs>
          <w:tab w:val="left" w:pos="567"/>
        </w:tabs>
        <w:ind w:left="567" w:hanging="567"/>
      </w:pPr>
      <w:r w:rsidRPr="00DC64A1">
        <w:t>37.</w:t>
      </w:r>
      <w:r w:rsidRPr="00DC64A1">
        <w:tab/>
        <w:t>A. S. Posamentier; S. Krulik, Problem-solving strategies for efficient and elegant solutions, grades 6-12: a resource for the mathematics teacher. Corwin press: 2008.</w:t>
      </w:r>
    </w:p>
    <w:p w14:paraId="7893AEDB" w14:textId="77777777" w:rsidR="00155C56" w:rsidRPr="004A264B" w:rsidRDefault="00155C56" w:rsidP="006C08A4">
      <w:pPr>
        <w:pStyle w:val="EndNoteBibliography"/>
        <w:tabs>
          <w:tab w:val="left" w:pos="567"/>
        </w:tabs>
        <w:ind w:left="567" w:hanging="567"/>
        <w:rPr>
          <w:lang w:val="pl-PL"/>
        </w:rPr>
      </w:pPr>
      <w:r w:rsidRPr="00DC64A1">
        <w:t>38.</w:t>
      </w:r>
      <w:r w:rsidRPr="00DC64A1">
        <w:tab/>
        <w:t xml:space="preserve">M. D. Lew; H. G. Schmidt. </w:t>
      </w:r>
      <w:r w:rsidRPr="00DC64A1">
        <w:rPr>
          <w:i/>
        </w:rPr>
        <w:t xml:space="preserve">Adv. Health Sci. </w:t>
      </w:r>
      <w:r w:rsidRPr="004A264B">
        <w:rPr>
          <w:i/>
          <w:lang w:val="pl-PL"/>
        </w:rPr>
        <w:t>Educ.</w:t>
      </w:r>
      <w:r w:rsidRPr="004A264B">
        <w:rPr>
          <w:lang w:val="pl-PL"/>
        </w:rPr>
        <w:t xml:space="preserve"> </w:t>
      </w:r>
      <w:r w:rsidRPr="004A264B">
        <w:rPr>
          <w:b/>
          <w:lang w:val="pl-PL"/>
        </w:rPr>
        <w:t>2011,</w:t>
      </w:r>
      <w:r w:rsidRPr="004A264B">
        <w:rPr>
          <w:lang w:val="pl-PL"/>
        </w:rPr>
        <w:t xml:space="preserve"> </w:t>
      </w:r>
      <w:r w:rsidRPr="004A264B">
        <w:rPr>
          <w:i/>
          <w:lang w:val="pl-PL"/>
        </w:rPr>
        <w:t>16</w:t>
      </w:r>
      <w:r w:rsidRPr="004A264B">
        <w:rPr>
          <w:lang w:val="pl-PL"/>
        </w:rPr>
        <w:t xml:space="preserve">, 529. </w:t>
      </w:r>
      <w:r w:rsidRPr="004A264B">
        <w:rPr>
          <w:b/>
          <w:lang w:val="pl-PL"/>
        </w:rPr>
        <w:t>DOI:</w:t>
      </w:r>
      <w:r w:rsidRPr="004A264B">
        <w:rPr>
          <w:lang w:val="pl-PL"/>
        </w:rPr>
        <w:t xml:space="preserve"> 10.1007/s10459-011-9298-z</w:t>
      </w:r>
    </w:p>
    <w:p w14:paraId="54A7EFDC" w14:textId="77777777" w:rsidR="00155C56" w:rsidRPr="00DC64A1" w:rsidRDefault="00155C56" w:rsidP="006C08A4">
      <w:pPr>
        <w:pStyle w:val="EndNoteBibliography"/>
        <w:tabs>
          <w:tab w:val="left" w:pos="567"/>
        </w:tabs>
        <w:ind w:left="567" w:hanging="567"/>
      </w:pPr>
      <w:r w:rsidRPr="004A264B">
        <w:rPr>
          <w:lang w:val="pl-PL"/>
        </w:rPr>
        <w:t>39.</w:t>
      </w:r>
      <w:r w:rsidRPr="004A264B">
        <w:rPr>
          <w:lang w:val="pl-PL"/>
        </w:rPr>
        <w:tab/>
        <w:t xml:space="preserve">J. Skalková, </w:t>
      </w:r>
      <w:r w:rsidRPr="004A264B">
        <w:rPr>
          <w:i/>
          <w:lang w:val="pl-PL"/>
        </w:rPr>
        <w:t>Obecná didaktika</w:t>
      </w:r>
      <w:r w:rsidRPr="004A264B">
        <w:rPr>
          <w:lang w:val="pl-PL"/>
        </w:rPr>
        <w:t xml:space="preserve">. </w:t>
      </w:r>
      <w:r w:rsidRPr="00DC64A1">
        <w:t>Grada: 2007.</w:t>
      </w:r>
    </w:p>
    <w:p w14:paraId="49A99EC4" w14:textId="77777777" w:rsidR="00155C56" w:rsidRPr="00DC64A1" w:rsidRDefault="00155C56" w:rsidP="006C08A4">
      <w:pPr>
        <w:pStyle w:val="EndNoteBibliography"/>
        <w:tabs>
          <w:tab w:val="left" w:pos="567"/>
        </w:tabs>
        <w:ind w:left="567" w:hanging="567"/>
      </w:pPr>
      <w:r w:rsidRPr="00DC64A1">
        <w:t>40.</w:t>
      </w:r>
      <w:r w:rsidRPr="00DC64A1">
        <w:tab/>
        <w:t xml:space="preserve">A. Chupáč. </w:t>
      </w:r>
      <w:r w:rsidRPr="00DC64A1">
        <w:rPr>
          <w:i/>
        </w:rPr>
        <w:t>Ped. Or.</w:t>
      </w:r>
      <w:r w:rsidRPr="00DC64A1">
        <w:t xml:space="preserve"> </w:t>
      </w:r>
      <w:r w:rsidRPr="00DC64A1">
        <w:rPr>
          <w:b/>
        </w:rPr>
        <w:t>2008,</w:t>
      </w:r>
      <w:r w:rsidRPr="00DC64A1">
        <w:t xml:space="preserve"> </w:t>
      </w:r>
      <w:r w:rsidRPr="00DC64A1">
        <w:rPr>
          <w:i/>
        </w:rPr>
        <w:t>18</w:t>
      </w:r>
      <w:r w:rsidRPr="00DC64A1">
        <w:t xml:space="preserve">, 73-82. </w:t>
      </w:r>
    </w:p>
    <w:p w14:paraId="0B3CA8DC" w14:textId="77777777" w:rsidR="00155C56" w:rsidRPr="00DC64A1" w:rsidRDefault="00155C56" w:rsidP="006C08A4">
      <w:pPr>
        <w:pStyle w:val="EndNoteBibliography"/>
        <w:tabs>
          <w:tab w:val="left" w:pos="567"/>
        </w:tabs>
        <w:ind w:left="567" w:hanging="567"/>
      </w:pPr>
      <w:r w:rsidRPr="00DC64A1">
        <w:t>41.</w:t>
      </w:r>
      <w:r w:rsidRPr="00DC64A1">
        <w:tab/>
        <w:t xml:space="preserve">J. T. Wilson; I. Chalmers Neubauer. </w:t>
      </w:r>
      <w:r w:rsidRPr="00DC64A1">
        <w:rPr>
          <w:i/>
        </w:rPr>
        <w:t>J. Chem. Educ.</w:t>
      </w:r>
      <w:r w:rsidRPr="00DC64A1">
        <w:t xml:space="preserve"> </w:t>
      </w:r>
      <w:r w:rsidRPr="00DC64A1">
        <w:rPr>
          <w:b/>
        </w:rPr>
        <w:t>1988,</w:t>
      </w:r>
      <w:r w:rsidRPr="00DC64A1">
        <w:t xml:space="preserve"> </w:t>
      </w:r>
      <w:r w:rsidRPr="00DC64A1">
        <w:rPr>
          <w:i/>
        </w:rPr>
        <w:t>65</w:t>
      </w:r>
      <w:r w:rsidRPr="00DC64A1">
        <w:t xml:space="preserve">, 996. </w:t>
      </w:r>
      <w:r w:rsidRPr="00DC64A1">
        <w:rPr>
          <w:b/>
        </w:rPr>
        <w:t>DOI:</w:t>
      </w:r>
      <w:r w:rsidRPr="00DC64A1">
        <w:t xml:space="preserve"> 10.1021/ed065p996</w:t>
      </w:r>
    </w:p>
    <w:p w14:paraId="3126C9BA" w14:textId="77777777" w:rsidR="00155C56" w:rsidRPr="00DC64A1" w:rsidRDefault="00155C56" w:rsidP="006C08A4">
      <w:pPr>
        <w:pStyle w:val="EndNoteBibliography"/>
        <w:tabs>
          <w:tab w:val="left" w:pos="567"/>
        </w:tabs>
        <w:ind w:left="567" w:hanging="567"/>
      </w:pPr>
      <w:r w:rsidRPr="00DC64A1">
        <w:t>42.</w:t>
      </w:r>
      <w:r w:rsidRPr="00DC64A1">
        <w:tab/>
        <w:t xml:space="preserve">V. Talanquer; J. Pollard. </w:t>
      </w:r>
      <w:r w:rsidRPr="00DC64A1">
        <w:rPr>
          <w:i/>
        </w:rPr>
        <w:t>Chem. Educ. Res. Pract.</w:t>
      </w:r>
      <w:r w:rsidRPr="00DC64A1">
        <w:t xml:space="preserve"> </w:t>
      </w:r>
      <w:r w:rsidRPr="00DC64A1">
        <w:rPr>
          <w:b/>
        </w:rPr>
        <w:t>2010,</w:t>
      </w:r>
      <w:r w:rsidRPr="00DC64A1">
        <w:t xml:space="preserve"> </w:t>
      </w:r>
      <w:r w:rsidRPr="00DC64A1">
        <w:rPr>
          <w:i/>
        </w:rPr>
        <w:t>11</w:t>
      </w:r>
      <w:r w:rsidRPr="00DC64A1">
        <w:t xml:space="preserve">, 74-83. </w:t>
      </w:r>
      <w:r w:rsidRPr="00DC64A1">
        <w:rPr>
          <w:b/>
        </w:rPr>
        <w:t>DOI:</w:t>
      </w:r>
      <w:r w:rsidRPr="00DC64A1">
        <w:t xml:space="preserve"> 10.1039/c005349j</w:t>
      </w:r>
    </w:p>
    <w:p w14:paraId="3815BB30" w14:textId="77777777" w:rsidR="00155C56" w:rsidRPr="00DC64A1" w:rsidRDefault="00155C56" w:rsidP="006C08A4">
      <w:pPr>
        <w:pStyle w:val="EndNoteBibliography"/>
        <w:tabs>
          <w:tab w:val="left" w:pos="567"/>
        </w:tabs>
        <w:ind w:left="567" w:hanging="567"/>
      </w:pPr>
      <w:r w:rsidRPr="00DC64A1">
        <w:t>43.</w:t>
      </w:r>
      <w:r w:rsidRPr="00DC64A1">
        <w:tab/>
        <w:t xml:space="preserve">P. Black; D. Wiliam. Changing teaching through formative assessment: Research and practice </w:t>
      </w:r>
      <w:r w:rsidRPr="00DC64A1">
        <w:rPr>
          <w:b/>
        </w:rPr>
        <w:t>2005</w:t>
      </w:r>
      <w:r w:rsidRPr="00DC64A1">
        <w:t xml:space="preserve">, 223-240. </w:t>
      </w:r>
    </w:p>
    <w:p w14:paraId="34BAF961" w14:textId="77777777" w:rsidR="00155C56" w:rsidRPr="00DC64A1" w:rsidRDefault="00155C56" w:rsidP="006C08A4">
      <w:pPr>
        <w:pStyle w:val="EndNoteBibliography"/>
        <w:tabs>
          <w:tab w:val="left" w:pos="567"/>
        </w:tabs>
        <w:ind w:left="567" w:hanging="567"/>
      </w:pPr>
      <w:r w:rsidRPr="00DC64A1">
        <w:t>44.</w:t>
      </w:r>
      <w:r w:rsidRPr="00DC64A1">
        <w:tab/>
        <w:t xml:space="preserve">J. Cohen. </w:t>
      </w:r>
      <w:r w:rsidRPr="00DC64A1">
        <w:rPr>
          <w:i/>
        </w:rPr>
        <w:t>Psych. bul.</w:t>
      </w:r>
      <w:r w:rsidRPr="00DC64A1">
        <w:t xml:space="preserve"> </w:t>
      </w:r>
      <w:r w:rsidRPr="00DC64A1">
        <w:rPr>
          <w:b/>
        </w:rPr>
        <w:t>1992,</w:t>
      </w:r>
      <w:r w:rsidRPr="00DC64A1">
        <w:t xml:space="preserve"> </w:t>
      </w:r>
      <w:r w:rsidRPr="00DC64A1">
        <w:rPr>
          <w:i/>
        </w:rPr>
        <w:t>112</w:t>
      </w:r>
      <w:r w:rsidRPr="00DC64A1">
        <w:t xml:space="preserve">, 155. </w:t>
      </w:r>
      <w:r w:rsidRPr="00DC64A1">
        <w:rPr>
          <w:b/>
        </w:rPr>
        <w:t>DOI:</w:t>
      </w:r>
      <w:r w:rsidRPr="00DC64A1">
        <w:t xml:space="preserve"> 10.1037//0033-2909.112.1.155</w:t>
      </w:r>
    </w:p>
    <w:p w14:paraId="03FDC905" w14:textId="1ECF7110" w:rsidR="00155C56" w:rsidRPr="00DC64A1" w:rsidRDefault="002C7B7A" w:rsidP="006C08A4">
      <w:pPr>
        <w:pStyle w:val="EndNoteBibliography"/>
        <w:tabs>
          <w:tab w:val="left" w:pos="567"/>
        </w:tabs>
        <w:ind w:left="567" w:hanging="567"/>
      </w:pPr>
      <w:r w:rsidRPr="002C7B7A">
        <w:t>45.</w:t>
      </w:r>
      <w:r w:rsidRPr="002C7B7A">
        <w:tab/>
        <w:t>Kvalita a efektivita vzde</w:t>
      </w:r>
      <w:r w:rsidRPr="002C7B7A">
        <w:rPr>
          <w:rFonts w:ascii="Times New Roman" w:hAnsi="Times New Roman"/>
        </w:rPr>
        <w:t>̌</w:t>
      </w:r>
      <w:r w:rsidRPr="002C7B7A">
        <w:t>lávání a vzde</w:t>
      </w:r>
      <w:r w:rsidRPr="002C7B7A">
        <w:rPr>
          <w:rFonts w:ascii="Times New Roman" w:hAnsi="Times New Roman"/>
        </w:rPr>
        <w:t>̌</w:t>
      </w:r>
      <w:r w:rsidRPr="002C7B7A">
        <w:t>lávací soustavy ve s</w:t>
      </w:r>
      <w:r w:rsidRPr="002C7B7A">
        <w:rPr>
          <w:rFonts w:ascii="Times New Roman" w:hAnsi="Times New Roman"/>
        </w:rPr>
        <w:t>̌</w:t>
      </w:r>
      <w:r w:rsidRPr="002C7B7A">
        <w:t>kolním roce 2017/2018 [The quality and effectiveness of education and educational system in the school year of 2017/2018]. Česká školní inspekce: Prague, 2018.</w:t>
      </w:r>
    </w:p>
    <w:p w14:paraId="3A1582EF" w14:textId="77777777" w:rsidR="00155C56" w:rsidRPr="00DC64A1" w:rsidRDefault="00155C56" w:rsidP="006C08A4">
      <w:pPr>
        <w:pStyle w:val="EndNoteBibliography"/>
        <w:tabs>
          <w:tab w:val="left" w:pos="567"/>
        </w:tabs>
        <w:ind w:left="567" w:hanging="567"/>
      </w:pPr>
      <w:r w:rsidRPr="00DC64A1">
        <w:t>46.</w:t>
      </w:r>
      <w:r w:rsidRPr="00DC64A1">
        <w:tab/>
        <w:t xml:space="preserve">A. H. Johnstone. </w:t>
      </w:r>
      <w:r w:rsidRPr="00DC64A1">
        <w:rPr>
          <w:i/>
        </w:rPr>
        <w:t>J. Chem. Educ.</w:t>
      </w:r>
      <w:r w:rsidRPr="00DC64A1">
        <w:t xml:space="preserve"> </w:t>
      </w:r>
      <w:r w:rsidRPr="00DC64A1">
        <w:rPr>
          <w:b/>
        </w:rPr>
        <w:t>2010,</w:t>
      </w:r>
      <w:r w:rsidRPr="00DC64A1">
        <w:t xml:space="preserve"> </w:t>
      </w:r>
      <w:r w:rsidRPr="00DC64A1">
        <w:rPr>
          <w:i/>
        </w:rPr>
        <w:t>87</w:t>
      </w:r>
      <w:r w:rsidRPr="00DC64A1">
        <w:t xml:space="preserve">, 22-29. </w:t>
      </w:r>
      <w:r w:rsidRPr="00DC64A1">
        <w:rPr>
          <w:b/>
        </w:rPr>
        <w:t>DOI:</w:t>
      </w:r>
      <w:r w:rsidRPr="00DC64A1">
        <w:t xml:space="preserve"> 10.1021/ed800026d</w:t>
      </w:r>
    </w:p>
    <w:p w14:paraId="664CD48D" w14:textId="77777777" w:rsidR="00155C56" w:rsidRPr="00DC64A1" w:rsidRDefault="00155C56" w:rsidP="006C08A4">
      <w:pPr>
        <w:pStyle w:val="EndNoteBibliography"/>
        <w:tabs>
          <w:tab w:val="left" w:pos="567"/>
        </w:tabs>
        <w:ind w:left="567" w:hanging="567"/>
      </w:pPr>
      <w:r w:rsidRPr="00DC64A1">
        <w:t>47.</w:t>
      </w:r>
      <w:r w:rsidRPr="00DC64A1">
        <w:tab/>
        <w:t xml:space="preserve">T. Jarvis; A. Pell. Factors Influenncing Elementarx School Children’s Attitudes toward Science before, during, and after a Visit to the UK National Space Centre </w:t>
      </w:r>
      <w:r w:rsidRPr="00DC64A1">
        <w:rPr>
          <w:b/>
        </w:rPr>
        <w:t>2005,</w:t>
      </w:r>
      <w:r w:rsidRPr="00DC64A1">
        <w:t xml:space="preserve"> 42, 53-83. </w:t>
      </w:r>
    </w:p>
    <w:p w14:paraId="2C831B3C" w14:textId="77777777" w:rsidR="00155C56" w:rsidRPr="00DC64A1" w:rsidRDefault="00155C56" w:rsidP="006C08A4">
      <w:pPr>
        <w:pStyle w:val="EndNoteBibliography"/>
        <w:tabs>
          <w:tab w:val="left" w:pos="567"/>
        </w:tabs>
        <w:ind w:left="567" w:hanging="567"/>
      </w:pPr>
      <w:r w:rsidRPr="004A264B">
        <w:rPr>
          <w:lang w:val="de-DE"/>
        </w:rPr>
        <w:t>48.</w:t>
      </w:r>
      <w:r w:rsidRPr="004A264B">
        <w:rPr>
          <w:lang w:val="de-DE"/>
        </w:rPr>
        <w:tab/>
        <w:t xml:space="preserve">M. B. Nakhleh. </w:t>
      </w:r>
      <w:r w:rsidRPr="004A264B">
        <w:rPr>
          <w:i/>
          <w:lang w:val="de-DE"/>
        </w:rPr>
        <w:t xml:space="preserve">J. Chem. </w:t>
      </w:r>
      <w:r w:rsidRPr="00DC64A1">
        <w:rPr>
          <w:i/>
        </w:rPr>
        <w:t>Educ.</w:t>
      </w:r>
      <w:r w:rsidRPr="00DC64A1">
        <w:t xml:space="preserve"> </w:t>
      </w:r>
      <w:r w:rsidRPr="00DC64A1">
        <w:rPr>
          <w:b/>
        </w:rPr>
        <w:t>1992,</w:t>
      </w:r>
      <w:r w:rsidRPr="00DC64A1">
        <w:t xml:space="preserve"> </w:t>
      </w:r>
      <w:r w:rsidRPr="00DC64A1">
        <w:rPr>
          <w:i/>
        </w:rPr>
        <w:t>69</w:t>
      </w:r>
      <w:r w:rsidRPr="00DC64A1">
        <w:t xml:space="preserve">, 191-196. </w:t>
      </w:r>
      <w:r w:rsidRPr="00DC64A1">
        <w:rPr>
          <w:b/>
        </w:rPr>
        <w:t>DOI:</w:t>
      </w:r>
      <w:r w:rsidRPr="00DC64A1">
        <w:t xml:space="preserve"> 10.1021/ed069p191</w:t>
      </w:r>
    </w:p>
    <w:p w14:paraId="3CB8A9DC" w14:textId="77777777" w:rsidR="00155C56" w:rsidRPr="00DC64A1" w:rsidRDefault="00155C56" w:rsidP="006C08A4">
      <w:pPr>
        <w:pStyle w:val="EndNoteBibliography"/>
        <w:tabs>
          <w:tab w:val="left" w:pos="567"/>
        </w:tabs>
        <w:ind w:left="567" w:hanging="567"/>
      </w:pPr>
      <w:r w:rsidRPr="00DC64A1">
        <w:t>49.</w:t>
      </w:r>
      <w:r w:rsidRPr="00DC64A1">
        <w:tab/>
        <w:t xml:space="preserve">P. S. Steif; J. M. Lobue; L. B. Kara; A. L. Fay. </w:t>
      </w:r>
      <w:r w:rsidRPr="00DC64A1">
        <w:rPr>
          <w:i/>
        </w:rPr>
        <w:t>J. Eng. Educ.</w:t>
      </w:r>
      <w:r w:rsidRPr="00DC64A1">
        <w:t xml:space="preserve"> </w:t>
      </w:r>
      <w:r w:rsidRPr="00DC64A1">
        <w:rPr>
          <w:b/>
        </w:rPr>
        <w:t>2010,</w:t>
      </w:r>
      <w:r w:rsidRPr="00DC64A1">
        <w:t xml:space="preserve"> </w:t>
      </w:r>
      <w:r w:rsidRPr="00DC64A1">
        <w:rPr>
          <w:i/>
        </w:rPr>
        <w:t>99</w:t>
      </w:r>
      <w:r w:rsidRPr="00DC64A1">
        <w:t xml:space="preserve">, 135-142. </w:t>
      </w:r>
      <w:r w:rsidRPr="00DC64A1">
        <w:rPr>
          <w:b/>
        </w:rPr>
        <w:t>DOI:</w:t>
      </w:r>
      <w:r w:rsidRPr="00DC64A1">
        <w:t xml:space="preserve"> 10.1002/j.2168-9830.2010.tb01050.x</w:t>
      </w:r>
    </w:p>
    <w:p w14:paraId="13592754" w14:textId="77777777" w:rsidR="00155C56" w:rsidRPr="00DC64A1" w:rsidRDefault="00155C56" w:rsidP="006C08A4">
      <w:pPr>
        <w:pStyle w:val="EndNoteBibliography"/>
        <w:tabs>
          <w:tab w:val="left" w:pos="567"/>
        </w:tabs>
        <w:ind w:left="567" w:hanging="567"/>
      </w:pPr>
      <w:r w:rsidRPr="00DC64A1">
        <w:t>50.</w:t>
      </w:r>
      <w:r w:rsidRPr="00DC64A1">
        <w:tab/>
        <w:t xml:space="preserve">A.-M. Hoskinson; M. D. Caballero; J. K. Knight. </w:t>
      </w:r>
      <w:r w:rsidRPr="00DC64A1">
        <w:rPr>
          <w:i/>
        </w:rPr>
        <w:t>CBE—Life Sci. Educ.</w:t>
      </w:r>
      <w:r w:rsidRPr="00DC64A1">
        <w:t xml:space="preserve"> </w:t>
      </w:r>
      <w:r w:rsidRPr="00DC64A1">
        <w:rPr>
          <w:b/>
        </w:rPr>
        <w:t>2013,</w:t>
      </w:r>
      <w:r w:rsidRPr="00DC64A1">
        <w:t xml:space="preserve"> </w:t>
      </w:r>
      <w:r w:rsidRPr="00DC64A1">
        <w:rPr>
          <w:i/>
        </w:rPr>
        <w:t>12</w:t>
      </w:r>
      <w:r w:rsidRPr="00DC64A1">
        <w:t xml:space="preserve">, 153-161. </w:t>
      </w:r>
      <w:r w:rsidRPr="00DC64A1">
        <w:rPr>
          <w:b/>
        </w:rPr>
        <w:t>DOI:</w:t>
      </w:r>
      <w:r w:rsidRPr="00DC64A1">
        <w:t xml:space="preserve"> 10.1187/cbe.12-09-0149</w:t>
      </w:r>
    </w:p>
    <w:p w14:paraId="5E468327" w14:textId="77777777" w:rsidR="00155C56" w:rsidRPr="00DC64A1" w:rsidRDefault="00155C56" w:rsidP="006C08A4">
      <w:pPr>
        <w:pStyle w:val="EndNoteBibliography"/>
        <w:tabs>
          <w:tab w:val="left" w:pos="567"/>
        </w:tabs>
        <w:ind w:left="567" w:hanging="567"/>
      </w:pPr>
      <w:r w:rsidRPr="004A264B">
        <w:rPr>
          <w:lang w:val="de-DE"/>
        </w:rPr>
        <w:t>51.</w:t>
      </w:r>
      <w:r w:rsidRPr="004A264B">
        <w:rPr>
          <w:lang w:val="de-DE"/>
        </w:rPr>
        <w:tab/>
        <w:t xml:space="preserve">M. Stuckey; A. Hofstein; R. Mamlok-Naaman; I. Eilks. </w:t>
      </w:r>
      <w:r w:rsidRPr="00DC64A1">
        <w:rPr>
          <w:i/>
        </w:rPr>
        <w:t>Stud. Sci. Educ.</w:t>
      </w:r>
      <w:r w:rsidRPr="00DC64A1">
        <w:t xml:space="preserve"> </w:t>
      </w:r>
      <w:r w:rsidRPr="00DC64A1">
        <w:rPr>
          <w:b/>
        </w:rPr>
        <w:t>2013,</w:t>
      </w:r>
      <w:r w:rsidRPr="00DC64A1">
        <w:t xml:space="preserve"> </w:t>
      </w:r>
      <w:r w:rsidRPr="00DC64A1">
        <w:rPr>
          <w:i/>
        </w:rPr>
        <w:t>49</w:t>
      </w:r>
      <w:r w:rsidRPr="00DC64A1">
        <w:t xml:space="preserve">, 1-34. </w:t>
      </w:r>
      <w:r w:rsidRPr="00DC64A1">
        <w:rPr>
          <w:b/>
        </w:rPr>
        <w:t>DOI:</w:t>
      </w:r>
      <w:r w:rsidRPr="00DC64A1">
        <w:t xml:space="preserve"> 10.1080/03057267.2013.802463</w:t>
      </w:r>
    </w:p>
    <w:p w14:paraId="52224D80" w14:textId="77777777" w:rsidR="00155C56" w:rsidRPr="00DC64A1" w:rsidRDefault="00155C56" w:rsidP="006C08A4">
      <w:pPr>
        <w:pStyle w:val="EndNoteBibliography"/>
        <w:tabs>
          <w:tab w:val="left" w:pos="567"/>
        </w:tabs>
        <w:ind w:left="567" w:hanging="567"/>
      </w:pPr>
      <w:r w:rsidRPr="00DC64A1">
        <w:t>52.</w:t>
      </w:r>
      <w:r w:rsidRPr="00DC64A1">
        <w:tab/>
        <w:t xml:space="preserve">P. Gibbs; P. Cartney; K. Wilkinson; J. Parkinson; S. Cunningham; C. James-Reynolds; T. Zoubir; V. Brown; P. Barter; P. Sumner. </w:t>
      </w:r>
      <w:r w:rsidRPr="00DC64A1">
        <w:rPr>
          <w:i/>
        </w:rPr>
        <w:t>Educ. Act. Res.</w:t>
      </w:r>
      <w:r w:rsidRPr="00DC64A1">
        <w:t xml:space="preserve"> </w:t>
      </w:r>
      <w:r w:rsidRPr="00DC64A1">
        <w:rPr>
          <w:b/>
        </w:rPr>
        <w:t>2017,</w:t>
      </w:r>
      <w:r w:rsidRPr="00DC64A1">
        <w:t xml:space="preserve"> </w:t>
      </w:r>
      <w:r w:rsidRPr="00DC64A1">
        <w:rPr>
          <w:i/>
        </w:rPr>
        <w:t>25</w:t>
      </w:r>
      <w:r w:rsidRPr="00DC64A1">
        <w:t xml:space="preserve">, 3-22. </w:t>
      </w:r>
      <w:r w:rsidRPr="00DC64A1">
        <w:rPr>
          <w:b/>
        </w:rPr>
        <w:t>DOI:</w:t>
      </w:r>
      <w:r w:rsidRPr="00DC64A1">
        <w:t xml:space="preserve"> 10.1080/09650792.2015.1124046</w:t>
      </w:r>
    </w:p>
    <w:p w14:paraId="09041BA4" w14:textId="77777777" w:rsidR="00155C56" w:rsidRPr="001E1627" w:rsidRDefault="00155C56" w:rsidP="006C08A4">
      <w:pPr>
        <w:tabs>
          <w:tab w:val="left" w:pos="567"/>
        </w:tabs>
        <w:ind w:left="567" w:hanging="567"/>
      </w:pPr>
      <w:r w:rsidRPr="001E1627">
        <w:fldChar w:fldCharType="begin"/>
      </w:r>
      <w:r w:rsidRPr="001E1627">
        <w:instrText xml:space="preserve"> ADDIN </w:instrText>
      </w:r>
      <w:r w:rsidRPr="001E1627">
        <w:fldChar w:fldCharType="end"/>
      </w:r>
    </w:p>
    <w:p w14:paraId="7DA52AE1" w14:textId="77777777" w:rsidR="008F3EF7" w:rsidRDefault="008F3EF7" w:rsidP="00FE5C44"/>
    <w:sectPr w:rsidR="008F3EF7" w:rsidSect="006D1D1E">
      <w:headerReference w:type="default" r:id="rId20"/>
      <w:footerReference w:type="default" r:id="rId2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2DABB" w14:textId="77777777" w:rsidR="000413F0" w:rsidRDefault="000413F0">
      <w:pPr>
        <w:spacing w:line="240" w:lineRule="auto"/>
      </w:pPr>
      <w:r>
        <w:separator/>
      </w:r>
    </w:p>
  </w:endnote>
  <w:endnote w:type="continuationSeparator" w:id="0">
    <w:p w14:paraId="05496F77" w14:textId="77777777" w:rsidR="000413F0" w:rsidRDefault="00041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337C" w14:textId="77777777" w:rsidR="00FE5C44" w:rsidRPr="0077566E" w:rsidRDefault="00FE5C44" w:rsidP="00FE5C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CAFAD" w14:textId="77777777" w:rsidR="000413F0" w:rsidRDefault="000413F0">
      <w:pPr>
        <w:spacing w:line="240" w:lineRule="auto"/>
      </w:pPr>
      <w:r>
        <w:separator/>
      </w:r>
    </w:p>
  </w:footnote>
  <w:footnote w:type="continuationSeparator" w:id="0">
    <w:p w14:paraId="6688DA78" w14:textId="77777777" w:rsidR="000413F0" w:rsidRDefault="00041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02573" w14:textId="77777777" w:rsidR="00FE5C44" w:rsidRPr="00F1017F" w:rsidRDefault="00FE5C44" w:rsidP="00FE5C44">
    <w:r w:rsidRPr="00F101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410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C66EF"/>
    <w:multiLevelType w:val="multilevel"/>
    <w:tmpl w:val="F808F46C"/>
    <w:lvl w:ilvl="0">
      <w:start w:val="1"/>
      <w:numFmt w:val="decimal"/>
      <w:pStyle w:val="Styl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C90335"/>
    <w:multiLevelType w:val="hybridMultilevel"/>
    <w:tmpl w:val="166A6222"/>
    <w:lvl w:ilvl="0" w:tplc="57BE9B5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9F37A9"/>
    <w:multiLevelType w:val="hybridMultilevel"/>
    <w:tmpl w:val="86864D8C"/>
    <w:lvl w:ilvl="0" w:tplc="A960515C">
      <w:start w:val="1"/>
      <w:numFmt w:val="bullet"/>
      <w:lvlText w:val=""/>
      <w:lvlJc w:val="left"/>
      <w:pPr>
        <w:ind w:left="720" w:hanging="360"/>
      </w:pPr>
      <w:rPr>
        <w:rFonts w:ascii="Symbol" w:hAnsi="Symbo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11ED0"/>
    <w:multiLevelType w:val="hybridMultilevel"/>
    <w:tmpl w:val="B3E62ACC"/>
    <w:lvl w:ilvl="0" w:tplc="92C640B8">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0B42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52586"/>
    <w:multiLevelType w:val="hybridMultilevel"/>
    <w:tmpl w:val="608AE6B4"/>
    <w:lvl w:ilvl="0" w:tplc="92C640B8">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DE62883"/>
    <w:multiLevelType w:val="hybridMultilevel"/>
    <w:tmpl w:val="A96AB36A"/>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256613"/>
    <w:multiLevelType w:val="hybridMultilevel"/>
    <w:tmpl w:val="89589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DF4D8F"/>
    <w:multiLevelType w:val="multilevel"/>
    <w:tmpl w:val="83943446"/>
    <w:lvl w:ilvl="0">
      <w:start w:val="1"/>
      <w:numFmt w:val="bullet"/>
      <w:lvlText w:val=""/>
      <w:lvlJc w:val="left"/>
      <w:pPr>
        <w:tabs>
          <w:tab w:val="num" w:pos="1080"/>
        </w:tabs>
        <w:ind w:left="1080" w:hanging="540"/>
      </w:pPr>
      <w:rPr>
        <w:rFonts w:ascii="AGaramond" w:hAnsi="AGaramond"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D2082"/>
    <w:multiLevelType w:val="hybridMultilevel"/>
    <w:tmpl w:val="921471F0"/>
    <w:lvl w:ilvl="0" w:tplc="92C640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46049D"/>
    <w:multiLevelType w:val="hybridMultilevel"/>
    <w:tmpl w:val="2826B4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CD45A9"/>
    <w:multiLevelType w:val="multilevel"/>
    <w:tmpl w:val="EE62CFF2"/>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95052"/>
    <w:multiLevelType w:val="hybridMultilevel"/>
    <w:tmpl w:val="63CCFAFE"/>
    <w:lvl w:ilvl="0" w:tplc="92C640B8">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3B31424"/>
    <w:multiLevelType w:val="hybridMultilevel"/>
    <w:tmpl w:val="C2F82156"/>
    <w:lvl w:ilvl="0" w:tplc="92C640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1D32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38038A"/>
    <w:multiLevelType w:val="hybridMultilevel"/>
    <w:tmpl w:val="F4B43C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037BBD"/>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80B07CF"/>
    <w:multiLevelType w:val="hybridMultilevel"/>
    <w:tmpl w:val="E3BEA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B84C9E"/>
    <w:multiLevelType w:val="multilevel"/>
    <w:tmpl w:val="D174DE80"/>
    <w:lvl w:ilvl="0">
      <w:start w:val="1"/>
      <w:numFmt w:val="bullet"/>
      <w:lvlText w:val=""/>
      <w:lvlJc w:val="left"/>
      <w:pPr>
        <w:tabs>
          <w:tab w:val="num" w:pos="1004"/>
        </w:tabs>
        <w:ind w:left="1004" w:hanging="720"/>
      </w:pPr>
      <w:rPr>
        <w:rFonts w:ascii="Symbol" w:hAnsi="Symbol" w:hint="default"/>
      </w:rPr>
    </w:lvl>
    <w:lvl w:ilvl="1">
      <w:start w:val="1"/>
      <w:numFmt w:val="decimal"/>
      <w:lvlText w:val="%2."/>
      <w:lvlJc w:val="left"/>
      <w:pPr>
        <w:tabs>
          <w:tab w:val="num" w:pos="1004"/>
        </w:tabs>
        <w:ind w:left="1004"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B30BB4"/>
    <w:multiLevelType w:val="hybridMultilevel"/>
    <w:tmpl w:val="54C44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FE396E"/>
    <w:multiLevelType w:val="hybridMultilevel"/>
    <w:tmpl w:val="E56C0614"/>
    <w:lvl w:ilvl="0" w:tplc="92C640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4C3503"/>
    <w:multiLevelType w:val="multilevel"/>
    <w:tmpl w:val="1200FE9C"/>
    <w:lvl w:ilvl="0">
      <w:start w:val="1"/>
      <w:numFmt w:val="bullet"/>
      <w:lvlText w:val="•"/>
      <w:lvlJc w:val="left"/>
      <w:pPr>
        <w:tabs>
          <w:tab w:val="num" w:pos="972"/>
        </w:tabs>
        <w:ind w:left="972" w:hanging="425"/>
      </w:pPr>
      <w:rPr>
        <w:rFonts w:ascii="Times New Roman" w:hAnsi="Times New Roman" w:hint="default"/>
        <w:b/>
        <w:i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9A19E6"/>
    <w:multiLevelType w:val="multilevel"/>
    <w:tmpl w:val="F3EA0A18"/>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346ECA"/>
    <w:multiLevelType w:val="hybridMultilevel"/>
    <w:tmpl w:val="0BEE1B2E"/>
    <w:lvl w:ilvl="0" w:tplc="564AD67C">
      <w:start w:val="1"/>
      <w:numFmt w:val="bullet"/>
      <w:lvlText w:val=""/>
      <w:lvlJc w:val="left"/>
      <w:pPr>
        <w:tabs>
          <w:tab w:val="num" w:pos="720"/>
        </w:tabs>
        <w:ind w:left="72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422C5"/>
    <w:multiLevelType w:val="hybridMultilevel"/>
    <w:tmpl w:val="7988D062"/>
    <w:lvl w:ilvl="0" w:tplc="29E0E654">
      <w:start w:val="1"/>
      <w:numFmt w:val="decimal"/>
      <w:lvlText w:val="%1."/>
      <w:lvlJc w:val="left"/>
      <w:pPr>
        <w:tabs>
          <w:tab w:val="num" w:pos="972"/>
        </w:tabs>
        <w:ind w:left="972" w:hanging="432"/>
      </w:pPr>
      <w:rPr>
        <w:rFonts w:ascii="Times New Roman" w:hAnsi="Times New Roman" w:hint="default"/>
        <w:b w:val="0"/>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25"/>
  </w:num>
  <w:num w:numId="4">
    <w:abstractNumId w:val="9"/>
  </w:num>
  <w:num w:numId="5">
    <w:abstractNumId w:val="23"/>
  </w:num>
  <w:num w:numId="6">
    <w:abstractNumId w:val="12"/>
  </w:num>
  <w:num w:numId="7">
    <w:abstractNumId w:val="22"/>
  </w:num>
  <w:num w:numId="8">
    <w:abstractNumId w:val="5"/>
  </w:num>
  <w:num w:numId="9">
    <w:abstractNumId w:val="15"/>
  </w:num>
  <w:num w:numId="10">
    <w:abstractNumId w:val="16"/>
  </w:num>
  <w:num w:numId="11">
    <w:abstractNumId w:val="7"/>
  </w:num>
  <w:num w:numId="12">
    <w:abstractNumId w:val="19"/>
  </w:num>
  <w:num w:numId="13">
    <w:abstractNumId w:val="20"/>
  </w:num>
  <w:num w:numId="14">
    <w:abstractNumId w:val="11"/>
  </w:num>
  <w:num w:numId="15">
    <w:abstractNumId w:val="8"/>
  </w:num>
  <w:num w:numId="16">
    <w:abstractNumId w:val="18"/>
  </w:num>
  <w:num w:numId="17">
    <w:abstractNumId w:val="14"/>
  </w:num>
  <w:num w:numId="18">
    <w:abstractNumId w:val="21"/>
  </w:num>
  <w:num w:numId="19">
    <w:abstractNumId w:val="10"/>
  </w:num>
  <w:num w:numId="20">
    <w:abstractNumId w:val="1"/>
  </w:num>
  <w:num w:numId="21">
    <w:abstractNumId w:val="2"/>
  </w:num>
  <w:num w:numId="22">
    <w:abstractNumId w:val="4"/>
  </w:num>
  <w:num w:numId="23">
    <w:abstractNumId w:val="13"/>
  </w:num>
  <w:num w:numId="24">
    <w:abstractNumId w:val="6"/>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55C56"/>
    <w:rsid w:val="000413F0"/>
    <w:rsid w:val="000B15B8"/>
    <w:rsid w:val="00155C56"/>
    <w:rsid w:val="00172AF7"/>
    <w:rsid w:val="001D70A5"/>
    <w:rsid w:val="00227E54"/>
    <w:rsid w:val="002526FB"/>
    <w:rsid w:val="002C7B7A"/>
    <w:rsid w:val="002D0DBD"/>
    <w:rsid w:val="003A0732"/>
    <w:rsid w:val="003E664A"/>
    <w:rsid w:val="00433DD2"/>
    <w:rsid w:val="004A264B"/>
    <w:rsid w:val="004D4B3C"/>
    <w:rsid w:val="006C08A4"/>
    <w:rsid w:val="006D1D1E"/>
    <w:rsid w:val="0083449A"/>
    <w:rsid w:val="00863E88"/>
    <w:rsid w:val="008A37BC"/>
    <w:rsid w:val="008F3EF7"/>
    <w:rsid w:val="00961607"/>
    <w:rsid w:val="009962FA"/>
    <w:rsid w:val="009A5A7C"/>
    <w:rsid w:val="00C44384"/>
    <w:rsid w:val="00D85AEF"/>
    <w:rsid w:val="00E87676"/>
    <w:rsid w:val="00FE3261"/>
    <w:rsid w:val="00FE5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CD92"/>
  <w15:chartTrackingRefBased/>
  <w15:docId w15:val="{71A7A5C5-E76D-4A89-8D90-FBE8B151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ln">
    <w:name w:val="Normal"/>
    <w:qFormat/>
    <w:rsid w:val="00FE5C44"/>
    <w:pPr>
      <w:spacing w:after="0" w:line="360" w:lineRule="auto"/>
      <w:ind w:firstLine="567"/>
      <w:jc w:val="both"/>
    </w:pPr>
    <w:rPr>
      <w:rFonts w:ascii="Times New Roman" w:eastAsia="Cambria" w:hAnsi="Times New Roman" w:cs="Times New Roman"/>
      <w:sz w:val="24"/>
      <w:szCs w:val="24"/>
      <w:lang w:val="en-US"/>
    </w:rPr>
  </w:style>
  <w:style w:type="paragraph" w:styleId="Nadpis1">
    <w:name w:val="heading 1"/>
    <w:basedOn w:val="Normln"/>
    <w:next w:val="Normln"/>
    <w:link w:val="Nadpis1Char"/>
    <w:qFormat/>
    <w:rsid w:val="00155C56"/>
    <w:pPr>
      <w:keepNext/>
      <w:numPr>
        <w:numId w:val="25"/>
      </w:numPr>
      <w:spacing w:before="180" w:line="240" w:lineRule="atLeast"/>
      <w:outlineLvl w:val="0"/>
    </w:pPr>
    <w:rPr>
      <w:rFonts w:eastAsia="Times New Roman"/>
      <w:b/>
      <w:caps/>
      <w:color w:val="000000" w:themeColor="text1"/>
      <w:kern w:val="28"/>
    </w:rPr>
  </w:style>
  <w:style w:type="paragraph" w:styleId="Nadpis2">
    <w:name w:val="heading 2"/>
    <w:basedOn w:val="Normln"/>
    <w:next w:val="Normln"/>
    <w:link w:val="Nadpis2Char"/>
    <w:qFormat/>
    <w:rsid w:val="00155C56"/>
    <w:pPr>
      <w:keepNext/>
      <w:keepLines/>
      <w:numPr>
        <w:ilvl w:val="1"/>
        <w:numId w:val="25"/>
      </w:numPr>
      <w:spacing w:before="120" w:line="240" w:lineRule="auto"/>
      <w:outlineLvl w:val="1"/>
    </w:pPr>
    <w:rPr>
      <w:b/>
      <w:color w:val="000000" w:themeColor="text1"/>
      <w:kern w:val="28"/>
      <w:szCs w:val="32"/>
    </w:rPr>
  </w:style>
  <w:style w:type="paragraph" w:styleId="Nadpis3">
    <w:name w:val="heading 3"/>
    <w:aliases w:val="tABLE"/>
    <w:basedOn w:val="Titulek"/>
    <w:next w:val="Normln"/>
    <w:link w:val="Nadpis3Char"/>
    <w:qFormat/>
    <w:rsid w:val="00FE5C44"/>
    <w:pPr>
      <w:keepNext/>
      <w:outlineLvl w:val="2"/>
    </w:pPr>
    <w:rPr>
      <w:rFonts w:ascii="Bookman Old Style" w:hAnsi="Bookman Old Style"/>
      <w:b/>
      <w:bCs w:val="0"/>
      <w:sz w:val="20"/>
      <w:szCs w:val="20"/>
    </w:rPr>
  </w:style>
  <w:style w:type="paragraph" w:styleId="Nadpis4">
    <w:name w:val="heading 4"/>
    <w:basedOn w:val="Normln"/>
    <w:next w:val="Normln"/>
    <w:link w:val="Nadpis4Char"/>
    <w:qFormat/>
    <w:rsid w:val="00155C56"/>
    <w:pPr>
      <w:keepNext/>
      <w:numPr>
        <w:ilvl w:val="3"/>
        <w:numId w:val="25"/>
      </w:numPr>
      <w:spacing w:line="240" w:lineRule="auto"/>
      <w:outlineLvl w:val="3"/>
    </w:pPr>
    <w:rPr>
      <w:rFonts w:eastAsia="Times New Roman"/>
      <w:b/>
    </w:rPr>
  </w:style>
  <w:style w:type="paragraph" w:styleId="Nadpis5">
    <w:name w:val="heading 5"/>
    <w:basedOn w:val="Normln"/>
    <w:next w:val="Normln"/>
    <w:link w:val="Nadpis5Char"/>
    <w:semiHidden/>
    <w:unhideWhenUsed/>
    <w:rsid w:val="00155C56"/>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semiHidden/>
    <w:unhideWhenUsed/>
    <w:rsid w:val="00155C56"/>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rsid w:val="00155C56"/>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semiHidden/>
    <w:unhideWhenUsed/>
    <w:rsid w:val="00155C56"/>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rsid w:val="00155C56"/>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5C56"/>
    <w:rPr>
      <w:rFonts w:ascii="Times New Roman" w:eastAsia="Times New Roman" w:hAnsi="Times New Roman" w:cs="Times New Roman"/>
      <w:b/>
      <w:caps/>
      <w:color w:val="000000" w:themeColor="text1"/>
      <w:kern w:val="28"/>
      <w:sz w:val="24"/>
      <w:szCs w:val="24"/>
      <w:lang w:val="en-US"/>
    </w:rPr>
  </w:style>
  <w:style w:type="character" w:customStyle="1" w:styleId="Nadpis2Char">
    <w:name w:val="Nadpis 2 Char"/>
    <w:basedOn w:val="Standardnpsmoodstavce"/>
    <w:link w:val="Nadpis2"/>
    <w:rsid w:val="00155C56"/>
    <w:rPr>
      <w:rFonts w:ascii="Times New Roman" w:eastAsia="Cambria" w:hAnsi="Times New Roman" w:cs="Times New Roman"/>
      <w:b/>
      <w:color w:val="000000" w:themeColor="text1"/>
      <w:kern w:val="28"/>
      <w:sz w:val="24"/>
      <w:szCs w:val="32"/>
      <w:lang w:val="en-US"/>
    </w:rPr>
  </w:style>
  <w:style w:type="character" w:customStyle="1" w:styleId="Nadpis3Char">
    <w:name w:val="Nadpis 3 Char"/>
    <w:aliases w:val="tABLE Char"/>
    <w:basedOn w:val="Standardnpsmoodstavce"/>
    <w:link w:val="Nadpis3"/>
    <w:rsid w:val="00FE5C44"/>
    <w:rPr>
      <w:rFonts w:ascii="Bookman Old Style" w:hAnsi="Bookman Old Style"/>
      <w:b/>
      <w:sz w:val="20"/>
      <w:szCs w:val="20"/>
      <w:lang w:val="en-GB"/>
    </w:rPr>
  </w:style>
  <w:style w:type="character" w:customStyle="1" w:styleId="Nadpis4Char">
    <w:name w:val="Nadpis 4 Char"/>
    <w:basedOn w:val="Standardnpsmoodstavce"/>
    <w:link w:val="Nadpis4"/>
    <w:rsid w:val="00155C56"/>
    <w:rPr>
      <w:rFonts w:ascii="Times New Roman" w:eastAsia="Times New Roman" w:hAnsi="Times New Roman" w:cs="Times New Roman"/>
      <w:b/>
      <w:sz w:val="24"/>
      <w:szCs w:val="24"/>
      <w:lang w:val="en-US"/>
    </w:rPr>
  </w:style>
  <w:style w:type="character" w:customStyle="1" w:styleId="Nadpis5Char">
    <w:name w:val="Nadpis 5 Char"/>
    <w:basedOn w:val="Standardnpsmoodstavce"/>
    <w:link w:val="Nadpis5"/>
    <w:semiHidden/>
    <w:rsid w:val="00155C56"/>
    <w:rPr>
      <w:rFonts w:asciiTheme="majorHAnsi" w:eastAsiaTheme="majorEastAsia" w:hAnsiTheme="majorHAnsi" w:cstheme="majorBidi"/>
      <w:color w:val="2F5496" w:themeColor="accent1" w:themeShade="BF"/>
      <w:sz w:val="24"/>
      <w:szCs w:val="24"/>
      <w:lang w:val="en-US"/>
    </w:rPr>
  </w:style>
  <w:style w:type="character" w:customStyle="1" w:styleId="Nadpis6Char">
    <w:name w:val="Nadpis 6 Char"/>
    <w:basedOn w:val="Standardnpsmoodstavce"/>
    <w:link w:val="Nadpis6"/>
    <w:semiHidden/>
    <w:rsid w:val="00155C56"/>
    <w:rPr>
      <w:rFonts w:asciiTheme="majorHAnsi" w:eastAsiaTheme="majorEastAsia" w:hAnsiTheme="majorHAnsi" w:cstheme="majorBidi"/>
      <w:color w:val="1F3763" w:themeColor="accent1" w:themeShade="7F"/>
      <w:sz w:val="24"/>
      <w:szCs w:val="24"/>
      <w:lang w:val="en-US"/>
    </w:rPr>
  </w:style>
  <w:style w:type="character" w:customStyle="1" w:styleId="Nadpis7Char">
    <w:name w:val="Nadpis 7 Char"/>
    <w:basedOn w:val="Standardnpsmoodstavce"/>
    <w:link w:val="Nadpis7"/>
    <w:semiHidden/>
    <w:rsid w:val="00155C56"/>
    <w:rPr>
      <w:rFonts w:asciiTheme="majorHAnsi" w:eastAsiaTheme="majorEastAsia" w:hAnsiTheme="majorHAnsi" w:cstheme="majorBidi"/>
      <w:i/>
      <w:iCs/>
      <w:color w:val="1F3763" w:themeColor="accent1" w:themeShade="7F"/>
      <w:sz w:val="24"/>
      <w:szCs w:val="24"/>
      <w:lang w:val="en-US"/>
    </w:rPr>
  </w:style>
  <w:style w:type="character" w:customStyle="1" w:styleId="Nadpis8Char">
    <w:name w:val="Nadpis 8 Char"/>
    <w:basedOn w:val="Standardnpsmoodstavce"/>
    <w:link w:val="Nadpis8"/>
    <w:semiHidden/>
    <w:rsid w:val="00155C56"/>
    <w:rPr>
      <w:rFonts w:asciiTheme="majorHAnsi" w:eastAsiaTheme="majorEastAsia" w:hAnsiTheme="majorHAnsi" w:cstheme="majorBidi"/>
      <w:color w:val="272727" w:themeColor="text1" w:themeTint="D8"/>
      <w:sz w:val="21"/>
      <w:szCs w:val="21"/>
      <w:lang w:val="en-US"/>
    </w:rPr>
  </w:style>
  <w:style w:type="character" w:customStyle="1" w:styleId="Nadpis9Char">
    <w:name w:val="Nadpis 9 Char"/>
    <w:basedOn w:val="Standardnpsmoodstavce"/>
    <w:link w:val="Nadpis9"/>
    <w:semiHidden/>
    <w:rsid w:val="00155C56"/>
    <w:rPr>
      <w:rFonts w:asciiTheme="majorHAnsi" w:eastAsiaTheme="majorEastAsia" w:hAnsiTheme="majorHAnsi" w:cstheme="majorBidi"/>
      <w:i/>
      <w:iCs/>
      <w:color w:val="272727" w:themeColor="text1" w:themeTint="D8"/>
      <w:sz w:val="21"/>
      <w:szCs w:val="21"/>
      <w:lang w:val="en-US"/>
    </w:rPr>
  </w:style>
  <w:style w:type="paragraph" w:styleId="Titulek">
    <w:name w:val="caption"/>
    <w:basedOn w:val="Normln"/>
    <w:next w:val="Normln"/>
    <w:uiPriority w:val="35"/>
    <w:unhideWhenUsed/>
    <w:rsid w:val="00155C56"/>
    <w:pPr>
      <w:spacing w:after="200" w:line="200" w:lineRule="exact"/>
      <w:ind w:firstLine="0"/>
    </w:pPr>
    <w:rPr>
      <w:rFonts w:asciiTheme="minorHAnsi" w:eastAsiaTheme="minorHAnsi" w:hAnsiTheme="minorHAnsi" w:cstheme="minorBidi"/>
      <w:bCs/>
      <w:sz w:val="14"/>
      <w:szCs w:val="18"/>
      <w:lang w:val="en-GB"/>
    </w:rPr>
  </w:style>
  <w:style w:type="paragraph" w:styleId="Odstavecseseznamem">
    <w:name w:val="List Paragraph"/>
    <w:basedOn w:val="Normln"/>
    <w:rsid w:val="00155C56"/>
    <w:pPr>
      <w:ind w:left="720"/>
      <w:contextualSpacing/>
    </w:pPr>
  </w:style>
  <w:style w:type="character" w:styleId="slodku">
    <w:name w:val="line number"/>
    <w:basedOn w:val="Standardnpsmoodstavce"/>
    <w:rsid w:val="00155C56"/>
    <w:rPr>
      <w:rFonts w:ascii="Helvetica" w:hAnsi="Helvetica"/>
      <w:sz w:val="16"/>
      <w:lang w:val="en-US"/>
    </w:rPr>
  </w:style>
  <w:style w:type="paragraph" w:styleId="Textbubliny">
    <w:name w:val="Balloon Text"/>
    <w:basedOn w:val="Normln"/>
    <w:link w:val="TextbublinyChar"/>
    <w:rsid w:val="00155C56"/>
    <w:pPr>
      <w:spacing w:line="240" w:lineRule="auto"/>
    </w:pPr>
    <w:rPr>
      <w:rFonts w:ascii="Lucida Grande" w:hAnsi="Lucida Grande" w:cs="Lucida Grande"/>
      <w:sz w:val="18"/>
      <w:szCs w:val="18"/>
    </w:rPr>
  </w:style>
  <w:style w:type="character" w:customStyle="1" w:styleId="TextbublinyChar">
    <w:name w:val="Text bubliny Char"/>
    <w:basedOn w:val="Standardnpsmoodstavce"/>
    <w:link w:val="Textbubliny"/>
    <w:rsid w:val="00155C56"/>
    <w:rPr>
      <w:rFonts w:ascii="Lucida Grande" w:eastAsia="Cambria" w:hAnsi="Lucida Grande" w:cs="Lucida Grande"/>
      <w:sz w:val="18"/>
      <w:szCs w:val="18"/>
      <w:lang w:val="en-US"/>
    </w:rPr>
  </w:style>
  <w:style w:type="character" w:styleId="Hypertextovodkaz">
    <w:name w:val="Hyperlink"/>
    <w:basedOn w:val="Standardnpsmoodstavce"/>
    <w:uiPriority w:val="99"/>
    <w:rsid w:val="00155C56"/>
    <w:rPr>
      <w:color w:val="0563C1" w:themeColor="hyperlink"/>
      <w:u w:val="single"/>
    </w:rPr>
  </w:style>
  <w:style w:type="table" w:styleId="Mkatabulky">
    <w:name w:val="Table Grid"/>
    <w:basedOn w:val="Normlntabulka"/>
    <w:uiPriority w:val="59"/>
    <w:rsid w:val="00155C5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155C56"/>
    <w:pPr>
      <w:tabs>
        <w:tab w:val="center" w:pos="4680"/>
        <w:tab w:val="right" w:pos="9360"/>
      </w:tabs>
      <w:spacing w:line="240" w:lineRule="auto"/>
    </w:pPr>
  </w:style>
  <w:style w:type="character" w:customStyle="1" w:styleId="ZhlavChar">
    <w:name w:val="Záhlaví Char"/>
    <w:basedOn w:val="Standardnpsmoodstavce"/>
    <w:link w:val="Zhlav"/>
    <w:rsid w:val="00155C56"/>
    <w:rPr>
      <w:rFonts w:ascii="Times New Roman" w:eastAsia="Cambria" w:hAnsi="Times New Roman" w:cs="Times New Roman"/>
      <w:sz w:val="24"/>
      <w:szCs w:val="24"/>
      <w:lang w:val="en-US"/>
    </w:rPr>
  </w:style>
  <w:style w:type="paragraph" w:styleId="Zpat">
    <w:name w:val="footer"/>
    <w:basedOn w:val="Normln"/>
    <w:link w:val="ZpatChar"/>
    <w:unhideWhenUsed/>
    <w:rsid w:val="00155C56"/>
    <w:pPr>
      <w:tabs>
        <w:tab w:val="center" w:pos="4680"/>
        <w:tab w:val="right" w:pos="9360"/>
      </w:tabs>
      <w:spacing w:line="240" w:lineRule="auto"/>
    </w:pPr>
  </w:style>
  <w:style w:type="character" w:customStyle="1" w:styleId="ZpatChar">
    <w:name w:val="Zápatí Char"/>
    <w:basedOn w:val="Standardnpsmoodstavce"/>
    <w:link w:val="Zpat"/>
    <w:rsid w:val="00155C56"/>
    <w:rPr>
      <w:rFonts w:ascii="Times New Roman" w:eastAsia="Cambria" w:hAnsi="Times New Roman" w:cs="Times New Roman"/>
      <w:sz w:val="24"/>
      <w:szCs w:val="24"/>
      <w:lang w:val="en-US"/>
    </w:rPr>
  </w:style>
  <w:style w:type="character" w:styleId="Sledovanodkaz">
    <w:name w:val="FollowedHyperlink"/>
    <w:basedOn w:val="Standardnpsmoodstavce"/>
    <w:semiHidden/>
    <w:unhideWhenUsed/>
    <w:rsid w:val="00155C56"/>
    <w:rPr>
      <w:color w:val="954F72" w:themeColor="followedHyperlink"/>
      <w:u w:val="single"/>
    </w:rPr>
  </w:style>
  <w:style w:type="character" w:styleId="Odkaznakoment">
    <w:name w:val="annotation reference"/>
    <w:basedOn w:val="Standardnpsmoodstavce"/>
    <w:semiHidden/>
    <w:unhideWhenUsed/>
    <w:rsid w:val="00155C56"/>
    <w:rPr>
      <w:sz w:val="16"/>
      <w:szCs w:val="16"/>
    </w:rPr>
  </w:style>
  <w:style w:type="paragraph" w:styleId="Textkomente">
    <w:name w:val="annotation text"/>
    <w:basedOn w:val="Normln"/>
    <w:link w:val="TextkomenteChar"/>
    <w:unhideWhenUsed/>
    <w:rsid w:val="00155C56"/>
    <w:pPr>
      <w:spacing w:line="240" w:lineRule="auto"/>
    </w:pPr>
    <w:rPr>
      <w:sz w:val="20"/>
      <w:szCs w:val="20"/>
    </w:rPr>
  </w:style>
  <w:style w:type="character" w:customStyle="1" w:styleId="TextkomenteChar">
    <w:name w:val="Text komentáře Char"/>
    <w:basedOn w:val="Standardnpsmoodstavce"/>
    <w:link w:val="Textkomente"/>
    <w:rsid w:val="00155C56"/>
    <w:rPr>
      <w:rFonts w:ascii="Times New Roman" w:eastAsia="Cambria" w:hAnsi="Times New Roman" w:cs="Times New Roman"/>
      <w:sz w:val="20"/>
      <w:szCs w:val="20"/>
      <w:lang w:val="en-US"/>
    </w:rPr>
  </w:style>
  <w:style w:type="paragraph" w:styleId="Pedmtkomente">
    <w:name w:val="annotation subject"/>
    <w:basedOn w:val="Textkomente"/>
    <w:next w:val="Textkomente"/>
    <w:link w:val="PedmtkomenteChar"/>
    <w:semiHidden/>
    <w:unhideWhenUsed/>
    <w:rsid w:val="00155C56"/>
    <w:rPr>
      <w:b/>
      <w:bCs/>
    </w:rPr>
  </w:style>
  <w:style w:type="character" w:customStyle="1" w:styleId="PedmtkomenteChar">
    <w:name w:val="Předmět komentáře Char"/>
    <w:basedOn w:val="TextkomenteChar"/>
    <w:link w:val="Pedmtkomente"/>
    <w:semiHidden/>
    <w:rsid w:val="00155C56"/>
    <w:rPr>
      <w:rFonts w:ascii="Times New Roman" w:eastAsia="Cambria" w:hAnsi="Times New Roman" w:cs="Times New Roman"/>
      <w:b/>
      <w:bCs/>
      <w:sz w:val="20"/>
      <w:szCs w:val="20"/>
      <w:lang w:val="en-US"/>
    </w:rPr>
  </w:style>
  <w:style w:type="table" w:styleId="Tabulkasmkou2">
    <w:name w:val="Grid Table 2"/>
    <w:basedOn w:val="Normlntabulka"/>
    <w:uiPriority w:val="47"/>
    <w:rsid w:val="00155C56"/>
    <w:pPr>
      <w:spacing w:after="0" w:line="240" w:lineRule="auto"/>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rosttabulka4">
    <w:name w:val="Plain Table 4"/>
    <w:basedOn w:val="Normlntabulka"/>
    <w:uiPriority w:val="44"/>
    <w:rsid w:val="00155C56"/>
    <w:pPr>
      <w:spacing w:after="0" w:line="240" w:lineRule="auto"/>
    </w:pPr>
    <w:rPr>
      <w:rFonts w:ascii="Cambria" w:eastAsia="Cambria" w:hAnsi="Cambria"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155C56"/>
    <w:pPr>
      <w:spacing w:after="0" w:line="240" w:lineRule="auto"/>
    </w:pPr>
    <w:rPr>
      <w:rFonts w:ascii="Cambria" w:eastAsia="Cambria" w:hAnsi="Cambria" w:cs="Times New Roman"/>
      <w:sz w:val="20"/>
      <w:szCs w:val="20"/>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Svtlmkatabulky">
    <w:name w:val="Grid Table Light"/>
    <w:basedOn w:val="Normlntabulka"/>
    <w:uiPriority w:val="40"/>
    <w:rsid w:val="00155C56"/>
    <w:pPr>
      <w:spacing w:after="0" w:line="240" w:lineRule="auto"/>
    </w:pPr>
    <w:rPr>
      <w:rFonts w:ascii="Cambria" w:eastAsia="Cambria" w:hAnsi="Cambria"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stlumenmibarvami1">
    <w:name w:val="Table Subtle 1"/>
    <w:basedOn w:val="Normlntabulka"/>
    <w:uiPriority w:val="99"/>
    <w:rsid w:val="00155C56"/>
    <w:pPr>
      <w:spacing w:after="200" w:line="276" w:lineRule="auto"/>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Zdraznn">
    <w:name w:val="Emphasis"/>
    <w:basedOn w:val="Standardnpsmoodstavce"/>
    <w:uiPriority w:val="20"/>
    <w:qFormat/>
    <w:rsid w:val="00155C56"/>
    <w:rPr>
      <w:i/>
      <w:iCs/>
    </w:rPr>
  </w:style>
  <w:style w:type="paragraph" w:customStyle="1" w:styleId="EndNoteBibliographyTitle">
    <w:name w:val="EndNote Bibliography Title"/>
    <w:basedOn w:val="Normln"/>
    <w:link w:val="EndNoteBibliographyTitleChar"/>
    <w:rsid w:val="00155C56"/>
    <w:pPr>
      <w:jc w:val="center"/>
    </w:pPr>
    <w:rPr>
      <w:rFonts w:ascii="Bookman Old Style" w:hAnsi="Bookman Old Style"/>
      <w:noProof/>
      <w:sz w:val="20"/>
    </w:rPr>
  </w:style>
  <w:style w:type="character" w:customStyle="1" w:styleId="EndNoteBibliographyTitleChar">
    <w:name w:val="EndNote Bibliography Title Char"/>
    <w:basedOn w:val="Standardnpsmoodstavce"/>
    <w:link w:val="EndNoteBibliographyTitle"/>
    <w:rsid w:val="00155C56"/>
    <w:rPr>
      <w:rFonts w:ascii="Bookman Old Style" w:eastAsia="Cambria" w:hAnsi="Bookman Old Style" w:cs="Times New Roman"/>
      <w:noProof/>
      <w:sz w:val="20"/>
      <w:szCs w:val="24"/>
      <w:lang w:val="en-US"/>
    </w:rPr>
  </w:style>
  <w:style w:type="paragraph" w:customStyle="1" w:styleId="EndNoteBibliography">
    <w:name w:val="EndNote Bibliography"/>
    <w:basedOn w:val="Normln"/>
    <w:link w:val="EndNoteBibliographyChar"/>
    <w:rsid w:val="00155C56"/>
    <w:pPr>
      <w:spacing w:line="240" w:lineRule="atLeast"/>
    </w:pPr>
    <w:rPr>
      <w:rFonts w:ascii="Bookman Old Style" w:hAnsi="Bookman Old Style"/>
      <w:noProof/>
      <w:sz w:val="20"/>
    </w:rPr>
  </w:style>
  <w:style w:type="character" w:customStyle="1" w:styleId="EndNoteBibliographyChar">
    <w:name w:val="EndNote Bibliography Char"/>
    <w:basedOn w:val="Standardnpsmoodstavce"/>
    <w:link w:val="EndNoteBibliography"/>
    <w:rsid w:val="00155C56"/>
    <w:rPr>
      <w:rFonts w:ascii="Bookman Old Style" w:eastAsia="Cambria" w:hAnsi="Bookman Old Style" w:cs="Times New Roman"/>
      <w:noProof/>
      <w:sz w:val="20"/>
      <w:szCs w:val="24"/>
      <w:lang w:val="en-US"/>
    </w:rPr>
  </w:style>
  <w:style w:type="character" w:styleId="Nevyeenzmnka">
    <w:name w:val="Unresolved Mention"/>
    <w:basedOn w:val="Standardnpsmoodstavce"/>
    <w:rsid w:val="00155C56"/>
    <w:rPr>
      <w:color w:val="605E5C"/>
      <w:shd w:val="clear" w:color="auto" w:fill="E1DFDD"/>
    </w:rPr>
  </w:style>
  <w:style w:type="paragraph" w:customStyle="1" w:styleId="Styl1">
    <w:name w:val="Styl1"/>
    <w:basedOn w:val="Nadpis1"/>
    <w:qFormat/>
    <w:rsid w:val="00155C56"/>
    <w:pPr>
      <w:numPr>
        <w:numId w:val="20"/>
      </w:numPr>
      <w:spacing w:line="360" w:lineRule="auto"/>
    </w:pPr>
  </w:style>
  <w:style w:type="paragraph" w:customStyle="1" w:styleId="Styl2">
    <w:name w:val="Styl2"/>
    <w:basedOn w:val="Nadpis1"/>
    <w:qFormat/>
    <w:rsid w:val="00155C56"/>
    <w:pPr>
      <w:numPr>
        <w:numId w:val="0"/>
      </w:numPr>
      <w:spacing w:line="360" w:lineRule="auto"/>
      <w:ind w:left="720" w:hanging="360"/>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usek\Disk%20Google\Publishing\_Journals\CERP\Action%20research\AV_UVRV_Vysledk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usek\Disk%20Google\Publishing\_Journals\CERP\Action%20research\AV_UVRV_Vysledk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usek\Disk%20Google\Publishing\_Journals\CERP\Action%20research\AV_UVRV_Vysledk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usek\Disk%20Google\Publishing\_Journals\CERP\Action%20research\AV_UVRV_Vysledk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usek\Disk%20Google\Publishing\_Journals\CERP\Action%20research\AV_UVRV_Vysledky.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List7!$J$138:$N$138</c:f>
              <c:numCache>
                <c:formatCode>General</c:formatCode>
                <c:ptCount val="5"/>
                <c:pt idx="0">
                  <c:v>46</c:v>
                </c:pt>
                <c:pt idx="1">
                  <c:v>49</c:v>
                </c:pt>
                <c:pt idx="2">
                  <c:v>37</c:v>
                </c:pt>
                <c:pt idx="3">
                  <c:v>5</c:v>
                </c:pt>
                <c:pt idx="4">
                  <c:v>1</c:v>
                </c:pt>
              </c:numCache>
            </c:numRef>
          </c:val>
          <c:extLst>
            <c:ext xmlns:c16="http://schemas.microsoft.com/office/drawing/2014/chart" uri="{C3380CC4-5D6E-409C-BE32-E72D297353CC}">
              <c16:uniqueId val="{00000000-7BF2-457F-A503-06F2D45C123A}"/>
            </c:ext>
          </c:extLst>
        </c:ser>
        <c:ser>
          <c:idx val="1"/>
          <c:order val="1"/>
          <c:spPr>
            <a:noFill/>
            <a:ln w="25400" cap="flat" cmpd="sng" algn="ctr">
              <a:solidFill>
                <a:schemeClr val="accent4"/>
              </a:solidFill>
              <a:miter lim="800000"/>
            </a:ln>
            <a:effectLst/>
          </c:spPr>
          <c:invertIfNegative val="0"/>
          <c:dLbls>
            <c:delete val="1"/>
          </c:dLbls>
          <c:val>
            <c:numRef>
              <c:f>List7!$J$139:$N$139</c:f>
              <c:numCache>
                <c:formatCode>@</c:formatCode>
                <c:ptCount val="5"/>
                <c:pt idx="0">
                  <c:v>0</c:v>
                </c:pt>
                <c:pt idx="1">
                  <c:v>0</c:v>
                </c:pt>
                <c:pt idx="2">
                  <c:v>0</c:v>
                </c:pt>
                <c:pt idx="3">
                  <c:v>0</c:v>
                </c:pt>
                <c:pt idx="4">
                  <c:v>0</c:v>
                </c:pt>
              </c:numCache>
            </c:numRef>
          </c:val>
          <c:extLst>
            <c:ext xmlns:c16="http://schemas.microsoft.com/office/drawing/2014/chart" uri="{C3380CC4-5D6E-409C-BE32-E72D297353CC}">
              <c16:uniqueId val="{00000001-7BF2-457F-A503-06F2D45C123A}"/>
            </c:ext>
          </c:extLst>
        </c:ser>
        <c:dLbls>
          <c:dLblPos val="outEnd"/>
          <c:showLegendKey val="0"/>
          <c:showVal val="1"/>
          <c:showCatName val="0"/>
          <c:showSerName val="0"/>
          <c:showPercent val="0"/>
          <c:showBubbleSize val="0"/>
        </c:dLbls>
        <c:gapWidth val="164"/>
        <c:overlap val="-35"/>
        <c:axId val="1149698111"/>
        <c:axId val="1275189999"/>
      </c:barChart>
      <c:catAx>
        <c:axId val="114969811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Chemistry grades</a:t>
                </a:r>
              </a:p>
            </c:rich>
          </c:tx>
          <c:layout>
            <c:manualLayout>
              <c:xMode val="edge"/>
              <c:yMode val="edge"/>
              <c:x val="0.38045195287744499"/>
              <c:y val="0.84926470588235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1275189999"/>
        <c:crosses val="autoZero"/>
        <c:auto val="1"/>
        <c:lblAlgn val="ctr"/>
        <c:lblOffset val="100"/>
        <c:noMultiLvlLbl val="0"/>
      </c:catAx>
      <c:valAx>
        <c:axId val="1275189999"/>
        <c:scaling>
          <c:orientation val="minMax"/>
          <c:max val="55"/>
          <c:min val="0"/>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Number of students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1149698111"/>
        <c:crosses val="autoZero"/>
        <c:crossBetween val="between"/>
        <c:minorUnit val="1"/>
      </c:valAx>
      <c:spPr>
        <a:noFill/>
        <a:ln>
          <a:solidFill>
            <a:schemeClr val="bg1">
              <a:lumMod val="50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'Účast na všech testování'!$C$169</c:f>
              <c:strCache>
                <c:ptCount val="1"/>
                <c:pt idx="0">
                  <c:v>Unsuccessful</c:v>
                </c:pt>
              </c:strCache>
            </c:strRef>
          </c:tx>
          <c:spPr>
            <a:solidFill>
              <a:srgbClr val="0070C0"/>
            </a:solidFill>
            <a:ln w="25400" cap="flat" cmpd="sng" algn="ctr">
              <a:solidFill>
                <a:schemeClr val="accent1"/>
              </a:solidFill>
              <a:miter lim="800000"/>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'Účast na všech testování'!$B$170:$B$172</c:f>
              <c:strCache>
                <c:ptCount val="3"/>
                <c:pt idx="0">
                  <c:v>Pre-test</c:v>
                </c:pt>
                <c:pt idx="1">
                  <c:v>Sub-test</c:v>
                </c:pt>
                <c:pt idx="2">
                  <c:v>Post-test</c:v>
                </c:pt>
              </c:strCache>
            </c:strRef>
          </c:cat>
          <c:val>
            <c:numRef>
              <c:f>'Účast na všech testování'!$C$170:$C$172</c:f>
              <c:numCache>
                <c:formatCode>General</c:formatCode>
                <c:ptCount val="3"/>
                <c:pt idx="0">
                  <c:v>72</c:v>
                </c:pt>
                <c:pt idx="1">
                  <c:v>25</c:v>
                </c:pt>
                <c:pt idx="2">
                  <c:v>15</c:v>
                </c:pt>
              </c:numCache>
            </c:numRef>
          </c:val>
          <c:extLst>
            <c:ext xmlns:c16="http://schemas.microsoft.com/office/drawing/2014/chart" uri="{C3380CC4-5D6E-409C-BE32-E72D297353CC}">
              <c16:uniqueId val="{00000000-6CF7-4D45-98FF-3375CD4AABD2}"/>
            </c:ext>
          </c:extLst>
        </c:ser>
        <c:ser>
          <c:idx val="1"/>
          <c:order val="1"/>
          <c:tx>
            <c:strRef>
              <c:f>'Účast na všech testování'!$D$169</c:f>
              <c:strCache>
                <c:ptCount val="1"/>
                <c:pt idx="0">
                  <c:v>Partially successful</c:v>
                </c:pt>
              </c:strCache>
            </c:strRef>
          </c:tx>
          <c:spPr>
            <a:solidFill>
              <a:schemeClr val="accent2"/>
            </a:solid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'Účast na všech testování'!$B$170:$B$172</c:f>
              <c:strCache>
                <c:ptCount val="3"/>
                <c:pt idx="0">
                  <c:v>Pre-test</c:v>
                </c:pt>
                <c:pt idx="1">
                  <c:v>Sub-test</c:v>
                </c:pt>
                <c:pt idx="2">
                  <c:v>Post-test</c:v>
                </c:pt>
              </c:strCache>
            </c:strRef>
          </c:cat>
          <c:val>
            <c:numRef>
              <c:f>'Účast na všech testování'!$D$170:$D$172</c:f>
              <c:numCache>
                <c:formatCode>General</c:formatCode>
                <c:ptCount val="3"/>
                <c:pt idx="0">
                  <c:v>40</c:v>
                </c:pt>
                <c:pt idx="1">
                  <c:v>79</c:v>
                </c:pt>
                <c:pt idx="2">
                  <c:v>65</c:v>
                </c:pt>
              </c:numCache>
            </c:numRef>
          </c:val>
          <c:extLst>
            <c:ext xmlns:c16="http://schemas.microsoft.com/office/drawing/2014/chart" uri="{C3380CC4-5D6E-409C-BE32-E72D297353CC}">
              <c16:uniqueId val="{00000001-6CF7-4D45-98FF-3375CD4AABD2}"/>
            </c:ext>
          </c:extLst>
        </c:ser>
        <c:ser>
          <c:idx val="2"/>
          <c:order val="2"/>
          <c:tx>
            <c:strRef>
              <c:f>'Účast na všech testování'!$E$169</c:f>
              <c:strCache>
                <c:ptCount val="1"/>
                <c:pt idx="0">
                  <c:v>Successful</c:v>
                </c:pt>
              </c:strCache>
            </c:strRef>
          </c:tx>
          <c:spPr>
            <a:solidFill>
              <a:schemeClr val="accent3"/>
            </a:solidFill>
            <a:ln w="25400" cap="flat" cmpd="sng" algn="ctr">
              <a:solidFill>
                <a:schemeClr val="accent3"/>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'Účast na všech testování'!$B$170:$B$172</c:f>
              <c:strCache>
                <c:ptCount val="3"/>
                <c:pt idx="0">
                  <c:v>Pre-test</c:v>
                </c:pt>
                <c:pt idx="1">
                  <c:v>Sub-test</c:v>
                </c:pt>
                <c:pt idx="2">
                  <c:v>Post-test</c:v>
                </c:pt>
              </c:strCache>
            </c:strRef>
          </c:cat>
          <c:val>
            <c:numRef>
              <c:f>'Účast na všech testování'!$E$170:$E$172</c:f>
              <c:numCache>
                <c:formatCode>General</c:formatCode>
                <c:ptCount val="3"/>
                <c:pt idx="0">
                  <c:v>0</c:v>
                </c:pt>
                <c:pt idx="1">
                  <c:v>8</c:v>
                </c:pt>
                <c:pt idx="2">
                  <c:v>32</c:v>
                </c:pt>
              </c:numCache>
            </c:numRef>
          </c:val>
          <c:extLst>
            <c:ext xmlns:c16="http://schemas.microsoft.com/office/drawing/2014/chart" uri="{C3380CC4-5D6E-409C-BE32-E72D297353CC}">
              <c16:uniqueId val="{00000002-6CF7-4D45-98FF-3375CD4AABD2}"/>
            </c:ext>
          </c:extLst>
        </c:ser>
        <c:dLbls>
          <c:dLblPos val="outEnd"/>
          <c:showLegendKey val="0"/>
          <c:showVal val="1"/>
          <c:showCatName val="0"/>
          <c:showSerName val="0"/>
          <c:showPercent val="0"/>
          <c:showBubbleSize val="0"/>
        </c:dLbls>
        <c:gapWidth val="164"/>
        <c:overlap val="-35"/>
        <c:axId val="113558143"/>
        <c:axId val="113257631"/>
      </c:barChart>
      <c:catAx>
        <c:axId val="113558143"/>
        <c:scaling>
          <c:orientation val="minMax"/>
        </c:scaling>
        <c:delete val="0"/>
        <c:axPos val="b"/>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113257631"/>
        <c:crosses val="autoZero"/>
        <c:auto val="1"/>
        <c:lblAlgn val="ctr"/>
        <c:lblOffset val="100"/>
        <c:noMultiLvlLbl val="0"/>
      </c:catAx>
      <c:valAx>
        <c:axId val="113257631"/>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 Number of students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113558143"/>
        <c:crosses val="autoZero"/>
        <c:crossBetween val="between"/>
      </c:valAx>
      <c:spPr>
        <a:noFill/>
        <a:ln>
          <a:solidFill>
            <a:schemeClr val="accent3"/>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36676436191117"/>
          <c:y val="0.2352491772140243"/>
          <c:w val="0.81653622220854383"/>
          <c:h val="0.49282709524323165"/>
        </c:manualLayout>
      </c:layout>
      <c:barChart>
        <c:barDir val="col"/>
        <c:grouping val="clustered"/>
        <c:varyColors val="0"/>
        <c:ser>
          <c:idx val="1"/>
          <c:order val="0"/>
          <c:tx>
            <c:strRef>
              <c:f>'Účast na všech testování'!$B$163</c:f>
              <c:strCache>
                <c:ptCount val="1"/>
                <c:pt idx="0">
                  <c:v>Pretest</c:v>
                </c:pt>
              </c:strCache>
            </c:strRef>
          </c:tx>
          <c:spPr>
            <a:solidFill>
              <a:schemeClr val="accent2"/>
            </a:solid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'Účast na všech testování'!$C$162:$I$162</c:f>
              <c:numCache>
                <c:formatCode>General</c:formatCode>
                <c:ptCount val="7"/>
                <c:pt idx="0">
                  <c:v>0</c:v>
                </c:pt>
                <c:pt idx="1">
                  <c:v>1</c:v>
                </c:pt>
                <c:pt idx="2">
                  <c:v>2</c:v>
                </c:pt>
                <c:pt idx="3">
                  <c:v>3</c:v>
                </c:pt>
                <c:pt idx="4">
                  <c:v>4</c:v>
                </c:pt>
                <c:pt idx="5">
                  <c:v>5</c:v>
                </c:pt>
                <c:pt idx="6">
                  <c:v>6</c:v>
                </c:pt>
              </c:numCache>
            </c:numRef>
          </c:cat>
          <c:val>
            <c:numRef>
              <c:f>'Účast na všech testování'!$C$163:$I$163</c:f>
              <c:numCache>
                <c:formatCode>General</c:formatCode>
                <c:ptCount val="7"/>
                <c:pt idx="0">
                  <c:v>53</c:v>
                </c:pt>
                <c:pt idx="1">
                  <c:v>19</c:v>
                </c:pt>
                <c:pt idx="2">
                  <c:v>24</c:v>
                </c:pt>
                <c:pt idx="3">
                  <c:v>14</c:v>
                </c:pt>
                <c:pt idx="4">
                  <c:v>2</c:v>
                </c:pt>
                <c:pt idx="5">
                  <c:v>0</c:v>
                </c:pt>
                <c:pt idx="6">
                  <c:v>0</c:v>
                </c:pt>
              </c:numCache>
            </c:numRef>
          </c:val>
          <c:extLst>
            <c:ext xmlns:c16="http://schemas.microsoft.com/office/drawing/2014/chart" uri="{C3380CC4-5D6E-409C-BE32-E72D297353CC}">
              <c16:uniqueId val="{00000000-CC10-C54B-BB52-67445CE42B72}"/>
            </c:ext>
          </c:extLst>
        </c:ser>
        <c:dLbls>
          <c:dLblPos val="outEnd"/>
          <c:showLegendKey val="0"/>
          <c:showVal val="1"/>
          <c:showCatName val="0"/>
          <c:showSerName val="0"/>
          <c:showPercent val="0"/>
          <c:showBubbleSize val="0"/>
        </c:dLbls>
        <c:gapWidth val="164"/>
        <c:overlap val="-35"/>
        <c:axId val="203641695"/>
        <c:axId val="202966975"/>
      </c:barChart>
      <c:dateAx>
        <c:axId val="20364169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Test score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202966975"/>
        <c:crosses val="autoZero"/>
        <c:auto val="0"/>
        <c:lblOffset val="100"/>
        <c:baseTimeUnit val="days"/>
      </c:dateAx>
      <c:valAx>
        <c:axId val="202966975"/>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Number of students</a:t>
                </a:r>
              </a:p>
            </c:rich>
          </c:tx>
          <c:layout>
            <c:manualLayout>
              <c:xMode val="edge"/>
              <c:yMode val="edge"/>
              <c:x val="4.0088194026859092E-3"/>
              <c:y val="0.2478449716004009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cs-CZ"/>
          </a:p>
        </c:txPr>
        <c:crossAx val="203641695"/>
        <c:crosses val="autoZero"/>
        <c:crossBetween val="between"/>
      </c:valAx>
      <c:spPr>
        <a:noFill/>
        <a:ln>
          <a:solidFill>
            <a:schemeClr val="accent3"/>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'Účast na všech testování'!$B$164</c:f>
              <c:strCache>
                <c:ptCount val="1"/>
                <c:pt idx="0">
                  <c:v>Průběžné</c:v>
                </c:pt>
              </c:strCache>
            </c:strRef>
          </c:tx>
          <c:spPr>
            <a:solidFill>
              <a:schemeClr val="accent2"/>
            </a:solid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'Účast na všech testování'!$C$162:$I$162</c:f>
              <c:numCache>
                <c:formatCode>General</c:formatCode>
                <c:ptCount val="7"/>
                <c:pt idx="0">
                  <c:v>0</c:v>
                </c:pt>
                <c:pt idx="1">
                  <c:v>1</c:v>
                </c:pt>
                <c:pt idx="2">
                  <c:v>2</c:v>
                </c:pt>
                <c:pt idx="3">
                  <c:v>3</c:v>
                </c:pt>
                <c:pt idx="4">
                  <c:v>4</c:v>
                </c:pt>
                <c:pt idx="5">
                  <c:v>5</c:v>
                </c:pt>
                <c:pt idx="6">
                  <c:v>6</c:v>
                </c:pt>
              </c:numCache>
            </c:numRef>
          </c:cat>
          <c:val>
            <c:numRef>
              <c:f>'Účast na všech testování'!$C$164:$I$164</c:f>
              <c:numCache>
                <c:formatCode>General</c:formatCode>
                <c:ptCount val="7"/>
                <c:pt idx="0">
                  <c:v>7</c:v>
                </c:pt>
                <c:pt idx="1">
                  <c:v>18</c:v>
                </c:pt>
                <c:pt idx="2">
                  <c:v>34</c:v>
                </c:pt>
                <c:pt idx="3">
                  <c:v>31</c:v>
                </c:pt>
                <c:pt idx="4">
                  <c:v>14</c:v>
                </c:pt>
                <c:pt idx="5">
                  <c:v>6</c:v>
                </c:pt>
                <c:pt idx="6">
                  <c:v>2</c:v>
                </c:pt>
              </c:numCache>
            </c:numRef>
          </c:val>
          <c:extLst>
            <c:ext xmlns:c16="http://schemas.microsoft.com/office/drawing/2014/chart" uri="{C3380CC4-5D6E-409C-BE32-E72D297353CC}">
              <c16:uniqueId val="{00000000-EB36-9842-B3E6-DD96138720B4}"/>
            </c:ext>
          </c:extLst>
        </c:ser>
        <c:dLbls>
          <c:dLblPos val="outEnd"/>
          <c:showLegendKey val="0"/>
          <c:showVal val="1"/>
          <c:showCatName val="0"/>
          <c:showSerName val="0"/>
          <c:showPercent val="0"/>
          <c:showBubbleSize val="0"/>
        </c:dLbls>
        <c:gapWidth val="164"/>
        <c:overlap val="-35"/>
        <c:axId val="83968623"/>
        <c:axId val="202971967"/>
      </c:barChart>
      <c:catAx>
        <c:axId val="83968623"/>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Test score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202971967"/>
        <c:crosses val="autoZero"/>
        <c:auto val="1"/>
        <c:lblAlgn val="ctr"/>
        <c:lblOffset val="100"/>
        <c:noMultiLvlLbl val="0"/>
      </c:catAx>
      <c:valAx>
        <c:axId val="202971967"/>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Number of students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83968623"/>
        <c:crosses val="autoZero"/>
        <c:crossBetween val="between"/>
      </c:valAx>
      <c:spPr>
        <a:noFill/>
        <a:ln>
          <a:solidFill>
            <a:schemeClr val="accent3"/>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w="25400" cap="flat" cmpd="sng" algn="ctr">
              <a:solidFill>
                <a:schemeClr val="accent2"/>
              </a:solidFill>
              <a:miter lim="800000"/>
            </a:ln>
            <a:effectLst/>
          </c:spPr>
          <c:invertIfNegative val="0"/>
          <c:dPt>
            <c:idx val="0"/>
            <c:invertIfNegative val="0"/>
            <c:bubble3D val="0"/>
            <c:extLst>
              <c:ext xmlns:c16="http://schemas.microsoft.com/office/drawing/2014/chart" uri="{C3380CC4-5D6E-409C-BE32-E72D297353CC}">
                <c16:uniqueId val="{00000001-AB8C-4CB3-9995-C6AFACA4DA71}"/>
              </c:ext>
            </c:extLst>
          </c:dPt>
          <c:dPt>
            <c:idx val="1"/>
            <c:invertIfNegative val="0"/>
            <c:bubble3D val="0"/>
            <c:extLst>
              <c:ext xmlns:c16="http://schemas.microsoft.com/office/drawing/2014/chart" uri="{C3380CC4-5D6E-409C-BE32-E72D297353CC}">
                <c16:uniqueId val="{00000003-AB8C-4CB3-9995-C6AFACA4DA71}"/>
              </c:ext>
            </c:extLst>
          </c:dPt>
          <c:dPt>
            <c:idx val="2"/>
            <c:invertIfNegative val="0"/>
            <c:bubble3D val="0"/>
            <c:extLst>
              <c:ext xmlns:c16="http://schemas.microsoft.com/office/drawing/2014/chart" uri="{C3380CC4-5D6E-409C-BE32-E72D297353CC}">
                <c16:uniqueId val="{00000005-AB8C-4CB3-9995-C6AFACA4DA71}"/>
              </c:ext>
            </c:extLst>
          </c:dPt>
          <c:dPt>
            <c:idx val="3"/>
            <c:invertIfNegative val="0"/>
            <c:bubble3D val="0"/>
            <c:extLst>
              <c:ext xmlns:c16="http://schemas.microsoft.com/office/drawing/2014/chart" uri="{C3380CC4-5D6E-409C-BE32-E72D297353CC}">
                <c16:uniqueId val="{00000007-AB8C-4CB3-9995-C6AFACA4DA71}"/>
              </c:ext>
            </c:extLst>
          </c:dPt>
          <c:dPt>
            <c:idx val="4"/>
            <c:invertIfNegative val="0"/>
            <c:bubble3D val="0"/>
            <c:extLst>
              <c:ext xmlns:c16="http://schemas.microsoft.com/office/drawing/2014/chart" uri="{C3380CC4-5D6E-409C-BE32-E72D297353CC}">
                <c16:uniqueId val="{00000009-AB8C-4CB3-9995-C6AFACA4DA71}"/>
              </c:ext>
            </c:extLst>
          </c:dPt>
          <c:dPt>
            <c:idx val="5"/>
            <c:invertIfNegative val="0"/>
            <c:bubble3D val="0"/>
            <c:extLst>
              <c:ext xmlns:c16="http://schemas.microsoft.com/office/drawing/2014/chart" uri="{C3380CC4-5D6E-409C-BE32-E72D297353CC}">
                <c16:uniqueId val="{0000000B-AB8C-4CB3-9995-C6AFACA4DA71}"/>
              </c:ext>
            </c:extLst>
          </c:dPt>
          <c:dPt>
            <c:idx val="6"/>
            <c:invertIfNegative val="0"/>
            <c:bubble3D val="0"/>
            <c:extLst>
              <c:ext xmlns:c16="http://schemas.microsoft.com/office/drawing/2014/chart" uri="{C3380CC4-5D6E-409C-BE32-E72D297353CC}">
                <c16:uniqueId val="{0000000D-AB8C-4CB3-9995-C6AFACA4DA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'Účast na všech testování'!$C$162:$I$162</c:f>
              <c:numCache>
                <c:formatCode>General</c:formatCode>
                <c:ptCount val="7"/>
                <c:pt idx="0">
                  <c:v>0</c:v>
                </c:pt>
                <c:pt idx="1">
                  <c:v>1</c:v>
                </c:pt>
                <c:pt idx="2">
                  <c:v>2</c:v>
                </c:pt>
                <c:pt idx="3">
                  <c:v>3</c:v>
                </c:pt>
                <c:pt idx="4">
                  <c:v>4</c:v>
                </c:pt>
                <c:pt idx="5">
                  <c:v>5</c:v>
                </c:pt>
                <c:pt idx="6">
                  <c:v>6</c:v>
                </c:pt>
              </c:numCache>
            </c:numRef>
          </c:cat>
          <c:val>
            <c:numRef>
              <c:f>'Účast na všech testování'!$C$165:$I$165</c:f>
              <c:numCache>
                <c:formatCode>General</c:formatCode>
                <c:ptCount val="7"/>
                <c:pt idx="0">
                  <c:v>5</c:v>
                </c:pt>
                <c:pt idx="1">
                  <c:v>10</c:v>
                </c:pt>
                <c:pt idx="2">
                  <c:v>25</c:v>
                </c:pt>
                <c:pt idx="3">
                  <c:v>22</c:v>
                </c:pt>
                <c:pt idx="4">
                  <c:v>18</c:v>
                </c:pt>
                <c:pt idx="5">
                  <c:v>23</c:v>
                </c:pt>
                <c:pt idx="6">
                  <c:v>9</c:v>
                </c:pt>
              </c:numCache>
            </c:numRef>
          </c:val>
          <c:extLst>
            <c:ext xmlns:c16="http://schemas.microsoft.com/office/drawing/2014/chart" uri="{C3380CC4-5D6E-409C-BE32-E72D297353CC}">
              <c16:uniqueId val="{00000000-E162-EC41-A757-BCD1687DFCD2}"/>
            </c:ext>
          </c:extLst>
        </c:ser>
        <c:dLbls>
          <c:showLegendKey val="0"/>
          <c:showVal val="0"/>
          <c:showCatName val="0"/>
          <c:showSerName val="0"/>
          <c:showPercent val="0"/>
          <c:showBubbleSize val="0"/>
        </c:dLbls>
        <c:gapWidth val="164"/>
        <c:overlap val="-35"/>
        <c:axId val="788224080"/>
        <c:axId val="362112912"/>
      </c:barChart>
      <c:catAx>
        <c:axId val="7882240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Test score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362112912"/>
        <c:crosses val="autoZero"/>
        <c:auto val="1"/>
        <c:lblAlgn val="ctr"/>
        <c:lblOffset val="100"/>
        <c:noMultiLvlLbl val="0"/>
      </c:catAx>
      <c:valAx>
        <c:axId val="36211291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cs-CZ"/>
                  <a:t>Number of students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cs-CZ"/>
          </a:p>
        </c:txPr>
        <c:crossAx val="788224080"/>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C1C468-73E4-DC46-9A0A-F80C68470F01}" type="doc">
      <dgm:prSet loTypeId="urn:microsoft.com/office/officeart/2009/layout/CircleArrowProcess" loCatId="" qsTypeId="urn:microsoft.com/office/officeart/2005/8/quickstyle/3d4" qsCatId="3D" csTypeId="urn:microsoft.com/office/officeart/2005/8/colors/colorful4" csCatId="colorful" phldr="1"/>
      <dgm:spPr/>
      <dgm:t>
        <a:bodyPr/>
        <a:lstStyle/>
        <a:p>
          <a:endParaRPr lang="cs-CZ"/>
        </a:p>
      </dgm:t>
    </dgm:pt>
    <dgm:pt modelId="{82DF598C-6E78-8C49-B524-9C81EDB2AC31}">
      <dgm:prSet phldrT="[Text]"/>
      <dgm:spPr/>
      <dgm:t>
        <a:bodyPr/>
        <a:lstStyle/>
        <a:p>
          <a:r>
            <a:rPr lang="cs-CZ">
              <a:latin typeface="Bookman Old Style" panose="02050604050505020204" pitchFamily="18" charset="0"/>
            </a:rPr>
            <a:t>Planning phase</a:t>
          </a:r>
        </a:p>
      </dgm:t>
    </dgm:pt>
    <dgm:pt modelId="{E05C5D25-0E1C-5447-94E7-597D3D7F95C8}" type="parTrans" cxnId="{21B677FD-6C10-704E-89DC-9B163187935F}">
      <dgm:prSet/>
      <dgm:spPr/>
      <dgm:t>
        <a:bodyPr/>
        <a:lstStyle/>
        <a:p>
          <a:endParaRPr lang="cs-CZ"/>
        </a:p>
      </dgm:t>
    </dgm:pt>
    <dgm:pt modelId="{8684DB79-4D69-E44F-81F2-8EC6E880108B}" type="sibTrans" cxnId="{21B677FD-6C10-704E-89DC-9B163187935F}">
      <dgm:prSet/>
      <dgm:spPr/>
      <dgm:t>
        <a:bodyPr/>
        <a:lstStyle/>
        <a:p>
          <a:endParaRPr lang="cs-CZ"/>
        </a:p>
      </dgm:t>
    </dgm:pt>
    <dgm:pt modelId="{84AD116F-C4F5-FE4F-8E80-EE8A714CF914}">
      <dgm:prSet phldrT="[Text]"/>
      <dgm:spPr/>
      <dgm:t>
        <a:bodyPr/>
        <a:lstStyle/>
        <a:p>
          <a:r>
            <a:rPr lang="cs-CZ">
              <a:latin typeface="Bookman Old Style" panose="02050604050505020204" pitchFamily="18" charset="0"/>
            </a:rPr>
            <a:t>Action phase I</a:t>
          </a:r>
        </a:p>
      </dgm:t>
    </dgm:pt>
    <dgm:pt modelId="{6CA3962D-25A4-D041-BDF1-8292AFAD71E9}" type="parTrans" cxnId="{3F28E859-68D8-A84F-B02C-411E89BEB0FB}">
      <dgm:prSet/>
      <dgm:spPr/>
      <dgm:t>
        <a:bodyPr/>
        <a:lstStyle/>
        <a:p>
          <a:endParaRPr lang="cs-CZ"/>
        </a:p>
      </dgm:t>
    </dgm:pt>
    <dgm:pt modelId="{B49EDD93-1617-2D4D-925C-F048F2DE97F3}" type="sibTrans" cxnId="{3F28E859-68D8-A84F-B02C-411E89BEB0FB}">
      <dgm:prSet/>
      <dgm:spPr/>
      <dgm:t>
        <a:bodyPr/>
        <a:lstStyle/>
        <a:p>
          <a:endParaRPr lang="cs-CZ"/>
        </a:p>
      </dgm:t>
    </dgm:pt>
    <dgm:pt modelId="{E843798F-2998-C144-9639-718ABB1F3A85}">
      <dgm:prSet phldrT="[Text]"/>
      <dgm:spPr/>
      <dgm:t>
        <a:bodyPr/>
        <a:lstStyle/>
        <a:p>
          <a:r>
            <a:rPr lang="cs-CZ">
              <a:latin typeface="Bookman Old Style" panose="02050604050505020204" pitchFamily="18" charset="0"/>
            </a:rPr>
            <a:t>Reflection phase I </a:t>
          </a:r>
        </a:p>
      </dgm:t>
    </dgm:pt>
    <dgm:pt modelId="{33ABBA17-B7EB-A045-9BBF-981F35D0A063}" type="parTrans" cxnId="{F6B3A3E2-8753-9049-A1A2-89B818AB08C1}">
      <dgm:prSet/>
      <dgm:spPr/>
      <dgm:t>
        <a:bodyPr/>
        <a:lstStyle/>
        <a:p>
          <a:endParaRPr lang="cs-CZ"/>
        </a:p>
      </dgm:t>
    </dgm:pt>
    <dgm:pt modelId="{2D7A6AF7-05E2-A24C-BDCB-7302D1AEAB32}" type="sibTrans" cxnId="{F6B3A3E2-8753-9049-A1A2-89B818AB08C1}">
      <dgm:prSet/>
      <dgm:spPr/>
      <dgm:t>
        <a:bodyPr/>
        <a:lstStyle/>
        <a:p>
          <a:endParaRPr lang="cs-CZ"/>
        </a:p>
      </dgm:t>
    </dgm:pt>
    <dgm:pt modelId="{1EA2CDFD-2BF6-294C-9D1B-4F5F5994109F}">
      <dgm:prSet custT="1"/>
      <dgm:spPr/>
      <dgm:t>
        <a:bodyPr/>
        <a:lstStyle/>
        <a:p>
          <a:r>
            <a:rPr lang="cs-CZ" sz="900">
              <a:latin typeface="Bookman Old Style" panose="02050604050505020204" pitchFamily="18" charset="0"/>
            </a:rPr>
            <a:t>Teacher - academic discussion</a:t>
          </a:r>
        </a:p>
      </dgm:t>
    </dgm:pt>
    <dgm:pt modelId="{F92A6DC1-AE97-6641-94C7-513027D5D51A}" type="parTrans" cxnId="{84B368FD-A797-9A42-8DF1-A4A673194497}">
      <dgm:prSet/>
      <dgm:spPr/>
      <dgm:t>
        <a:bodyPr/>
        <a:lstStyle/>
        <a:p>
          <a:endParaRPr lang="cs-CZ"/>
        </a:p>
      </dgm:t>
    </dgm:pt>
    <dgm:pt modelId="{1179C6D2-9F09-524E-A68E-81FC03B58A46}" type="sibTrans" cxnId="{84B368FD-A797-9A42-8DF1-A4A673194497}">
      <dgm:prSet/>
      <dgm:spPr/>
      <dgm:t>
        <a:bodyPr/>
        <a:lstStyle/>
        <a:p>
          <a:endParaRPr lang="cs-CZ"/>
        </a:p>
      </dgm:t>
    </dgm:pt>
    <dgm:pt modelId="{E3116790-8EF7-5545-AD6F-EBFBE481E6AD}">
      <dgm:prSet custT="1"/>
      <dgm:spPr/>
      <dgm:t>
        <a:bodyPr/>
        <a:lstStyle/>
        <a:p>
          <a:r>
            <a:rPr lang="cs-CZ" sz="900">
              <a:latin typeface="Bookman Old Style" panose="02050604050505020204" pitchFamily="18" charset="0"/>
            </a:rPr>
            <a:t>Task preparation</a:t>
          </a:r>
        </a:p>
      </dgm:t>
    </dgm:pt>
    <dgm:pt modelId="{722C9401-CF50-1A45-9199-FD0BC937A2B9}" type="parTrans" cxnId="{AF3D8586-204D-B644-8ACD-84D8EEEF3596}">
      <dgm:prSet/>
      <dgm:spPr/>
      <dgm:t>
        <a:bodyPr/>
        <a:lstStyle/>
        <a:p>
          <a:endParaRPr lang="cs-CZ"/>
        </a:p>
      </dgm:t>
    </dgm:pt>
    <dgm:pt modelId="{4F213A52-4E8E-2D42-857D-BACC1090FABA}" type="sibTrans" cxnId="{AF3D8586-204D-B644-8ACD-84D8EEEF3596}">
      <dgm:prSet/>
      <dgm:spPr/>
      <dgm:t>
        <a:bodyPr/>
        <a:lstStyle/>
        <a:p>
          <a:endParaRPr lang="cs-CZ"/>
        </a:p>
      </dgm:t>
    </dgm:pt>
    <dgm:pt modelId="{FC14E083-5883-714B-9988-396260D48027}">
      <dgm:prSet custT="1"/>
      <dgm:spPr/>
      <dgm:t>
        <a:bodyPr/>
        <a:lstStyle/>
        <a:p>
          <a:r>
            <a:rPr lang="cs-CZ" sz="900">
              <a:latin typeface="Bookman Old Style" panose="02050604050505020204" pitchFamily="18" charset="0"/>
            </a:rPr>
            <a:t>Methods</a:t>
          </a:r>
        </a:p>
      </dgm:t>
    </dgm:pt>
    <dgm:pt modelId="{F007A689-B1E8-4444-B483-D6150C48B4FB}" type="parTrans" cxnId="{9096D9D5-FDCD-0E4A-BDD2-E94B0E389D76}">
      <dgm:prSet/>
      <dgm:spPr/>
      <dgm:t>
        <a:bodyPr/>
        <a:lstStyle/>
        <a:p>
          <a:endParaRPr lang="cs-CZ"/>
        </a:p>
      </dgm:t>
    </dgm:pt>
    <dgm:pt modelId="{529CC3ED-982B-1D46-B74A-471F271EB137}" type="sibTrans" cxnId="{9096D9D5-FDCD-0E4A-BDD2-E94B0E389D76}">
      <dgm:prSet/>
      <dgm:spPr/>
      <dgm:t>
        <a:bodyPr/>
        <a:lstStyle/>
        <a:p>
          <a:endParaRPr lang="cs-CZ"/>
        </a:p>
      </dgm:t>
    </dgm:pt>
    <dgm:pt modelId="{3F2912EA-B5AD-744E-9458-C8E7D43421F6}">
      <dgm:prSet phldrT="[Text]" custT="1"/>
      <dgm:spPr/>
      <dgm:t>
        <a:bodyPr/>
        <a:lstStyle/>
        <a:p>
          <a:r>
            <a:rPr lang="cs-CZ" sz="900">
              <a:latin typeface="Bookman Old Style" panose="02050604050505020204" pitchFamily="18" charset="0"/>
            </a:rPr>
            <a:t>Pre-test</a:t>
          </a:r>
          <a:r>
            <a:rPr lang="cs-CZ" sz="800">
              <a:latin typeface="Bookman Old Style" panose="02050604050505020204" pitchFamily="18" charset="0"/>
            </a:rPr>
            <a:t> </a:t>
          </a:r>
          <a:r>
            <a:rPr lang="cs-CZ" sz="900">
              <a:latin typeface="Bookman Old Style" panose="02050604050505020204" pitchFamily="18" charset="0"/>
            </a:rPr>
            <a:t>(test, ET)</a:t>
          </a:r>
        </a:p>
      </dgm:t>
    </dgm:pt>
    <dgm:pt modelId="{83E4BDC7-1E41-8345-A6D9-15560133D8AF}" type="parTrans" cxnId="{56480234-6EA1-7D44-BC1A-8112263A6CF6}">
      <dgm:prSet/>
      <dgm:spPr/>
      <dgm:t>
        <a:bodyPr/>
        <a:lstStyle/>
        <a:p>
          <a:endParaRPr lang="cs-CZ"/>
        </a:p>
      </dgm:t>
    </dgm:pt>
    <dgm:pt modelId="{A84D82CB-8A9B-FE48-A2CA-974CBAEFA5C0}" type="sibTrans" cxnId="{56480234-6EA1-7D44-BC1A-8112263A6CF6}">
      <dgm:prSet/>
      <dgm:spPr/>
      <dgm:t>
        <a:bodyPr/>
        <a:lstStyle/>
        <a:p>
          <a:endParaRPr lang="cs-CZ"/>
        </a:p>
      </dgm:t>
    </dgm:pt>
    <dgm:pt modelId="{B785229F-108E-F640-8E54-5D86228596E5}">
      <dgm:prSet phldrT="[Text]" custT="1"/>
      <dgm:spPr/>
      <dgm:t>
        <a:bodyPr/>
        <a:lstStyle/>
        <a:p>
          <a:r>
            <a:rPr lang="cs-CZ" sz="900">
              <a:latin typeface="Bookman Old Style" panose="02050604050505020204" pitchFamily="18" charset="0"/>
            </a:rPr>
            <a:t>Implementing</a:t>
          </a:r>
          <a:r>
            <a:rPr lang="cs-CZ" sz="800">
              <a:latin typeface="Bookman Old Style" panose="02050604050505020204" pitchFamily="18" charset="0"/>
            </a:rPr>
            <a:t> the intervention</a:t>
          </a:r>
        </a:p>
      </dgm:t>
    </dgm:pt>
    <dgm:pt modelId="{5DDEEA40-41EC-8741-8FDD-AF5A03E2DD8C}" type="parTrans" cxnId="{F5EFD6AA-C661-BA41-93A4-4D27BF819175}">
      <dgm:prSet/>
      <dgm:spPr/>
      <dgm:t>
        <a:bodyPr/>
        <a:lstStyle/>
        <a:p>
          <a:endParaRPr lang="cs-CZ"/>
        </a:p>
      </dgm:t>
    </dgm:pt>
    <dgm:pt modelId="{FDEC8152-F109-8944-8BA6-033C34C51957}" type="sibTrans" cxnId="{F5EFD6AA-C661-BA41-93A4-4D27BF819175}">
      <dgm:prSet/>
      <dgm:spPr/>
      <dgm:t>
        <a:bodyPr/>
        <a:lstStyle/>
        <a:p>
          <a:endParaRPr lang="cs-CZ"/>
        </a:p>
      </dgm:t>
    </dgm:pt>
    <dgm:pt modelId="{B2900D40-004B-3946-B288-5034C534705A}">
      <dgm:prSet custT="1"/>
      <dgm:spPr/>
      <dgm:t>
        <a:bodyPr/>
        <a:lstStyle/>
        <a:p>
          <a:r>
            <a:rPr lang="cs-CZ" sz="900">
              <a:latin typeface="Bookman Old Style" panose="02050604050505020204" pitchFamily="18" charset="0"/>
            </a:rPr>
            <a:t>Sub-test</a:t>
          </a:r>
        </a:p>
      </dgm:t>
    </dgm:pt>
    <dgm:pt modelId="{33CFEF22-FA65-C749-9628-110AD044E7E8}" type="parTrans" cxnId="{CFCBCAEF-5BE1-4340-80DA-F75C4EA7CC14}">
      <dgm:prSet/>
      <dgm:spPr/>
      <dgm:t>
        <a:bodyPr/>
        <a:lstStyle/>
        <a:p>
          <a:endParaRPr lang="cs-CZ"/>
        </a:p>
      </dgm:t>
    </dgm:pt>
    <dgm:pt modelId="{2C192DFE-CC13-CB4A-8462-92EA72BCAB73}" type="sibTrans" cxnId="{CFCBCAEF-5BE1-4340-80DA-F75C4EA7CC14}">
      <dgm:prSet/>
      <dgm:spPr/>
      <dgm:t>
        <a:bodyPr/>
        <a:lstStyle/>
        <a:p>
          <a:endParaRPr lang="cs-CZ"/>
        </a:p>
      </dgm:t>
    </dgm:pt>
    <dgm:pt modelId="{6C2AE2BD-704B-6F4B-934C-A1A48AAD0B0B}">
      <dgm:prSet custT="1"/>
      <dgm:spPr/>
      <dgm:t>
        <a:bodyPr/>
        <a:lstStyle/>
        <a:p>
          <a:r>
            <a:rPr lang="cs-CZ" sz="900">
              <a:latin typeface="Bookman Old Style" panose="02050604050505020204" pitchFamily="18" charset="0"/>
            </a:rPr>
            <a:t>Data evaluation</a:t>
          </a:r>
        </a:p>
      </dgm:t>
    </dgm:pt>
    <dgm:pt modelId="{C073C897-5370-594A-8646-E6EBC155F237}" type="parTrans" cxnId="{7252B23B-4E54-E44F-8CAB-BEE6606F0059}">
      <dgm:prSet/>
      <dgm:spPr/>
      <dgm:t>
        <a:bodyPr/>
        <a:lstStyle/>
        <a:p>
          <a:endParaRPr lang="cs-CZ"/>
        </a:p>
      </dgm:t>
    </dgm:pt>
    <dgm:pt modelId="{D29EB897-5563-D942-85AC-97B213A9D4BE}" type="sibTrans" cxnId="{7252B23B-4E54-E44F-8CAB-BEE6606F0059}">
      <dgm:prSet/>
      <dgm:spPr/>
      <dgm:t>
        <a:bodyPr/>
        <a:lstStyle/>
        <a:p>
          <a:endParaRPr lang="cs-CZ"/>
        </a:p>
      </dgm:t>
    </dgm:pt>
    <dgm:pt modelId="{ED3025CF-86C8-6F41-B442-5D704D55791F}">
      <dgm:prSet custT="1"/>
      <dgm:spPr/>
      <dgm:t>
        <a:bodyPr/>
        <a:lstStyle/>
        <a:p>
          <a:r>
            <a:rPr lang="cs-CZ" sz="900">
              <a:latin typeface="Bookman Old Style" panose="02050604050505020204" pitchFamily="18" charset="0"/>
            </a:rPr>
            <a:t>Improving the intrevention</a:t>
          </a:r>
        </a:p>
      </dgm:t>
    </dgm:pt>
    <dgm:pt modelId="{0F1EE1C5-6A07-5B46-A0A0-8D1139B809BC}" type="parTrans" cxnId="{15EF4ABD-117F-7F44-A759-280A0B185861}">
      <dgm:prSet/>
      <dgm:spPr/>
      <dgm:t>
        <a:bodyPr/>
        <a:lstStyle/>
        <a:p>
          <a:endParaRPr lang="cs-CZ"/>
        </a:p>
      </dgm:t>
    </dgm:pt>
    <dgm:pt modelId="{1ACC2AD0-2D0E-5F4E-9A06-61C5C4FFF7DC}" type="sibTrans" cxnId="{15EF4ABD-117F-7F44-A759-280A0B185861}">
      <dgm:prSet/>
      <dgm:spPr/>
      <dgm:t>
        <a:bodyPr/>
        <a:lstStyle/>
        <a:p>
          <a:endParaRPr lang="cs-CZ"/>
        </a:p>
      </dgm:t>
    </dgm:pt>
    <dgm:pt modelId="{372C5DA0-E9DD-DF40-A4E2-32706BF37EF2}">
      <dgm:prSet/>
      <dgm:spPr/>
      <dgm:t>
        <a:bodyPr/>
        <a:lstStyle/>
        <a:p>
          <a:r>
            <a:rPr lang="cs-CZ">
              <a:latin typeface="Bookman Old Style" panose="02050604050505020204" pitchFamily="18" charset="0"/>
            </a:rPr>
            <a:t>Action phase II</a:t>
          </a:r>
        </a:p>
      </dgm:t>
    </dgm:pt>
    <dgm:pt modelId="{FE0C22FA-A5AF-2947-A948-3B318720D26B}" type="parTrans" cxnId="{AD4139D1-B373-0A44-8CED-123158FA6CED}">
      <dgm:prSet/>
      <dgm:spPr/>
      <dgm:t>
        <a:bodyPr/>
        <a:lstStyle/>
        <a:p>
          <a:endParaRPr lang="cs-CZ"/>
        </a:p>
      </dgm:t>
    </dgm:pt>
    <dgm:pt modelId="{AA055A81-24E2-DE4C-A74E-DF23D63961A4}" type="sibTrans" cxnId="{AD4139D1-B373-0A44-8CED-123158FA6CED}">
      <dgm:prSet/>
      <dgm:spPr/>
      <dgm:t>
        <a:bodyPr/>
        <a:lstStyle/>
        <a:p>
          <a:endParaRPr lang="cs-CZ"/>
        </a:p>
      </dgm:t>
    </dgm:pt>
    <dgm:pt modelId="{41EB8B21-9918-374B-A843-932CEE055068}">
      <dgm:prSet/>
      <dgm:spPr/>
      <dgm:t>
        <a:bodyPr/>
        <a:lstStyle/>
        <a:p>
          <a:r>
            <a:rPr lang="cs-CZ"/>
            <a:t>Reflection </a:t>
          </a:r>
          <a:r>
            <a:rPr lang="cs-CZ">
              <a:latin typeface="Bookman Old Style" panose="02050604050505020204" pitchFamily="18" charset="0"/>
            </a:rPr>
            <a:t>phase</a:t>
          </a:r>
          <a:r>
            <a:rPr lang="cs-CZ"/>
            <a:t> II</a:t>
          </a:r>
        </a:p>
      </dgm:t>
    </dgm:pt>
    <dgm:pt modelId="{18DD4A7E-FAB7-4748-A11C-76ACA55B5DAE}" type="parTrans" cxnId="{3120548A-CF1E-C44F-B7EF-21DA1C1437B1}">
      <dgm:prSet/>
      <dgm:spPr/>
      <dgm:t>
        <a:bodyPr/>
        <a:lstStyle/>
        <a:p>
          <a:endParaRPr lang="cs-CZ"/>
        </a:p>
      </dgm:t>
    </dgm:pt>
    <dgm:pt modelId="{4ECF1795-B400-E146-8D14-27770DAC327F}" type="sibTrans" cxnId="{3120548A-CF1E-C44F-B7EF-21DA1C1437B1}">
      <dgm:prSet/>
      <dgm:spPr/>
      <dgm:t>
        <a:bodyPr/>
        <a:lstStyle/>
        <a:p>
          <a:endParaRPr lang="cs-CZ"/>
        </a:p>
      </dgm:t>
    </dgm:pt>
    <dgm:pt modelId="{8E8F5ABD-5068-EE4E-8047-F78AAADF3923}">
      <dgm:prSet phldrT="[Text]" custT="1"/>
      <dgm:spPr/>
      <dgm:t>
        <a:bodyPr/>
        <a:lstStyle/>
        <a:p>
          <a:r>
            <a:rPr lang="cs-CZ" sz="900">
              <a:latin typeface="Bookman Old Style" panose="02050604050505020204" pitchFamily="18" charset="0"/>
            </a:rPr>
            <a:t>Design of the intervention</a:t>
          </a:r>
          <a:endParaRPr lang="cs-CZ" sz="800">
            <a:latin typeface="Bookman Old Style" panose="02050604050505020204" pitchFamily="18" charset="0"/>
          </a:endParaRPr>
        </a:p>
      </dgm:t>
    </dgm:pt>
    <dgm:pt modelId="{1D7F9E1F-63CD-5847-9C97-2117C69D1046}" type="parTrans" cxnId="{E45536C9-476A-9C46-A29A-514DBA8094C1}">
      <dgm:prSet/>
      <dgm:spPr/>
      <dgm:t>
        <a:bodyPr/>
        <a:lstStyle/>
        <a:p>
          <a:endParaRPr lang="cs-CZ"/>
        </a:p>
      </dgm:t>
    </dgm:pt>
    <dgm:pt modelId="{0A5BC4BA-5E70-104F-ADBC-3321E0AED61C}" type="sibTrans" cxnId="{E45536C9-476A-9C46-A29A-514DBA8094C1}">
      <dgm:prSet/>
      <dgm:spPr/>
      <dgm:t>
        <a:bodyPr/>
        <a:lstStyle/>
        <a:p>
          <a:endParaRPr lang="cs-CZ"/>
        </a:p>
      </dgm:t>
    </dgm:pt>
    <dgm:pt modelId="{FF8362FB-4B89-D54D-8F29-29CBD953F889}">
      <dgm:prSet custT="1"/>
      <dgm:spPr/>
      <dgm:t>
        <a:bodyPr/>
        <a:lstStyle/>
        <a:p>
          <a:r>
            <a:rPr lang="cs-CZ" sz="900">
              <a:latin typeface="Bookman Old Style" panose="02050604050505020204" pitchFamily="18" charset="0"/>
            </a:rPr>
            <a:t>Implementation of the improved intervention</a:t>
          </a:r>
        </a:p>
      </dgm:t>
    </dgm:pt>
    <dgm:pt modelId="{3779644A-328E-6440-B59E-5030E2792C52}" type="parTrans" cxnId="{CCA99B72-CDF9-BE4D-90E1-C7C394EFAA9E}">
      <dgm:prSet/>
      <dgm:spPr/>
      <dgm:t>
        <a:bodyPr/>
        <a:lstStyle/>
        <a:p>
          <a:endParaRPr lang="cs-CZ"/>
        </a:p>
      </dgm:t>
    </dgm:pt>
    <dgm:pt modelId="{86F01AA0-9976-DC44-A5AE-DC68D8A0B838}" type="sibTrans" cxnId="{CCA99B72-CDF9-BE4D-90E1-C7C394EFAA9E}">
      <dgm:prSet/>
      <dgm:spPr/>
      <dgm:t>
        <a:bodyPr/>
        <a:lstStyle/>
        <a:p>
          <a:endParaRPr lang="cs-CZ"/>
        </a:p>
      </dgm:t>
    </dgm:pt>
    <dgm:pt modelId="{B784DC96-C189-1C44-B857-92D5CDD83576}">
      <dgm:prSet custT="1"/>
      <dgm:spPr/>
      <dgm:t>
        <a:bodyPr/>
        <a:lstStyle/>
        <a:p>
          <a:r>
            <a:rPr lang="cs-CZ" sz="900">
              <a:latin typeface="Bookman Old Style" panose="02050604050505020204" pitchFamily="18" charset="0"/>
            </a:rPr>
            <a:t>Post-test</a:t>
          </a:r>
        </a:p>
      </dgm:t>
    </dgm:pt>
    <dgm:pt modelId="{4375EA90-B4CA-3045-A40A-38320ADA2A71}" type="parTrans" cxnId="{F8C0881D-0CAD-0F4A-86B0-287AEFDF2C06}">
      <dgm:prSet/>
      <dgm:spPr/>
      <dgm:t>
        <a:bodyPr/>
        <a:lstStyle/>
        <a:p>
          <a:endParaRPr lang="cs-CZ"/>
        </a:p>
      </dgm:t>
    </dgm:pt>
    <dgm:pt modelId="{4E25BD8A-BECB-E441-8590-494FE961590B}" type="sibTrans" cxnId="{F8C0881D-0CAD-0F4A-86B0-287AEFDF2C06}">
      <dgm:prSet/>
      <dgm:spPr/>
      <dgm:t>
        <a:bodyPr/>
        <a:lstStyle/>
        <a:p>
          <a:endParaRPr lang="cs-CZ"/>
        </a:p>
      </dgm:t>
    </dgm:pt>
    <dgm:pt modelId="{48C524EC-1B62-7945-9E8D-D0C62D1DCD30}">
      <dgm:prSet/>
      <dgm:spPr/>
      <dgm:t>
        <a:bodyPr/>
        <a:lstStyle/>
        <a:p>
          <a:endParaRPr lang="cs-CZ" sz="600"/>
        </a:p>
      </dgm:t>
    </dgm:pt>
    <dgm:pt modelId="{AF70A1CF-E784-8C44-9BEB-989EBF646E55}" type="parTrans" cxnId="{A9C3F8E8-EEB2-CD41-A0C7-1A3CCFE8C944}">
      <dgm:prSet/>
      <dgm:spPr/>
      <dgm:t>
        <a:bodyPr/>
        <a:lstStyle/>
        <a:p>
          <a:endParaRPr lang="cs-CZ"/>
        </a:p>
      </dgm:t>
    </dgm:pt>
    <dgm:pt modelId="{89E4DB35-3824-5B40-8D79-BD5F10F3B034}" type="sibTrans" cxnId="{A9C3F8E8-EEB2-CD41-A0C7-1A3CCFE8C944}">
      <dgm:prSet/>
      <dgm:spPr/>
      <dgm:t>
        <a:bodyPr/>
        <a:lstStyle/>
        <a:p>
          <a:endParaRPr lang="cs-CZ"/>
        </a:p>
      </dgm:t>
    </dgm:pt>
    <dgm:pt modelId="{336D2632-FE72-9D40-869D-9F5756562E75}">
      <dgm:prSet custT="1"/>
      <dgm:spPr/>
      <dgm:t>
        <a:bodyPr/>
        <a:lstStyle/>
        <a:p>
          <a:r>
            <a:rPr lang="cs-CZ" sz="900">
              <a:latin typeface="Bookman Old Style" panose="02050604050505020204" pitchFamily="18" charset="0"/>
            </a:rPr>
            <a:t>Action research evaluation</a:t>
          </a:r>
        </a:p>
      </dgm:t>
    </dgm:pt>
    <dgm:pt modelId="{01D6C0F1-48DB-E54C-B16A-5005849EF7E4}" type="parTrans" cxnId="{506DBC46-6F5D-E849-8ECB-EF3E36091FBE}">
      <dgm:prSet/>
      <dgm:spPr/>
      <dgm:t>
        <a:bodyPr/>
        <a:lstStyle/>
        <a:p>
          <a:endParaRPr lang="cs-CZ"/>
        </a:p>
      </dgm:t>
    </dgm:pt>
    <dgm:pt modelId="{2440D1CC-753F-A042-995E-6F77B1C33495}" type="sibTrans" cxnId="{506DBC46-6F5D-E849-8ECB-EF3E36091FBE}">
      <dgm:prSet/>
      <dgm:spPr/>
      <dgm:t>
        <a:bodyPr/>
        <a:lstStyle/>
        <a:p>
          <a:endParaRPr lang="cs-CZ"/>
        </a:p>
      </dgm:t>
    </dgm:pt>
    <dgm:pt modelId="{A7DC9C53-0768-4BC6-91A2-620D9AA38BD7}">
      <dgm:prSet custT="1"/>
      <dgm:spPr/>
      <dgm:t>
        <a:bodyPr/>
        <a:lstStyle/>
        <a:p>
          <a:r>
            <a:rPr lang="cs-CZ" sz="900">
              <a:latin typeface="Bookman Old Style" panose="02050604050505020204" pitchFamily="18" charset="0"/>
            </a:rPr>
            <a:t>Test-evaluation criteria</a:t>
          </a:r>
        </a:p>
      </dgm:t>
    </dgm:pt>
    <dgm:pt modelId="{B137DFAE-7558-4726-9B63-D8BAC494A087}" type="parTrans" cxnId="{400A8916-47A0-4F16-84D4-59AAA55178C7}">
      <dgm:prSet/>
      <dgm:spPr/>
      <dgm:t>
        <a:bodyPr/>
        <a:lstStyle/>
        <a:p>
          <a:endParaRPr lang="cs-CZ"/>
        </a:p>
      </dgm:t>
    </dgm:pt>
    <dgm:pt modelId="{778FCD12-7341-45F2-A8AB-6484C0BC54DA}" type="sibTrans" cxnId="{400A8916-47A0-4F16-84D4-59AAA55178C7}">
      <dgm:prSet/>
      <dgm:spPr/>
      <dgm:t>
        <a:bodyPr/>
        <a:lstStyle/>
        <a:p>
          <a:endParaRPr lang="cs-CZ"/>
        </a:p>
      </dgm:t>
    </dgm:pt>
    <dgm:pt modelId="{4F976B7C-66B6-6D4D-8F38-988114945FA9}" type="pres">
      <dgm:prSet presAssocID="{DAC1C468-73E4-DC46-9A0A-F80C68470F01}" presName="Name0" presStyleCnt="0">
        <dgm:presLayoutVars>
          <dgm:chMax val="7"/>
          <dgm:chPref val="7"/>
          <dgm:dir/>
          <dgm:animLvl val="lvl"/>
        </dgm:presLayoutVars>
      </dgm:prSet>
      <dgm:spPr/>
    </dgm:pt>
    <dgm:pt modelId="{F0C75AE2-059A-1C49-B6B0-47266367749F}" type="pres">
      <dgm:prSet presAssocID="{82DF598C-6E78-8C49-B524-9C81EDB2AC31}" presName="Accent1" presStyleCnt="0"/>
      <dgm:spPr/>
    </dgm:pt>
    <dgm:pt modelId="{63F74175-1AEF-234E-83AA-C5843AD861FE}" type="pres">
      <dgm:prSet presAssocID="{82DF598C-6E78-8C49-B524-9C81EDB2AC31}" presName="Accent" presStyleLbl="node1" presStyleIdx="0" presStyleCnt="5" custLinFactNeighborX="-21613" custLinFactNeighborY="-2958"/>
      <dgm:spPr/>
    </dgm:pt>
    <dgm:pt modelId="{F92F0AB9-F9D2-CD40-A46A-584A3115E5C7}" type="pres">
      <dgm:prSet presAssocID="{82DF598C-6E78-8C49-B524-9C81EDB2AC31}" presName="Child1" presStyleLbl="revTx" presStyleIdx="0" presStyleCnt="10" custScaleX="319662" custScaleY="195508" custLinFactNeighborX="98555" custLinFactNeighborY="4230">
        <dgm:presLayoutVars>
          <dgm:chMax val="0"/>
          <dgm:chPref val="0"/>
          <dgm:bulletEnabled val="1"/>
        </dgm:presLayoutVars>
      </dgm:prSet>
      <dgm:spPr/>
    </dgm:pt>
    <dgm:pt modelId="{E81072B5-9B16-FC4E-A07F-E67D8C2F6AC8}" type="pres">
      <dgm:prSet presAssocID="{82DF598C-6E78-8C49-B524-9C81EDB2AC31}" presName="Parent1" presStyleLbl="revTx" presStyleIdx="1" presStyleCnt="10" custLinFactNeighborX="-40357" custLinFactNeighborY="3670">
        <dgm:presLayoutVars>
          <dgm:chMax val="1"/>
          <dgm:chPref val="1"/>
          <dgm:bulletEnabled val="1"/>
        </dgm:presLayoutVars>
      </dgm:prSet>
      <dgm:spPr/>
    </dgm:pt>
    <dgm:pt modelId="{BE43B344-4A36-7440-B78F-C826370AC6BF}" type="pres">
      <dgm:prSet presAssocID="{84AD116F-C4F5-FE4F-8E80-EE8A714CF914}" presName="Accent2" presStyleCnt="0"/>
      <dgm:spPr/>
    </dgm:pt>
    <dgm:pt modelId="{8A23B0AA-D844-D740-B2C4-2917E19515E4}" type="pres">
      <dgm:prSet presAssocID="{84AD116F-C4F5-FE4F-8E80-EE8A714CF914}" presName="Accent" presStyleLbl="node1" presStyleIdx="1" presStyleCnt="5" custLinFactNeighborX="-23470" custLinFactNeighborY="1024"/>
      <dgm:spPr/>
    </dgm:pt>
    <dgm:pt modelId="{40CA51D6-BB3C-B343-A7EA-7721E41817CA}" type="pres">
      <dgm:prSet presAssocID="{84AD116F-C4F5-FE4F-8E80-EE8A714CF914}" presName="Child2" presStyleLbl="revTx" presStyleIdx="2" presStyleCnt="10" custScaleX="277975" custLinFactNeighborX="88388" custLinFactNeighborY="2206">
        <dgm:presLayoutVars>
          <dgm:chMax val="0"/>
          <dgm:chPref val="0"/>
          <dgm:bulletEnabled val="1"/>
        </dgm:presLayoutVars>
      </dgm:prSet>
      <dgm:spPr/>
    </dgm:pt>
    <dgm:pt modelId="{3606A2B6-575C-214D-8398-B3F57403E1A5}" type="pres">
      <dgm:prSet presAssocID="{84AD116F-C4F5-FE4F-8E80-EE8A714CF914}" presName="Parent2" presStyleLbl="revTx" presStyleIdx="3" presStyleCnt="10" custLinFactNeighborX="-45860" custLinFactNeighborY="3670">
        <dgm:presLayoutVars>
          <dgm:chMax val="1"/>
          <dgm:chPref val="1"/>
          <dgm:bulletEnabled val="1"/>
        </dgm:presLayoutVars>
      </dgm:prSet>
      <dgm:spPr/>
    </dgm:pt>
    <dgm:pt modelId="{21C356D9-96C9-314A-83FD-D4A19B459396}" type="pres">
      <dgm:prSet presAssocID="{E843798F-2998-C144-9639-718ABB1F3A85}" presName="Accent3" presStyleCnt="0"/>
      <dgm:spPr/>
    </dgm:pt>
    <dgm:pt modelId="{664DBA45-48A9-954E-95B1-253A306A63AF}" type="pres">
      <dgm:prSet presAssocID="{E843798F-2998-C144-9639-718ABB1F3A85}" presName="Accent" presStyleLbl="node1" presStyleIdx="2" presStyleCnt="5" custLinFactNeighborX="-19518" custLinFactNeighborY="34"/>
      <dgm:spPr/>
    </dgm:pt>
    <dgm:pt modelId="{8E48BF67-39AE-4B41-872E-EADC97BC6968}" type="pres">
      <dgm:prSet presAssocID="{E843798F-2998-C144-9639-718ABB1F3A85}" presName="Child3" presStyleLbl="revTx" presStyleIdx="4" presStyleCnt="10" custScaleX="221128" custScaleY="123115" custLinFactNeighborX="56793" custLinFactNeighborY="-2758">
        <dgm:presLayoutVars>
          <dgm:chMax val="0"/>
          <dgm:chPref val="0"/>
          <dgm:bulletEnabled val="1"/>
        </dgm:presLayoutVars>
      </dgm:prSet>
      <dgm:spPr/>
    </dgm:pt>
    <dgm:pt modelId="{9E70A433-DE5D-5B4A-AD75-1A7C0E08A202}" type="pres">
      <dgm:prSet presAssocID="{E843798F-2998-C144-9639-718ABB1F3A85}" presName="Parent3" presStyleLbl="revTx" presStyleIdx="5" presStyleCnt="10" custLinFactNeighborX="-34853" custLinFactNeighborY="3670">
        <dgm:presLayoutVars>
          <dgm:chMax val="1"/>
          <dgm:chPref val="1"/>
          <dgm:bulletEnabled val="1"/>
        </dgm:presLayoutVars>
      </dgm:prSet>
      <dgm:spPr/>
    </dgm:pt>
    <dgm:pt modelId="{1BBD44D9-0333-B648-A3A9-228707508A32}" type="pres">
      <dgm:prSet presAssocID="{372C5DA0-E9DD-DF40-A4E2-32706BF37EF2}" presName="Accent4" presStyleCnt="0"/>
      <dgm:spPr/>
    </dgm:pt>
    <dgm:pt modelId="{3D722D08-6D63-2D4A-9BD4-67AB01F3BFF1}" type="pres">
      <dgm:prSet presAssocID="{372C5DA0-E9DD-DF40-A4E2-32706BF37EF2}" presName="Accent" presStyleLbl="node1" presStyleIdx="3" presStyleCnt="5" custLinFactNeighborX="-21498" custLinFactNeighborY="1024"/>
      <dgm:spPr/>
    </dgm:pt>
    <dgm:pt modelId="{5E83FA1C-7CF4-EE4D-B56F-81FAE3AF2118}" type="pres">
      <dgm:prSet presAssocID="{372C5DA0-E9DD-DF40-A4E2-32706BF37EF2}" presName="Child4" presStyleLbl="revTx" presStyleIdx="6" presStyleCnt="10" custScaleX="229180" custScaleY="107236" custLinFactNeighborX="39882" custLinFactNeighborY="5148">
        <dgm:presLayoutVars>
          <dgm:chMax val="0"/>
          <dgm:chPref val="0"/>
          <dgm:bulletEnabled val="1"/>
        </dgm:presLayoutVars>
      </dgm:prSet>
      <dgm:spPr/>
    </dgm:pt>
    <dgm:pt modelId="{9ED85F93-8431-EB40-B0C4-69553798F968}" type="pres">
      <dgm:prSet presAssocID="{372C5DA0-E9DD-DF40-A4E2-32706BF37EF2}" presName="Parent4" presStyleLbl="revTx" presStyleIdx="7" presStyleCnt="10" custLinFactNeighborX="-40357">
        <dgm:presLayoutVars>
          <dgm:chMax val="1"/>
          <dgm:chPref val="1"/>
          <dgm:bulletEnabled val="1"/>
        </dgm:presLayoutVars>
      </dgm:prSet>
      <dgm:spPr/>
    </dgm:pt>
    <dgm:pt modelId="{253A1E74-AC4E-EC45-BF59-2E4E84A197CF}" type="pres">
      <dgm:prSet presAssocID="{41EB8B21-9918-374B-A843-932CEE055068}" presName="Accent5" presStyleCnt="0"/>
      <dgm:spPr/>
    </dgm:pt>
    <dgm:pt modelId="{89B26BFF-A21B-B247-9942-B302790297B4}" type="pres">
      <dgm:prSet presAssocID="{41EB8B21-9918-374B-A843-932CEE055068}" presName="Accent" presStyleLbl="node1" presStyleIdx="4" presStyleCnt="5" custLinFactNeighborX="-23964" custLinFactNeighborY="0"/>
      <dgm:spPr/>
    </dgm:pt>
    <dgm:pt modelId="{5813A42F-8C50-7241-8FC8-2EADD5B9344D}" type="pres">
      <dgm:prSet presAssocID="{41EB8B21-9918-374B-A843-932CEE055068}" presName="Child5" presStyleLbl="revTx" presStyleIdx="8" presStyleCnt="10" custScaleX="207732" custScaleY="102998" custLinFactNeighborX="45154" custLinFactNeighborY="2390">
        <dgm:presLayoutVars>
          <dgm:chMax val="0"/>
          <dgm:chPref val="0"/>
          <dgm:bulletEnabled val="1"/>
        </dgm:presLayoutVars>
      </dgm:prSet>
      <dgm:spPr/>
    </dgm:pt>
    <dgm:pt modelId="{9BF7990E-BC02-4648-BD8A-78BA87F16CEC}" type="pres">
      <dgm:prSet presAssocID="{41EB8B21-9918-374B-A843-932CEE055068}" presName="Parent5" presStyleLbl="revTx" presStyleIdx="9" presStyleCnt="10" custLinFactNeighborX="-49529" custLinFactNeighborY="3670">
        <dgm:presLayoutVars>
          <dgm:chMax val="1"/>
          <dgm:chPref val="1"/>
          <dgm:bulletEnabled val="1"/>
        </dgm:presLayoutVars>
      </dgm:prSet>
      <dgm:spPr/>
    </dgm:pt>
  </dgm:ptLst>
  <dgm:cxnLst>
    <dgm:cxn modelId="{D52D3B05-1325-F648-A082-BA90648B5576}" type="presOf" srcId="{B2900D40-004B-3946-B288-5034C534705A}" destId="{8E48BF67-39AE-4B41-872E-EADC97BC6968}" srcOrd="0" destOrd="0" presId="urn:microsoft.com/office/officeart/2009/layout/CircleArrowProcess"/>
    <dgm:cxn modelId="{AA917208-E081-DC48-929E-E6724B7470A7}" type="presOf" srcId="{3F2912EA-B5AD-744E-9458-C8E7D43421F6}" destId="{40CA51D6-BB3C-B343-A7EA-7721E41817CA}" srcOrd="0" destOrd="0" presId="urn:microsoft.com/office/officeart/2009/layout/CircleArrowProcess"/>
    <dgm:cxn modelId="{3749B613-2F6A-D145-B6F9-105C4734EC35}" type="presOf" srcId="{B784DC96-C189-1C44-B857-92D5CDD83576}" destId="{5813A42F-8C50-7241-8FC8-2EADD5B9344D}" srcOrd="0" destOrd="0" presId="urn:microsoft.com/office/officeart/2009/layout/CircleArrowProcess"/>
    <dgm:cxn modelId="{400A8916-47A0-4F16-84D4-59AAA55178C7}" srcId="{82DF598C-6E78-8C49-B524-9C81EDB2AC31}" destId="{A7DC9C53-0768-4BC6-91A2-620D9AA38BD7}" srcOrd="3" destOrd="0" parTransId="{B137DFAE-7558-4726-9B63-D8BAC494A087}" sibTransId="{778FCD12-7341-45F2-A8AB-6484C0BC54DA}"/>
    <dgm:cxn modelId="{98F80B19-ADE2-1C45-9A9A-5F6F328D3F1A}" type="presOf" srcId="{6C2AE2BD-704B-6F4B-934C-A1A48AAD0B0B}" destId="{8E48BF67-39AE-4B41-872E-EADC97BC6968}" srcOrd="0" destOrd="1" presId="urn:microsoft.com/office/officeart/2009/layout/CircleArrowProcess"/>
    <dgm:cxn modelId="{F8C0881D-0CAD-0F4A-86B0-287AEFDF2C06}" srcId="{41EB8B21-9918-374B-A843-932CEE055068}" destId="{B784DC96-C189-1C44-B857-92D5CDD83576}" srcOrd="0" destOrd="0" parTransId="{4375EA90-B4CA-3045-A40A-38320ADA2A71}" sibTransId="{4E25BD8A-BECB-E441-8590-494FE961590B}"/>
    <dgm:cxn modelId="{3F517E22-C759-8F40-9F03-BA263DF187B6}" type="presOf" srcId="{336D2632-FE72-9D40-869D-9F5756562E75}" destId="{5813A42F-8C50-7241-8FC8-2EADD5B9344D}" srcOrd="0" destOrd="1" presId="urn:microsoft.com/office/officeart/2009/layout/CircleArrowProcess"/>
    <dgm:cxn modelId="{77987032-2D9A-324A-B2E0-80FB5F9C7EEE}" type="presOf" srcId="{1EA2CDFD-2BF6-294C-9D1B-4F5F5994109F}" destId="{F92F0AB9-F9D2-CD40-A46A-584A3115E5C7}" srcOrd="0" destOrd="0" presId="urn:microsoft.com/office/officeart/2009/layout/CircleArrowProcess"/>
    <dgm:cxn modelId="{56480234-6EA1-7D44-BC1A-8112263A6CF6}" srcId="{84AD116F-C4F5-FE4F-8E80-EE8A714CF914}" destId="{3F2912EA-B5AD-744E-9458-C8E7D43421F6}" srcOrd="0" destOrd="0" parTransId="{83E4BDC7-1E41-8345-A6D9-15560133D8AF}" sibTransId="{A84D82CB-8A9B-FE48-A2CA-974CBAEFA5C0}"/>
    <dgm:cxn modelId="{5BEB5337-630F-D442-88EA-4D098956CBFD}" type="presOf" srcId="{B785229F-108E-F640-8E54-5D86228596E5}" destId="{40CA51D6-BB3C-B343-A7EA-7721E41817CA}" srcOrd="0" destOrd="2" presId="urn:microsoft.com/office/officeart/2009/layout/CircleArrowProcess"/>
    <dgm:cxn modelId="{7252B23B-4E54-E44F-8CAB-BEE6606F0059}" srcId="{E843798F-2998-C144-9639-718ABB1F3A85}" destId="{6C2AE2BD-704B-6F4B-934C-A1A48AAD0B0B}" srcOrd="1" destOrd="0" parTransId="{C073C897-5370-594A-8646-E6EBC155F237}" sibTransId="{D29EB897-5563-D942-85AC-97B213A9D4BE}"/>
    <dgm:cxn modelId="{20F6D03C-801D-194B-8A4E-16F54E5E5586}" type="presOf" srcId="{ED3025CF-86C8-6F41-B442-5D704D55791F}" destId="{8E48BF67-39AE-4B41-872E-EADC97BC6968}" srcOrd="0" destOrd="2" presId="urn:microsoft.com/office/officeart/2009/layout/CircleArrowProcess"/>
    <dgm:cxn modelId="{506DBC46-6F5D-E849-8ECB-EF3E36091FBE}" srcId="{41EB8B21-9918-374B-A843-932CEE055068}" destId="{336D2632-FE72-9D40-869D-9F5756562E75}" srcOrd="1" destOrd="0" parTransId="{01D6C0F1-48DB-E54C-B16A-5005849EF7E4}" sibTransId="{2440D1CC-753F-A042-995E-6F77B1C33495}"/>
    <dgm:cxn modelId="{EFEFB34D-5A4B-B64E-A5AB-540B9F855BCF}" type="presOf" srcId="{E3116790-8EF7-5545-AD6F-EBFBE481E6AD}" destId="{F92F0AB9-F9D2-CD40-A46A-584A3115E5C7}" srcOrd="0" destOrd="1" presId="urn:microsoft.com/office/officeart/2009/layout/CircleArrowProcess"/>
    <dgm:cxn modelId="{CCA99B72-CDF9-BE4D-90E1-C7C394EFAA9E}" srcId="{372C5DA0-E9DD-DF40-A4E2-32706BF37EF2}" destId="{FF8362FB-4B89-D54D-8F29-29CBD953F889}" srcOrd="0" destOrd="0" parTransId="{3779644A-328E-6440-B59E-5030E2792C52}" sibTransId="{86F01AA0-9976-DC44-A5AE-DC68D8A0B838}"/>
    <dgm:cxn modelId="{3F28E859-68D8-A84F-B02C-411E89BEB0FB}" srcId="{DAC1C468-73E4-DC46-9A0A-F80C68470F01}" destId="{84AD116F-C4F5-FE4F-8E80-EE8A714CF914}" srcOrd="1" destOrd="0" parTransId="{6CA3962D-25A4-D041-BDF1-8292AFAD71E9}" sibTransId="{B49EDD93-1617-2D4D-925C-F048F2DE97F3}"/>
    <dgm:cxn modelId="{A818C684-CB62-AF43-AE51-9B5F9994F6D3}" type="presOf" srcId="{E843798F-2998-C144-9639-718ABB1F3A85}" destId="{9E70A433-DE5D-5B4A-AD75-1A7C0E08A202}" srcOrd="0" destOrd="0" presId="urn:microsoft.com/office/officeart/2009/layout/CircleArrowProcess"/>
    <dgm:cxn modelId="{AF3D8586-204D-B644-8ACD-84D8EEEF3596}" srcId="{82DF598C-6E78-8C49-B524-9C81EDB2AC31}" destId="{E3116790-8EF7-5545-AD6F-EBFBE481E6AD}" srcOrd="1" destOrd="0" parTransId="{722C9401-CF50-1A45-9199-FD0BC937A2B9}" sibTransId="{4F213A52-4E8E-2D42-857D-BACC1090FABA}"/>
    <dgm:cxn modelId="{FFF22F8A-45D8-604C-81D0-D3C4CF50A991}" type="presOf" srcId="{41EB8B21-9918-374B-A843-932CEE055068}" destId="{9BF7990E-BC02-4648-BD8A-78BA87F16CEC}" srcOrd="0" destOrd="0" presId="urn:microsoft.com/office/officeart/2009/layout/CircleArrowProcess"/>
    <dgm:cxn modelId="{3120548A-CF1E-C44F-B7EF-21DA1C1437B1}" srcId="{DAC1C468-73E4-DC46-9A0A-F80C68470F01}" destId="{41EB8B21-9918-374B-A843-932CEE055068}" srcOrd="4" destOrd="0" parTransId="{18DD4A7E-FAB7-4748-A11C-76ACA55B5DAE}" sibTransId="{4ECF1795-B400-E146-8D14-27770DAC327F}"/>
    <dgm:cxn modelId="{C1F32D9C-7A45-FF49-B979-707D95543E3E}" type="presOf" srcId="{8E8F5ABD-5068-EE4E-8047-F78AAADF3923}" destId="{40CA51D6-BB3C-B343-A7EA-7721E41817CA}" srcOrd="0" destOrd="1" presId="urn:microsoft.com/office/officeart/2009/layout/CircleArrowProcess"/>
    <dgm:cxn modelId="{F78576A5-49D7-46FB-96EA-228DBE2569E7}" type="presOf" srcId="{A7DC9C53-0768-4BC6-91A2-620D9AA38BD7}" destId="{F92F0AB9-F9D2-CD40-A46A-584A3115E5C7}" srcOrd="0" destOrd="3" presId="urn:microsoft.com/office/officeart/2009/layout/CircleArrowProcess"/>
    <dgm:cxn modelId="{F5EFD6AA-C661-BA41-93A4-4D27BF819175}" srcId="{84AD116F-C4F5-FE4F-8E80-EE8A714CF914}" destId="{B785229F-108E-F640-8E54-5D86228596E5}" srcOrd="2" destOrd="0" parTransId="{5DDEEA40-41EC-8741-8FDD-AF5A03E2DD8C}" sibTransId="{FDEC8152-F109-8944-8BA6-033C34C51957}"/>
    <dgm:cxn modelId="{A229F2AA-EDF2-DC49-B3A1-65D89521EDD3}" type="presOf" srcId="{DAC1C468-73E4-DC46-9A0A-F80C68470F01}" destId="{4F976B7C-66B6-6D4D-8F38-988114945FA9}" srcOrd="0" destOrd="0" presId="urn:microsoft.com/office/officeart/2009/layout/CircleArrowProcess"/>
    <dgm:cxn modelId="{B7BFAEB8-933F-CD4E-9D51-AFF17FB2E2FD}" type="presOf" srcId="{48C524EC-1B62-7945-9E8D-D0C62D1DCD30}" destId="{5813A42F-8C50-7241-8FC8-2EADD5B9344D}" srcOrd="0" destOrd="2" presId="urn:microsoft.com/office/officeart/2009/layout/CircleArrowProcess"/>
    <dgm:cxn modelId="{15EF4ABD-117F-7F44-A759-280A0B185861}" srcId="{E843798F-2998-C144-9639-718ABB1F3A85}" destId="{ED3025CF-86C8-6F41-B442-5D704D55791F}" srcOrd="2" destOrd="0" parTransId="{0F1EE1C5-6A07-5B46-A0A0-8D1139B809BC}" sibTransId="{1ACC2AD0-2D0E-5F4E-9A06-61C5C4FFF7DC}"/>
    <dgm:cxn modelId="{5CF1B9BE-4CDB-DD4A-AD31-BC20D2D03E19}" type="presOf" srcId="{84AD116F-C4F5-FE4F-8E80-EE8A714CF914}" destId="{3606A2B6-575C-214D-8398-B3F57403E1A5}" srcOrd="0" destOrd="0" presId="urn:microsoft.com/office/officeart/2009/layout/CircleArrowProcess"/>
    <dgm:cxn modelId="{E45536C9-476A-9C46-A29A-514DBA8094C1}" srcId="{84AD116F-C4F5-FE4F-8E80-EE8A714CF914}" destId="{8E8F5ABD-5068-EE4E-8047-F78AAADF3923}" srcOrd="1" destOrd="0" parTransId="{1D7F9E1F-63CD-5847-9C97-2117C69D1046}" sibTransId="{0A5BC4BA-5E70-104F-ADBC-3321E0AED61C}"/>
    <dgm:cxn modelId="{8D668FCA-DDA4-A34C-B236-58C9B6BFD0A3}" type="presOf" srcId="{FF8362FB-4B89-D54D-8F29-29CBD953F889}" destId="{5E83FA1C-7CF4-EE4D-B56F-81FAE3AF2118}" srcOrd="0" destOrd="0" presId="urn:microsoft.com/office/officeart/2009/layout/CircleArrowProcess"/>
    <dgm:cxn modelId="{AD4139D1-B373-0A44-8CED-123158FA6CED}" srcId="{DAC1C468-73E4-DC46-9A0A-F80C68470F01}" destId="{372C5DA0-E9DD-DF40-A4E2-32706BF37EF2}" srcOrd="3" destOrd="0" parTransId="{FE0C22FA-A5AF-2947-A948-3B318720D26B}" sibTransId="{AA055A81-24E2-DE4C-A74E-DF23D63961A4}"/>
    <dgm:cxn modelId="{EB24E5D3-A5F3-C34A-82A3-240BE978AD48}" type="presOf" srcId="{82DF598C-6E78-8C49-B524-9C81EDB2AC31}" destId="{E81072B5-9B16-FC4E-A07F-E67D8C2F6AC8}" srcOrd="0" destOrd="0" presId="urn:microsoft.com/office/officeart/2009/layout/CircleArrowProcess"/>
    <dgm:cxn modelId="{9096D9D5-FDCD-0E4A-BDD2-E94B0E389D76}" srcId="{82DF598C-6E78-8C49-B524-9C81EDB2AC31}" destId="{FC14E083-5883-714B-9988-396260D48027}" srcOrd="2" destOrd="0" parTransId="{F007A689-B1E8-4444-B483-D6150C48B4FB}" sibTransId="{529CC3ED-982B-1D46-B74A-471F271EB137}"/>
    <dgm:cxn modelId="{2134A6DB-446F-C041-B702-B50FF42329BA}" type="presOf" srcId="{372C5DA0-E9DD-DF40-A4E2-32706BF37EF2}" destId="{9ED85F93-8431-EB40-B0C4-69553798F968}" srcOrd="0" destOrd="0" presId="urn:microsoft.com/office/officeart/2009/layout/CircleArrowProcess"/>
    <dgm:cxn modelId="{F6B3A3E2-8753-9049-A1A2-89B818AB08C1}" srcId="{DAC1C468-73E4-DC46-9A0A-F80C68470F01}" destId="{E843798F-2998-C144-9639-718ABB1F3A85}" srcOrd="2" destOrd="0" parTransId="{33ABBA17-B7EB-A045-9BBF-981F35D0A063}" sibTransId="{2D7A6AF7-05E2-A24C-BDCB-7302D1AEAB32}"/>
    <dgm:cxn modelId="{A9C3F8E8-EEB2-CD41-A0C7-1A3CCFE8C944}" srcId="{41EB8B21-9918-374B-A843-932CEE055068}" destId="{48C524EC-1B62-7945-9E8D-D0C62D1DCD30}" srcOrd="2" destOrd="0" parTransId="{AF70A1CF-E784-8C44-9BEB-989EBF646E55}" sibTransId="{89E4DB35-3824-5B40-8D79-BD5F10F3B034}"/>
    <dgm:cxn modelId="{CFCBCAEF-5BE1-4340-80DA-F75C4EA7CC14}" srcId="{E843798F-2998-C144-9639-718ABB1F3A85}" destId="{B2900D40-004B-3946-B288-5034C534705A}" srcOrd="0" destOrd="0" parTransId="{33CFEF22-FA65-C749-9628-110AD044E7E8}" sibTransId="{2C192DFE-CC13-CB4A-8462-92EA72BCAB73}"/>
    <dgm:cxn modelId="{45EB21F6-576E-204F-BCAA-34F59697B9AE}" type="presOf" srcId="{FC14E083-5883-714B-9988-396260D48027}" destId="{F92F0AB9-F9D2-CD40-A46A-584A3115E5C7}" srcOrd="0" destOrd="2" presId="urn:microsoft.com/office/officeart/2009/layout/CircleArrowProcess"/>
    <dgm:cxn modelId="{84B368FD-A797-9A42-8DF1-A4A673194497}" srcId="{82DF598C-6E78-8C49-B524-9C81EDB2AC31}" destId="{1EA2CDFD-2BF6-294C-9D1B-4F5F5994109F}" srcOrd="0" destOrd="0" parTransId="{F92A6DC1-AE97-6641-94C7-513027D5D51A}" sibTransId="{1179C6D2-9F09-524E-A68E-81FC03B58A46}"/>
    <dgm:cxn modelId="{21B677FD-6C10-704E-89DC-9B163187935F}" srcId="{DAC1C468-73E4-DC46-9A0A-F80C68470F01}" destId="{82DF598C-6E78-8C49-B524-9C81EDB2AC31}" srcOrd="0" destOrd="0" parTransId="{E05C5D25-0E1C-5447-94E7-597D3D7F95C8}" sibTransId="{8684DB79-4D69-E44F-81F2-8EC6E880108B}"/>
    <dgm:cxn modelId="{E29F172C-C5B5-4445-A254-A4C4DB3E18A8}" type="presParOf" srcId="{4F976B7C-66B6-6D4D-8F38-988114945FA9}" destId="{F0C75AE2-059A-1C49-B6B0-47266367749F}" srcOrd="0" destOrd="0" presId="urn:microsoft.com/office/officeart/2009/layout/CircleArrowProcess"/>
    <dgm:cxn modelId="{62A48B8A-B8B9-8D48-ACBA-3D9731473230}" type="presParOf" srcId="{F0C75AE2-059A-1C49-B6B0-47266367749F}" destId="{63F74175-1AEF-234E-83AA-C5843AD861FE}" srcOrd="0" destOrd="0" presId="urn:microsoft.com/office/officeart/2009/layout/CircleArrowProcess"/>
    <dgm:cxn modelId="{EF496169-584A-614F-88D6-380FA5EC2A41}" type="presParOf" srcId="{4F976B7C-66B6-6D4D-8F38-988114945FA9}" destId="{F92F0AB9-F9D2-CD40-A46A-584A3115E5C7}" srcOrd="1" destOrd="0" presId="urn:microsoft.com/office/officeart/2009/layout/CircleArrowProcess"/>
    <dgm:cxn modelId="{D8F27FE5-854F-8C41-AEC2-60B93B20A617}" type="presParOf" srcId="{4F976B7C-66B6-6D4D-8F38-988114945FA9}" destId="{E81072B5-9B16-FC4E-A07F-E67D8C2F6AC8}" srcOrd="2" destOrd="0" presId="urn:microsoft.com/office/officeart/2009/layout/CircleArrowProcess"/>
    <dgm:cxn modelId="{D0BD0548-F7C8-F14A-A831-207EABC90107}" type="presParOf" srcId="{4F976B7C-66B6-6D4D-8F38-988114945FA9}" destId="{BE43B344-4A36-7440-B78F-C826370AC6BF}" srcOrd="3" destOrd="0" presId="urn:microsoft.com/office/officeart/2009/layout/CircleArrowProcess"/>
    <dgm:cxn modelId="{05550842-9376-4046-9822-CDF36035DC24}" type="presParOf" srcId="{BE43B344-4A36-7440-B78F-C826370AC6BF}" destId="{8A23B0AA-D844-D740-B2C4-2917E19515E4}" srcOrd="0" destOrd="0" presId="urn:microsoft.com/office/officeart/2009/layout/CircleArrowProcess"/>
    <dgm:cxn modelId="{DB59AF05-DF2F-2641-8AF4-1CF39CA80925}" type="presParOf" srcId="{4F976B7C-66B6-6D4D-8F38-988114945FA9}" destId="{40CA51D6-BB3C-B343-A7EA-7721E41817CA}" srcOrd="4" destOrd="0" presId="urn:microsoft.com/office/officeart/2009/layout/CircleArrowProcess"/>
    <dgm:cxn modelId="{9D176E73-FD63-884F-BDA3-5C752BB8D982}" type="presParOf" srcId="{4F976B7C-66B6-6D4D-8F38-988114945FA9}" destId="{3606A2B6-575C-214D-8398-B3F57403E1A5}" srcOrd="5" destOrd="0" presId="urn:microsoft.com/office/officeart/2009/layout/CircleArrowProcess"/>
    <dgm:cxn modelId="{F433EA2C-16E1-0949-8B24-65CD2932F6A8}" type="presParOf" srcId="{4F976B7C-66B6-6D4D-8F38-988114945FA9}" destId="{21C356D9-96C9-314A-83FD-D4A19B459396}" srcOrd="6" destOrd="0" presId="urn:microsoft.com/office/officeart/2009/layout/CircleArrowProcess"/>
    <dgm:cxn modelId="{39D55ACF-66C1-B04E-9839-5FBD8B226C66}" type="presParOf" srcId="{21C356D9-96C9-314A-83FD-D4A19B459396}" destId="{664DBA45-48A9-954E-95B1-253A306A63AF}" srcOrd="0" destOrd="0" presId="urn:microsoft.com/office/officeart/2009/layout/CircleArrowProcess"/>
    <dgm:cxn modelId="{63822C50-C97A-8E4E-B935-C3F0B93DA0CA}" type="presParOf" srcId="{4F976B7C-66B6-6D4D-8F38-988114945FA9}" destId="{8E48BF67-39AE-4B41-872E-EADC97BC6968}" srcOrd="7" destOrd="0" presId="urn:microsoft.com/office/officeart/2009/layout/CircleArrowProcess"/>
    <dgm:cxn modelId="{387D4059-069F-2C40-86C1-98A6BCFDAB11}" type="presParOf" srcId="{4F976B7C-66B6-6D4D-8F38-988114945FA9}" destId="{9E70A433-DE5D-5B4A-AD75-1A7C0E08A202}" srcOrd="8" destOrd="0" presId="urn:microsoft.com/office/officeart/2009/layout/CircleArrowProcess"/>
    <dgm:cxn modelId="{327CB8A8-4917-8B47-A60A-036EA7C64B09}" type="presParOf" srcId="{4F976B7C-66B6-6D4D-8F38-988114945FA9}" destId="{1BBD44D9-0333-B648-A3A9-228707508A32}" srcOrd="9" destOrd="0" presId="urn:microsoft.com/office/officeart/2009/layout/CircleArrowProcess"/>
    <dgm:cxn modelId="{A5AAA50F-1803-674B-BC77-4943CB20D9BC}" type="presParOf" srcId="{1BBD44D9-0333-B648-A3A9-228707508A32}" destId="{3D722D08-6D63-2D4A-9BD4-67AB01F3BFF1}" srcOrd="0" destOrd="0" presId="urn:microsoft.com/office/officeart/2009/layout/CircleArrowProcess"/>
    <dgm:cxn modelId="{6379A54A-932C-7345-A159-AAF9DD6B360C}" type="presParOf" srcId="{4F976B7C-66B6-6D4D-8F38-988114945FA9}" destId="{5E83FA1C-7CF4-EE4D-B56F-81FAE3AF2118}" srcOrd="10" destOrd="0" presId="urn:microsoft.com/office/officeart/2009/layout/CircleArrowProcess"/>
    <dgm:cxn modelId="{41F9A52D-7DD4-5441-B6A8-10CA7068A778}" type="presParOf" srcId="{4F976B7C-66B6-6D4D-8F38-988114945FA9}" destId="{9ED85F93-8431-EB40-B0C4-69553798F968}" srcOrd="11" destOrd="0" presId="urn:microsoft.com/office/officeart/2009/layout/CircleArrowProcess"/>
    <dgm:cxn modelId="{EB68F953-1C47-784E-8A59-B14F7019F1CC}" type="presParOf" srcId="{4F976B7C-66B6-6D4D-8F38-988114945FA9}" destId="{253A1E74-AC4E-EC45-BF59-2E4E84A197CF}" srcOrd="12" destOrd="0" presId="urn:microsoft.com/office/officeart/2009/layout/CircleArrowProcess"/>
    <dgm:cxn modelId="{14A77BD2-A234-E44C-BD91-6A2FECA2341E}" type="presParOf" srcId="{253A1E74-AC4E-EC45-BF59-2E4E84A197CF}" destId="{89B26BFF-A21B-B247-9942-B302790297B4}" srcOrd="0" destOrd="0" presId="urn:microsoft.com/office/officeart/2009/layout/CircleArrowProcess"/>
    <dgm:cxn modelId="{1A20C6BA-7BE2-724A-B6C0-9293CFC2140C}" type="presParOf" srcId="{4F976B7C-66B6-6D4D-8F38-988114945FA9}" destId="{5813A42F-8C50-7241-8FC8-2EADD5B9344D}" srcOrd="13" destOrd="0" presId="urn:microsoft.com/office/officeart/2009/layout/CircleArrowProcess"/>
    <dgm:cxn modelId="{1659611E-46D5-D74F-9272-6185BB0268D8}" type="presParOf" srcId="{4F976B7C-66B6-6D4D-8F38-988114945FA9}" destId="{9BF7990E-BC02-4648-BD8A-78BA87F16CEC}" srcOrd="14"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F74175-1AEF-234E-83AA-C5843AD861FE}">
      <dsp:nvSpPr>
        <dsp:cNvPr id="0" name=""/>
        <dsp:cNvSpPr/>
      </dsp:nvSpPr>
      <dsp:spPr>
        <a:xfrm>
          <a:off x="518348" y="-33880"/>
          <a:ext cx="1145334" cy="1145392"/>
        </a:xfrm>
        <a:prstGeom prst="circularArrow">
          <a:avLst>
            <a:gd name="adj1" fmla="val 10980"/>
            <a:gd name="adj2" fmla="val 1142322"/>
            <a:gd name="adj3" fmla="val 4500000"/>
            <a:gd name="adj4" fmla="val 10800000"/>
            <a:gd name="adj5" fmla="val 125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92F0AB9-F9D2-CD40-A46A-584A3115E5C7}">
      <dsp:nvSpPr>
        <dsp:cNvPr id="0" name=""/>
        <dsp:cNvSpPr/>
      </dsp:nvSpPr>
      <dsp:spPr>
        <a:xfrm>
          <a:off x="1603065" y="141523"/>
          <a:ext cx="2194934" cy="8905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Teacher - academic discussion</a:t>
          </a: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Task preparation</a:t>
          </a: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Methods</a:t>
          </a: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Test-evaluation criteria</a:t>
          </a:r>
        </a:p>
      </dsp:txBody>
      <dsp:txXfrm>
        <a:off x="1603065" y="141523"/>
        <a:ext cx="2194934" cy="890529"/>
      </dsp:txXfrm>
    </dsp:sp>
    <dsp:sp modelId="{E81072B5-9B16-FC4E-A07F-E67D8C2F6AC8}">
      <dsp:nvSpPr>
        <dsp:cNvPr id="0" name=""/>
        <dsp:cNvSpPr/>
      </dsp:nvSpPr>
      <dsp:spPr>
        <a:xfrm>
          <a:off x="760815" y="426549"/>
          <a:ext cx="639161" cy="3194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latin typeface="Bookman Old Style" panose="02050604050505020204" pitchFamily="18" charset="0"/>
            </a:rPr>
            <a:t>Planning phase</a:t>
          </a:r>
        </a:p>
      </dsp:txBody>
      <dsp:txXfrm>
        <a:off x="760815" y="426549"/>
        <a:ext cx="639161" cy="319438"/>
      </dsp:txXfrm>
    </dsp:sp>
    <dsp:sp modelId="{8A23B0AA-D844-D740-B2C4-2917E19515E4}">
      <dsp:nvSpPr>
        <dsp:cNvPr id="0" name=""/>
        <dsp:cNvSpPr/>
      </dsp:nvSpPr>
      <dsp:spPr>
        <a:xfrm>
          <a:off x="178895" y="669830"/>
          <a:ext cx="1145334" cy="1145392"/>
        </a:xfrm>
        <a:prstGeom prst="leftCircularArrow">
          <a:avLst>
            <a:gd name="adj1" fmla="val 10980"/>
            <a:gd name="adj2" fmla="val 1142322"/>
            <a:gd name="adj3" fmla="val 6300000"/>
            <a:gd name="adj4" fmla="val 18900000"/>
            <a:gd name="adj5" fmla="val 12500"/>
          </a:avLst>
        </a:prstGeom>
        <a:solidFill>
          <a:schemeClr val="accent4">
            <a:hueOff val="2450223"/>
            <a:satOff val="-10194"/>
            <a:lumOff val="2402"/>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0CA51D6-BB3C-B343-A7EA-7721E41817CA}">
      <dsp:nvSpPr>
        <dsp:cNvPr id="0" name=""/>
        <dsp:cNvSpPr/>
      </dsp:nvSpPr>
      <dsp:spPr>
        <a:xfrm>
          <a:off x="1592576" y="1016426"/>
          <a:ext cx="1908694" cy="4554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Pre-test</a:t>
          </a:r>
          <a:r>
            <a:rPr lang="cs-CZ" sz="800" kern="1200">
              <a:latin typeface="Bookman Old Style" panose="02050604050505020204" pitchFamily="18" charset="0"/>
            </a:rPr>
            <a:t> </a:t>
          </a:r>
          <a:r>
            <a:rPr lang="cs-CZ" sz="900" kern="1200">
              <a:latin typeface="Bookman Old Style" panose="02050604050505020204" pitchFamily="18" charset="0"/>
            </a:rPr>
            <a:t>(test, ET)</a:t>
          </a: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Design of the intervention</a:t>
          </a:r>
          <a:endParaRPr lang="cs-CZ" sz="800" kern="1200">
            <a:latin typeface="Bookman Old Style" panose="02050604050505020204" pitchFamily="18" charset="0"/>
          </a:endParaRP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Implementing</a:t>
          </a:r>
          <a:r>
            <a:rPr lang="cs-CZ" sz="800" kern="1200">
              <a:latin typeface="Bookman Old Style" panose="02050604050505020204" pitchFamily="18" charset="0"/>
            </a:rPr>
            <a:t> the intervention</a:t>
          </a:r>
        </a:p>
      </dsp:txBody>
      <dsp:txXfrm>
        <a:off x="1592576" y="1016426"/>
        <a:ext cx="1908694" cy="455495"/>
      </dsp:txXfrm>
    </dsp:sp>
    <dsp:sp modelId="{3606A2B6-575C-214D-8398-B3F57403E1A5}">
      <dsp:nvSpPr>
        <dsp:cNvPr id="0" name=""/>
        <dsp:cNvSpPr/>
      </dsp:nvSpPr>
      <dsp:spPr>
        <a:xfrm>
          <a:off x="406168" y="1086129"/>
          <a:ext cx="639161" cy="3194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latin typeface="Bookman Old Style" panose="02050604050505020204" pitchFamily="18" charset="0"/>
            </a:rPr>
            <a:t>Action phase I</a:t>
          </a:r>
        </a:p>
      </dsp:txBody>
      <dsp:txXfrm>
        <a:off x="406168" y="1086129"/>
        <a:ext cx="639161" cy="319438"/>
      </dsp:txXfrm>
    </dsp:sp>
    <dsp:sp modelId="{664DBA45-48A9-954E-95B1-253A306A63AF}">
      <dsp:nvSpPr>
        <dsp:cNvPr id="0" name=""/>
        <dsp:cNvSpPr/>
      </dsp:nvSpPr>
      <dsp:spPr>
        <a:xfrm>
          <a:off x="542343" y="1319550"/>
          <a:ext cx="1145334" cy="1145392"/>
        </a:xfrm>
        <a:prstGeom prst="circularArrow">
          <a:avLst>
            <a:gd name="adj1" fmla="val 10980"/>
            <a:gd name="adj2" fmla="val 1142322"/>
            <a:gd name="adj3" fmla="val 4500000"/>
            <a:gd name="adj4" fmla="val 13500000"/>
            <a:gd name="adj5" fmla="val 12500"/>
          </a:avLst>
        </a:prstGeom>
        <a:solidFill>
          <a:schemeClr val="accent4">
            <a:hueOff val="4900445"/>
            <a:satOff val="-20388"/>
            <a:lumOff val="4804"/>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E48BF67-39AE-4B41-872E-EADC97BC6968}">
      <dsp:nvSpPr>
        <dsp:cNvPr id="0" name=""/>
        <dsp:cNvSpPr/>
      </dsp:nvSpPr>
      <dsp:spPr>
        <a:xfrm>
          <a:off x="1883612" y="1593727"/>
          <a:ext cx="1518358" cy="5607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Sub-test</a:t>
          </a: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Data evaluation</a:t>
          </a: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Improving the intrevention</a:t>
          </a:r>
        </a:p>
      </dsp:txBody>
      <dsp:txXfrm>
        <a:off x="1883612" y="1593727"/>
        <a:ext cx="1518358" cy="560782"/>
      </dsp:txXfrm>
    </dsp:sp>
    <dsp:sp modelId="{9E70A433-DE5D-5B4A-AD75-1A7C0E08A202}">
      <dsp:nvSpPr>
        <dsp:cNvPr id="0" name=""/>
        <dsp:cNvSpPr/>
      </dsp:nvSpPr>
      <dsp:spPr>
        <a:xfrm>
          <a:off x="795994" y="1745340"/>
          <a:ext cx="639161" cy="3194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latin typeface="Bookman Old Style" panose="02050604050505020204" pitchFamily="18" charset="0"/>
            </a:rPr>
            <a:t>Reflection phase I </a:t>
          </a:r>
        </a:p>
      </dsp:txBody>
      <dsp:txXfrm>
        <a:off x="795994" y="1745340"/>
        <a:ext cx="639161" cy="319438"/>
      </dsp:txXfrm>
    </dsp:sp>
    <dsp:sp modelId="{3D722D08-6D63-2D4A-9BD4-67AB01F3BFF1}">
      <dsp:nvSpPr>
        <dsp:cNvPr id="0" name=""/>
        <dsp:cNvSpPr/>
      </dsp:nvSpPr>
      <dsp:spPr>
        <a:xfrm>
          <a:off x="201481" y="1990100"/>
          <a:ext cx="1145334" cy="1145392"/>
        </a:xfrm>
        <a:prstGeom prst="leftCircularArrow">
          <a:avLst>
            <a:gd name="adj1" fmla="val 10980"/>
            <a:gd name="adj2" fmla="val 1142322"/>
            <a:gd name="adj3" fmla="val 6300000"/>
            <a:gd name="adj4" fmla="val 18900000"/>
            <a:gd name="adj5" fmla="val 12500"/>
          </a:avLst>
        </a:prstGeom>
        <a:solidFill>
          <a:schemeClr val="accent4">
            <a:hueOff val="7350668"/>
            <a:satOff val="-30583"/>
            <a:lumOff val="7206"/>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E83FA1C-7CF4-EE4D-B56F-81FAE3AF2118}">
      <dsp:nvSpPr>
        <dsp:cNvPr id="0" name=""/>
        <dsp:cNvSpPr/>
      </dsp:nvSpPr>
      <dsp:spPr>
        <a:xfrm>
          <a:off x="1427037" y="2325483"/>
          <a:ext cx="1573646" cy="4884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Implementation of the improved intervention</a:t>
          </a:r>
        </a:p>
      </dsp:txBody>
      <dsp:txXfrm>
        <a:off x="1427037" y="2325483"/>
        <a:ext cx="1573646" cy="488454"/>
      </dsp:txXfrm>
    </dsp:sp>
    <dsp:sp modelId="{9ED85F93-8431-EB40-B0C4-69553798F968}">
      <dsp:nvSpPr>
        <dsp:cNvPr id="0" name=""/>
        <dsp:cNvSpPr/>
      </dsp:nvSpPr>
      <dsp:spPr>
        <a:xfrm>
          <a:off x="441341" y="2393197"/>
          <a:ext cx="639161" cy="3194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latin typeface="Bookman Old Style" panose="02050604050505020204" pitchFamily="18" charset="0"/>
            </a:rPr>
            <a:t>Action phase II</a:t>
          </a:r>
        </a:p>
      </dsp:txBody>
      <dsp:txXfrm>
        <a:off x="441341" y="2393197"/>
        <a:ext cx="639161" cy="319438"/>
      </dsp:txXfrm>
    </dsp:sp>
    <dsp:sp modelId="{89B26BFF-A21B-B247-9942-B302790297B4}">
      <dsp:nvSpPr>
        <dsp:cNvPr id="0" name=""/>
        <dsp:cNvSpPr/>
      </dsp:nvSpPr>
      <dsp:spPr>
        <a:xfrm>
          <a:off x="611513" y="2712635"/>
          <a:ext cx="983986" cy="984564"/>
        </a:xfrm>
        <a:prstGeom prst="blockArc">
          <a:avLst>
            <a:gd name="adj1" fmla="val 13500000"/>
            <a:gd name="adj2" fmla="val 10800000"/>
            <a:gd name="adj3" fmla="val 12740"/>
          </a:avLst>
        </a:prstGeom>
        <a:solidFill>
          <a:schemeClr val="accent4">
            <a:hueOff val="9800891"/>
            <a:satOff val="-40777"/>
            <a:lumOff val="960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813A42F-8C50-7241-8FC8-2EADD5B9344D}">
      <dsp:nvSpPr>
        <dsp:cNvPr id="0" name=""/>
        <dsp:cNvSpPr/>
      </dsp:nvSpPr>
      <dsp:spPr>
        <a:xfrm>
          <a:off x="1849685" y="2988808"/>
          <a:ext cx="1426375" cy="469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Post-test</a:t>
          </a:r>
        </a:p>
        <a:p>
          <a:pPr marL="57150" lvl="1" indent="-57150" algn="l" defTabSz="400050">
            <a:lnSpc>
              <a:spcPct val="90000"/>
            </a:lnSpc>
            <a:spcBef>
              <a:spcPct val="0"/>
            </a:spcBef>
            <a:spcAft>
              <a:spcPct val="15000"/>
            </a:spcAft>
            <a:buChar char="•"/>
          </a:pPr>
          <a:r>
            <a:rPr lang="cs-CZ" sz="900" kern="1200">
              <a:latin typeface="Bookman Old Style" panose="02050604050505020204" pitchFamily="18" charset="0"/>
            </a:rPr>
            <a:t>Action research evaluation</a:t>
          </a:r>
        </a:p>
        <a:p>
          <a:pPr marL="57150" lvl="1" indent="-57150" algn="l" defTabSz="266700">
            <a:lnSpc>
              <a:spcPct val="90000"/>
            </a:lnSpc>
            <a:spcBef>
              <a:spcPct val="0"/>
            </a:spcBef>
            <a:spcAft>
              <a:spcPct val="15000"/>
            </a:spcAft>
            <a:buChar char="•"/>
          </a:pPr>
          <a:endParaRPr lang="cs-CZ" sz="600" kern="1200"/>
        </a:p>
      </dsp:txBody>
      <dsp:txXfrm>
        <a:off x="1849685" y="2988808"/>
        <a:ext cx="1426375" cy="469150"/>
      </dsp:txXfrm>
    </dsp:sp>
    <dsp:sp modelId="{9BF7990E-BC02-4648-BD8A-78BA87F16CEC}">
      <dsp:nvSpPr>
        <dsp:cNvPr id="0" name=""/>
        <dsp:cNvSpPr/>
      </dsp:nvSpPr>
      <dsp:spPr>
        <a:xfrm>
          <a:off x="702191" y="3064501"/>
          <a:ext cx="639161" cy="3194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t>Reflection </a:t>
          </a:r>
          <a:r>
            <a:rPr lang="cs-CZ" sz="1000" kern="1200">
              <a:latin typeface="Bookman Old Style" panose="02050604050505020204" pitchFamily="18" charset="0"/>
            </a:rPr>
            <a:t>phase</a:t>
          </a:r>
          <a:r>
            <a:rPr lang="cs-CZ" sz="1000" kern="1200"/>
            <a:t> II</a:t>
          </a:r>
        </a:p>
      </dsp:txBody>
      <dsp:txXfrm>
        <a:off x="702191" y="3064501"/>
        <a:ext cx="639161" cy="319438"/>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F3CD-8D28-497C-8B8A-2D2BB20C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20</Pages>
  <Words>6302</Words>
  <Characters>37187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Rusek</dc:creator>
  <cp:keywords/>
  <dc:description/>
  <cp:lastModifiedBy>Martin Rusek</cp:lastModifiedBy>
  <cp:revision>6</cp:revision>
  <cp:lastPrinted>2021-07-28T18:16:00Z</cp:lastPrinted>
  <dcterms:created xsi:type="dcterms:W3CDTF">2021-07-22T10:04:00Z</dcterms:created>
  <dcterms:modified xsi:type="dcterms:W3CDTF">2021-07-29T09:34:00Z</dcterms:modified>
</cp:coreProperties>
</file>