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7E6" w:rsidRPr="002E3EF6" w:rsidRDefault="003527E6" w:rsidP="00F57FE9">
      <w:pPr>
        <w:spacing w:line="360" w:lineRule="auto"/>
        <w:ind w:right="58"/>
        <w:jc w:val="center"/>
        <w:rPr>
          <w:b/>
          <w:sz w:val="28"/>
          <w:szCs w:val="28"/>
        </w:rPr>
      </w:pPr>
      <w:r w:rsidRPr="002E3EF6">
        <w:rPr>
          <w:b/>
          <w:sz w:val="28"/>
          <w:szCs w:val="28"/>
        </w:rPr>
        <w:t xml:space="preserve">QbD approach for the development of </w:t>
      </w:r>
      <w:hyperlink r:id="rId7" w:history="1">
        <w:r w:rsidRPr="002E3EF6">
          <w:rPr>
            <w:rStyle w:val="Hyperlink"/>
            <w:rFonts w:eastAsia="Batang"/>
            <w:b/>
            <w:color w:val="auto"/>
            <w:sz w:val="28"/>
            <w:szCs w:val="28"/>
            <w:u w:val="none"/>
            <w:shd w:val="clear" w:color="auto" w:fill="FFFFFF"/>
          </w:rPr>
          <w:t xml:space="preserve">Lyophilized Methotrexate Nanosuspension: Characterization, and Evaluation of </w:t>
        </w:r>
        <w:r w:rsidRPr="002E3EF6">
          <w:rPr>
            <w:rStyle w:val="Hyperlink"/>
            <w:rFonts w:eastAsia="Batang"/>
            <w:b/>
            <w:i/>
            <w:color w:val="auto"/>
            <w:sz w:val="28"/>
            <w:szCs w:val="28"/>
            <w:u w:val="none"/>
            <w:shd w:val="clear" w:color="auto" w:fill="FFFFFF"/>
          </w:rPr>
          <w:t xml:space="preserve">in vitro </w:t>
        </w:r>
        <w:r w:rsidRPr="002E3EF6">
          <w:rPr>
            <w:rStyle w:val="Hyperlink"/>
            <w:rFonts w:eastAsia="Batang"/>
            <w:b/>
            <w:color w:val="auto"/>
            <w:sz w:val="28"/>
            <w:szCs w:val="28"/>
            <w:u w:val="none"/>
            <w:shd w:val="clear" w:color="auto" w:fill="FFFFFF"/>
          </w:rPr>
          <w:t>Anticancer and Pharmacokinetic Study</w:t>
        </w:r>
      </w:hyperlink>
    </w:p>
    <w:p w:rsidR="003527E6" w:rsidRPr="002E3EF6" w:rsidRDefault="003527E6" w:rsidP="00F57FE9">
      <w:pPr>
        <w:pStyle w:val="02-Author"/>
        <w:spacing w:before="0" w:after="0" w:line="360" w:lineRule="auto"/>
        <w:jc w:val="center"/>
        <w:rPr>
          <w:b/>
          <w:bCs/>
          <w:szCs w:val="24"/>
          <w:vertAlign w:val="superscript"/>
        </w:rPr>
      </w:pPr>
      <w:r w:rsidRPr="002E3EF6">
        <w:rPr>
          <w:b/>
          <w:bCs/>
          <w:szCs w:val="24"/>
        </w:rPr>
        <w:t>Trupti Powar</w:t>
      </w:r>
      <w:r w:rsidR="002E3EF6" w:rsidRPr="002E3EF6">
        <w:rPr>
          <w:b/>
          <w:bCs/>
          <w:szCs w:val="24"/>
          <w:vertAlign w:val="superscript"/>
        </w:rPr>
        <w:t>1</w:t>
      </w:r>
      <w:r w:rsidRPr="002E3EF6">
        <w:rPr>
          <w:b/>
          <w:bCs/>
          <w:szCs w:val="24"/>
          <w:vertAlign w:val="superscript"/>
        </w:rPr>
        <w:t>*</w:t>
      </w:r>
      <w:r w:rsidRPr="002E3EF6">
        <w:rPr>
          <w:b/>
          <w:bCs/>
          <w:szCs w:val="24"/>
        </w:rPr>
        <w:t>, Ashok Hajare</w:t>
      </w:r>
      <w:r w:rsidR="002E3EF6" w:rsidRPr="002E3EF6">
        <w:rPr>
          <w:b/>
          <w:bCs/>
          <w:szCs w:val="24"/>
          <w:vertAlign w:val="superscript"/>
        </w:rPr>
        <w:t>2</w:t>
      </w:r>
      <w:r w:rsidRPr="002E3EF6">
        <w:rPr>
          <w:b/>
          <w:bCs/>
          <w:szCs w:val="24"/>
        </w:rPr>
        <w:t xml:space="preserve">, </w:t>
      </w:r>
      <w:proofErr w:type="spellStart"/>
      <w:r w:rsidRPr="002E3EF6">
        <w:rPr>
          <w:b/>
          <w:bCs/>
          <w:szCs w:val="24"/>
        </w:rPr>
        <w:t>Ravindra</w:t>
      </w:r>
      <w:proofErr w:type="spellEnd"/>
      <w:r w:rsidRPr="002E3EF6">
        <w:rPr>
          <w:b/>
          <w:bCs/>
          <w:szCs w:val="24"/>
        </w:rPr>
        <w:t xml:space="preserve"> Jarag</w:t>
      </w:r>
      <w:r w:rsidR="002E3EF6" w:rsidRPr="002E3EF6">
        <w:rPr>
          <w:b/>
          <w:bCs/>
          <w:szCs w:val="24"/>
          <w:vertAlign w:val="superscript"/>
        </w:rPr>
        <w:t>2</w:t>
      </w:r>
      <w:r w:rsidRPr="002E3EF6">
        <w:rPr>
          <w:b/>
          <w:bCs/>
          <w:szCs w:val="24"/>
        </w:rPr>
        <w:t>, Sopan Nangare</w:t>
      </w:r>
      <w:r w:rsidR="002E3EF6" w:rsidRPr="002E3EF6">
        <w:rPr>
          <w:b/>
          <w:bCs/>
          <w:szCs w:val="24"/>
          <w:vertAlign w:val="superscript"/>
        </w:rPr>
        <w:t>3</w:t>
      </w:r>
    </w:p>
    <w:p w:rsidR="003527E6" w:rsidRPr="002E3EF6" w:rsidRDefault="003527E6" w:rsidP="00F57FE9">
      <w:pPr>
        <w:pStyle w:val="02-Author"/>
        <w:spacing w:before="0" w:after="0" w:line="360" w:lineRule="auto"/>
        <w:jc w:val="center"/>
        <w:rPr>
          <w:i/>
          <w:sz w:val="20"/>
          <w:vertAlign w:val="superscript"/>
          <w:rtl/>
        </w:rPr>
      </w:pPr>
    </w:p>
    <w:p w:rsidR="003527E6" w:rsidRPr="002E3EF6" w:rsidRDefault="002E3EF6" w:rsidP="00F57FE9">
      <w:pPr>
        <w:pStyle w:val="03-Address"/>
        <w:spacing w:after="0" w:line="360" w:lineRule="auto"/>
        <w:ind w:right="562"/>
        <w:rPr>
          <w:rFonts w:eastAsia="MinionPro-Regular"/>
        </w:rPr>
      </w:pPr>
      <w:proofErr w:type="gramStart"/>
      <w:r w:rsidRPr="002E3EF6">
        <w:rPr>
          <w:rFonts w:eastAsia="MinionPro-Regular"/>
          <w:vertAlign w:val="superscript"/>
        </w:rPr>
        <w:t>1</w:t>
      </w:r>
      <w:r w:rsidR="003527E6" w:rsidRPr="002E3EF6">
        <w:rPr>
          <w:rFonts w:eastAsia="MinionPro-Regular"/>
        </w:rPr>
        <w:t>Department of Pharmaceutics, Smt. Kashibai Navale Col</w:t>
      </w:r>
      <w:r w:rsidR="0011707E" w:rsidRPr="002E3EF6">
        <w:rPr>
          <w:rFonts w:eastAsia="MinionPro-Regular"/>
        </w:rPr>
        <w:t>lege of Pharmacy, Kondhwa, Pune</w:t>
      </w:r>
      <w:r w:rsidR="003527E6" w:rsidRPr="002E3EF6">
        <w:rPr>
          <w:rFonts w:eastAsia="MinionPro-Regular"/>
        </w:rPr>
        <w:t xml:space="preserve"> </w:t>
      </w:r>
      <w:r w:rsidR="0011707E" w:rsidRPr="002E3EF6">
        <w:rPr>
          <w:rFonts w:eastAsia="MinionPro-Regular"/>
        </w:rPr>
        <w:t xml:space="preserve">(Maharashtra) </w:t>
      </w:r>
      <w:r w:rsidR="003527E6" w:rsidRPr="002E3EF6">
        <w:rPr>
          <w:rFonts w:eastAsia="MinionPro-Regular"/>
        </w:rPr>
        <w:t>411048, India.</w:t>
      </w:r>
      <w:proofErr w:type="gramEnd"/>
    </w:p>
    <w:p w:rsidR="002E3EF6" w:rsidRPr="002E3EF6" w:rsidRDefault="002E3EF6" w:rsidP="00F57FE9">
      <w:pPr>
        <w:pStyle w:val="03-Address"/>
        <w:spacing w:after="0" w:line="360" w:lineRule="auto"/>
        <w:ind w:right="562"/>
        <w:rPr>
          <w:rFonts w:eastAsia="MinionPro-Regular"/>
        </w:rPr>
      </w:pPr>
      <w:proofErr w:type="gramStart"/>
      <w:r w:rsidRPr="002E3EF6">
        <w:rPr>
          <w:rFonts w:eastAsia="MinionPro-Regular"/>
          <w:vertAlign w:val="superscript"/>
        </w:rPr>
        <w:t>2</w:t>
      </w:r>
      <w:r w:rsidR="003527E6" w:rsidRPr="002E3EF6">
        <w:rPr>
          <w:rFonts w:eastAsia="MinionPro-Regular"/>
        </w:rPr>
        <w:t>Department</w:t>
      </w:r>
      <w:r w:rsidR="00065E7D" w:rsidRPr="002E3EF6">
        <w:rPr>
          <w:rFonts w:eastAsia="MinionPro-Regular"/>
        </w:rPr>
        <w:t xml:space="preserve"> of Pharmaceutics</w:t>
      </w:r>
      <w:r w:rsidR="003527E6" w:rsidRPr="002E3EF6">
        <w:rPr>
          <w:rFonts w:eastAsia="MinionPro-Regular"/>
        </w:rPr>
        <w:t xml:space="preserve">, Bharati Vidyapeeth College of Pharmacy, Kolhapur </w:t>
      </w:r>
      <w:r w:rsidR="0011707E" w:rsidRPr="002E3EF6">
        <w:rPr>
          <w:rFonts w:eastAsia="MinionPro-Regular"/>
        </w:rPr>
        <w:t>(Maharashtra) 416013, India.</w:t>
      </w:r>
      <w:proofErr w:type="gramEnd"/>
    </w:p>
    <w:p w:rsidR="003527E6" w:rsidRPr="002E3EF6" w:rsidRDefault="002E3EF6" w:rsidP="00F57FE9">
      <w:pPr>
        <w:pStyle w:val="03-Address"/>
        <w:spacing w:after="0" w:line="360" w:lineRule="auto"/>
        <w:ind w:right="562"/>
        <w:rPr>
          <w:rFonts w:eastAsia="MinionPro-Regular"/>
        </w:rPr>
      </w:pPr>
      <w:proofErr w:type="gramStart"/>
      <w:r w:rsidRPr="002E3EF6">
        <w:rPr>
          <w:rFonts w:eastAsia="MinionPro-Regular"/>
          <w:vertAlign w:val="superscript"/>
        </w:rPr>
        <w:t>2</w:t>
      </w:r>
      <w:r w:rsidR="003527E6" w:rsidRPr="002E3EF6">
        <w:rPr>
          <w:rFonts w:eastAsia="MinionPro-Regular"/>
        </w:rPr>
        <w:t xml:space="preserve">Department of Pharmacology, Bharati Vidyapeeth College of Pharmacy, Kolhapur </w:t>
      </w:r>
      <w:r w:rsidR="0011707E" w:rsidRPr="002E3EF6">
        <w:rPr>
          <w:rFonts w:eastAsia="MinionPro-Regular"/>
        </w:rPr>
        <w:t>(</w:t>
      </w:r>
      <w:r w:rsidR="003527E6" w:rsidRPr="002E3EF6">
        <w:rPr>
          <w:rFonts w:eastAsia="MinionPro-Regular"/>
        </w:rPr>
        <w:t>Maharashtra</w:t>
      </w:r>
      <w:r w:rsidR="0011707E" w:rsidRPr="002E3EF6">
        <w:rPr>
          <w:rFonts w:eastAsia="MinionPro-Regular"/>
        </w:rPr>
        <w:t xml:space="preserve">) </w:t>
      </w:r>
      <w:r w:rsidR="003527E6" w:rsidRPr="002E3EF6">
        <w:rPr>
          <w:rFonts w:eastAsia="MinionPro-Regular"/>
        </w:rPr>
        <w:t>416013, India.</w:t>
      </w:r>
      <w:proofErr w:type="gramEnd"/>
    </w:p>
    <w:p w:rsidR="003527E6" w:rsidRPr="002E3EF6" w:rsidRDefault="002E3EF6" w:rsidP="00F57FE9">
      <w:pPr>
        <w:pStyle w:val="03-Address"/>
        <w:spacing w:after="0" w:line="360" w:lineRule="auto"/>
        <w:ind w:right="562"/>
        <w:rPr>
          <w:rFonts w:eastAsia="MinionPro-Regular"/>
        </w:rPr>
      </w:pPr>
      <w:proofErr w:type="gramStart"/>
      <w:r w:rsidRPr="002E3EF6">
        <w:rPr>
          <w:rFonts w:eastAsia="MinionPro-Regular"/>
          <w:vertAlign w:val="superscript"/>
        </w:rPr>
        <w:t>3</w:t>
      </w:r>
      <w:r w:rsidR="003527E6" w:rsidRPr="002E3EF6">
        <w:rPr>
          <w:rFonts w:eastAsia="MinionPro-Regular"/>
        </w:rPr>
        <w:t xml:space="preserve">Department of Pharmaceutical Chemistry, H. R. Patel Institute of Pharmaceutical Education and Research, Shirpur </w:t>
      </w:r>
      <w:r w:rsidR="0011707E" w:rsidRPr="002E3EF6">
        <w:rPr>
          <w:rFonts w:eastAsia="MinionPro-Regular"/>
        </w:rPr>
        <w:t>(</w:t>
      </w:r>
      <w:r w:rsidR="003527E6" w:rsidRPr="002E3EF6">
        <w:rPr>
          <w:rFonts w:eastAsia="MinionPro-Regular"/>
        </w:rPr>
        <w:t>Maharashtra</w:t>
      </w:r>
      <w:r w:rsidR="0011707E" w:rsidRPr="002E3EF6">
        <w:rPr>
          <w:rFonts w:eastAsia="MinionPro-Regular"/>
        </w:rPr>
        <w:t xml:space="preserve">) </w:t>
      </w:r>
      <w:r w:rsidR="003527E6" w:rsidRPr="002E3EF6">
        <w:rPr>
          <w:rFonts w:eastAsia="MinionPro-Regular"/>
        </w:rPr>
        <w:t>425405, India.</w:t>
      </w:r>
      <w:proofErr w:type="gramEnd"/>
    </w:p>
    <w:p w:rsidR="003527E6" w:rsidRPr="00F57FE9" w:rsidRDefault="003527E6" w:rsidP="00F57FE9">
      <w:pPr>
        <w:pStyle w:val="03-Address"/>
        <w:spacing w:after="0" w:line="360" w:lineRule="auto"/>
        <w:ind w:right="562"/>
        <w:rPr>
          <w:rFonts w:eastAsia="MinionPro-Regular"/>
          <w:i w:val="0"/>
          <w:iCs/>
          <w:sz w:val="24"/>
          <w:szCs w:val="24"/>
        </w:rPr>
      </w:pPr>
    </w:p>
    <w:p w:rsidR="002E3EF6" w:rsidRDefault="002E3EF6" w:rsidP="002E3EF6">
      <w:pPr>
        <w:spacing w:line="360" w:lineRule="auto"/>
        <w:rPr>
          <w:b/>
          <w:bCs/>
        </w:rPr>
      </w:pPr>
      <w:r>
        <w:rPr>
          <w:b/>
          <w:bCs/>
        </w:rPr>
        <w:t>*Address for Correspondence:</w:t>
      </w:r>
    </w:p>
    <w:p w:rsidR="002E3EF6" w:rsidRDefault="002E3EF6" w:rsidP="00F57FE9">
      <w:pPr>
        <w:pStyle w:val="03-Address"/>
        <w:spacing w:after="0" w:line="360" w:lineRule="auto"/>
        <w:ind w:right="562"/>
        <w:rPr>
          <w:b/>
          <w:bCs/>
          <w:i w:val="0"/>
          <w:sz w:val="24"/>
          <w:szCs w:val="24"/>
        </w:rPr>
      </w:pPr>
      <w:r w:rsidRPr="002E3EF6">
        <w:rPr>
          <w:b/>
          <w:bCs/>
          <w:i w:val="0"/>
          <w:sz w:val="24"/>
          <w:szCs w:val="24"/>
        </w:rPr>
        <w:t>Dr. Trupti Ashok Powar</w:t>
      </w:r>
    </w:p>
    <w:p w:rsidR="002E3EF6" w:rsidRPr="002E3EF6" w:rsidRDefault="002E3EF6" w:rsidP="00F57FE9">
      <w:pPr>
        <w:pStyle w:val="03-Address"/>
        <w:spacing w:after="0" w:line="360" w:lineRule="auto"/>
        <w:ind w:right="562"/>
        <w:rPr>
          <w:i w:val="0"/>
          <w:sz w:val="24"/>
          <w:szCs w:val="24"/>
        </w:rPr>
      </w:pPr>
      <w:r w:rsidRPr="002E3EF6">
        <w:rPr>
          <w:i w:val="0"/>
          <w:sz w:val="24"/>
          <w:szCs w:val="24"/>
        </w:rPr>
        <w:t>Assistant Professor</w:t>
      </w:r>
      <w:r>
        <w:rPr>
          <w:i w:val="0"/>
          <w:sz w:val="24"/>
          <w:szCs w:val="24"/>
        </w:rPr>
        <w:t>,</w:t>
      </w:r>
    </w:p>
    <w:p w:rsidR="003527E6" w:rsidRDefault="003527E6" w:rsidP="00F57FE9">
      <w:pPr>
        <w:pStyle w:val="03-Address"/>
        <w:spacing w:after="0" w:line="360" w:lineRule="auto"/>
        <w:ind w:right="562"/>
        <w:rPr>
          <w:i w:val="0"/>
          <w:sz w:val="24"/>
          <w:szCs w:val="24"/>
        </w:rPr>
      </w:pPr>
      <w:r w:rsidRPr="00F57FE9">
        <w:rPr>
          <w:i w:val="0"/>
          <w:sz w:val="24"/>
          <w:szCs w:val="24"/>
        </w:rPr>
        <w:t xml:space="preserve">Department of Pharmaceutics, </w:t>
      </w:r>
    </w:p>
    <w:p w:rsidR="001B7B7C" w:rsidRPr="001B7B7C" w:rsidRDefault="001B7B7C" w:rsidP="00F57FE9">
      <w:pPr>
        <w:pStyle w:val="03-Address"/>
        <w:spacing w:after="0" w:line="360" w:lineRule="auto"/>
        <w:ind w:right="562"/>
        <w:rPr>
          <w:rFonts w:eastAsia="MinionPro-Regular"/>
          <w:i w:val="0"/>
          <w:iCs/>
          <w:sz w:val="24"/>
          <w:szCs w:val="24"/>
        </w:rPr>
      </w:pPr>
      <w:proofErr w:type="gramStart"/>
      <w:r w:rsidRPr="001B7B7C">
        <w:rPr>
          <w:rFonts w:eastAsia="MinionPro-Regular"/>
          <w:i w:val="0"/>
          <w:iCs/>
          <w:sz w:val="24"/>
          <w:szCs w:val="24"/>
        </w:rPr>
        <w:t>Smt. Kashibai Navale College of Pharmacy, Kondhwa</w:t>
      </w:r>
      <w:r>
        <w:rPr>
          <w:rFonts w:eastAsia="MinionPro-Regular"/>
          <w:i w:val="0"/>
          <w:iCs/>
          <w:sz w:val="24"/>
          <w:szCs w:val="24"/>
        </w:rPr>
        <w:t xml:space="preserve"> (Bk.)</w:t>
      </w:r>
      <w:r w:rsidRPr="001B7B7C">
        <w:rPr>
          <w:rFonts w:eastAsia="MinionPro-Regular"/>
          <w:i w:val="0"/>
          <w:iCs/>
          <w:sz w:val="24"/>
          <w:szCs w:val="24"/>
        </w:rPr>
        <w:t>, Pune (Maharashtra) 411048, India.</w:t>
      </w:r>
      <w:proofErr w:type="gramEnd"/>
    </w:p>
    <w:p w:rsidR="003527E6" w:rsidRPr="00F57FE9" w:rsidRDefault="0035096C" w:rsidP="00F57FE9">
      <w:pPr>
        <w:pStyle w:val="03-Address"/>
        <w:spacing w:after="0" w:line="360" w:lineRule="auto"/>
        <w:ind w:right="562"/>
        <w:rPr>
          <w:i w:val="0"/>
          <w:sz w:val="24"/>
          <w:szCs w:val="24"/>
        </w:rPr>
      </w:pPr>
      <w:r>
        <w:rPr>
          <w:i w:val="0"/>
          <w:sz w:val="24"/>
          <w:szCs w:val="24"/>
        </w:rPr>
        <w:t>Mobile:</w:t>
      </w:r>
      <w:r w:rsidR="003527E6" w:rsidRPr="00F57FE9">
        <w:rPr>
          <w:i w:val="0"/>
          <w:sz w:val="24"/>
          <w:szCs w:val="24"/>
        </w:rPr>
        <w:t xml:space="preserve"> +91</w:t>
      </w:r>
      <w:r>
        <w:rPr>
          <w:i w:val="0"/>
          <w:sz w:val="24"/>
          <w:szCs w:val="24"/>
        </w:rPr>
        <w:t xml:space="preserve"> 9766196512</w:t>
      </w:r>
      <w:r w:rsidR="003527E6" w:rsidRPr="00F57FE9">
        <w:rPr>
          <w:i w:val="0"/>
          <w:sz w:val="24"/>
          <w:szCs w:val="24"/>
        </w:rPr>
        <w:t xml:space="preserve"> </w:t>
      </w:r>
    </w:p>
    <w:p w:rsidR="003527E6" w:rsidRPr="00F57FE9" w:rsidRDefault="00194694" w:rsidP="00F57FE9">
      <w:pPr>
        <w:pStyle w:val="03-Address"/>
        <w:spacing w:after="0" w:line="360" w:lineRule="auto"/>
        <w:ind w:right="562"/>
        <w:rPr>
          <w:rFonts w:eastAsia="MinionPro-Regular"/>
          <w:i w:val="0"/>
          <w:iCs/>
          <w:sz w:val="24"/>
          <w:szCs w:val="24"/>
        </w:rPr>
      </w:pPr>
      <w:r>
        <w:rPr>
          <w:i w:val="0"/>
          <w:sz w:val="24"/>
          <w:szCs w:val="24"/>
        </w:rPr>
        <w:t>E-mail</w:t>
      </w:r>
      <w:r w:rsidR="003527E6" w:rsidRPr="00F57FE9">
        <w:rPr>
          <w:i w:val="0"/>
          <w:sz w:val="24"/>
          <w:szCs w:val="24"/>
        </w:rPr>
        <w:t xml:space="preserve">: </w:t>
      </w:r>
      <w:hyperlink r:id="rId8" w:history="1">
        <w:r w:rsidRPr="001B4C13">
          <w:rPr>
            <w:rStyle w:val="Hyperlink"/>
            <w:i w:val="0"/>
            <w:sz w:val="24"/>
            <w:szCs w:val="24"/>
          </w:rPr>
          <w:t>truptipowar51@gmail.com</w:t>
        </w:r>
      </w:hyperlink>
      <w:r>
        <w:rPr>
          <w:i w:val="0"/>
          <w:sz w:val="24"/>
          <w:szCs w:val="24"/>
        </w:rPr>
        <w:t xml:space="preserve"> </w:t>
      </w:r>
    </w:p>
    <w:p w:rsidR="003527E6" w:rsidRPr="00F57FE9" w:rsidRDefault="003527E6" w:rsidP="00F57FE9">
      <w:pPr>
        <w:pStyle w:val="03-Address"/>
        <w:spacing w:after="0" w:line="360" w:lineRule="auto"/>
        <w:ind w:right="562"/>
        <w:rPr>
          <w:rFonts w:eastAsia="MinionPro-Regular"/>
          <w:i w:val="0"/>
          <w:iCs/>
          <w:sz w:val="24"/>
          <w:szCs w:val="24"/>
        </w:rPr>
      </w:pPr>
    </w:p>
    <w:p w:rsidR="003527E6" w:rsidRPr="00F57FE9" w:rsidRDefault="003527E6" w:rsidP="00F57FE9">
      <w:pPr>
        <w:pStyle w:val="04-abstract"/>
        <w:spacing w:after="0" w:line="360" w:lineRule="auto"/>
        <w:rPr>
          <w:sz w:val="24"/>
          <w:szCs w:val="24"/>
        </w:rPr>
      </w:pPr>
    </w:p>
    <w:p w:rsidR="003527E6" w:rsidRDefault="003527E6" w:rsidP="00F57FE9">
      <w:pPr>
        <w:pStyle w:val="04-abstract"/>
        <w:spacing w:after="0" w:line="360" w:lineRule="auto"/>
        <w:rPr>
          <w:sz w:val="24"/>
          <w:szCs w:val="24"/>
        </w:rPr>
      </w:pPr>
    </w:p>
    <w:p w:rsidR="00D721EA" w:rsidRDefault="00D721EA" w:rsidP="00F57FE9">
      <w:pPr>
        <w:pStyle w:val="04-abstract"/>
        <w:spacing w:after="0" w:line="360" w:lineRule="auto"/>
        <w:rPr>
          <w:sz w:val="24"/>
          <w:szCs w:val="24"/>
        </w:rPr>
      </w:pPr>
    </w:p>
    <w:p w:rsidR="00D721EA" w:rsidRDefault="00D721EA" w:rsidP="00F57FE9">
      <w:pPr>
        <w:pStyle w:val="04-abstract"/>
        <w:spacing w:after="0" w:line="360" w:lineRule="auto"/>
        <w:rPr>
          <w:sz w:val="24"/>
          <w:szCs w:val="24"/>
        </w:rPr>
      </w:pPr>
    </w:p>
    <w:p w:rsidR="00D721EA" w:rsidRDefault="00D721EA" w:rsidP="00F57FE9">
      <w:pPr>
        <w:pStyle w:val="04-abstract"/>
        <w:spacing w:after="0" w:line="360" w:lineRule="auto"/>
        <w:rPr>
          <w:sz w:val="24"/>
          <w:szCs w:val="24"/>
        </w:rPr>
      </w:pPr>
    </w:p>
    <w:p w:rsidR="00D721EA" w:rsidRDefault="00D721EA" w:rsidP="00F57FE9">
      <w:pPr>
        <w:pStyle w:val="04-abstract"/>
        <w:spacing w:after="0" w:line="360" w:lineRule="auto"/>
        <w:rPr>
          <w:sz w:val="24"/>
          <w:szCs w:val="24"/>
        </w:rPr>
      </w:pPr>
    </w:p>
    <w:p w:rsidR="00D721EA" w:rsidRDefault="00D721EA" w:rsidP="00F57FE9">
      <w:pPr>
        <w:pStyle w:val="04-abstract"/>
        <w:spacing w:after="0" w:line="360" w:lineRule="auto"/>
        <w:rPr>
          <w:sz w:val="24"/>
          <w:szCs w:val="24"/>
        </w:rPr>
      </w:pPr>
    </w:p>
    <w:p w:rsidR="00D721EA" w:rsidRDefault="00D721EA" w:rsidP="00F57FE9">
      <w:pPr>
        <w:pStyle w:val="04-abstract"/>
        <w:spacing w:after="0" w:line="360" w:lineRule="auto"/>
        <w:rPr>
          <w:sz w:val="24"/>
          <w:szCs w:val="24"/>
        </w:rPr>
      </w:pPr>
    </w:p>
    <w:p w:rsidR="00D721EA" w:rsidRDefault="00D721EA" w:rsidP="00F57FE9">
      <w:pPr>
        <w:pStyle w:val="04-abstract"/>
        <w:spacing w:after="0" w:line="360" w:lineRule="auto"/>
        <w:rPr>
          <w:sz w:val="24"/>
          <w:szCs w:val="24"/>
        </w:rPr>
      </w:pPr>
    </w:p>
    <w:p w:rsidR="00E75D6F" w:rsidRDefault="003527E6" w:rsidP="00F57FE9">
      <w:pPr>
        <w:spacing w:line="360" w:lineRule="auto"/>
        <w:ind w:left="57" w:right="57"/>
        <w:jc w:val="both"/>
        <w:rPr>
          <w:b/>
        </w:rPr>
      </w:pPr>
      <w:r w:rsidRPr="00F57FE9">
        <w:rPr>
          <w:b/>
        </w:rPr>
        <w:lastRenderedPageBreak/>
        <w:t>Abstract:</w:t>
      </w:r>
      <w:r w:rsidR="0076336F" w:rsidRPr="00F57FE9">
        <w:rPr>
          <w:b/>
        </w:rPr>
        <w:t xml:space="preserve"> </w:t>
      </w:r>
    </w:p>
    <w:p w:rsidR="003527E6" w:rsidRPr="00F57FE9" w:rsidRDefault="003527E6" w:rsidP="00F57FE9">
      <w:pPr>
        <w:spacing w:line="360" w:lineRule="auto"/>
        <w:ind w:left="57" w:right="57"/>
        <w:jc w:val="both"/>
        <w:rPr>
          <w:rFonts w:eastAsia="MinionPro-Regular"/>
        </w:rPr>
      </w:pPr>
      <w:r w:rsidRPr="00F57FE9">
        <w:t xml:space="preserve">Optimization of high-pressure homogenizer (HPH) technique to fabricate methotrexate nanosuspension (MTX-NS) to enhance its bioavailability </w:t>
      </w:r>
      <w:proofErr w:type="gramStart"/>
      <w:r w:rsidRPr="00F57FE9">
        <w:t>was planned</w:t>
      </w:r>
      <w:proofErr w:type="gramEnd"/>
      <w:r w:rsidRPr="00F57FE9">
        <w:t xml:space="preserve"> using the QbD a</w:t>
      </w:r>
      <w:r w:rsidR="00D15C57">
        <w:t xml:space="preserve">pproach to minimize the errors. </w:t>
      </w:r>
      <w:r w:rsidRPr="00F57FE9">
        <w:t xml:space="preserve">The prospective risk factors in formulation development </w:t>
      </w:r>
      <w:proofErr w:type="gramStart"/>
      <w:r w:rsidRPr="00F57FE9">
        <w:t>were analyzed</w:t>
      </w:r>
      <w:proofErr w:type="gramEnd"/>
      <w:r w:rsidRPr="00F57FE9">
        <w:t xml:space="preserve"> using the Ishikawa diagram.  </w:t>
      </w:r>
      <w:r w:rsidRPr="00F57FE9">
        <w:rPr>
          <w:rFonts w:eastAsia="MinionPro-Regular"/>
        </w:rPr>
        <w:t xml:space="preserve">Placket–Burman design </w:t>
      </w:r>
      <w:proofErr w:type="gramStart"/>
      <w:r w:rsidRPr="00F57FE9">
        <w:rPr>
          <w:rFonts w:eastAsia="MinionPro-Regular"/>
        </w:rPr>
        <w:t>was used</w:t>
      </w:r>
      <w:proofErr w:type="gramEnd"/>
      <w:r w:rsidRPr="00F57FE9">
        <w:rPr>
          <w:rFonts w:eastAsia="MinionPro-Regular"/>
        </w:rPr>
        <w:t xml:space="preserve"> to screen and investigate the impact of various formulation and process variables on the vital dependent variables. The number of HPH cycles, the concentration of poloxamer 188, and tween 80 were identified as significant factors (P&lt;0.05), which were further optimized by using 5</w:t>
      </w:r>
      <w:r w:rsidRPr="00F57FE9">
        <w:rPr>
          <w:rFonts w:eastAsia="MinionPro-Regular"/>
          <w:vertAlign w:val="superscript"/>
        </w:rPr>
        <w:t>3</w:t>
      </w:r>
      <w:r w:rsidRPr="00F57FE9">
        <w:rPr>
          <w:rFonts w:eastAsia="MinionPro-Regular"/>
        </w:rPr>
        <w:t xml:space="preserve"> Central Composite Design. The average</w:t>
      </w:r>
      <w:r w:rsidR="00217C37" w:rsidRPr="00F57FE9">
        <w:rPr>
          <w:rFonts w:eastAsia="MinionPro-Regular"/>
        </w:rPr>
        <w:t xml:space="preserve"> particle </w:t>
      </w:r>
      <w:r w:rsidR="00C46F8A" w:rsidRPr="00F57FE9">
        <w:rPr>
          <w:rFonts w:eastAsia="MinionPro-Regular"/>
        </w:rPr>
        <w:t xml:space="preserve">sizes, the zeta potential of optimized lyophilized MTX-NS </w:t>
      </w:r>
      <w:proofErr w:type="gramStart"/>
      <w:r w:rsidR="00C46F8A" w:rsidRPr="00F57FE9">
        <w:rPr>
          <w:rFonts w:eastAsia="MinionPro-Regular"/>
        </w:rPr>
        <w:t>were</w:t>
      </w:r>
      <w:r w:rsidRPr="00F57FE9">
        <w:rPr>
          <w:rFonts w:eastAsia="MinionPro-Regular"/>
        </w:rPr>
        <w:t xml:space="preserve"> found</w:t>
      </w:r>
      <w:proofErr w:type="gramEnd"/>
      <w:r w:rsidRPr="00F57FE9">
        <w:rPr>
          <w:rFonts w:eastAsia="MinionPro-Regular"/>
        </w:rPr>
        <w:t xml:space="preserve"> to be 260 nm,-11.6 mV, respectively. </w:t>
      </w:r>
      <w:r w:rsidRPr="00F57FE9">
        <w:t>In vitro cytotoxicity studies showed more than 80 % inhibition while apoptotic cells showed shrinkage, followed by fragmentation and cell death.</w:t>
      </w:r>
      <w:r w:rsidRPr="00F57FE9">
        <w:rPr>
          <w:rFonts w:eastAsia="MinionPro-Regular"/>
        </w:rPr>
        <w:t xml:space="preserve"> Besides, </w:t>
      </w:r>
      <w:proofErr w:type="gramStart"/>
      <w:r w:rsidRPr="00F57FE9">
        <w:rPr>
          <w:rFonts w:eastAsia="MinionPro-Regular"/>
        </w:rPr>
        <w:t>the C</w:t>
      </w:r>
      <w:r w:rsidRPr="00F57FE9">
        <w:rPr>
          <w:rFonts w:eastAsia="MinionPro-Regular"/>
          <w:vertAlign w:val="subscript"/>
        </w:rPr>
        <w:t>max</w:t>
      </w:r>
      <w:r w:rsidRPr="00F57FE9">
        <w:rPr>
          <w:rFonts w:eastAsia="MinionPro-Regular"/>
        </w:rPr>
        <w:t xml:space="preserve"> and AUC</w:t>
      </w:r>
      <w:r w:rsidRPr="00F57FE9">
        <w:rPr>
          <w:rFonts w:eastAsia="MinionPro-Regular"/>
          <w:vertAlign w:val="subscript"/>
        </w:rPr>
        <w:t>0-t</w:t>
      </w:r>
      <w:r w:rsidRPr="00F57FE9">
        <w:rPr>
          <w:rFonts w:eastAsia="MinionPro-Regular"/>
        </w:rPr>
        <w:t xml:space="preserve"> of the MTX-NS were enhanced by </w:t>
      </w:r>
      <w:r w:rsidRPr="00F57FE9">
        <w:t xml:space="preserve">2.53 </w:t>
      </w:r>
      <w:r w:rsidRPr="00F57FE9">
        <w:rPr>
          <w:rFonts w:eastAsia="MinionPro-Regular"/>
        </w:rPr>
        <w:t xml:space="preserve">and </w:t>
      </w:r>
      <w:r w:rsidRPr="00F57FE9">
        <w:t>8.83 folds</w:t>
      </w:r>
      <w:proofErr w:type="gramEnd"/>
      <w:r w:rsidRPr="00F57FE9">
        <w:t>, respectively</w:t>
      </w:r>
      <w:r w:rsidRPr="00F57FE9">
        <w:rPr>
          <w:rFonts w:eastAsia="MinionPro-Regular"/>
        </w:rPr>
        <w:t xml:space="preserve">. The relative bioavailability </w:t>
      </w:r>
      <w:proofErr w:type="gramStart"/>
      <w:r w:rsidRPr="00F57FE9">
        <w:rPr>
          <w:rFonts w:eastAsia="MinionPro-Regular"/>
        </w:rPr>
        <w:t>was found</w:t>
      </w:r>
      <w:proofErr w:type="gramEnd"/>
      <w:r w:rsidRPr="00F57FE9">
        <w:rPr>
          <w:rFonts w:eastAsia="MinionPro-Regular"/>
        </w:rPr>
        <w:t xml:space="preserve"> to be 8.83 </w:t>
      </w:r>
      <w:r w:rsidR="005B38C7" w:rsidRPr="00F57FE9">
        <w:rPr>
          <w:rFonts w:eastAsia="MinionPro-Regular"/>
        </w:rPr>
        <w:t>folds</w:t>
      </w:r>
      <w:r w:rsidRPr="00F57FE9">
        <w:rPr>
          <w:rFonts w:eastAsia="MinionPro-Regular"/>
        </w:rPr>
        <w:t xml:space="preserve"> higher </w:t>
      </w:r>
      <w:r w:rsidR="005B38C7" w:rsidRPr="00F57FE9">
        <w:rPr>
          <w:rFonts w:eastAsia="MinionPro-Regular"/>
        </w:rPr>
        <w:t xml:space="preserve">and </w:t>
      </w:r>
      <w:r w:rsidR="00217C37" w:rsidRPr="00F57FE9">
        <w:rPr>
          <w:rFonts w:eastAsia="MinionPro-Regular"/>
        </w:rPr>
        <w:t xml:space="preserve">the </w:t>
      </w:r>
      <w:r w:rsidRPr="00F57FE9">
        <w:rPr>
          <w:rFonts w:eastAsia="MinionPro-Regular"/>
        </w:rPr>
        <w:t>distribution of MTX-NS in the liver as compared to MTX- aqueous dispersion</w:t>
      </w:r>
      <w:r w:rsidR="005B38C7" w:rsidRPr="00F57FE9">
        <w:rPr>
          <w:rFonts w:eastAsia="MinionPro-Regular"/>
        </w:rPr>
        <w:t xml:space="preserve"> was high</w:t>
      </w:r>
      <w:r w:rsidRPr="00F57FE9">
        <w:rPr>
          <w:rFonts w:eastAsia="MinionPro-Regular"/>
        </w:rPr>
        <w:t xml:space="preserve">. </w:t>
      </w:r>
      <w:proofErr w:type="gramStart"/>
      <w:r w:rsidR="00D15C57">
        <w:rPr>
          <w:rFonts w:eastAsia="MinionPro-Regular"/>
        </w:rPr>
        <w:t>Thus</w:t>
      </w:r>
      <w:proofErr w:type="gramEnd"/>
      <w:r w:rsidR="00D15C57">
        <w:rPr>
          <w:rFonts w:eastAsia="MinionPro-Regular"/>
        </w:rPr>
        <w:t xml:space="preserve"> QbD approached developed an lyophilized MTX-NS with process understanding and process control based on quality risk management.</w:t>
      </w:r>
    </w:p>
    <w:p w:rsidR="003527E6" w:rsidRDefault="003527E6" w:rsidP="00F57FE9">
      <w:pPr>
        <w:spacing w:line="360" w:lineRule="auto"/>
        <w:ind w:left="57" w:right="57"/>
        <w:jc w:val="both"/>
        <w:rPr>
          <w:bCs/>
        </w:rPr>
      </w:pPr>
      <w:proofErr w:type="gramStart"/>
      <w:r w:rsidRPr="00F57FE9">
        <w:rPr>
          <w:b/>
          <w:bCs/>
        </w:rPr>
        <w:t>Keywords:</w:t>
      </w:r>
      <w:r w:rsidR="00F051F6" w:rsidRPr="00F57FE9">
        <w:rPr>
          <w:b/>
          <w:bCs/>
        </w:rPr>
        <w:t xml:space="preserve"> </w:t>
      </w:r>
      <w:r w:rsidR="004454A3" w:rsidRPr="00F57FE9">
        <w:t>Nanosuspension</w:t>
      </w:r>
      <w:r w:rsidR="0087666B">
        <w:t>;</w:t>
      </w:r>
      <w:r w:rsidR="004454A3" w:rsidRPr="00F57FE9">
        <w:t xml:space="preserve"> Lyophilized, </w:t>
      </w:r>
      <w:r w:rsidRPr="00F57FE9">
        <w:t>QbD approach</w:t>
      </w:r>
      <w:r w:rsidR="0087666B">
        <w:t>;</w:t>
      </w:r>
      <w:r w:rsidRPr="00F57FE9">
        <w:t xml:space="preserve"> </w:t>
      </w:r>
      <w:r w:rsidRPr="00F57FE9">
        <w:rPr>
          <w:rFonts w:eastAsia="MinionPro-Regular"/>
        </w:rPr>
        <w:t>Central Composite Design</w:t>
      </w:r>
      <w:r w:rsidR="0087666B">
        <w:rPr>
          <w:rFonts w:eastAsia="MinionPro-Regular"/>
        </w:rPr>
        <w:t>; Plackett– Burman Design;</w:t>
      </w:r>
      <w:r w:rsidRPr="00F57FE9">
        <w:rPr>
          <w:rFonts w:eastAsia="MinionPro-Regular"/>
        </w:rPr>
        <w:t xml:space="preserve"> </w:t>
      </w:r>
      <w:r w:rsidR="004454A3" w:rsidRPr="00F57FE9">
        <w:rPr>
          <w:bCs/>
        </w:rPr>
        <w:t>In-vivo</w:t>
      </w:r>
      <w:r w:rsidRPr="00F57FE9">
        <w:rPr>
          <w:bCs/>
        </w:rPr>
        <w:t xml:space="preserve"> study</w:t>
      </w:r>
      <w:r w:rsidR="0087666B">
        <w:rPr>
          <w:bCs/>
        </w:rPr>
        <w:t>.</w:t>
      </w:r>
      <w:proofErr w:type="gramEnd"/>
    </w:p>
    <w:p w:rsidR="000E0AEA" w:rsidRDefault="000E0A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D721EA" w:rsidRDefault="00D721EA" w:rsidP="00F57FE9">
      <w:pPr>
        <w:spacing w:line="360" w:lineRule="auto"/>
        <w:ind w:left="57" w:right="57"/>
        <w:jc w:val="both"/>
        <w:rPr>
          <w:rFonts w:eastAsia="MinionPro-Regular"/>
        </w:rPr>
      </w:pPr>
    </w:p>
    <w:p w:rsidR="007215D3" w:rsidRDefault="007215D3" w:rsidP="00F57FE9">
      <w:pPr>
        <w:spacing w:line="360" w:lineRule="auto"/>
        <w:ind w:left="57" w:right="57"/>
        <w:jc w:val="both"/>
        <w:rPr>
          <w:rFonts w:eastAsia="MinionPro-Regular"/>
        </w:rPr>
      </w:pPr>
    </w:p>
    <w:p w:rsidR="00C53815" w:rsidRDefault="00C53815" w:rsidP="00F57FE9">
      <w:pPr>
        <w:spacing w:line="360" w:lineRule="auto"/>
        <w:ind w:left="57" w:right="57"/>
        <w:jc w:val="both"/>
        <w:rPr>
          <w:rFonts w:eastAsia="MinionPro-Regular"/>
        </w:rPr>
      </w:pPr>
    </w:p>
    <w:p w:rsidR="00C53815" w:rsidRDefault="00C53815" w:rsidP="00F57FE9">
      <w:pPr>
        <w:spacing w:line="360" w:lineRule="auto"/>
        <w:ind w:left="57" w:right="57"/>
        <w:jc w:val="both"/>
        <w:rPr>
          <w:rFonts w:eastAsia="MinionPro-Regular"/>
        </w:rPr>
      </w:pPr>
    </w:p>
    <w:p w:rsidR="00D721EA" w:rsidRPr="00F57FE9" w:rsidRDefault="00D721EA" w:rsidP="00F57FE9">
      <w:pPr>
        <w:spacing w:line="360" w:lineRule="auto"/>
        <w:ind w:left="57" w:right="57"/>
        <w:jc w:val="both"/>
        <w:rPr>
          <w:rFonts w:eastAsia="MinionPro-Regular"/>
        </w:rPr>
      </w:pPr>
    </w:p>
    <w:p w:rsidR="003527E6" w:rsidRPr="00F57FE9" w:rsidRDefault="003527E6" w:rsidP="00F57FE9">
      <w:pPr>
        <w:spacing w:line="360" w:lineRule="auto"/>
        <w:ind w:right="57"/>
        <w:jc w:val="both"/>
        <w:rPr>
          <w:b/>
        </w:rPr>
      </w:pPr>
      <w:r w:rsidRPr="00F57FE9">
        <w:rPr>
          <w:b/>
        </w:rPr>
        <w:lastRenderedPageBreak/>
        <w:t xml:space="preserve">1. </w:t>
      </w:r>
      <w:r w:rsidR="0076336F" w:rsidRPr="00F57FE9">
        <w:rPr>
          <w:b/>
        </w:rPr>
        <w:t>Introduction</w:t>
      </w:r>
    </w:p>
    <w:p w:rsidR="003527E6" w:rsidRPr="00F57FE9" w:rsidRDefault="003527E6" w:rsidP="00F57FE9">
      <w:pPr>
        <w:pStyle w:val="05-ArticleText"/>
        <w:spacing w:after="0" w:line="360" w:lineRule="auto"/>
        <w:rPr>
          <w:sz w:val="24"/>
          <w:szCs w:val="24"/>
        </w:rPr>
      </w:pPr>
      <w:r w:rsidRPr="00F57FE9">
        <w:rPr>
          <w:sz w:val="24"/>
          <w:szCs w:val="24"/>
        </w:rPr>
        <w:t xml:space="preserve">Pharmaceutical scientists always have </w:t>
      </w:r>
      <w:r w:rsidR="00F94B29" w:rsidRPr="00F57FE9">
        <w:rPr>
          <w:sz w:val="24"/>
          <w:szCs w:val="24"/>
          <w:shd w:val="clear" w:color="auto" w:fill="FFFFFF"/>
        </w:rPr>
        <w:t>serious issues</w:t>
      </w:r>
      <w:r w:rsidRPr="00F57FE9">
        <w:rPr>
          <w:sz w:val="24"/>
          <w:szCs w:val="24"/>
        </w:rPr>
        <w:t xml:space="preserve"> with the formulation and development of poorly water-soluble drugs, and these difficulties are expected to increase because about 40% or more of the new chemical entities generated by drug discovery are poorly aqueous soluble</w:t>
      </w:r>
      <w:r w:rsidR="00D721EA">
        <w:rPr>
          <w:sz w:val="24"/>
          <w:szCs w:val="24"/>
        </w:rPr>
        <w:t>.</w:t>
      </w:r>
      <w:r w:rsidR="007163F6" w:rsidRPr="00F57FE9">
        <w:rPr>
          <w:sz w:val="24"/>
          <w:szCs w:val="24"/>
        </w:rPr>
        <w:fldChar w:fldCharType="begin"/>
      </w:r>
      <w:r w:rsidR="00F57FE9" w:rsidRPr="00F57FE9">
        <w:rPr>
          <w:sz w:val="24"/>
          <w:szCs w:val="24"/>
        </w:rPr>
        <w:instrText xml:space="preserve"> ADDIN EN.CITE &lt;EndNote&gt;&lt;Cite&gt;&lt;Author&gt;Lipinski&lt;/Author&gt;&lt;Year&gt;2002&lt;/Year&gt;&lt;RecNum&gt;5&lt;/RecNum&gt;&lt;DisplayText&gt;&lt;style face="superscript"&gt;1&lt;/style&gt;&lt;/DisplayText&gt;&lt;record&gt;&lt;rec-number&gt;5&lt;/rec-number&gt;&lt;foreign-keys&gt;&lt;key app="EN" db-id="sv2ef2t2hvz5asez0dnprs50e22was0afref" timestamp="1588913931"&gt;5&lt;/key&gt;&lt;/foreign-keys&gt;&lt;ref-type name="Journal Article"&gt;17&lt;/ref-type&gt;&lt;contributors&gt;&lt;authors&gt;&lt;author&gt;Lipinski, CALF&lt;/author&gt;&lt;/authors&gt;&lt;/contributors&gt;&lt;titles&gt;&lt;title&gt;Poor aqueous solubility—an industry wide problem in drug discovery&lt;/title&gt;&lt;secondary-title&gt;Am Pharm Rev&lt;/secondary-title&gt;&lt;/titles&gt;&lt;periodical&gt;&lt;full-title&gt;Am Pharm Rev&lt;/full-title&gt;&lt;/periodical&gt;&lt;pages&gt;82-85&lt;/pages&gt;&lt;volume&gt;5&lt;/volume&gt;&lt;number&gt;3&lt;/number&gt;&lt;dates&gt;&lt;year&gt;2002&lt;/year&gt;&lt;/dates&gt;&lt;urls&gt;&lt;/urls&gt;&lt;/record&gt;&lt;/Cite&gt;&lt;/EndNote&gt;</w:instrText>
      </w:r>
      <w:r w:rsidR="007163F6" w:rsidRPr="00F57FE9">
        <w:rPr>
          <w:sz w:val="24"/>
          <w:szCs w:val="24"/>
        </w:rPr>
        <w:fldChar w:fldCharType="separate"/>
      </w:r>
      <w:r w:rsidR="00F57FE9" w:rsidRPr="00F57FE9">
        <w:rPr>
          <w:noProof/>
          <w:sz w:val="24"/>
          <w:szCs w:val="24"/>
          <w:vertAlign w:val="superscript"/>
        </w:rPr>
        <w:t>1</w:t>
      </w:r>
      <w:r w:rsidR="007163F6" w:rsidRPr="00F57FE9">
        <w:rPr>
          <w:sz w:val="24"/>
          <w:szCs w:val="24"/>
        </w:rPr>
        <w:fldChar w:fldCharType="end"/>
      </w:r>
      <w:r w:rsidRPr="00F57FE9">
        <w:rPr>
          <w:sz w:val="24"/>
          <w:szCs w:val="24"/>
        </w:rPr>
        <w:t xml:space="preserve"> Whereas, it is more problematic in </w:t>
      </w:r>
      <w:r w:rsidR="00217C37" w:rsidRPr="00F57FE9">
        <w:rPr>
          <w:sz w:val="24"/>
          <w:szCs w:val="24"/>
        </w:rPr>
        <w:t xml:space="preserve">the </w:t>
      </w:r>
      <w:r w:rsidRPr="00F57FE9">
        <w:rPr>
          <w:sz w:val="24"/>
          <w:szCs w:val="24"/>
        </w:rPr>
        <w:t>case of poorl</w:t>
      </w:r>
      <w:r w:rsidR="00EB2919" w:rsidRPr="00F57FE9">
        <w:rPr>
          <w:sz w:val="24"/>
          <w:szCs w:val="24"/>
        </w:rPr>
        <w:t xml:space="preserve">y soluble drugs with </w:t>
      </w:r>
      <w:r w:rsidR="00507607" w:rsidRPr="00F57FE9">
        <w:rPr>
          <w:sz w:val="24"/>
          <w:szCs w:val="24"/>
        </w:rPr>
        <w:t>poor</w:t>
      </w:r>
      <w:r w:rsidRPr="00F57FE9">
        <w:rPr>
          <w:sz w:val="24"/>
          <w:szCs w:val="24"/>
        </w:rPr>
        <w:t xml:space="preserve"> absorption profile, </w:t>
      </w:r>
      <w:r w:rsidR="00EB2919" w:rsidRPr="00F57FE9">
        <w:rPr>
          <w:sz w:val="24"/>
          <w:szCs w:val="24"/>
        </w:rPr>
        <w:t xml:space="preserve">and </w:t>
      </w:r>
      <w:r w:rsidRPr="00F57FE9">
        <w:rPr>
          <w:sz w:val="24"/>
          <w:szCs w:val="24"/>
        </w:rPr>
        <w:t>bioavaila</w:t>
      </w:r>
      <w:r w:rsidR="00EB2919" w:rsidRPr="00F57FE9">
        <w:rPr>
          <w:sz w:val="24"/>
          <w:szCs w:val="24"/>
        </w:rPr>
        <w:t xml:space="preserve">bility </w:t>
      </w:r>
      <w:r w:rsidR="00C924FE" w:rsidRPr="00F57FE9">
        <w:rPr>
          <w:sz w:val="24"/>
          <w:szCs w:val="24"/>
        </w:rPr>
        <w:t xml:space="preserve">because it is </w:t>
      </w:r>
      <w:r w:rsidRPr="00F57FE9">
        <w:rPr>
          <w:sz w:val="24"/>
          <w:szCs w:val="24"/>
        </w:rPr>
        <w:t xml:space="preserve">dissolution rate-limited and can be affected by patient fed or fasted state condition </w:t>
      </w:r>
      <w:r w:rsidR="007163F6" w:rsidRPr="00F57FE9">
        <w:rPr>
          <w:sz w:val="24"/>
          <w:szCs w:val="24"/>
        </w:rPr>
        <w:fldChar w:fldCharType="begin"/>
      </w:r>
      <w:r w:rsidR="00F57FE9" w:rsidRPr="00F57FE9">
        <w:rPr>
          <w:sz w:val="24"/>
          <w:szCs w:val="24"/>
        </w:rPr>
        <w:instrText xml:space="preserve"> ADDIN EN.CITE &lt;EndNote&gt;&lt;Cite&gt;&lt;Author&gt;Patravale&lt;/Author&gt;&lt;Year&gt;2004&lt;/Year&gt;&lt;RecNum&gt;6&lt;/RecNum&gt;&lt;DisplayText&gt;&lt;style face="superscript"&gt;2&lt;/style&gt;&lt;/DisplayText&gt;&lt;record&gt;&lt;rec-number&gt;6&lt;/rec-number&gt;&lt;foreign-keys&gt;&lt;key app="EN" db-id="sv2ef2t2hvz5asez0dnprs50e22was0afref" timestamp="1588914027"&gt;6&lt;/key&gt;&lt;/foreign-keys&gt;&lt;ref-type name="Journal Article"&gt;17&lt;/ref-type&gt;&lt;contributors&gt;&lt;authors&gt;&lt;author&gt;Patravale, VB&lt;/author&gt;&lt;author&gt;Date, Abhijit A&lt;/author&gt;&lt;author&gt;Kulkarni, RM&lt;/author&gt;&lt;/authors&gt;&lt;/contributors&gt;&lt;titles&gt;&lt;title&gt;Nanosuspensions: a promising drug delivery strategy&lt;/title&gt;&lt;secondary-title&gt;Journal of pharmacy and pharmacology&lt;/secondary-title&gt;&lt;/titles&gt;&lt;periodical&gt;&lt;full-title&gt;Journal of pharmacy and pharmacology&lt;/full-title&gt;&lt;/periodical&gt;&lt;pages&gt;827-840&lt;/pages&gt;&lt;volume&gt;56&lt;/volume&gt;&lt;number&gt;7&lt;/number&gt;&lt;dates&gt;&lt;year&gt;2004&lt;/year&gt;&lt;/dates&gt;&lt;isbn&gt;0022-3573&lt;/isbn&gt;&lt;urls&gt;&lt;/urls&gt;&lt;/record&gt;&lt;/Cite&gt;&lt;/EndNote&gt;</w:instrText>
      </w:r>
      <w:r w:rsidR="007163F6" w:rsidRPr="00F57FE9">
        <w:rPr>
          <w:sz w:val="24"/>
          <w:szCs w:val="24"/>
        </w:rPr>
        <w:fldChar w:fldCharType="separate"/>
      </w:r>
      <w:r w:rsidR="00F57FE9" w:rsidRPr="00F57FE9">
        <w:rPr>
          <w:noProof/>
          <w:sz w:val="24"/>
          <w:szCs w:val="24"/>
          <w:vertAlign w:val="superscript"/>
        </w:rPr>
        <w:t>2</w:t>
      </w:r>
      <w:r w:rsidR="007163F6" w:rsidRPr="00F57FE9">
        <w:rPr>
          <w:sz w:val="24"/>
          <w:szCs w:val="24"/>
        </w:rPr>
        <w:fldChar w:fldCharType="end"/>
      </w:r>
      <w:r w:rsidRPr="00F57FE9">
        <w:rPr>
          <w:sz w:val="24"/>
          <w:szCs w:val="24"/>
        </w:rPr>
        <w:t>. Traditional approaches including solubilization by surfactant, surfactant dispersion, micronization, use of the oily solution, permeation enhancers, which evolved too earlier</w:t>
      </w:r>
      <w:r w:rsidR="00C924FE" w:rsidRPr="00F57FE9">
        <w:rPr>
          <w:sz w:val="24"/>
          <w:szCs w:val="24"/>
        </w:rPr>
        <w:t>, that</w:t>
      </w:r>
      <w:r w:rsidRPr="00F57FE9">
        <w:rPr>
          <w:sz w:val="24"/>
          <w:szCs w:val="24"/>
        </w:rPr>
        <w:t xml:space="preserve"> address the challenges of formulation and have limited use</w:t>
      </w:r>
      <w:r w:rsidR="00D721EA">
        <w:rPr>
          <w:sz w:val="24"/>
          <w:szCs w:val="24"/>
        </w:rPr>
        <w:t>.</w:t>
      </w:r>
      <w:r w:rsidR="007163F6" w:rsidRPr="00F57FE9">
        <w:rPr>
          <w:sz w:val="24"/>
          <w:szCs w:val="24"/>
        </w:rPr>
        <w:fldChar w:fldCharType="begin"/>
      </w:r>
      <w:r w:rsidR="00F57FE9" w:rsidRPr="00F57FE9">
        <w:rPr>
          <w:sz w:val="24"/>
          <w:szCs w:val="24"/>
        </w:rPr>
        <w:instrText xml:space="preserve"> ADDIN EN.CITE &lt;EndNote&gt;&lt;Cite&gt;&lt;Author&gt;Patravale&lt;/Author&gt;&lt;Year&gt;2004&lt;/Year&gt;&lt;RecNum&gt;6&lt;/RecNum&gt;&lt;DisplayText&gt;&lt;style face="superscript"&gt;2, 3&lt;/style&gt;&lt;/DisplayText&gt;&lt;record&gt;&lt;rec-number&gt;6&lt;/rec-number&gt;&lt;foreign-keys&gt;&lt;key app="EN" db-id="sv2ef2t2hvz5asez0dnprs50e22was0afref" timestamp="1588914027"&gt;6&lt;/key&gt;&lt;/foreign-keys&gt;&lt;ref-type name="Journal Article"&gt;17&lt;/ref-type&gt;&lt;contributors&gt;&lt;authors&gt;&lt;author&gt;Patravale, VB&lt;/author&gt;&lt;author&gt;Date, Abhijit A&lt;/author&gt;&lt;author&gt;Kulkarni, RM&lt;/author&gt;&lt;/authors&gt;&lt;/contributors&gt;&lt;titles&gt;&lt;title&gt;Nanosuspensions: a promising drug delivery strategy&lt;/title&gt;&lt;secondary-title&gt;Journal of pharmacy and pharmacology&lt;/secondary-title&gt;&lt;/titles&gt;&lt;periodical&gt;&lt;full-title&gt;Journal of pharmacy and pharmacology&lt;/full-title&gt;&lt;/periodical&gt;&lt;pages&gt;827-840&lt;/pages&gt;&lt;volume&gt;56&lt;/volume&gt;&lt;number&gt;7&lt;/number&gt;&lt;dates&gt;&lt;year&gt;2004&lt;/year&gt;&lt;/dates&gt;&lt;isbn&gt;0022-3573&lt;/isbn&gt;&lt;urls&gt;&lt;/urls&gt;&lt;/record&gt;&lt;/Cite&gt;&lt;Cite&gt;&lt;Author&gt;Patel&lt;/Author&gt;&lt;Year&gt;2011&lt;/Year&gt;&lt;RecNum&gt;7&lt;/RecNum&gt;&lt;record&gt;&lt;rec-number&gt;7&lt;/rec-number&gt;&lt;foreign-keys&gt;&lt;key app="EN" db-id="sv2ef2t2hvz5asez0dnprs50e22was0afref" timestamp="1588914333"&gt;7&lt;/key&gt;&lt;/foreign-keys&gt;&lt;ref-type name="Journal Article"&gt;17&lt;/ref-type&gt;&lt;contributors&gt;&lt;authors&gt;&lt;author&gt;Patel, Vishal R&lt;/author&gt;&lt;author&gt;Agrawal, YK&lt;/author&gt;&lt;/authors&gt;&lt;/contributors&gt;&lt;titles&gt;&lt;title&gt;Nanosuspension: An approach to enhance solubility of drugs&lt;/title&gt;&lt;secondary-title&gt;Journal of advanced pharmaceutical technology &amp;amp; research&lt;/secondary-title&gt;&lt;/titles&gt;&lt;periodical&gt;&lt;full-title&gt;Journal of advanced pharmaceutical technology &amp;amp; research&lt;/full-title&gt;&lt;/periodical&gt;&lt;pages&gt;81&lt;/pages&gt;&lt;volume&gt;2&lt;/volume&gt;&lt;number&gt;2&lt;/number&gt;&lt;dates&gt;&lt;year&gt;2011&lt;/year&gt;&lt;/dates&gt;&lt;urls&gt;&lt;/urls&gt;&lt;/record&gt;&lt;/Cite&gt;&lt;/EndNote&gt;</w:instrText>
      </w:r>
      <w:r w:rsidR="007163F6" w:rsidRPr="00F57FE9">
        <w:rPr>
          <w:sz w:val="24"/>
          <w:szCs w:val="24"/>
        </w:rPr>
        <w:fldChar w:fldCharType="separate"/>
      </w:r>
      <w:r w:rsidR="00F57FE9" w:rsidRPr="00F57FE9">
        <w:rPr>
          <w:noProof/>
          <w:sz w:val="24"/>
          <w:szCs w:val="24"/>
          <w:vertAlign w:val="superscript"/>
        </w:rPr>
        <w:t>2, 3</w:t>
      </w:r>
      <w:r w:rsidR="007163F6" w:rsidRPr="00F57FE9">
        <w:rPr>
          <w:sz w:val="24"/>
          <w:szCs w:val="24"/>
        </w:rPr>
        <w:fldChar w:fldCharType="end"/>
      </w:r>
      <w:r w:rsidRPr="00F57FE9">
        <w:rPr>
          <w:sz w:val="24"/>
          <w:szCs w:val="24"/>
        </w:rPr>
        <w:t xml:space="preserve"> The major milestone has </w:t>
      </w:r>
      <w:r w:rsidR="00C924FE" w:rsidRPr="00F57FE9">
        <w:rPr>
          <w:sz w:val="24"/>
          <w:szCs w:val="24"/>
        </w:rPr>
        <w:t>been achieved in the development of</w:t>
      </w:r>
      <w:r w:rsidRPr="00F57FE9">
        <w:rPr>
          <w:sz w:val="24"/>
          <w:szCs w:val="24"/>
        </w:rPr>
        <w:t xml:space="preserve"> poorly water-soluble drugs using various </w:t>
      </w:r>
      <w:r w:rsidR="00507607" w:rsidRPr="00F57FE9">
        <w:rPr>
          <w:sz w:val="24"/>
          <w:szCs w:val="24"/>
        </w:rPr>
        <w:t>newer</w:t>
      </w:r>
      <w:r w:rsidRPr="00F57FE9">
        <w:rPr>
          <w:sz w:val="24"/>
          <w:szCs w:val="24"/>
        </w:rPr>
        <w:t xml:space="preserve"> technology, but </w:t>
      </w:r>
      <w:r w:rsidR="007179FF" w:rsidRPr="00F57FE9">
        <w:rPr>
          <w:sz w:val="24"/>
          <w:szCs w:val="24"/>
        </w:rPr>
        <w:t>till</w:t>
      </w:r>
      <w:r w:rsidRPr="00F57FE9">
        <w:rPr>
          <w:sz w:val="24"/>
          <w:szCs w:val="24"/>
        </w:rPr>
        <w:t xml:space="preserve"> date, there is no universal thumb approach applicable to all active pharmaceutical ingredients</w:t>
      </w:r>
      <w:r w:rsidR="00D721EA">
        <w:rPr>
          <w:sz w:val="24"/>
          <w:szCs w:val="24"/>
        </w:rPr>
        <w:t>.</w:t>
      </w:r>
      <w:r w:rsidR="007163F6" w:rsidRPr="00F57FE9">
        <w:rPr>
          <w:sz w:val="24"/>
          <w:szCs w:val="24"/>
        </w:rPr>
        <w:fldChar w:fldCharType="begin"/>
      </w:r>
      <w:r w:rsidR="00F57FE9" w:rsidRPr="00F57FE9">
        <w:rPr>
          <w:sz w:val="24"/>
          <w:szCs w:val="24"/>
        </w:rPr>
        <w:instrText xml:space="preserve"> ADDIN EN.CITE &lt;EndNote&gt;&lt;Cite&gt;&lt;Author&gt;Patel&lt;/Author&gt;&lt;Year&gt;2011&lt;/Year&gt;&lt;RecNum&gt;7&lt;/RecNum&gt;&lt;DisplayText&gt;&lt;style face="superscript"&gt;3&lt;/style&gt;&lt;/DisplayText&gt;&lt;record&gt;&lt;rec-number&gt;7&lt;/rec-number&gt;&lt;foreign-keys&gt;&lt;key app="EN" db-id="sv2ef2t2hvz5asez0dnprs50e22was0afref" timestamp="1588914333"&gt;7&lt;/key&gt;&lt;/foreign-keys&gt;&lt;ref-type name="Journal Article"&gt;17&lt;/ref-type&gt;&lt;contributors&gt;&lt;authors&gt;&lt;author&gt;Patel, Vishal R&lt;/author&gt;&lt;author&gt;Agrawal, YK&lt;/author&gt;&lt;/authors&gt;&lt;/contributors&gt;&lt;titles&gt;&lt;title&gt;Nanosuspension: An approach to enhance solubility of drugs&lt;/title&gt;&lt;secondary-title&gt;Journal of advanced pharmaceutical technology &amp;amp; research&lt;/secondary-title&gt;&lt;/titles&gt;&lt;periodical&gt;&lt;full-title&gt;Journal of advanced pharmaceutical technology &amp;amp; research&lt;/full-title&gt;&lt;/periodical&gt;&lt;pages&gt;81&lt;/pages&gt;&lt;volume&gt;2&lt;/volume&gt;&lt;number&gt;2&lt;/number&gt;&lt;dates&gt;&lt;year&gt;2011&lt;/year&gt;&lt;/dates&gt;&lt;urls&gt;&lt;/urls&gt;&lt;/record&gt;&lt;/Cite&gt;&lt;/EndNote&gt;</w:instrText>
      </w:r>
      <w:r w:rsidR="007163F6" w:rsidRPr="00F57FE9">
        <w:rPr>
          <w:sz w:val="24"/>
          <w:szCs w:val="24"/>
        </w:rPr>
        <w:fldChar w:fldCharType="separate"/>
      </w:r>
      <w:r w:rsidR="00F57FE9" w:rsidRPr="00F57FE9">
        <w:rPr>
          <w:noProof/>
          <w:sz w:val="24"/>
          <w:szCs w:val="24"/>
          <w:vertAlign w:val="superscript"/>
        </w:rPr>
        <w:t>3</w:t>
      </w:r>
      <w:r w:rsidR="007163F6" w:rsidRPr="00F57FE9">
        <w:rPr>
          <w:sz w:val="24"/>
          <w:szCs w:val="24"/>
        </w:rPr>
        <w:fldChar w:fldCharType="end"/>
      </w:r>
      <w:r w:rsidRPr="00F57FE9">
        <w:rPr>
          <w:sz w:val="24"/>
          <w:szCs w:val="24"/>
        </w:rPr>
        <w:t xml:space="preserve"> Consequently, a new approach has been progressively required to deal with formulation issues that are associated with the delivery of poorly soluble drugs, to enhance their therapeutic efficacy and maximize their pharmacodynamic therapy</w:t>
      </w:r>
      <w:r w:rsidR="00D721EA">
        <w:rPr>
          <w:sz w:val="24"/>
          <w:szCs w:val="24"/>
        </w:rPr>
        <w:t>.</w:t>
      </w:r>
      <w:r w:rsidR="007163F6" w:rsidRPr="00F57FE9">
        <w:rPr>
          <w:sz w:val="24"/>
          <w:szCs w:val="24"/>
        </w:rPr>
        <w:fldChar w:fldCharType="begin"/>
      </w:r>
      <w:r w:rsidR="00F57FE9" w:rsidRPr="00F57FE9">
        <w:rPr>
          <w:sz w:val="24"/>
          <w:szCs w:val="24"/>
        </w:rPr>
        <w:instrText xml:space="preserve"> ADDIN EN.CITE &lt;EndNote&gt;&lt;Cite&gt;&lt;Author&gt;Patravale&lt;/Author&gt;&lt;Year&gt;2004&lt;/Year&gt;&lt;RecNum&gt;6&lt;/RecNum&gt;&lt;DisplayText&gt;&lt;style face="superscript"&gt;2&lt;/style&gt;&lt;/DisplayText&gt;&lt;record&gt;&lt;rec-number&gt;6&lt;/rec-number&gt;&lt;foreign-keys&gt;&lt;key app="EN" db-id="sv2ef2t2hvz5asez0dnprs50e22was0afref" timestamp="1588914027"&gt;6&lt;/key&gt;&lt;/foreign-keys&gt;&lt;ref-type name="Journal Article"&gt;17&lt;/ref-type&gt;&lt;contributors&gt;&lt;authors&gt;&lt;author&gt;Patravale, VB&lt;/author&gt;&lt;author&gt;Date, Abhijit A&lt;/author&gt;&lt;author&gt;Kulkarni, RM&lt;/author&gt;&lt;/authors&gt;&lt;/contributors&gt;&lt;titles&gt;&lt;title&gt;Nanosuspensions: a promising drug delivery strategy&lt;/title&gt;&lt;secondary-title&gt;Journal of pharmacy and pharmacology&lt;/secondary-title&gt;&lt;/titles&gt;&lt;periodical&gt;&lt;full-title&gt;Journal of pharmacy and pharmacology&lt;/full-title&gt;&lt;/periodical&gt;&lt;pages&gt;827-840&lt;/pages&gt;&lt;volume&gt;56&lt;/volume&gt;&lt;number&gt;7&lt;/number&gt;&lt;dates&gt;&lt;year&gt;2004&lt;/year&gt;&lt;/dates&gt;&lt;isbn&gt;0022-3573&lt;/isbn&gt;&lt;urls&gt;&lt;/urls&gt;&lt;/record&gt;&lt;/Cite&gt;&lt;/EndNote&gt;</w:instrText>
      </w:r>
      <w:r w:rsidR="007163F6" w:rsidRPr="00F57FE9">
        <w:rPr>
          <w:sz w:val="24"/>
          <w:szCs w:val="24"/>
        </w:rPr>
        <w:fldChar w:fldCharType="separate"/>
      </w:r>
      <w:r w:rsidR="00F57FE9" w:rsidRPr="00F57FE9">
        <w:rPr>
          <w:noProof/>
          <w:sz w:val="24"/>
          <w:szCs w:val="24"/>
          <w:vertAlign w:val="superscript"/>
        </w:rPr>
        <w:t>2</w:t>
      </w:r>
      <w:r w:rsidR="007163F6" w:rsidRPr="00F57FE9">
        <w:rPr>
          <w:sz w:val="24"/>
          <w:szCs w:val="24"/>
        </w:rPr>
        <w:fldChar w:fldCharType="end"/>
      </w:r>
    </w:p>
    <w:p w:rsidR="00507607" w:rsidRPr="00F57FE9" w:rsidRDefault="003527E6" w:rsidP="00F57FE9">
      <w:pPr>
        <w:spacing w:line="360" w:lineRule="auto"/>
        <w:ind w:right="57" w:firstLine="720"/>
        <w:jc w:val="both"/>
      </w:pPr>
      <w:r w:rsidRPr="00F57FE9">
        <w:t xml:space="preserve">A drug delivery aims to deliver a sufficient amount of drug to a proper side in the body such that, the optimal concentration of the drug </w:t>
      </w:r>
      <w:proofErr w:type="gramStart"/>
      <w:r w:rsidRPr="00F57FE9">
        <w:t>is reached rapidly and then sustained</w:t>
      </w:r>
      <w:proofErr w:type="gramEnd"/>
      <w:r w:rsidRPr="00F57FE9">
        <w:t>. The development of proper dosage form is an essential element to achieve this objective</w:t>
      </w:r>
      <w:r w:rsidR="00D721EA">
        <w:t>.</w:t>
      </w:r>
      <w:r w:rsidR="007163F6" w:rsidRPr="00F57FE9">
        <w:fldChar w:fldCharType="begin"/>
      </w:r>
      <w:r w:rsidR="00F57FE9" w:rsidRPr="00F57FE9">
        <w:instrText xml:space="preserve"> ADDIN EN.CITE &lt;EndNote&gt;&lt;Cite&gt;&lt;Author&gt;Vora&lt;/Author&gt;&lt;Year&gt;1996&lt;/Year&gt;&lt;RecNum&gt;1&lt;/RecNum&gt;&lt;DisplayText&gt;&lt;style face="superscript"&gt;4&lt;/style&gt;&lt;/DisplayText&gt;&lt;record&gt;&lt;rec-number&gt;1&lt;/rec-number&gt;&lt;foreign-keys&gt;&lt;key app="EN" db-id="sv2ef2t2hvz5asez0dnprs50e22was0afref" timestamp="1588910610"&gt;1&lt;/key&gt;&lt;/foreign-keys&gt;&lt;ref-type name="Journal Article"&gt;17&lt;/ref-type&gt;&lt;contributors&gt;&lt;authors&gt;&lt;author&gt;Vora, Bhavana&lt;/author&gt;&lt;author&gt;Khopade, AJ&lt;/author&gt;&lt;author&gt;Jain, VVD&lt;/author&gt;&lt;author&gt;Jain, S&lt;/author&gt;&lt;author&gt;Jain, NK&lt;/author&gt;&lt;/authors&gt;&lt;/contributors&gt;&lt;titles&gt;&lt;title&gt;Targeted oral drug delivery&lt;/title&gt;&lt;secondary-title&gt;Indian drugs&lt;/secondary-title&gt;&lt;/titles&gt;&lt;periodical&gt;&lt;full-title&gt;Indian drugs&lt;/full-title&gt;&lt;/periodical&gt;&lt;pages&gt;365-373&lt;/pages&gt;&lt;volume&gt;33&lt;/volume&gt;&lt;number&gt;8&lt;/number&gt;&lt;dates&gt;&lt;year&gt;1996&lt;/year&gt;&lt;/dates&gt;&lt;isbn&gt;0019-462X&lt;/isbn&gt;&lt;urls&gt;&lt;/urls&gt;&lt;/record&gt;&lt;/Cite&gt;&lt;/EndNote&gt;</w:instrText>
      </w:r>
      <w:r w:rsidR="007163F6" w:rsidRPr="00F57FE9">
        <w:fldChar w:fldCharType="separate"/>
      </w:r>
      <w:r w:rsidR="00F57FE9" w:rsidRPr="00F57FE9">
        <w:rPr>
          <w:noProof/>
          <w:vertAlign w:val="superscript"/>
        </w:rPr>
        <w:t>4</w:t>
      </w:r>
      <w:r w:rsidR="007163F6" w:rsidRPr="00F57FE9">
        <w:fldChar w:fldCharType="end"/>
      </w:r>
      <w:r w:rsidRPr="00F57FE9">
        <w:t xml:space="preserve"> From its inception, oral drug delivery is the most commonly used route of administering the drug in the various dosage form due to its simple administration, flexibility in the design of dosage form, and its high patient compliance</w:t>
      </w:r>
      <w:r w:rsidR="00D721EA">
        <w:t>.</w:t>
      </w:r>
      <w:r w:rsidR="007163F6" w:rsidRPr="00F57FE9">
        <w:fldChar w:fldCharType="begin"/>
      </w:r>
      <w:r w:rsidR="00F57FE9" w:rsidRPr="00F57FE9">
        <w:instrText xml:space="preserve"> ADDIN EN.CITE &lt;EndNote&gt;&lt;Cite&gt;&lt;Author&gt;AR&lt;/Author&gt;&lt;Year&gt;1995&lt;/Year&gt;&lt;RecNum&gt;2&lt;/RecNum&gt;&lt;DisplayText&gt;&lt;style face="superscript"&gt;5&lt;/style&gt;&lt;/DisplayText&gt;&lt;record&gt;&lt;rec-number&gt;2&lt;/rec-number&gt;&lt;foreign-keys&gt;&lt;key app="EN" db-id="sv2ef2t2hvz5asez0dnprs50e22was0afref" timestamp="1588910662"&gt;2&lt;/key&gt;&lt;/foreign-keys&gt;&lt;ref-type name="Journal Article"&gt;17&lt;/ref-type&gt;&lt;contributors&gt;&lt;authors&gt;&lt;author&gt;AR, Gennaro&lt;/author&gt;&lt;/authors&gt;&lt;/contributors&gt;&lt;titles&gt;&lt;title&gt;Remington: the science and practice of pharmacy&lt;/title&gt;&lt;secondary-title&gt;Mace Publishing Co&lt;/secondary-title&gt;&lt;/titles&gt;&lt;periodical&gt;&lt;full-title&gt;Mace Publishing Co&lt;/full-title&gt;&lt;/periodical&gt;&lt;pages&gt;1267&lt;/pages&gt;&lt;volume&gt;976&lt;/volume&gt;&lt;dates&gt;&lt;year&gt;1995&lt;/year&gt;&lt;/dates&gt;&lt;urls&gt;&lt;/urls&gt;&lt;/record&gt;&lt;/Cite&gt;&lt;/EndNote&gt;</w:instrText>
      </w:r>
      <w:r w:rsidR="007163F6" w:rsidRPr="00F57FE9">
        <w:fldChar w:fldCharType="separate"/>
      </w:r>
      <w:r w:rsidR="00F57FE9" w:rsidRPr="00F57FE9">
        <w:rPr>
          <w:noProof/>
          <w:vertAlign w:val="superscript"/>
        </w:rPr>
        <w:t>5</w:t>
      </w:r>
      <w:r w:rsidR="007163F6" w:rsidRPr="00F57FE9">
        <w:fldChar w:fldCharType="end"/>
      </w:r>
      <w:r w:rsidRPr="00F57FE9">
        <w:t xml:space="preserve"> </w:t>
      </w:r>
    </w:p>
    <w:p w:rsidR="003527E6" w:rsidRPr="00F57FE9" w:rsidRDefault="003527E6" w:rsidP="00F57FE9">
      <w:pPr>
        <w:spacing w:line="360" w:lineRule="auto"/>
        <w:ind w:right="57" w:firstLine="720"/>
        <w:jc w:val="both"/>
      </w:pPr>
      <w:r w:rsidRPr="00F57FE9">
        <w:t>The Methotrexate (MTX) (2</w:t>
      </w:r>
      <w:proofErr w:type="gramStart"/>
      <w:r w:rsidRPr="00F57FE9">
        <w:t>,4</w:t>
      </w:r>
      <w:proofErr w:type="gramEnd"/>
      <w:r w:rsidRPr="00F57FE9">
        <w:t xml:space="preserve">-diamino-N10-methyl </w:t>
      </w:r>
      <w:proofErr w:type="spellStart"/>
      <w:r w:rsidRPr="00F57FE9">
        <w:t>propyl</w:t>
      </w:r>
      <w:proofErr w:type="spellEnd"/>
      <w:r w:rsidRPr="00F57FE9">
        <w:t xml:space="preserve"> </w:t>
      </w:r>
      <w:proofErr w:type="spellStart"/>
      <w:r w:rsidRPr="00F57FE9">
        <w:t>glutamic</w:t>
      </w:r>
      <w:proofErr w:type="spellEnd"/>
      <w:r w:rsidRPr="00F57FE9">
        <w:t xml:space="preserve"> acid) is an anticancer agent belong to Biopharmaceutical Classification System Class IV (BCS-IV) employed for different solid tumors viz.  </w:t>
      </w:r>
      <w:proofErr w:type="gramStart"/>
      <w:r w:rsidRPr="00F57FE9">
        <w:t>breast</w:t>
      </w:r>
      <w:proofErr w:type="gramEnd"/>
      <w:r w:rsidRPr="00F57FE9">
        <w:t xml:space="preserve"> cancer, lung cancer, etc. treatment</w:t>
      </w:r>
      <w:r w:rsidR="00C264FB">
        <w:t>.</w:t>
      </w:r>
      <w:r w:rsidRPr="00F57FE9">
        <w:t xml:space="preserve"> </w:t>
      </w:r>
      <w:r w:rsidR="007163F6" w:rsidRPr="00F57FE9">
        <w:fldChar w:fldCharType="begin"/>
      </w:r>
      <w:r w:rsidR="00F57FE9" w:rsidRPr="00F57FE9">
        <w:instrText xml:space="preserve"> ADDIN EN.CITE &lt;EndNote&gt;&lt;Cite&gt;&lt;Author&gt;Abolmaali&lt;/Author&gt;&lt;Year&gt;2013&lt;/Year&gt;&lt;RecNum&gt;14&lt;/RecNum&gt;&lt;DisplayText&gt;&lt;style face="superscript"&gt;6&lt;/style&gt;&lt;/DisplayText&gt;&lt;record&gt;&lt;rec-number&gt;14&lt;/rec-number&gt;&lt;foreign-keys&gt;&lt;key app="EN" db-id="sv2ef2t2hvz5asez0dnprs50e22was0afref" timestamp="1588927040"&gt;14&lt;/key&gt;&lt;/foreign-keys&gt;&lt;ref-type name="Journal Article"&gt;17&lt;/ref-type&gt;&lt;contributors&gt;&lt;authors&gt;&lt;author&gt;Abolmaali, Samira Sadat&lt;/author&gt;&lt;author&gt;Tamaddon, Ali Mohammad&lt;/author&gt;&lt;author&gt;Dinarvand, Rassoul&lt;/author&gt;&lt;/authors&gt;&lt;/contributors&gt;&lt;titles&gt;&lt;title&gt;A review of therapeutic challenges and achievements of methotrexate delivery systems for treatment of cancer and rheumatoid arthritis&lt;/title&gt;&lt;secondary-title&gt;Cancer chemotherapy and pharmacology&lt;/secondary-title&gt;&lt;/titles&gt;&lt;periodical&gt;&lt;full-title&gt;Cancer chemotherapy and pharmacology&lt;/full-title&gt;&lt;/periodical&gt;&lt;pages&gt;1115-1130&lt;/pages&gt;&lt;volume&gt;71&lt;/volume&gt;&lt;number&gt;5&lt;/number&gt;&lt;dates&gt;&lt;year&gt;2013&lt;/year&gt;&lt;/dates&gt;&lt;isbn&gt;0344-5704&lt;/isbn&gt;&lt;urls&gt;&lt;/urls&gt;&lt;/record&gt;&lt;/Cite&gt;&lt;/EndNote&gt;</w:instrText>
      </w:r>
      <w:r w:rsidR="007163F6" w:rsidRPr="00F57FE9">
        <w:fldChar w:fldCharType="separate"/>
      </w:r>
      <w:r w:rsidR="00F57FE9" w:rsidRPr="00F57FE9">
        <w:rPr>
          <w:noProof/>
          <w:vertAlign w:val="superscript"/>
        </w:rPr>
        <w:t>6</w:t>
      </w:r>
      <w:r w:rsidR="007163F6" w:rsidRPr="00F57FE9">
        <w:fldChar w:fldCharType="end"/>
      </w:r>
      <w:r w:rsidRPr="00F57FE9">
        <w:t xml:space="preserve"> It </w:t>
      </w:r>
      <w:r w:rsidR="00927EB6" w:rsidRPr="00F57FE9">
        <w:t>has</w:t>
      </w:r>
      <w:r w:rsidRPr="00F57FE9">
        <w:t xml:space="preserve"> poor water solubility (0.01 mg/mL), low permeability </w:t>
      </w:r>
      <w:r w:rsidR="00927EB6" w:rsidRPr="00F57FE9">
        <w:t xml:space="preserve">hence </w:t>
      </w:r>
      <w:r w:rsidRPr="00F57FE9">
        <w:t>consequently very low bioavailability (30– 40%)</w:t>
      </w:r>
      <w:r w:rsidR="00D721EA">
        <w:t>.</w:t>
      </w:r>
      <w:r w:rsidR="007163F6" w:rsidRPr="00F57FE9">
        <w:fldChar w:fldCharType="begin"/>
      </w:r>
      <w:r w:rsidR="00F57FE9" w:rsidRPr="00F57FE9">
        <w:instrText xml:space="preserve"> ADDIN EN.CITE &lt;EndNote&gt;&lt;Cite&gt;&lt;Author&gt;Jadhav&lt;/Author&gt;&lt;Year&gt;2018&lt;/Year&gt;&lt;RecNum&gt;15&lt;/RecNum&gt;&lt;DisplayText&gt;&lt;style face="superscript"&gt;7, 8&lt;/style&gt;&lt;/DisplayText&gt;&lt;record&gt;&lt;rec-number&gt;15&lt;/rec-number&gt;&lt;foreign-keys&gt;&lt;key app="EN" db-id="sv2ef2t2hvz5asez0dnprs50e22was0afref" timestamp="1588927389"&gt;15&lt;/key&gt;&lt;/foreign-keys&gt;&lt;ref-type name="Journal Article"&gt;17&lt;/ref-type&gt;&lt;contributors&gt;&lt;authors&gt;&lt;author&gt;Jadhav, Prakash&lt;/author&gt;&lt;author&gt;Bothiraja, Chellampillai&lt;/author&gt;&lt;author&gt;Pawar, Atmaram&lt;/author&gt;&lt;/authors&gt;&lt;/contributors&gt;&lt;titles&gt;&lt;title&gt;Methotrexate-loaded nanomixed micelles: Formulation, characterization, bioavailability, safety, and in vitro anticancer study&lt;/title&gt;&lt;secondary-title&gt;Journal of Pharmaceutical Innovation&lt;/secondary-title&gt;&lt;/titles&gt;&lt;periodical&gt;&lt;full-title&gt;Journal of Pharmaceutical Innovation&lt;/full-title&gt;&lt;/periodical&gt;&lt;pages&gt;213-225&lt;/pages&gt;&lt;volume&gt;13&lt;/volume&gt;&lt;number&gt;3&lt;/number&gt;&lt;dates&gt;&lt;year&gt;2018&lt;/year&gt;&lt;/dates&gt;&lt;isbn&gt;1872-5120&lt;/isbn&gt;&lt;urls&gt;&lt;/urls&gt;&lt;/record&gt;&lt;/Cite&gt;&lt;Cite&gt;&lt;Author&gt;Van Roon&lt;/Author&gt;&lt;Year&gt;2010&lt;/Year&gt;&lt;RecNum&gt;16&lt;/RecNum&gt;&lt;record&gt;&lt;rec-number&gt;16&lt;/rec-number&gt;&lt;foreign-keys&gt;&lt;key app="EN" db-id="sv2ef2t2hvz5asez0dnprs50e22was0afref" timestamp="1588927476"&gt;16&lt;/key&gt;&lt;/foreign-keys&gt;&lt;ref-type name="Journal Article"&gt;17&lt;/ref-type&gt;&lt;contributors&gt;&lt;authors&gt;&lt;author&gt;Van Roon, EN&lt;/author&gt;&lt;author&gt;Van de Laar, MAFJ&lt;/author&gt;&lt;/authors&gt;&lt;/contributors&gt;&lt;titles&gt;&lt;title&gt;Methotrexate bioavailability&lt;/title&gt;&lt;secondary-title&gt;Clinical and Experimental Rheumatology-Incl Supplements&lt;/secondary-title&gt;&lt;/titles&gt;&lt;periodical&gt;&lt;full-title&gt;Clinical and Experimental Rheumatology-Incl Supplements&lt;/full-title&gt;&lt;/periodical&gt;&lt;pages&gt;S27&lt;/pages&gt;&lt;volume&gt;28&lt;/volume&gt;&lt;number&gt;5&lt;/number&gt;&lt;dates&gt;&lt;year&gt;2010&lt;/year&gt;&lt;/dates&gt;&lt;isbn&gt;0392-856X&lt;/isbn&gt;&lt;urls&gt;&lt;/urls&gt;&lt;/record&gt;&lt;/Cite&gt;&lt;/EndNote&gt;</w:instrText>
      </w:r>
      <w:r w:rsidR="007163F6" w:rsidRPr="00F57FE9">
        <w:fldChar w:fldCharType="separate"/>
      </w:r>
      <w:proofErr w:type="gramStart"/>
      <w:r w:rsidR="00F57FE9" w:rsidRPr="00F57FE9">
        <w:rPr>
          <w:noProof/>
          <w:vertAlign w:val="superscript"/>
        </w:rPr>
        <w:t>7, 8</w:t>
      </w:r>
      <w:r w:rsidR="007163F6" w:rsidRPr="00F57FE9">
        <w:fldChar w:fldCharType="end"/>
      </w:r>
      <w:r w:rsidRPr="00F57FE9">
        <w:t xml:space="preserve"> Besides, MTX showed multidrug resistance (MDR) in cancer treatment and produced toxicity to a normal cell of the body.</w:t>
      </w:r>
      <w:proofErr w:type="gramEnd"/>
      <w:r w:rsidRPr="00F57FE9">
        <w:t xml:space="preserve"> Also, MTX produces several adverse reactions like hepatotoxicity, ulcerative colitis, nephrotoxicity, which resulted in the restriction of its clinical applications</w:t>
      </w:r>
      <w:r w:rsidR="00D721EA">
        <w:t>.</w:t>
      </w:r>
      <w:r w:rsidR="007163F6" w:rsidRPr="00F57FE9">
        <w:fldChar w:fldCharType="begin"/>
      </w:r>
      <w:r w:rsidR="00F57FE9" w:rsidRPr="00F57FE9">
        <w:instrText xml:space="preserve"> ADDIN EN.CITE &lt;EndNote&gt;&lt;Cite&gt;&lt;Author&gt;Jadhav&lt;/Author&gt;&lt;Year&gt;2018&lt;/Year&gt;&lt;RecNum&gt;15&lt;/RecNum&gt;&lt;DisplayText&gt;&lt;style face="superscript"&gt;7&lt;/style&gt;&lt;/DisplayText&gt;&lt;record&gt;&lt;rec-number&gt;15&lt;/rec-number&gt;&lt;foreign-keys&gt;&lt;key app="EN" db-id="sv2ef2t2hvz5asez0dnprs50e22was0afref" timestamp="1588927389"&gt;15&lt;/key&gt;&lt;/foreign-keys&gt;&lt;ref-type name="Journal Article"&gt;17&lt;/ref-type&gt;&lt;contributors&gt;&lt;authors&gt;&lt;author&gt;Jadhav, Prakash&lt;/author&gt;&lt;author&gt;Bothiraja, Chellampillai&lt;/author&gt;&lt;author&gt;Pawar, Atmaram&lt;/author&gt;&lt;/authors&gt;&lt;/contributors&gt;&lt;titles&gt;&lt;title&gt;Methotrexate-loaded nanomixed micelles: Formulation, characterization, bioavailability, safety, and in vitro anticancer study&lt;/title&gt;&lt;secondary-title&gt;Journal of Pharmaceutical Innovation&lt;/secondary-title&gt;&lt;/titles&gt;&lt;periodical&gt;&lt;full-title&gt;Journal of Pharmaceutical Innovation&lt;/full-title&gt;&lt;/periodical&gt;&lt;pages&gt;213-225&lt;/pages&gt;&lt;volume&gt;13&lt;/volume&gt;&lt;number&gt;3&lt;/number&gt;&lt;dates&gt;&lt;year&gt;2018&lt;/year&gt;&lt;/dates&gt;&lt;isbn&gt;1872-5120&lt;/isbn&gt;&lt;urls&gt;&lt;/urls&gt;&lt;/record&gt;&lt;/Cite&gt;&lt;/EndNote&gt;</w:instrText>
      </w:r>
      <w:r w:rsidR="007163F6" w:rsidRPr="00F57FE9">
        <w:fldChar w:fldCharType="separate"/>
      </w:r>
      <w:r w:rsidR="00F57FE9" w:rsidRPr="00F57FE9">
        <w:rPr>
          <w:noProof/>
          <w:vertAlign w:val="superscript"/>
        </w:rPr>
        <w:t>7</w:t>
      </w:r>
      <w:r w:rsidR="007163F6" w:rsidRPr="00F57FE9">
        <w:fldChar w:fldCharType="end"/>
      </w:r>
    </w:p>
    <w:p w:rsidR="003527E6" w:rsidRPr="00F57FE9" w:rsidRDefault="003527E6" w:rsidP="00F57FE9">
      <w:pPr>
        <w:spacing w:line="360" w:lineRule="auto"/>
        <w:ind w:right="57" w:firstLine="720"/>
        <w:jc w:val="both"/>
        <w:rPr>
          <w:rFonts w:eastAsia="MinionPro-Regular"/>
        </w:rPr>
      </w:pPr>
      <w:r w:rsidRPr="00F57FE9">
        <w:t>Nano-formulation is a comparatively new scientific field that applies nanoengineering to health and medicines. Although nanotechnology has multiple applications in the drug delivery system, the development of nanoparticles (nanoscale: 10</w:t>
      </w:r>
      <w:r w:rsidR="007C041F" w:rsidRPr="00F57FE9">
        <w:rPr>
          <w:vertAlign w:val="superscript"/>
        </w:rPr>
        <w:t>-</w:t>
      </w:r>
      <w:r w:rsidRPr="00F57FE9">
        <w:rPr>
          <w:vertAlign w:val="superscript"/>
        </w:rPr>
        <w:t>9</w:t>
      </w:r>
      <w:r w:rsidRPr="00F57FE9">
        <w:t xml:space="preserve"> m) based formulation has been a key </w:t>
      </w:r>
      <w:r w:rsidRPr="00F57FE9">
        <w:lastRenderedPageBreak/>
        <w:t>application in pharmaceuticals</w:t>
      </w:r>
      <w:r w:rsidR="00D721EA">
        <w:t>.</w:t>
      </w:r>
      <w:r w:rsidR="007E65DF" w:rsidRPr="007E65DF">
        <w:rPr>
          <w:vertAlign w:val="superscript"/>
        </w:rPr>
        <w:t>3</w:t>
      </w:r>
      <w:r w:rsidRPr="00F57FE9">
        <w:t xml:space="preserve"> In recent decades, </w:t>
      </w:r>
      <w:r w:rsidR="007C041F" w:rsidRPr="00F57FE9">
        <w:t>nanoparticle</w:t>
      </w:r>
      <w:r w:rsidRPr="00F57FE9">
        <w:t xml:space="preserve"> engineering for pharmaceutical applications has been developed and reported by researchers</w:t>
      </w:r>
      <w:r w:rsidR="00D721EA">
        <w:t>.</w:t>
      </w:r>
      <w:r w:rsidR="0073447F" w:rsidRPr="0073447F">
        <w:rPr>
          <w:vertAlign w:val="superscript"/>
        </w:rPr>
        <w:t>9</w:t>
      </w:r>
      <w:r w:rsidR="0073447F">
        <w:t xml:space="preserve"> </w:t>
      </w:r>
      <w:r w:rsidRPr="00F57FE9">
        <w:t xml:space="preserve">Among the assorted strategy of conversion of nanoparticles, </w:t>
      </w:r>
      <w:r w:rsidR="00787912" w:rsidRPr="00F57FE9">
        <w:t>Nanosuspension (</w:t>
      </w:r>
      <w:r w:rsidRPr="00F57FE9">
        <w:t>NS</w:t>
      </w:r>
      <w:r w:rsidR="00787912" w:rsidRPr="00F57FE9">
        <w:t>)</w:t>
      </w:r>
      <w:r w:rsidRPr="00F57FE9">
        <w:t xml:space="preserve"> is offering plentiful advantages over conventional oral drug delivery.  </w:t>
      </w:r>
      <w:proofErr w:type="gramStart"/>
      <w:r w:rsidR="00787912" w:rsidRPr="00F57FE9">
        <w:t>NS</w:t>
      </w:r>
      <w:r w:rsidRPr="00F57FE9">
        <w:t xml:space="preserve"> can be defined as </w:t>
      </w:r>
      <w:r w:rsidR="00864A98" w:rsidRPr="00F57FE9">
        <w:t xml:space="preserve">a </w:t>
      </w:r>
      <w:r w:rsidRPr="00F57FE9">
        <w:t>sub-micron colloidal dispersion of nanosized (1–1000 nm) pure drug particles</w:t>
      </w:r>
      <w:r w:rsidR="00864A98" w:rsidRPr="00F57FE9">
        <w:t xml:space="preserve"> </w:t>
      </w:r>
      <w:r w:rsidR="00217C37" w:rsidRPr="00F57FE9">
        <w:t>that</w:t>
      </w:r>
      <w:r w:rsidR="00502FD6" w:rsidRPr="00F57FE9">
        <w:t xml:space="preserve"> are </w:t>
      </w:r>
      <w:r w:rsidR="00864A98" w:rsidRPr="00F57FE9">
        <w:t>stabilized by surfactant/ polymer or a mixture of both</w:t>
      </w:r>
      <w:r w:rsidR="00D721EA">
        <w:t>.</w:t>
      </w:r>
      <w:r w:rsidR="00D10CA0" w:rsidRPr="00D10CA0">
        <w:rPr>
          <w:vertAlign w:val="superscript"/>
        </w:rPr>
        <w:t>10</w:t>
      </w:r>
      <w:r w:rsidRPr="00F57FE9">
        <w:t xml:space="preserve"> Interestingly, NS gaining much attention in </w:t>
      </w:r>
      <w:r w:rsidR="00217C37" w:rsidRPr="00F57FE9">
        <w:t xml:space="preserve">the </w:t>
      </w:r>
      <w:r w:rsidRPr="00F57FE9">
        <w:t>scientific fraternity due to its numerous benefits such as improving dissolution rate, and consequently bioavailability enhancement of poorly soluble and permeable drugs, enhances the physical and chemical stability of drugs, higher drug loading, dose reduction, etc</w:t>
      </w:r>
      <w:r w:rsidR="00D721EA">
        <w:t>.</w:t>
      </w:r>
      <w:r w:rsidRPr="00F57FE9">
        <w:t xml:space="preserve"> </w:t>
      </w:r>
      <w:r w:rsidR="007163F6" w:rsidRPr="00F57FE9">
        <w:fldChar w:fldCharType="begin"/>
      </w:r>
      <w:r w:rsidR="00F57FE9" w:rsidRPr="00F57FE9">
        <w:instrText xml:space="preserve"> ADDIN EN.CITE &lt;EndNote&gt;&lt;Cite&gt;&lt;Author&gt;Patel&lt;/Author&gt;&lt;Year&gt;2011&lt;/Year&gt;&lt;RecNum&gt;7&lt;/RecNum&gt;&lt;DisplayText&gt;&lt;style face="superscript"&gt;2, 3&lt;/style&gt;&lt;/DisplayText&gt;&lt;record&gt;&lt;rec-number&gt;7&lt;/rec-number&gt;&lt;foreign-keys&gt;&lt;key app="EN" db-id="sv2ef2t2hvz5asez0dnprs50e22was0afref" timestamp="1588914333"&gt;7&lt;/key&gt;&lt;/foreign-keys&gt;&lt;ref-type name="Journal Article"&gt;17&lt;/ref-type&gt;&lt;contributors&gt;&lt;authors&gt;&lt;author&gt;Patel, Vishal R&lt;/author&gt;&lt;author&gt;Agrawal, YK&lt;/author&gt;&lt;/authors&gt;&lt;/contributors&gt;&lt;titles&gt;&lt;title&gt;Nanosuspension: An approach to enhance solubility of drugs&lt;/title&gt;&lt;secondary-title&gt;Journal of advanced pharmaceutical technology &amp;amp; research&lt;/secondary-title&gt;&lt;/titles&gt;&lt;periodical&gt;&lt;full-title&gt;Journal of advanced pharmaceutical technology &amp;amp; research&lt;/full-title&gt;&lt;/periodical&gt;&lt;pages&gt;81&lt;/pages&gt;&lt;volume&gt;2&lt;/volume&gt;&lt;number&gt;2&lt;/number&gt;&lt;dates&gt;&lt;year&gt;2011&lt;/year&gt;&lt;/dates&gt;&lt;urls&gt;&lt;/urls&gt;&lt;/record&gt;&lt;/Cite&gt;&lt;Cite&gt;&lt;Author&gt;Patravale&lt;/Author&gt;&lt;Year&gt;2004&lt;/Year&gt;&lt;RecNum&gt;6&lt;/RecNum&gt;&lt;record&gt;&lt;rec-number&gt;6&lt;/rec-number&gt;&lt;foreign-keys&gt;&lt;key app="EN" db-id="sv2ef2t2hvz5asez0dnprs50e22was0afref" timestamp="1588914027"&gt;6&lt;/key&gt;&lt;/foreign-keys&gt;&lt;ref-type name="Journal Article"&gt;17&lt;/ref-type&gt;&lt;contributors&gt;&lt;authors&gt;&lt;author&gt;Patravale, VB&lt;/author&gt;&lt;author&gt;Date, Abhijit A&lt;/author&gt;&lt;author&gt;Kulkarni, RM&lt;/author&gt;&lt;/authors&gt;&lt;/contributors&gt;&lt;titles&gt;&lt;title&gt;Nanosuspensions: a promising drug delivery strategy&lt;/title&gt;&lt;secondary-title&gt;Journal of pharmacy and pharmacology&lt;/secondary-title&gt;&lt;/titles&gt;&lt;periodical&gt;&lt;full-title&gt;Journal of pharmacy and pharmacology&lt;/full-title&gt;&lt;/periodical&gt;&lt;pages&gt;827-840&lt;/pages&gt;&lt;volume&gt;56&lt;/volume&gt;&lt;number&gt;7&lt;/number&gt;&lt;dates&gt;&lt;year&gt;2004&lt;/year&gt;&lt;/dates&gt;&lt;isbn&gt;0022-3573&lt;/isbn&gt;&lt;urls&gt;&lt;/urls&gt;&lt;/record&gt;&lt;/Cite&gt;&lt;/EndNote&gt;</w:instrText>
      </w:r>
      <w:r w:rsidR="007163F6" w:rsidRPr="00F57FE9">
        <w:fldChar w:fldCharType="separate"/>
      </w:r>
      <w:r w:rsidR="00F57FE9" w:rsidRPr="00F57FE9">
        <w:rPr>
          <w:noProof/>
          <w:vertAlign w:val="superscript"/>
        </w:rPr>
        <w:t>2, 3</w:t>
      </w:r>
      <w:r w:rsidR="007163F6" w:rsidRPr="00F57FE9">
        <w:fldChar w:fldCharType="end"/>
      </w:r>
      <w:r w:rsidRPr="00F57FE9">
        <w:t xml:space="preserve"> It also improves the </w:t>
      </w:r>
      <w:r w:rsidR="00AA4E34" w:rsidRPr="00F57FE9">
        <w:t>AUC and C</w:t>
      </w:r>
      <w:r w:rsidR="00AA4E34" w:rsidRPr="00F57FE9">
        <w:rPr>
          <w:vertAlign w:val="subscript"/>
        </w:rPr>
        <w:t>max</w:t>
      </w:r>
      <w:r w:rsidR="009D6587" w:rsidRPr="00F57FE9">
        <w:t xml:space="preserve"> </w:t>
      </w:r>
      <w:r w:rsidRPr="00F57FE9">
        <w:t>of the drug and consequently improves drug safety and efficacy.</w:t>
      </w:r>
      <w:r w:rsidR="00D10CA0">
        <w:rPr>
          <w:vertAlign w:val="superscript"/>
        </w:rPr>
        <w:t>11</w:t>
      </w:r>
      <w:r w:rsidRPr="00F57FE9">
        <w:t xml:space="preserve"> Besides, in the last two decades, NS has been drawing much attention in the pharmaceutical industry and also has been executed commercially</w:t>
      </w:r>
      <w:r w:rsidR="00D721EA">
        <w:t>.</w:t>
      </w:r>
      <w:r w:rsidR="00D10CA0" w:rsidRPr="00D10CA0">
        <w:rPr>
          <w:vertAlign w:val="superscript"/>
        </w:rPr>
        <w:t>10</w:t>
      </w:r>
      <w:r w:rsidRPr="00F57FE9">
        <w:t xml:space="preserve"> For productive formulation developmen</w:t>
      </w:r>
      <w:r w:rsidR="00787912" w:rsidRPr="00F57FE9">
        <w:t>t of the NS various strategy have</w:t>
      </w:r>
      <w:r w:rsidRPr="00F57FE9">
        <w:t xml:space="preserve"> been reported including top-down (viz. </w:t>
      </w:r>
      <w:r w:rsidRPr="00F57FE9">
        <w:rPr>
          <w:rFonts w:eastAsia="MinionPro-Regular"/>
        </w:rPr>
        <w:t>high-pressure homogenization, sonication, etc.)</w:t>
      </w:r>
      <w:r w:rsidRPr="00F57FE9">
        <w:t xml:space="preserve"> and bottom-up approach (viz: nano-precipitation), etc.</w:t>
      </w:r>
      <w:r w:rsidRPr="00D10CA0">
        <w:rPr>
          <w:vertAlign w:val="superscript"/>
        </w:rPr>
        <w:t xml:space="preserve"> </w:t>
      </w:r>
      <w:r w:rsidR="007163F6" w:rsidRPr="00D10CA0">
        <w:rPr>
          <w:vertAlign w:val="superscript"/>
        </w:rPr>
        <w:fldChar w:fldCharType="begin">
          <w:fldData xml:space="preserve">PEVuZE5vdGU+PENpdGU+PEF1dGhvcj5Qb3dhcjwvQXV0aG9yPjxZZWFyPjIwMjA8L1llYXI+PFJl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</w:fldData>
        </w:fldChar>
      </w:r>
      <w:r w:rsidR="00F57FE9" w:rsidRPr="00D10CA0">
        <w:rPr>
          <w:vertAlign w:val="superscript"/>
        </w:rPr>
        <w:instrText xml:space="preserve"> ADDIN EN.CITE </w:instrText>
      </w:r>
      <w:r w:rsidR="007163F6" w:rsidRPr="00D10CA0">
        <w:rPr>
          <w:vertAlign w:val="superscript"/>
        </w:rPr>
        <w:fldChar w:fldCharType="begin">
          <w:fldData xml:space="preserve">PEVuZE5vdGU+PENpdGU+PEF1dGhvcj5Qb3dhcjwvQXV0aG9yPjxZZWFyPjIwMjA8L1llYXI+PFJl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</w:fldData>
        </w:fldChar>
      </w:r>
      <w:r w:rsidR="00F57FE9" w:rsidRPr="00D10CA0">
        <w:rPr>
          <w:vertAlign w:val="superscript"/>
        </w:rPr>
        <w:instrText xml:space="preserve"> ADDIN EN.CITE.DATA </w:instrText>
      </w:r>
      <w:r w:rsidR="007163F6" w:rsidRPr="00D10CA0">
        <w:rPr>
          <w:vertAlign w:val="superscript"/>
        </w:rPr>
      </w:r>
      <w:r w:rsidR="007163F6" w:rsidRPr="00D10CA0">
        <w:rPr>
          <w:vertAlign w:val="superscript"/>
        </w:rPr>
        <w:fldChar w:fldCharType="end"/>
      </w:r>
      <w:r w:rsidR="007163F6" w:rsidRPr="00D10CA0">
        <w:rPr>
          <w:vertAlign w:val="superscript"/>
        </w:rPr>
      </w:r>
      <w:r w:rsidR="007163F6" w:rsidRPr="00D10CA0">
        <w:rPr>
          <w:vertAlign w:val="superscript"/>
        </w:rPr>
        <w:fldChar w:fldCharType="separate"/>
      </w:r>
      <w:r w:rsidR="00D10CA0" w:rsidRPr="00D10CA0">
        <w:rPr>
          <w:noProof/>
          <w:vertAlign w:val="superscript"/>
        </w:rPr>
        <w:t>3, 11</w:t>
      </w:r>
      <w:r w:rsidR="00F57FE9" w:rsidRPr="00D10CA0">
        <w:rPr>
          <w:noProof/>
          <w:vertAlign w:val="superscript"/>
        </w:rPr>
        <w:t>, 1</w:t>
      </w:r>
      <w:r w:rsidR="00D10CA0" w:rsidRPr="00D10CA0">
        <w:rPr>
          <w:noProof/>
          <w:vertAlign w:val="superscript"/>
        </w:rPr>
        <w:t>2</w:t>
      </w:r>
      <w:r w:rsidR="007163F6" w:rsidRPr="00D10CA0">
        <w:rPr>
          <w:vertAlign w:val="superscript"/>
        </w:rPr>
        <w:fldChar w:fldCharType="end"/>
      </w:r>
      <w:r w:rsidRPr="00F57FE9">
        <w:t xml:space="preserve"> Further, the physical stability p</w:t>
      </w:r>
      <w:r w:rsidR="00265E9B" w:rsidRPr="00F57FE9">
        <w:t xml:space="preserve">roblem of NS has been </w:t>
      </w:r>
      <w:r w:rsidR="00083922" w:rsidRPr="00F57FE9">
        <w:t>overcome</w:t>
      </w:r>
      <w:r w:rsidRPr="00F57FE9">
        <w:t xml:space="preserve"> by various </w:t>
      </w:r>
      <w:r w:rsidRPr="00F57FE9">
        <w:rPr>
          <w:rFonts w:eastAsia="MinionPro-Regular"/>
        </w:rPr>
        <w:t>solidification techniques including rotary evaporation, spray drying, lyophilization, etc.</w:t>
      </w:r>
      <w:proofErr w:type="gramEnd"/>
      <w:r w:rsidRPr="00F57FE9">
        <w:rPr>
          <w:rFonts w:eastAsia="MinionPro-Regular"/>
        </w:rPr>
        <w:t xml:space="preserve"> Generally, the technique selection has been done based on the physical properties of active pharmaceutical ingredients and characteristics of the final formulation</w:t>
      </w:r>
      <w:r w:rsidR="00D721EA">
        <w:rPr>
          <w:rFonts w:eastAsia="MinionPro-Regular"/>
        </w:rPr>
        <w:t>.</w:t>
      </w:r>
      <w:r w:rsidR="007163F6" w:rsidRPr="00F57FE9">
        <w:rPr>
          <w:rFonts w:eastAsia="MinionPro-Regular"/>
        </w:rPr>
        <w:fldChar w:fldCharType="begin"/>
      </w:r>
      <w:r w:rsidR="00F57FE9" w:rsidRPr="00F57FE9">
        <w:rPr>
          <w:rFonts w:eastAsia="MinionPro-Regular"/>
        </w:rPr>
        <w:instrText xml:space="preserve"> ADDIN EN.CITE &lt;EndNote&gt;&lt;Cite&gt;&lt;Author&gt;Ibrahim&lt;/Author&gt;&lt;Year&gt;2019&lt;/Year&gt;&lt;RecNum&gt;11&lt;/RecNum&gt;&lt;DisplayText&gt;&lt;style face="superscript"&gt;11&lt;/style&gt;&lt;/DisplayText&gt;&lt;record&gt;&lt;rec-number&gt;11&lt;/rec-number&gt;&lt;foreign-keys&gt;&lt;key app="EN" db-id="sv2ef2t2hvz5asez0dnprs50e22was0afref" timestamp="1588923229"&gt;11&lt;/key&gt;&lt;/foreign-keys&gt;&lt;ref-type name="Journal Article"&gt;17&lt;/ref-type&gt;&lt;contributors&gt;&lt;authors&gt;&lt;author&gt;Ibrahim, Ahmed H&lt;/author&gt;&lt;author&gt;Rosqvist, Emil&lt;/author&gt;&lt;author&gt;Smått, Jan-Henrik&lt;/author&gt;&lt;author&gt;Ibrahim, Hany M&lt;/author&gt;&lt;author&gt;Ismael, Hatem R&lt;/author&gt;&lt;author&gt;Afouna, Mohsen I&lt;/author&gt;&lt;author&gt;Samy, Ahmed M&lt;/author&gt;&lt;author&gt;Rosenholm, Jessica M&lt;/author&gt;&lt;/authors&gt;&lt;/contributors&gt;&lt;titles&gt;&lt;title&gt;Formulation and optimization of lyophilized nanosuspension tablets to improve the physicochemical properties and provide immediate release of silymarin&lt;/title&gt;&lt;secondary-title&gt;International Journal of Pharmaceutics&lt;/secondary-title&gt;&lt;/titles&gt;&lt;periodical&gt;&lt;full-title&gt;International Journal of Pharmaceutics&lt;/full-title&gt;&lt;/periodical&gt;&lt;pages&gt;217-227&lt;/pages&gt;&lt;volume&gt;563&lt;/volume&gt;&lt;dates&gt;&lt;year&gt;2019&lt;/year&gt;&lt;/dates&gt;&lt;isbn&gt;0378-5173&lt;/isbn&gt;&lt;urls&gt;&lt;/urls&gt;&lt;/record&gt;&lt;/Cite&gt;&lt;/EndNote&gt;</w:instrText>
      </w:r>
      <w:r w:rsidR="007163F6" w:rsidRPr="00F57FE9">
        <w:rPr>
          <w:rFonts w:eastAsia="MinionPro-Regular"/>
        </w:rPr>
        <w:fldChar w:fldCharType="separate"/>
      </w:r>
      <w:proofErr w:type="gramStart"/>
      <w:r w:rsidR="00F57FE9" w:rsidRPr="00F57FE9">
        <w:rPr>
          <w:rFonts w:eastAsia="MinionPro-Regular"/>
          <w:noProof/>
          <w:vertAlign w:val="superscript"/>
        </w:rPr>
        <w:t>1</w:t>
      </w:r>
      <w:r w:rsidR="00D10CA0">
        <w:rPr>
          <w:rFonts w:eastAsia="MinionPro-Regular"/>
          <w:noProof/>
          <w:vertAlign w:val="superscript"/>
        </w:rPr>
        <w:t>0</w:t>
      </w:r>
      <w:r w:rsidR="007163F6" w:rsidRPr="00F57FE9">
        <w:rPr>
          <w:rFonts w:eastAsia="MinionPro-Regular"/>
        </w:rPr>
        <w:fldChar w:fldCharType="end"/>
      </w:r>
      <w:r w:rsidRPr="00F57FE9">
        <w:rPr>
          <w:rFonts w:eastAsia="MinionPro-Regular"/>
        </w:rPr>
        <w:t xml:space="preserve"> Among these techniques, lyophilization is predominately employed for </w:t>
      </w:r>
      <w:r w:rsidR="00F33906">
        <w:rPr>
          <w:rFonts w:eastAsia="MinionPro-Regular"/>
        </w:rPr>
        <w:t xml:space="preserve">the </w:t>
      </w:r>
      <w:r w:rsidRPr="00F57FE9">
        <w:rPr>
          <w:rFonts w:eastAsia="MinionPro-Regular"/>
        </w:rPr>
        <w:t>solidification of NS, which provides several benefits such as suitability for drying of thermolabile drugs, enhanced long</w:t>
      </w:r>
      <w:r w:rsidR="00F33906">
        <w:rPr>
          <w:rFonts w:eastAsia="MinionPro-Regular"/>
        </w:rPr>
        <w:t>-</w:t>
      </w:r>
      <w:r w:rsidRPr="00F57FE9">
        <w:rPr>
          <w:rFonts w:eastAsia="MinionPro-Regular"/>
        </w:rPr>
        <w:t>term storage stability, easy reconstitution of the formulation before use</w:t>
      </w:r>
      <w:r w:rsidR="00217C37" w:rsidRPr="00F57FE9">
        <w:rPr>
          <w:rFonts w:eastAsia="MinionPro-Regular"/>
        </w:rPr>
        <w:t>,</w:t>
      </w:r>
      <w:r w:rsidRPr="00F57FE9">
        <w:rPr>
          <w:rFonts w:eastAsia="MinionPro-Regular"/>
        </w:rPr>
        <w:t xml:space="preserve"> and manufacture of high-value formulation without excessive damage</w:t>
      </w:r>
      <w:r w:rsidR="00D721EA">
        <w:rPr>
          <w:rFonts w:eastAsia="MinionPro-Regular"/>
        </w:rPr>
        <w:t>.</w:t>
      </w:r>
      <w:r w:rsidR="00D10CA0" w:rsidRPr="00D10CA0">
        <w:rPr>
          <w:rFonts w:eastAsia="MinionPro-Regular"/>
          <w:vertAlign w:val="superscript"/>
        </w:rPr>
        <w:t>10,</w:t>
      </w:r>
      <w:r w:rsidR="007163F6" w:rsidRPr="00F57FE9">
        <w:rPr>
          <w:rFonts w:eastAsia="MinionPro-Regular"/>
        </w:rPr>
        <w:fldChar w:fldCharType="begin"/>
      </w:r>
      <w:r w:rsidR="00F57FE9" w:rsidRPr="00F57FE9">
        <w:rPr>
          <w:rFonts w:eastAsia="MinionPro-Regular"/>
        </w:rPr>
        <w:instrText xml:space="preserve"> ADDIN EN.CITE &lt;EndNote&gt;&lt;Cite&gt;&lt;Author&gt;Powar&lt;/Author&gt;&lt;Year&gt;2020&lt;/Year&gt;&lt;RecNum&gt;9&lt;/RecNum&gt;&lt;DisplayText&gt;&lt;style face="superscript"&gt;11, 12&lt;/style&gt;&lt;/DisplayText&gt;&lt;record&gt;&lt;rec-number&gt;9&lt;/rec-number&gt;&lt;foreign-keys&gt;&lt;key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Cite&gt;&lt;Author&gt;Ibrahim&lt;/Author&gt;&lt;Year&gt;2019&lt;/Year&gt;&lt;RecNum&gt;11&lt;/RecNum&gt;&lt;record&gt;&lt;rec-number&gt;11&lt;/rec-number&gt;&lt;foreign-keys&gt;&lt;key app="EN" db-id="sv2ef2t2hvz5asez0dnprs50e22was0afref" timestamp="1588923229"&gt;11&lt;/key&gt;&lt;/foreign-keys&gt;&lt;ref-type name="Journal Article"&gt;17&lt;/ref-type&gt;&lt;contributors&gt;&lt;authors&gt;&lt;author&gt;Ibrahim, Ahmed H&lt;/author&gt;&lt;author&gt;Rosqvist, Emil&lt;/author&gt;&lt;author&gt;Smått, Jan-Henrik&lt;/author&gt;&lt;author&gt;Ibrahim, Hany M&lt;/author&gt;&lt;author&gt;Ismael, Hatem R&lt;/author&gt;&lt;author&gt;Afouna, Mohsen I&lt;/author&gt;&lt;author&gt;Samy, Ahmed M&lt;/author&gt;&lt;author&gt;Rosenholm, Jessica M&lt;/author&gt;&lt;/authors&gt;&lt;/contributors&gt;&lt;titles&gt;&lt;title&gt;Formulation and optimization of lyophilized nanosuspension tablets to improve the physicochemical properties and provide immediate release of silymarin&lt;/title&gt;&lt;secondary-title&gt;International Journal of Pharmaceutics&lt;/secondary-title&gt;&lt;/titles&gt;&lt;periodical&gt;&lt;full-title&gt;International Journal of Pharmaceutics&lt;/full-title&gt;&lt;/periodical&gt;&lt;pages&gt;217-227&lt;/pages&gt;&lt;volume&gt;563&lt;/volume&gt;&lt;dates&gt;&lt;year&gt;2019&lt;/year&gt;&lt;/dates&gt;&lt;isbn&gt;0378-5173&lt;/isbn&gt;&lt;urls&gt;&lt;/urls&gt;&lt;/record&gt;&lt;/Cite&gt;&lt;/EndNote&gt;</w:instrText>
      </w:r>
      <w:r w:rsidR="007163F6" w:rsidRPr="00F57FE9">
        <w:rPr>
          <w:rFonts w:eastAsia="MinionPro-Regular"/>
        </w:rPr>
        <w:fldChar w:fldCharType="separate"/>
      </w:r>
      <w:r w:rsidR="00D10CA0">
        <w:rPr>
          <w:rFonts w:eastAsia="MinionPro-Regular"/>
          <w:noProof/>
          <w:vertAlign w:val="superscript"/>
        </w:rPr>
        <w:t>11</w:t>
      </w:r>
      <w:r w:rsidR="007163F6" w:rsidRPr="00F57FE9">
        <w:rPr>
          <w:rFonts w:eastAsia="MinionPro-Regular"/>
        </w:rPr>
        <w:fldChar w:fldCharType="end"/>
      </w:r>
      <w:r w:rsidR="00D10CA0" w:rsidRPr="00F57FE9">
        <w:rPr>
          <w:rFonts w:eastAsia="MinionPro-Regular"/>
        </w:rPr>
        <w:t xml:space="preserve"> </w:t>
      </w:r>
      <w:r w:rsidRPr="00F57FE9">
        <w:rPr>
          <w:rFonts w:eastAsia="MinionPro-Regular"/>
        </w:rPr>
        <w:t xml:space="preserve"> Furthermore, the d</w:t>
      </w:r>
      <w:r w:rsidRPr="00F57FE9">
        <w:t>evelopment of an oral drug delivery system for anticancer drugs provides the most suitable and easiest way</w:t>
      </w:r>
      <w:r w:rsidR="00D721EA">
        <w:t>.</w:t>
      </w:r>
      <w:r w:rsidR="007163F6" w:rsidRPr="00F57FE9">
        <w:fldChar w:fldCharType="begin"/>
      </w:r>
      <w:r w:rsidR="00F57FE9" w:rsidRPr="00F57FE9">
        <w:instrText xml:space="preserve"> ADDIN EN.CITE &lt;EndNote&gt;&lt;Cite&gt;&lt;Author&gt;Jadhav&lt;/Author&gt;&lt;Year&gt;2018&lt;/Year&gt;&lt;RecNum&gt;13&lt;/RecNum&gt;&lt;DisplayText&gt;&lt;style face="superscript"&gt;7&lt;/style&gt;&lt;/DisplayText&gt;&lt;record&gt;&lt;rec-number&gt;13&lt;/rec-number&gt;&lt;foreign-keys&gt;&lt;key app="EN" db-id="sv2ef2t2hvz5asez0dnprs50e22was0afref" timestamp="1588926757"&gt;13&lt;/key&gt;&lt;/foreign-keys&gt;&lt;ref-type name="Journal Article"&gt;17&lt;/ref-type&gt;&lt;contributors&gt;&lt;authors&gt;&lt;author&gt;Jadhav, Prakash&lt;/author&gt;&lt;author&gt;Bothiraja, Chellampillai&lt;/author&gt;&lt;author&gt;Pawar, Atmaram&lt;/author&gt;&lt;/authors&gt;&lt;/contributors&gt;&lt;titles&gt;&lt;title&gt;Methotrexate-loaded nanomixed micelles: Formulation, characterization, bioavailability, safety, and in vitro anticancer study&lt;/title&gt;&lt;secondary-title&gt;Journal of Pharmaceutical Innovation&lt;/secondary-title&gt;&lt;/titles&gt;&lt;periodical&gt;&lt;full-title&gt;Journal of Pharmaceutical Innovation&lt;/full-title&gt;&lt;/periodical&gt;&lt;pages&gt;213-225&lt;/pages&gt;&lt;volume&gt;13&lt;/volume&gt;&lt;number&gt;3&lt;/number&gt;&lt;dates&gt;&lt;year&gt;2018&lt;/year&gt;&lt;/dates&gt;&lt;isbn&gt;1872-5120&lt;/isbn&gt;&lt;urls&gt;&lt;/urls&gt;&lt;/record&gt;&lt;/Cite&gt;&lt;/EndNote&gt;</w:instrText>
      </w:r>
      <w:r w:rsidR="007163F6" w:rsidRPr="00F57FE9">
        <w:fldChar w:fldCharType="separate"/>
      </w:r>
      <w:proofErr w:type="gramEnd"/>
      <w:r w:rsidR="00F57FE9" w:rsidRPr="00F57FE9">
        <w:rPr>
          <w:noProof/>
          <w:vertAlign w:val="superscript"/>
        </w:rPr>
        <w:t>7</w:t>
      </w:r>
      <w:r w:rsidR="007163F6" w:rsidRPr="00F57FE9">
        <w:fldChar w:fldCharType="end"/>
      </w:r>
      <w:r w:rsidRPr="00F57FE9">
        <w:t xml:space="preserve"> </w:t>
      </w:r>
      <w:r w:rsidRPr="00F57FE9">
        <w:rPr>
          <w:rFonts w:eastAsia="MinionPro-Regular"/>
        </w:rPr>
        <w:t xml:space="preserve">Therefore, the development of MTX in lyophilized NS form can be a useful tool to attempt the above-mentioned facts.  </w:t>
      </w:r>
    </w:p>
    <w:p w:rsidR="00D10CA0" w:rsidRPr="00F57FE9" w:rsidRDefault="003527E6" w:rsidP="00F57FE9">
      <w:pPr>
        <w:spacing w:line="360" w:lineRule="auto"/>
        <w:ind w:right="57" w:firstLine="720"/>
        <w:jc w:val="both"/>
      </w:pPr>
      <w:r w:rsidRPr="00F57FE9">
        <w:t xml:space="preserve">Owing to the fast onset of action, permeability, solubility, and bioavailability, a novel drug delivery system (NDDS) </w:t>
      </w:r>
      <w:proofErr w:type="gramStart"/>
      <w:r w:rsidRPr="00F57FE9">
        <w:t>is well known</w:t>
      </w:r>
      <w:proofErr w:type="gramEnd"/>
      <w:r w:rsidRPr="00F57FE9">
        <w:t xml:space="preserve"> for its toxicities. Whereas, the cost of such an advanced NDDS is increasing because of a lack of proper understanding and </w:t>
      </w:r>
      <w:r w:rsidR="00217C37" w:rsidRPr="00F57FE9">
        <w:t xml:space="preserve">various </w:t>
      </w:r>
      <w:r w:rsidRPr="00F57FE9">
        <w:t xml:space="preserve">manufacturing </w:t>
      </w:r>
      <w:r w:rsidR="007C041F" w:rsidRPr="00F57FE9">
        <w:t>variability’s</w:t>
      </w:r>
      <w:r w:rsidR="00D10CA0">
        <w:t>.</w:t>
      </w:r>
      <w:r w:rsidR="00D10CA0" w:rsidRPr="00D10CA0">
        <w:rPr>
          <w:vertAlign w:val="superscript"/>
        </w:rPr>
        <w:t>11</w:t>
      </w:r>
      <w:r w:rsidRPr="00F57FE9">
        <w:t xml:space="preserve"> The International Conference on Harmonization  </w:t>
      </w:r>
      <w:r w:rsidRPr="00F57FE9">
        <w:rPr>
          <w:rFonts w:eastAsia="MinionPro-Regular"/>
        </w:rPr>
        <w:t xml:space="preserve">(ICHQ8) proposed to use the concepts of quality by design (QbD) to formulate the </w:t>
      </w:r>
      <w:r w:rsidRPr="00F57FE9">
        <w:t>pharmaceutical products as technical criteria</w:t>
      </w:r>
      <w:r w:rsidR="00D721EA">
        <w:t>.</w:t>
      </w:r>
      <w:r w:rsidR="007163F6" w:rsidRPr="00F57FE9">
        <w:fldChar w:fldCharType="begin"/>
      </w:r>
      <w:r w:rsidR="00F57FE9" w:rsidRPr="00F57FE9">
        <w:instrText xml:space="preserve"> ADDIN EN.CITE &lt;EndNote&gt;&lt;Cite&gt;&lt;Author&gt;Cook&lt;/Author&gt;&lt;Year&gt;2014&lt;/Year&gt;&lt;RecNum&gt;12&lt;/RecNum&gt;&lt;DisplayText&gt;&lt;style face="superscript"&gt;14&lt;/style&gt;&lt;/DisplayText&gt;&lt;record&gt;&lt;rec-number&gt;12&lt;/rec-number&gt;&lt;foreign-keys&gt;&lt;key app="EN" db-id="sv2ef2t2hvz5asez0dnprs50e22was0afref" timestamp="1588924447"&gt;12&lt;/key&gt;&lt;/foreign-keys&gt;&lt;ref-type name="Journal Article"&gt;17&lt;/ref-type&gt;&lt;contributors&gt;&lt;authors&gt;&lt;author&gt;Cook, Jack&lt;/author&gt;&lt;author&gt;Cruañes, Maria T&lt;/author&gt;&lt;author&gt;Gupta, Manish&lt;/author&gt;&lt;author&gt;Riley, Steve&lt;/author&gt;&lt;author&gt;Crison, John&lt;/author&gt;&lt;/authors&gt;&lt;/contributors&gt;&lt;titles&gt;&lt;title&gt;Quality-by-design: are we there yet?&lt;/title&gt;&lt;secondary-title&gt;AAPS PharmSciTech&lt;/secondary-title&gt;&lt;/titles&gt;&lt;periodical&gt;&lt;full-title&gt;AAPS PharmSciTech&lt;/full-title&gt;&lt;/periodical&gt;&lt;pages&gt;140-148&lt;/pages&gt;&lt;volume&gt;15&lt;/volume&gt;&lt;number&gt;1&lt;/number&gt;&lt;dates&gt;&lt;year&gt;2014&lt;/year&gt;&lt;/dates&gt;&lt;isbn&gt;1530-9932&lt;/isbn&gt;&lt;urls&gt;&lt;/urls&gt;&lt;/record&gt;&lt;/Cite&gt;&lt;/EndNote&gt;</w:instrText>
      </w:r>
      <w:r w:rsidR="007163F6" w:rsidRPr="00F57FE9">
        <w:fldChar w:fldCharType="separate"/>
      </w:r>
      <w:r w:rsidR="00F57FE9" w:rsidRPr="00F57FE9">
        <w:rPr>
          <w:noProof/>
          <w:vertAlign w:val="superscript"/>
        </w:rPr>
        <w:t>1</w:t>
      </w:r>
      <w:r w:rsidR="00D10CA0">
        <w:rPr>
          <w:noProof/>
          <w:vertAlign w:val="superscript"/>
        </w:rPr>
        <w:t>3</w:t>
      </w:r>
      <w:r w:rsidR="007163F6" w:rsidRPr="00F57FE9">
        <w:fldChar w:fldCharType="end"/>
      </w:r>
      <w:r w:rsidRPr="00F57FE9">
        <w:t xml:space="preserve"> </w:t>
      </w:r>
      <w:r w:rsidRPr="00F57FE9">
        <w:rPr>
          <w:rFonts w:eastAsia="MinionPro-Regular"/>
        </w:rPr>
        <w:t xml:space="preserve">Owing to the high </w:t>
      </w:r>
      <w:r w:rsidRPr="00F57FE9">
        <w:rPr>
          <w:shd w:val="clear" w:color="auto" w:fill="FFFFFF"/>
        </w:rPr>
        <w:t xml:space="preserve">incomprehension about the </w:t>
      </w:r>
      <w:r w:rsidRPr="00F57FE9">
        <w:rPr>
          <w:rFonts w:eastAsia="MinionPro-Regular"/>
        </w:rPr>
        <w:t xml:space="preserve">effect of critical processing parameters (CPPs), critical material attributes (CMAs) on the </w:t>
      </w:r>
      <w:r w:rsidRPr="00F57FE9">
        <w:rPr>
          <w:rFonts w:eastAsia="MinionPro-Regular"/>
        </w:rPr>
        <w:lastRenderedPageBreak/>
        <w:t>attainment of admirable smaller particle size, and narrow polydispersity index (PDI)</w:t>
      </w:r>
      <w:r w:rsidR="00FA1B48" w:rsidRPr="00F57FE9">
        <w:rPr>
          <w:rFonts w:eastAsia="MinionPro-Regular"/>
        </w:rPr>
        <w:t>,</w:t>
      </w:r>
      <w:r w:rsidRPr="00F57FE9">
        <w:rPr>
          <w:rFonts w:eastAsia="MinionPro-Regular"/>
        </w:rPr>
        <w:t xml:space="preserve"> </w:t>
      </w:r>
      <w:r w:rsidRPr="00F57FE9">
        <w:t>researcher</w:t>
      </w:r>
      <w:r w:rsidR="00217C37" w:rsidRPr="00F57FE9">
        <w:t>s</w:t>
      </w:r>
      <w:r w:rsidRPr="00F57FE9">
        <w:t xml:space="preserve"> stressed for the most challenging </w:t>
      </w:r>
      <w:r w:rsidRPr="00F57FE9">
        <w:rPr>
          <w:rFonts w:eastAsia="MinionPro-Regular"/>
        </w:rPr>
        <w:t>manufacturing variability during NS formulation development</w:t>
      </w:r>
      <w:r w:rsidR="00D721EA">
        <w:rPr>
          <w:rFonts w:eastAsia="MinionPro-Regular"/>
        </w:rPr>
        <w:t>.</w:t>
      </w:r>
      <w:r w:rsidRPr="00F57FE9">
        <w:rPr>
          <w:rFonts w:eastAsia="MinionPro-Regular"/>
        </w:rPr>
        <w:t xml:space="preserve"> </w:t>
      </w:r>
      <w:r w:rsidR="007163F6" w:rsidRPr="00F57FE9">
        <w:rPr>
          <w:rFonts w:eastAsia="MinionPro-Regular"/>
        </w:rPr>
        <w:fldChar w:fldCharType="begin"/>
      </w:r>
      <w:r w:rsidR="00F57FE9" w:rsidRPr="00F57FE9">
        <w:rPr>
          <w:rFonts w:eastAsia="MinionPro-Regular"/>
        </w:rPr>
        <w:instrText xml:space="preserve"> ADDIN EN.CITE &lt;EndNote&gt;&lt;Cite&gt;&lt;Author&gt;Powar&lt;/Author&gt;&lt;Year&gt;2020&lt;/Year&gt;&lt;RecNum&gt;9&lt;/RecNum&gt;&lt;DisplayText&gt;&lt;style face="superscript"&gt;12&lt;/style&gt;&lt;/DisplayText&gt;&lt;record&gt;&lt;rec-number&gt;9&lt;/rec-number&gt;&lt;foreign-keys&gt;&lt;key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EndNote&gt;</w:instrText>
      </w:r>
      <w:r w:rsidR="007163F6" w:rsidRPr="00F57FE9">
        <w:rPr>
          <w:rFonts w:eastAsia="MinionPro-Regular"/>
        </w:rPr>
        <w:fldChar w:fldCharType="separate"/>
      </w:r>
      <w:r w:rsidR="00F57FE9" w:rsidRPr="00F57FE9">
        <w:rPr>
          <w:rFonts w:eastAsia="MinionPro-Regular"/>
          <w:noProof/>
          <w:vertAlign w:val="superscript"/>
        </w:rPr>
        <w:t>1</w:t>
      </w:r>
      <w:r w:rsidR="00123FF2">
        <w:rPr>
          <w:rFonts w:eastAsia="MinionPro-Regular"/>
          <w:noProof/>
          <w:vertAlign w:val="superscript"/>
        </w:rPr>
        <w:t>1</w:t>
      </w:r>
      <w:r w:rsidR="007163F6" w:rsidRPr="00F57FE9">
        <w:rPr>
          <w:rFonts w:eastAsia="MinionPro-Regular"/>
        </w:rPr>
        <w:fldChar w:fldCharType="end"/>
      </w:r>
    </w:p>
    <w:p w:rsidR="003527E6" w:rsidRPr="00F57FE9" w:rsidRDefault="001D5091" w:rsidP="00F57FE9">
      <w:pPr>
        <w:spacing w:line="360" w:lineRule="auto"/>
        <w:ind w:right="57" w:firstLine="720"/>
        <w:jc w:val="both"/>
        <w:rPr>
          <w:rFonts w:eastAsia="MinionPro-Regular"/>
        </w:rPr>
      </w:pPr>
      <w:r w:rsidRPr="00F57FE9">
        <w:rPr>
          <w:rFonts w:eastAsia="MinionPro-Regular"/>
        </w:rPr>
        <w:t xml:space="preserve">Hence, the present study </w:t>
      </w:r>
      <w:r w:rsidR="00185378" w:rsidRPr="00F57FE9">
        <w:rPr>
          <w:rFonts w:eastAsia="MinionPro-Regular"/>
        </w:rPr>
        <w:t xml:space="preserve">is </w:t>
      </w:r>
      <w:r w:rsidRPr="00F57FE9">
        <w:rPr>
          <w:rFonts w:eastAsia="MinionPro-Regular"/>
        </w:rPr>
        <w:t xml:space="preserve">aimed to develop MTX-NS </w:t>
      </w:r>
      <w:r w:rsidR="00D85AED" w:rsidRPr="00F57FE9">
        <w:rPr>
          <w:color w:val="000000"/>
          <w:shd w:val="clear" w:color="auto" w:fill="FFFFFF"/>
        </w:rPr>
        <w:t xml:space="preserve">to improve its oral bioavailability that can increase its clinical efficacy by reducing the oral </w:t>
      </w:r>
      <w:proofErr w:type="gramStart"/>
      <w:r w:rsidR="00D85AED" w:rsidRPr="00F57FE9">
        <w:rPr>
          <w:color w:val="000000"/>
          <w:shd w:val="clear" w:color="auto" w:fill="FFFFFF"/>
        </w:rPr>
        <w:t>dose which is required to achieve the same effect</w:t>
      </w:r>
      <w:proofErr w:type="gramEnd"/>
      <w:r w:rsidR="00D85AED" w:rsidRPr="00F57FE9">
        <w:rPr>
          <w:color w:val="000000"/>
          <w:shd w:val="clear" w:color="auto" w:fill="FFFFFF"/>
        </w:rPr>
        <w:t xml:space="preserve"> and thus reduces its side effects.</w:t>
      </w:r>
      <w:r w:rsidR="00D85AED" w:rsidRPr="00F57FE9">
        <w:rPr>
          <w:rFonts w:eastAsia="MinionPro-Regular"/>
        </w:rPr>
        <w:t xml:space="preserve"> </w:t>
      </w:r>
      <w:r w:rsidR="00DE5992" w:rsidRPr="00F57FE9">
        <w:rPr>
          <w:rFonts w:eastAsia="MinionPro-Regular"/>
        </w:rPr>
        <w:t xml:space="preserve">QbD approach was applied </w:t>
      </w:r>
      <w:proofErr w:type="gramStart"/>
      <w:r w:rsidR="00DE5992" w:rsidRPr="00F57FE9">
        <w:rPr>
          <w:rFonts w:eastAsia="MinionPro-Regular"/>
        </w:rPr>
        <w:t xml:space="preserve">so as </w:t>
      </w:r>
      <w:r w:rsidRPr="00F57FE9">
        <w:rPr>
          <w:rFonts w:eastAsia="MinionPro-Regular"/>
        </w:rPr>
        <w:t>to</w:t>
      </w:r>
      <w:proofErr w:type="gramEnd"/>
      <w:r w:rsidRPr="00F57FE9">
        <w:rPr>
          <w:rFonts w:eastAsia="MinionPro-Regular"/>
        </w:rPr>
        <w:t xml:space="preserve"> obtain the effect of CMAs and CPPs on critical quality attributes (CQAs)</w:t>
      </w:r>
      <w:r w:rsidR="00DE5992" w:rsidRPr="00F57FE9">
        <w:rPr>
          <w:rFonts w:eastAsia="MinionPro-Regular"/>
        </w:rPr>
        <w:t xml:space="preserve"> of MTX-NS</w:t>
      </w:r>
      <w:r w:rsidRPr="00F57FE9">
        <w:rPr>
          <w:rFonts w:eastAsia="MinionPro-Regular"/>
        </w:rPr>
        <w:t xml:space="preserve">, reduction in the manufacturing variability, upgrading of safety and quality in </w:t>
      </w:r>
      <w:r w:rsidR="00217C37" w:rsidRPr="00F57FE9">
        <w:rPr>
          <w:rFonts w:eastAsia="MinionPro-Regular"/>
        </w:rPr>
        <w:t xml:space="preserve">a </w:t>
      </w:r>
      <w:r w:rsidRPr="00F57FE9">
        <w:rPr>
          <w:rFonts w:eastAsia="MinionPro-Regular"/>
        </w:rPr>
        <w:t xml:space="preserve">formulation, and controlling the manufacturing cost. </w:t>
      </w:r>
      <w:r w:rsidR="003527E6" w:rsidRPr="00F57FE9">
        <w:t xml:space="preserve">QbD approach </w:t>
      </w:r>
      <w:proofErr w:type="gramStart"/>
      <w:r w:rsidR="003527E6" w:rsidRPr="00F57FE9">
        <w:t>was applied</w:t>
      </w:r>
      <w:proofErr w:type="gramEnd"/>
      <w:r w:rsidR="003527E6" w:rsidRPr="00F57FE9">
        <w:t xml:space="preserve"> to understand and optimize the lyophilized preparation of MTX-NS. In the first step, all the possible potential independent variables </w:t>
      </w:r>
      <w:proofErr w:type="gramStart"/>
      <w:r w:rsidR="003527E6" w:rsidRPr="00F57FE9">
        <w:t>were screened</w:t>
      </w:r>
      <w:proofErr w:type="gramEnd"/>
      <w:r w:rsidR="003527E6" w:rsidRPr="00F57FE9">
        <w:t xml:space="preserve"> by the Plackett-Burman design. A predictive model was then developed for critical response variables to evaluate optimal value by Central composite design (CCD) to produces extremely stable and soluble MTX-NS by the High-Pressure Homogenizer (HPH) technique. The MTX-NS developed </w:t>
      </w:r>
      <w:proofErr w:type="gramStart"/>
      <w:r w:rsidR="007C199A" w:rsidRPr="00F57FE9">
        <w:t>was</w:t>
      </w:r>
      <w:r w:rsidR="003527E6" w:rsidRPr="00F57FE9">
        <w:t xml:space="preserve"> stabilize</w:t>
      </w:r>
      <w:r w:rsidR="00EC7922" w:rsidRPr="00F57FE9">
        <w:t>d</w:t>
      </w:r>
      <w:proofErr w:type="gramEnd"/>
      <w:r w:rsidR="003527E6" w:rsidRPr="00F57FE9">
        <w:t xml:space="preserve"> using the lyophilization process.  The MTX-NS was </w:t>
      </w:r>
      <w:r w:rsidR="00EC7922" w:rsidRPr="00F57FE9">
        <w:t>evaluated</w:t>
      </w:r>
      <w:r w:rsidR="003527E6" w:rsidRPr="00F57FE9">
        <w:t xml:space="preserve"> for their saturation solubility, particle size</w:t>
      </w:r>
      <w:r w:rsidR="00987663" w:rsidRPr="00F57FE9">
        <w:t>, and zeta potential analysis, p</w:t>
      </w:r>
      <w:r w:rsidR="003527E6" w:rsidRPr="00F57FE9">
        <w:t xml:space="preserve">olydispersity index (PDI), crystallinity study, topographical analysis, dissolution efficiency, Apoptosis, and in-vitro cytotoxicity study. Moreover, the in vivo bioavailability and stability study of MTX-NS </w:t>
      </w:r>
      <w:proofErr w:type="gramStart"/>
      <w:r w:rsidR="003527E6" w:rsidRPr="00F57FE9">
        <w:t>was also performed</w:t>
      </w:r>
      <w:proofErr w:type="gramEnd"/>
      <w:r w:rsidR="003527E6" w:rsidRPr="00F57FE9">
        <w:t xml:space="preserve">. </w:t>
      </w:r>
    </w:p>
    <w:p w:rsidR="003527E6" w:rsidRPr="00F57FE9" w:rsidRDefault="0076336F" w:rsidP="00F57FE9">
      <w:pPr>
        <w:autoSpaceDE w:val="0"/>
        <w:autoSpaceDN w:val="0"/>
        <w:adjustRightInd w:val="0"/>
        <w:spacing w:line="360" w:lineRule="auto"/>
        <w:jc w:val="both"/>
        <w:rPr>
          <w:b/>
        </w:rPr>
      </w:pPr>
      <w:r w:rsidRPr="00F57FE9">
        <w:rPr>
          <w:b/>
        </w:rPr>
        <w:t>2. Material and methods</w:t>
      </w:r>
    </w:p>
    <w:p w:rsidR="003527E6" w:rsidRPr="00F57FE9" w:rsidRDefault="003527E6" w:rsidP="00F57FE9">
      <w:pPr>
        <w:spacing w:line="360" w:lineRule="auto"/>
        <w:ind w:right="57"/>
        <w:jc w:val="both"/>
        <w:rPr>
          <w:b/>
        </w:rPr>
      </w:pPr>
      <w:r w:rsidRPr="00F57FE9">
        <w:rPr>
          <w:b/>
        </w:rPr>
        <w:t>2.1. Materials</w:t>
      </w:r>
    </w:p>
    <w:p w:rsidR="003527E6" w:rsidRPr="00F57FE9" w:rsidRDefault="00BC2E7F" w:rsidP="00F57FE9">
      <w:pPr>
        <w:spacing w:line="360" w:lineRule="auto"/>
        <w:ind w:right="57"/>
        <w:jc w:val="both"/>
      </w:pPr>
      <w:proofErr w:type="gramStart"/>
      <w:r w:rsidRPr="00F57FE9">
        <w:t xml:space="preserve">MTX </w:t>
      </w:r>
      <w:r w:rsidR="003527E6" w:rsidRPr="00F57FE9">
        <w:t xml:space="preserve">sample was gifted by </w:t>
      </w:r>
      <w:proofErr w:type="spellStart"/>
      <w:r w:rsidR="003527E6" w:rsidRPr="00F57FE9">
        <w:t>Cipla</w:t>
      </w:r>
      <w:proofErr w:type="spellEnd"/>
      <w:r w:rsidR="003527E6" w:rsidRPr="00F57FE9">
        <w:t xml:space="preserve"> Ltd, Goa </w:t>
      </w:r>
      <w:r w:rsidR="003527E6" w:rsidRPr="00F57FE9">
        <w:rPr>
          <w:rFonts w:eastAsia="MinionPro-Regular"/>
        </w:rPr>
        <w:t>(India)</w:t>
      </w:r>
      <w:proofErr w:type="gramEnd"/>
      <w:r w:rsidR="003527E6" w:rsidRPr="00F57FE9">
        <w:rPr>
          <w:rFonts w:eastAsia="MinionPro-Regular"/>
        </w:rPr>
        <w:t xml:space="preserve">. Tween 80 and mannitol (MNT) </w:t>
      </w:r>
      <w:proofErr w:type="gramStart"/>
      <w:r w:rsidR="003527E6" w:rsidRPr="00F57FE9">
        <w:rPr>
          <w:rFonts w:eastAsia="MinionPro-Regular"/>
        </w:rPr>
        <w:t>was procured</w:t>
      </w:r>
      <w:proofErr w:type="gramEnd"/>
      <w:r w:rsidR="003527E6" w:rsidRPr="00F57FE9">
        <w:rPr>
          <w:rFonts w:eastAsia="MinionPro-Regular"/>
        </w:rPr>
        <w:t xml:space="preserve"> from Merck Specialties Pvt. Ltd. Mumbai, (India). Soya lecithin (SL) (</w:t>
      </w:r>
      <w:proofErr w:type="spellStart"/>
      <w:r w:rsidR="003527E6" w:rsidRPr="00F57FE9">
        <w:rPr>
          <w:rFonts w:eastAsia="MinionPro-Regular"/>
        </w:rPr>
        <w:t>PhospholiponR</w:t>
      </w:r>
      <w:proofErr w:type="spellEnd"/>
      <w:r w:rsidR="003527E6" w:rsidRPr="00F57FE9">
        <w:rPr>
          <w:rFonts w:eastAsia="MinionPro-Regular"/>
        </w:rPr>
        <w:t xml:space="preserve"> 90 H) </w:t>
      </w:r>
      <w:proofErr w:type="gramStart"/>
      <w:r w:rsidR="003527E6" w:rsidRPr="00F57FE9">
        <w:rPr>
          <w:rFonts w:eastAsia="MinionPro-Regular"/>
        </w:rPr>
        <w:t>was obtained</w:t>
      </w:r>
      <w:proofErr w:type="gramEnd"/>
      <w:r w:rsidR="003527E6" w:rsidRPr="00F57FE9">
        <w:rPr>
          <w:rFonts w:eastAsia="MinionPro-Regular"/>
        </w:rPr>
        <w:t xml:space="preserve"> from Lipoid GmbH (Germany). HPLC grade methanol </w:t>
      </w:r>
      <w:proofErr w:type="gramStart"/>
      <w:r w:rsidR="003527E6" w:rsidRPr="00F57FE9">
        <w:rPr>
          <w:rFonts w:eastAsia="MinionPro-Regular"/>
        </w:rPr>
        <w:t>was purchased</w:t>
      </w:r>
      <w:proofErr w:type="gramEnd"/>
      <w:r w:rsidR="003527E6" w:rsidRPr="00F57FE9">
        <w:rPr>
          <w:rFonts w:eastAsia="MinionPro-Regular"/>
        </w:rPr>
        <w:t xml:space="preserve"> from Thermo Fisher Scientific Pvt. Ltd. Mumbai, (India). All other reagents used in the experiments were of analytical grade.</w:t>
      </w:r>
    </w:p>
    <w:p w:rsidR="003527E6" w:rsidRPr="00F57FE9" w:rsidRDefault="003527E6" w:rsidP="00F57FE9">
      <w:pPr>
        <w:spacing w:line="360" w:lineRule="auto"/>
        <w:ind w:right="57"/>
        <w:jc w:val="both"/>
        <w:rPr>
          <w:b/>
        </w:rPr>
      </w:pPr>
      <w:r w:rsidRPr="00F57FE9">
        <w:rPr>
          <w:b/>
        </w:rPr>
        <w:t>2.2. Methods</w:t>
      </w:r>
    </w:p>
    <w:p w:rsidR="003527E6" w:rsidRPr="00F57FE9" w:rsidRDefault="003527E6" w:rsidP="00F57FE9">
      <w:pPr>
        <w:autoSpaceDE w:val="0"/>
        <w:autoSpaceDN w:val="0"/>
        <w:adjustRightInd w:val="0"/>
        <w:spacing w:line="360" w:lineRule="auto"/>
        <w:rPr>
          <w:b/>
          <w:bCs/>
        </w:rPr>
      </w:pPr>
      <w:r w:rsidRPr="00F57FE9">
        <w:rPr>
          <w:b/>
          <w:bCs/>
        </w:rPr>
        <w:t xml:space="preserve">2.2.1. Screening of the </w:t>
      </w:r>
      <w:r w:rsidR="00217C37" w:rsidRPr="00F57FE9">
        <w:rPr>
          <w:b/>
          <w:bCs/>
        </w:rPr>
        <w:t>stabilizer</w:t>
      </w:r>
      <w:r w:rsidR="000E7F35" w:rsidRPr="00F57FE9">
        <w:rPr>
          <w:b/>
          <w:bCs/>
        </w:rPr>
        <w:t xml:space="preserve"> </w:t>
      </w:r>
      <w:r w:rsidR="00217C37" w:rsidRPr="00F57FE9">
        <w:rPr>
          <w:b/>
          <w:bCs/>
        </w:rPr>
        <w:t xml:space="preserve">and polymers </w:t>
      </w:r>
      <w:r w:rsidRPr="00F57FE9">
        <w:rPr>
          <w:b/>
          <w:bCs/>
        </w:rPr>
        <w:t xml:space="preserve">for MTX-NS </w:t>
      </w:r>
    </w:p>
    <w:p w:rsidR="003527E6" w:rsidRPr="00F57FE9" w:rsidRDefault="003527E6" w:rsidP="00F57FE9">
      <w:pPr>
        <w:autoSpaceDE w:val="0"/>
        <w:autoSpaceDN w:val="0"/>
        <w:adjustRightInd w:val="0"/>
        <w:spacing w:line="360" w:lineRule="auto"/>
        <w:jc w:val="both"/>
        <w:rPr>
          <w:rFonts w:eastAsia="MinionPro-Regular"/>
        </w:rPr>
      </w:pPr>
      <w:r w:rsidRPr="00F57FE9">
        <w:rPr>
          <w:rFonts w:eastAsia="MinionPro-Regular"/>
        </w:rPr>
        <w:t xml:space="preserve">For the formulation development of MTX-NS, appropriate stabilizers </w:t>
      </w:r>
      <w:proofErr w:type="gramStart"/>
      <w:r w:rsidRPr="00F57FE9">
        <w:rPr>
          <w:rFonts w:eastAsia="MinionPro-Regular"/>
        </w:rPr>
        <w:t>were obtained</w:t>
      </w:r>
      <w:proofErr w:type="gramEnd"/>
      <w:r w:rsidRPr="00F57FE9">
        <w:rPr>
          <w:rFonts w:eastAsia="MinionPro-Regular"/>
        </w:rPr>
        <w:t xml:space="preserve"> from 20 stabilizers as enlisted beneath,</w:t>
      </w:r>
    </w:p>
    <w:p w:rsidR="003527E6" w:rsidRPr="00F57FE9" w:rsidRDefault="003527E6" w:rsidP="00F57FE9">
      <w:pPr>
        <w:autoSpaceDE w:val="0"/>
        <w:autoSpaceDN w:val="0"/>
        <w:adjustRightInd w:val="0"/>
        <w:spacing w:line="360" w:lineRule="auto"/>
        <w:jc w:val="both"/>
        <w:rPr>
          <w:b/>
          <w:bCs/>
        </w:rPr>
      </w:pPr>
      <w:r w:rsidRPr="00F57FE9">
        <w:rPr>
          <w:b/>
          <w:bCs/>
        </w:rPr>
        <w:t xml:space="preserve">2.2.1.1. Suspending </w:t>
      </w:r>
      <w:r w:rsidR="00217C37" w:rsidRPr="00F57FE9">
        <w:rPr>
          <w:b/>
          <w:bCs/>
        </w:rPr>
        <w:t>effect of stabilizers</w:t>
      </w:r>
    </w:p>
    <w:p w:rsidR="003527E6" w:rsidRPr="00F57FE9" w:rsidRDefault="003527E6" w:rsidP="00F57FE9">
      <w:pPr>
        <w:autoSpaceDE w:val="0"/>
        <w:autoSpaceDN w:val="0"/>
        <w:adjustRightInd w:val="0"/>
        <w:spacing w:line="360" w:lineRule="auto"/>
        <w:jc w:val="both"/>
        <w:rPr>
          <w:rFonts w:eastAsia="MinionPro-Regular"/>
        </w:rPr>
      </w:pPr>
      <w:r w:rsidRPr="00F57FE9">
        <w:rPr>
          <w:rFonts w:eastAsia="MinionPro-Regular"/>
        </w:rPr>
        <w:lastRenderedPageBreak/>
        <w:t>Initially, the suitable polymers and stabilizers were screened based on suspending conc</w:t>
      </w:r>
      <w:r w:rsidR="00A64EE0" w:rsidRPr="00F57FE9">
        <w:rPr>
          <w:rFonts w:eastAsia="MinionPro-Regular"/>
        </w:rPr>
        <w:t>entration of stabilizers viz.,</w:t>
      </w:r>
      <w:r w:rsidRPr="00F57FE9">
        <w:rPr>
          <w:rFonts w:eastAsia="MinionPro-Regular"/>
        </w:rPr>
        <w:t xml:space="preserve"> </w:t>
      </w:r>
      <w:proofErr w:type="spellStart"/>
      <w:r w:rsidRPr="00F57FE9">
        <w:rPr>
          <w:rFonts w:eastAsia="MinionPro-Regular"/>
        </w:rPr>
        <w:t>Carbomer</w:t>
      </w:r>
      <w:proofErr w:type="spellEnd"/>
      <w:r w:rsidRPr="00F57FE9">
        <w:rPr>
          <w:rFonts w:eastAsia="MinionPro-Regular"/>
        </w:rPr>
        <w:t xml:space="preserve"> 940, cremophor EL-40, poloxamer 407, </w:t>
      </w:r>
      <w:r w:rsidR="00155A14" w:rsidRPr="00F57FE9">
        <w:rPr>
          <w:rFonts w:eastAsia="MinionPro-Regular"/>
        </w:rPr>
        <w:t>Soya Lecithin (</w:t>
      </w:r>
      <w:r w:rsidRPr="00F57FE9">
        <w:rPr>
          <w:rFonts w:eastAsia="MinionPro-Regular"/>
        </w:rPr>
        <w:t>SL</w:t>
      </w:r>
      <w:r w:rsidR="00155A14" w:rsidRPr="00F57FE9">
        <w:rPr>
          <w:rFonts w:eastAsia="MinionPro-Regular"/>
        </w:rPr>
        <w:t>)</w:t>
      </w:r>
      <w:r w:rsidRPr="00F57FE9">
        <w:rPr>
          <w:rFonts w:eastAsia="MinionPro-Regular"/>
        </w:rPr>
        <w:t xml:space="preserve">, hydroxypropyl methylcellulose (HPMC), tween 80,  sodium lauryl sulfate (SLS), poloxamer 188 (F68), polyethylene glycol (PEG) 6000, span 80, sodium deoxycholate (SDS), polyvinyl pyrrolidone (PVP) K 30, and/or their mixtures on MTX. About </w:t>
      </w:r>
      <w:r w:rsidR="0000713A" w:rsidRPr="00F57FE9">
        <w:rPr>
          <w:rFonts w:eastAsia="MinionPro-Regular"/>
        </w:rPr>
        <w:t xml:space="preserve">0.5 mg of MTX </w:t>
      </w:r>
      <w:proofErr w:type="gramStart"/>
      <w:r w:rsidR="0000713A" w:rsidRPr="00F57FE9">
        <w:rPr>
          <w:rFonts w:eastAsia="MinionPro-Regular"/>
        </w:rPr>
        <w:t>was added</w:t>
      </w:r>
      <w:proofErr w:type="gramEnd"/>
      <w:r w:rsidR="0000713A" w:rsidRPr="00F57FE9">
        <w:rPr>
          <w:rFonts w:eastAsia="MinionPro-Regular"/>
        </w:rPr>
        <w:t xml:space="preserve"> in </w:t>
      </w:r>
      <w:r w:rsidRPr="00F57FE9">
        <w:rPr>
          <w:rFonts w:eastAsia="MinionPro-Regular"/>
        </w:rPr>
        <w:t xml:space="preserve">0.2 % w/v surfactant solution, followed by shearing with a high-speed homogenizer for 1.5 h (3000rpm), followed by centrifugation at 4000 rpm for 30 min duration. The supernatant was diluted using </w:t>
      </w:r>
      <w:r w:rsidR="00217031" w:rsidRPr="00F57FE9">
        <w:rPr>
          <w:rFonts w:eastAsia="MinionPro-Regular"/>
        </w:rPr>
        <w:t>water</w:t>
      </w:r>
      <w:r w:rsidRPr="00F57FE9">
        <w:rPr>
          <w:rFonts w:eastAsia="MinionPro-Regular"/>
        </w:rPr>
        <w:t xml:space="preserve"> </w:t>
      </w:r>
      <w:r w:rsidR="00DE5C12" w:rsidRPr="00F57FE9">
        <w:rPr>
          <w:rFonts w:eastAsia="MinionPro-Regular"/>
        </w:rPr>
        <w:t xml:space="preserve">as a solvent </w:t>
      </w:r>
      <w:r w:rsidRPr="00F57FE9">
        <w:rPr>
          <w:rFonts w:eastAsia="MinionPro-Regular"/>
        </w:rPr>
        <w:t xml:space="preserve">and drug content </w:t>
      </w:r>
      <w:proofErr w:type="gramStart"/>
      <w:r w:rsidRPr="00F57FE9">
        <w:rPr>
          <w:rFonts w:eastAsia="MinionPro-Regular"/>
        </w:rPr>
        <w:t>was measured</w:t>
      </w:r>
      <w:proofErr w:type="gramEnd"/>
      <w:r w:rsidRPr="00F57FE9">
        <w:rPr>
          <w:rFonts w:eastAsia="MinionPro-Regular"/>
        </w:rPr>
        <w:t xml:space="preserve"> by UV visible spectrophotometer at 303 nm. As composites for the development of NS, the </w:t>
      </w:r>
      <w:proofErr w:type="gramStart"/>
      <w:r w:rsidRPr="00F57FE9">
        <w:rPr>
          <w:rFonts w:eastAsia="MinionPro-Regular"/>
        </w:rPr>
        <w:t>stabilizer which has shown an effective suspending effect on MTX, smaller particle size, and lower sedimentation rate</w:t>
      </w:r>
      <w:proofErr w:type="gramEnd"/>
      <w:r w:rsidRPr="00F57FE9">
        <w:rPr>
          <w:rFonts w:eastAsia="MinionPro-Regular"/>
        </w:rPr>
        <w:t xml:space="preserve"> were optimized</w:t>
      </w:r>
      <w:r w:rsidR="00D721EA">
        <w:rPr>
          <w:rFonts w:eastAsia="MinionPro-Regular"/>
        </w:rPr>
        <w:t>.</w:t>
      </w:r>
      <w:r w:rsidR="007163F6" w:rsidRPr="00F57FE9">
        <w:rPr>
          <w:rFonts w:eastAsia="MinionPro-Regular"/>
        </w:rPr>
        <w:fldChar w:fldCharType="begin">
          <w:fldData xml:space="preserve">PEVuZE5vdGU+PENpdGU+PEF1dGhvcj5IdWFuZzwvQXV0aG9yPjxZZWFyPjIwMTA8L1llYXI+PFJl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</w:fldData>
        </w:fldChar>
      </w:r>
      <w:r w:rsidR="00F57FE9" w:rsidRPr="00F57FE9">
        <w:rPr>
          <w:rFonts w:eastAsia="MinionPro-Regular"/>
        </w:rPr>
        <w:instrText xml:space="preserve"> ADDIN EN.CITE </w:instrText>
      </w:r>
      <w:r w:rsidR="007163F6" w:rsidRPr="00F57FE9">
        <w:rPr>
          <w:rFonts w:eastAsia="MinionPro-Regular"/>
        </w:rPr>
        <w:fldChar w:fldCharType="begin">
          <w:fldData xml:space="preserve">PEVuZE5vdGU+PENpdGU+PEF1dGhvcj5IdWFuZzwvQXV0aG9yPjxZZWFyPjIwMTA8L1llYXI+PFJl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</w:fldData>
        </w:fldChar>
      </w:r>
      <w:r w:rsidR="00F57FE9" w:rsidRPr="00F57FE9">
        <w:rPr>
          <w:rFonts w:eastAsia="MinionPro-Regular"/>
        </w:rPr>
        <w:instrText xml:space="preserve"> ADDIN EN.CITE.DATA </w:instrText>
      </w:r>
      <w:r w:rsidR="007163F6" w:rsidRPr="00F57FE9">
        <w:rPr>
          <w:rFonts w:eastAsia="MinionPro-Regular"/>
        </w:rPr>
      </w:r>
      <w:r w:rsidR="007163F6" w:rsidRPr="00F57FE9">
        <w:rPr>
          <w:rFonts w:eastAsia="MinionPro-Regular"/>
        </w:rPr>
        <w:fldChar w:fldCharType="end"/>
      </w:r>
      <w:r w:rsidR="007163F6" w:rsidRPr="00F57FE9">
        <w:rPr>
          <w:rFonts w:eastAsia="MinionPro-Regular"/>
        </w:rPr>
      </w:r>
      <w:r w:rsidR="007163F6" w:rsidRPr="00F57FE9">
        <w:rPr>
          <w:rFonts w:eastAsia="MinionPro-Regular"/>
        </w:rPr>
        <w:fldChar w:fldCharType="separate"/>
      </w:r>
      <w:r w:rsidR="00F57FE9" w:rsidRPr="00F57FE9">
        <w:rPr>
          <w:rFonts w:eastAsia="MinionPro-Regular"/>
          <w:noProof/>
          <w:vertAlign w:val="superscript"/>
        </w:rPr>
        <w:t>1</w:t>
      </w:r>
      <w:r w:rsidR="00123FF2">
        <w:rPr>
          <w:rFonts w:eastAsia="MinionPro-Regular"/>
          <w:noProof/>
          <w:vertAlign w:val="superscript"/>
        </w:rPr>
        <w:t>4</w:t>
      </w:r>
      <w:r w:rsidR="00F57FE9" w:rsidRPr="00F57FE9">
        <w:rPr>
          <w:rFonts w:eastAsia="MinionPro-Regular"/>
          <w:noProof/>
          <w:vertAlign w:val="superscript"/>
        </w:rPr>
        <w:t>-1</w:t>
      </w:r>
      <w:r w:rsidR="00123FF2">
        <w:rPr>
          <w:rFonts w:eastAsia="MinionPro-Regular"/>
          <w:noProof/>
          <w:vertAlign w:val="superscript"/>
        </w:rPr>
        <w:t>6</w:t>
      </w:r>
      <w:r w:rsidR="007163F6" w:rsidRPr="00F57FE9">
        <w:rPr>
          <w:rFonts w:eastAsia="MinionPro-Regular"/>
        </w:rPr>
        <w:fldChar w:fldCharType="end"/>
      </w:r>
      <w:r w:rsidRPr="00F57FE9">
        <w:rPr>
          <w:rFonts w:eastAsia="MinionPro-Regular"/>
        </w:rPr>
        <w:t xml:space="preserve"> </w:t>
      </w:r>
    </w:p>
    <w:p w:rsidR="003527E6" w:rsidRPr="00F57FE9" w:rsidRDefault="003527E6" w:rsidP="00F57FE9">
      <w:pPr>
        <w:autoSpaceDE w:val="0"/>
        <w:autoSpaceDN w:val="0"/>
        <w:adjustRightInd w:val="0"/>
        <w:spacing w:line="360" w:lineRule="auto"/>
        <w:jc w:val="both"/>
        <w:rPr>
          <w:b/>
          <w:bCs/>
        </w:rPr>
      </w:pPr>
      <w:r w:rsidRPr="00F57FE9">
        <w:rPr>
          <w:b/>
          <w:bCs/>
        </w:rPr>
        <w:t xml:space="preserve">2.2.1.2. Docking </w:t>
      </w:r>
      <w:r w:rsidR="00217C37" w:rsidRPr="00F57FE9">
        <w:rPr>
          <w:b/>
          <w:bCs/>
        </w:rPr>
        <w:t>tool and algorithm</w:t>
      </w:r>
    </w:p>
    <w:p w:rsidR="003527E6" w:rsidRPr="00F57FE9" w:rsidRDefault="003527E6" w:rsidP="00F57FE9">
      <w:pPr>
        <w:autoSpaceDE w:val="0"/>
        <w:autoSpaceDN w:val="0"/>
        <w:adjustRightInd w:val="0"/>
        <w:spacing w:line="360" w:lineRule="auto"/>
        <w:jc w:val="both"/>
        <w:rPr>
          <w:rFonts w:eastAsia="MinionPro-Regular"/>
        </w:rPr>
      </w:pPr>
      <w:r w:rsidRPr="00F57FE9">
        <w:rPr>
          <w:bCs/>
        </w:rPr>
        <w:t xml:space="preserve">The virtual interaction among MTX and above-enlisted stabilizers </w:t>
      </w:r>
      <w:proofErr w:type="gramStart"/>
      <w:r w:rsidRPr="00F57FE9">
        <w:rPr>
          <w:bCs/>
        </w:rPr>
        <w:t>were performed</w:t>
      </w:r>
      <w:proofErr w:type="gramEnd"/>
      <w:r w:rsidRPr="00F57FE9">
        <w:rPr>
          <w:bCs/>
        </w:rPr>
        <w:t xml:space="preserve"> via molecular docking using </w:t>
      </w:r>
      <w:r w:rsidRPr="00F57FE9">
        <w:rPr>
          <w:rFonts w:eastAsia="MinionPro-Regular"/>
        </w:rPr>
        <w:t xml:space="preserve">VLife MDS version 4.6. The chemical structures of enlisted stabilizers and MTX were drawn in a 2D </w:t>
      </w:r>
      <w:proofErr w:type="gramStart"/>
      <w:r w:rsidRPr="00F57FE9">
        <w:rPr>
          <w:rFonts w:eastAsia="MinionPro-Regular"/>
        </w:rPr>
        <w:t>format which</w:t>
      </w:r>
      <w:proofErr w:type="gramEnd"/>
      <w:r w:rsidRPr="00F57FE9">
        <w:rPr>
          <w:rFonts w:eastAsia="MinionPro-Regular"/>
        </w:rPr>
        <w:t xml:space="preserve"> was followed by 3D conversion. Finally, these structures </w:t>
      </w:r>
      <w:proofErr w:type="gramStart"/>
      <w:r w:rsidRPr="00F57FE9">
        <w:rPr>
          <w:rFonts w:eastAsia="MinionPro-Regular"/>
        </w:rPr>
        <w:t>were optimized</w:t>
      </w:r>
      <w:proofErr w:type="gramEnd"/>
      <w:r w:rsidRPr="00F57FE9">
        <w:rPr>
          <w:rFonts w:eastAsia="MinionPro-Regular"/>
        </w:rPr>
        <w:t xml:space="preserve"> for the docking score. Generally, </w:t>
      </w:r>
      <w:proofErr w:type="gramStart"/>
      <w:r w:rsidRPr="00F57FE9">
        <w:rPr>
          <w:rFonts w:eastAsia="MinionPro-Regular"/>
        </w:rPr>
        <w:t>biopredicta (docking</w:t>
      </w:r>
      <w:proofErr w:type="gramEnd"/>
      <w:r w:rsidRPr="00F57FE9">
        <w:rPr>
          <w:rFonts w:eastAsia="MinionPro-Regular"/>
        </w:rPr>
        <w:t xml:space="preserve"> algorithm) is used to predict and study the modes of interaction between two compounds. Herein, the possible interaction between stabilizers and MTX </w:t>
      </w:r>
      <w:proofErr w:type="gramStart"/>
      <w:r w:rsidRPr="00F57FE9">
        <w:rPr>
          <w:rFonts w:eastAsia="MinionPro-Regular"/>
        </w:rPr>
        <w:t>were optimized</w:t>
      </w:r>
      <w:proofErr w:type="gramEnd"/>
      <w:r w:rsidRPr="00F57FE9">
        <w:rPr>
          <w:rFonts w:eastAsia="MinionPro-Regular"/>
        </w:rPr>
        <w:t xml:space="preserve"> based on ligand-receptor binding geometry within chemical structures of compounds. Finally, the molecular interaction among stabilizers and MTX </w:t>
      </w:r>
      <w:proofErr w:type="gramStart"/>
      <w:r w:rsidRPr="00F57FE9">
        <w:rPr>
          <w:rFonts w:eastAsia="MinionPro-Regular"/>
        </w:rPr>
        <w:t>were screened</w:t>
      </w:r>
      <w:proofErr w:type="gramEnd"/>
      <w:r w:rsidRPr="00F57FE9">
        <w:rPr>
          <w:rFonts w:eastAsia="MinionPro-Regular"/>
        </w:rPr>
        <w:t xml:space="preserve"> to establish the stabilizer's ability to enhance drug solubility and NS stability purpose. </w:t>
      </w:r>
    </w:p>
    <w:p w:rsidR="003527E6" w:rsidRPr="00F57FE9" w:rsidRDefault="003527E6" w:rsidP="00F57FE9">
      <w:pPr>
        <w:autoSpaceDE w:val="0"/>
        <w:autoSpaceDN w:val="0"/>
        <w:adjustRightInd w:val="0"/>
        <w:spacing w:line="360" w:lineRule="auto"/>
        <w:jc w:val="both"/>
        <w:rPr>
          <w:b/>
          <w:bCs/>
        </w:rPr>
      </w:pPr>
      <w:r w:rsidRPr="00F57FE9">
        <w:rPr>
          <w:b/>
          <w:bCs/>
        </w:rPr>
        <w:t xml:space="preserve">2.2.2. Formulation </w:t>
      </w:r>
      <w:r w:rsidR="00217C37" w:rsidRPr="00F57FE9">
        <w:rPr>
          <w:b/>
          <w:bCs/>
        </w:rPr>
        <w:t xml:space="preserve">and lyophilization </w:t>
      </w:r>
      <w:r w:rsidRPr="00F57FE9">
        <w:rPr>
          <w:b/>
          <w:bCs/>
        </w:rPr>
        <w:t>of MTX-NS</w:t>
      </w:r>
    </w:p>
    <w:p w:rsidR="003527E6" w:rsidRPr="00F57FE9" w:rsidRDefault="003527E6" w:rsidP="00F57FE9">
      <w:pPr>
        <w:autoSpaceDE w:val="0"/>
        <w:autoSpaceDN w:val="0"/>
        <w:adjustRightInd w:val="0"/>
        <w:spacing w:line="360" w:lineRule="auto"/>
        <w:jc w:val="both"/>
        <w:rPr>
          <w:rFonts w:eastAsia="MinionPro-Regular"/>
        </w:rPr>
      </w:pPr>
      <w:r w:rsidRPr="00F57FE9">
        <w:rPr>
          <w:bCs/>
        </w:rPr>
        <w:t>MTX-NS was fabricated by HPH</w:t>
      </w:r>
      <w:r w:rsidRPr="00F57FE9">
        <w:rPr>
          <w:rFonts w:eastAsia="MinionPro-Regular"/>
        </w:rPr>
        <w:t xml:space="preserve"> (Panda PLUS 2000, GEA Niro Soavi, </w:t>
      </w:r>
      <w:proofErr w:type="gramStart"/>
      <w:r w:rsidRPr="00F57FE9">
        <w:rPr>
          <w:rFonts w:eastAsia="MinionPro-Regular"/>
        </w:rPr>
        <w:t>Germany</w:t>
      </w:r>
      <w:proofErr w:type="gramEnd"/>
      <w:r w:rsidRPr="00F57FE9">
        <w:rPr>
          <w:rFonts w:eastAsia="MinionPro-Regular"/>
        </w:rPr>
        <w:t xml:space="preserve">). </w:t>
      </w:r>
      <w:r w:rsidR="009E6E98" w:rsidRPr="00F57FE9">
        <w:rPr>
          <w:rFonts w:eastAsia="MinionPro-Regular"/>
        </w:rPr>
        <w:t>Pre-</w:t>
      </w:r>
      <w:r w:rsidR="00996B5B" w:rsidRPr="00F57FE9">
        <w:rPr>
          <w:rFonts w:eastAsia="MinionPro-Regular"/>
        </w:rPr>
        <w:t>nanosuspension</w:t>
      </w:r>
      <w:r w:rsidR="009E6E98" w:rsidRPr="00F57FE9">
        <w:rPr>
          <w:rFonts w:eastAsia="MinionPro-Regular"/>
        </w:rPr>
        <w:t xml:space="preserve"> was first fabricated using </w:t>
      </w:r>
      <w:proofErr w:type="gramStart"/>
      <w:r w:rsidR="009E6E98" w:rsidRPr="00F57FE9">
        <w:rPr>
          <w:rFonts w:eastAsia="MinionPro-Regular"/>
        </w:rPr>
        <w:t>high speed</w:t>
      </w:r>
      <w:proofErr w:type="gramEnd"/>
      <w:r w:rsidR="009E6E98" w:rsidRPr="00F57FE9">
        <w:rPr>
          <w:rFonts w:eastAsia="MinionPro-Regular"/>
        </w:rPr>
        <w:t xml:space="preserve"> homogenizer to avoid blockage of </w:t>
      </w:r>
      <w:r w:rsidR="00996B5B" w:rsidRPr="00F57FE9">
        <w:rPr>
          <w:rFonts w:eastAsia="MinionPro-Regular"/>
        </w:rPr>
        <w:t>HPH</w:t>
      </w:r>
      <w:r w:rsidR="00DD30F6" w:rsidRPr="00F57FE9">
        <w:rPr>
          <w:rFonts w:eastAsia="MinionPro-Regular"/>
        </w:rPr>
        <w:t xml:space="preserve"> valve</w:t>
      </w:r>
      <w:r w:rsidR="00996B5B" w:rsidRPr="00F57FE9">
        <w:rPr>
          <w:rFonts w:eastAsia="MinionPro-Regular"/>
        </w:rPr>
        <w:t xml:space="preserve">. </w:t>
      </w:r>
      <w:r w:rsidR="00DD30F6" w:rsidRPr="00F57FE9">
        <w:rPr>
          <w:rFonts w:eastAsia="MinionPro-Regular"/>
        </w:rPr>
        <w:t>Here</w:t>
      </w:r>
      <w:r w:rsidRPr="00F57FE9">
        <w:rPr>
          <w:rFonts w:eastAsia="MinionPro-Regular"/>
        </w:rPr>
        <w:t xml:space="preserve">, the 0.5 mg/mL coarse powder of MTX was </w:t>
      </w:r>
      <w:r w:rsidR="007163F6" w:rsidRPr="00F57FE9">
        <w:rPr>
          <w:rFonts w:eastAsia="MinionPro-Regular"/>
        </w:rPr>
        <w:fldChar w:fldCharType="begin"/>
      </w:r>
      <w:r w:rsidR="00F57FE9" w:rsidRPr="00F57FE9">
        <w:rPr>
          <w:rFonts w:eastAsia="MinionPro-Regular"/>
        </w:rPr>
        <w:instrText xml:space="preserve"> ADDIN EN.CITE &lt;EndNote&gt;&lt;Cite&gt;&lt;Author&gt;Srinivas&lt;/Author&gt;&lt;Year&gt;2017&lt;/Year&gt;&lt;RecNum&gt;20&lt;/RecNum&gt;&lt;DisplayText&gt;&lt;style face="superscript"&gt;18&lt;/style&gt;&lt;/DisplayText&gt;&lt;record&gt;&lt;rec-number&gt;20&lt;/rec-number&gt;&lt;foreign-keys&gt;&lt;key app="EN" db-id="sv2ef2t2hvz5asez0dnprs50e22was0afref" timestamp="1588932367"&gt;20&lt;/key&gt;&lt;/foreign-keys&gt;&lt;ref-type name="Journal Article"&gt;17&lt;/ref-type&gt;&lt;contributors&gt;&lt;authors&gt;&lt;author&gt;Srinivas, Navya Sree Kola&lt;/author&gt;&lt;author&gt;Verma, Ruchi&lt;/author&gt;&lt;author&gt;Kulyadi, Girish Pai&lt;/author&gt;&lt;author&gt;Kumar, Lalit&lt;/author&gt;&lt;/authors&gt;&lt;/contributors&gt;&lt;titles&gt;&lt;title&gt;A quality by design approach on polymeric nanocarrier delivery of gefitinib: formulation, in vitro, and in vivo characterization&lt;/title&gt;&lt;secondary-title&gt;International journal of nanomedicine&lt;/secondary-title&gt;&lt;/titles&gt;&lt;periodical&gt;&lt;full-title&gt;International journal of nanomedicine&lt;/full-title&gt;&lt;/periodical&gt;&lt;pages&gt;15&lt;/pages&gt;&lt;volume&gt;12&lt;/volume&gt;&lt;dates&gt;&lt;year&gt;2017&lt;/year&gt;&lt;/dates&gt;&lt;urls&gt;&lt;/urls&gt;&lt;/record&gt;&lt;/Cite&gt;&lt;/EndNote&gt;</w:instrText>
      </w:r>
      <w:r w:rsidR="007163F6" w:rsidRPr="00F57FE9">
        <w:rPr>
          <w:rFonts w:eastAsia="MinionPro-Regular"/>
        </w:rPr>
        <w:fldChar w:fldCharType="separate"/>
      </w:r>
      <w:r w:rsidR="00F57FE9" w:rsidRPr="00F57FE9">
        <w:rPr>
          <w:rFonts w:eastAsia="MinionPro-Regular"/>
          <w:noProof/>
          <w:vertAlign w:val="superscript"/>
        </w:rPr>
        <w:t>1</w:t>
      </w:r>
      <w:r w:rsidR="000D31F9">
        <w:rPr>
          <w:rFonts w:eastAsia="MinionPro-Regular"/>
          <w:noProof/>
          <w:vertAlign w:val="superscript"/>
        </w:rPr>
        <w:t>7</w:t>
      </w:r>
      <w:r w:rsidR="007163F6" w:rsidRPr="00F57FE9">
        <w:rPr>
          <w:rFonts w:eastAsia="MinionPro-Regular"/>
        </w:rPr>
        <w:fldChar w:fldCharType="end"/>
      </w:r>
      <w:r w:rsidR="00DD30F6" w:rsidRPr="00F57FE9">
        <w:rPr>
          <w:rFonts w:eastAsia="MinionPro-Regular"/>
        </w:rPr>
        <w:t xml:space="preserve"> </w:t>
      </w:r>
      <w:r w:rsidRPr="00F57FE9">
        <w:rPr>
          <w:rFonts w:eastAsia="MinionPro-Regular"/>
        </w:rPr>
        <w:t>dispersed in an aqueous stabilizer solution of (0.15% v/v tween 80 and 30 mg of SL) by digital homogenizer (3000 rpm, 1</w:t>
      </w:r>
      <w:r w:rsidR="00214207" w:rsidRPr="00F57FE9">
        <w:rPr>
          <w:rFonts w:eastAsia="MinionPro-Regular"/>
        </w:rPr>
        <w:t xml:space="preserve">.5 </w:t>
      </w:r>
      <w:r w:rsidR="008C63BD" w:rsidRPr="00F57FE9">
        <w:rPr>
          <w:rFonts w:eastAsia="MinionPro-Regular"/>
        </w:rPr>
        <w:t>h). Then, the pre-</w:t>
      </w:r>
      <w:r w:rsidRPr="00F57FE9">
        <w:rPr>
          <w:rFonts w:eastAsia="MinionPro-Regular"/>
        </w:rPr>
        <w:t xml:space="preserve">NS </w:t>
      </w:r>
      <w:proofErr w:type="gramStart"/>
      <w:r w:rsidRPr="00F57FE9">
        <w:rPr>
          <w:rFonts w:eastAsia="MinionPro-Regular"/>
        </w:rPr>
        <w:t>was subjected</w:t>
      </w:r>
      <w:proofErr w:type="gramEnd"/>
      <w:r w:rsidRPr="00F57FE9">
        <w:rPr>
          <w:rFonts w:eastAsia="MinionPro-Regular"/>
        </w:rPr>
        <w:t xml:space="preserve"> to HPH processing</w:t>
      </w:r>
      <w:r w:rsidR="001661DC" w:rsidRPr="00F57FE9">
        <w:rPr>
          <w:rFonts w:eastAsia="MinionPro-Regular"/>
        </w:rPr>
        <w:t>,</w:t>
      </w:r>
      <w:r w:rsidRPr="00F57FE9">
        <w:rPr>
          <w:rFonts w:eastAsia="MinionPro-Regular"/>
        </w:rPr>
        <w:t xml:space="preserve"> </w:t>
      </w:r>
      <w:r w:rsidR="008C63BD" w:rsidRPr="00F57FE9">
        <w:rPr>
          <w:rFonts w:eastAsia="MinionPro-Regular"/>
        </w:rPr>
        <w:t xml:space="preserve">with </w:t>
      </w:r>
      <w:r w:rsidRPr="00F57FE9">
        <w:rPr>
          <w:rFonts w:eastAsia="MinionPro-Regular"/>
        </w:rPr>
        <w:t xml:space="preserve">three HPH cycles at fixed 250, 700, and 1200 bars. Moreover, this obtained NS </w:t>
      </w:r>
      <w:proofErr w:type="gramStart"/>
      <w:r w:rsidRPr="00F57FE9">
        <w:rPr>
          <w:rFonts w:eastAsia="MinionPro-Regular"/>
        </w:rPr>
        <w:t>was shifted</w:t>
      </w:r>
      <w:proofErr w:type="gramEnd"/>
      <w:r w:rsidRPr="00F57FE9">
        <w:rPr>
          <w:rFonts w:eastAsia="MinionPro-Regular"/>
        </w:rPr>
        <w:t xml:space="preserve"> for 1500 bars for maximum cycles. Interestingly, the number of cycles of HPH at constant process temperature can affect the particle size of the formulation. </w:t>
      </w:r>
      <w:proofErr w:type="gramStart"/>
      <w:r w:rsidRPr="00F57FE9">
        <w:rPr>
          <w:rFonts w:eastAsia="MinionPro-Regular"/>
        </w:rPr>
        <w:t>Therefore</w:t>
      </w:r>
      <w:proofErr w:type="gramEnd"/>
      <w:r w:rsidRPr="00F57FE9">
        <w:rPr>
          <w:rFonts w:eastAsia="MinionPro-Regular"/>
        </w:rPr>
        <w:t xml:space="preserve"> the MTX-NS showed different particle sizes, concerning process temperature and several cycles. Finally, the obtained NS </w:t>
      </w:r>
      <w:proofErr w:type="gramStart"/>
      <w:r w:rsidRPr="00F57FE9">
        <w:rPr>
          <w:rFonts w:eastAsia="MinionPro-Regular"/>
        </w:rPr>
        <w:t>was shifted</w:t>
      </w:r>
      <w:proofErr w:type="gramEnd"/>
      <w:r w:rsidRPr="00F57FE9">
        <w:rPr>
          <w:rFonts w:eastAsia="MinionPro-Regular"/>
        </w:rPr>
        <w:t xml:space="preserve"> to the lyophilization </w:t>
      </w:r>
      <w:r w:rsidRPr="00F57FE9">
        <w:rPr>
          <w:rFonts w:eastAsia="MinionPro-Regular"/>
        </w:rPr>
        <w:lastRenderedPageBreak/>
        <w:t xml:space="preserve">process using </w:t>
      </w:r>
      <w:r w:rsidR="00217C37" w:rsidRPr="00F57FE9">
        <w:rPr>
          <w:rFonts w:eastAsia="MinionPro-Regular"/>
        </w:rPr>
        <w:t xml:space="preserve">a </w:t>
      </w:r>
      <w:r w:rsidRPr="00F57FE9">
        <w:rPr>
          <w:rFonts w:eastAsia="MinionPro-Regular"/>
        </w:rPr>
        <w:t xml:space="preserve">lyophilizer (Freezone12, Labconco, MO, USA) along with the optimized concentration of cryoprotectant (6% w/w mannitol). Initially, the pre-freezing of MTX-NS </w:t>
      </w:r>
      <w:proofErr w:type="gramStart"/>
      <w:r w:rsidRPr="00F57FE9">
        <w:rPr>
          <w:rFonts w:eastAsia="MinionPro-Regular"/>
        </w:rPr>
        <w:t>was performed</w:t>
      </w:r>
      <w:proofErr w:type="gramEnd"/>
      <w:r w:rsidRPr="00F57FE9">
        <w:rPr>
          <w:rFonts w:eastAsia="MinionPro-Regular"/>
        </w:rPr>
        <w:t xml:space="preserve"> at -30°C for 12 h. Then, the primary drying process of NS </w:t>
      </w:r>
      <w:proofErr w:type="gramStart"/>
      <w:r w:rsidRPr="00F57FE9">
        <w:rPr>
          <w:rFonts w:eastAsia="MinionPro-Regular"/>
        </w:rPr>
        <w:t>was performed</w:t>
      </w:r>
      <w:proofErr w:type="gramEnd"/>
      <w:r w:rsidRPr="00F57FE9">
        <w:rPr>
          <w:rFonts w:eastAsia="MinionPro-Regular"/>
        </w:rPr>
        <w:t xml:space="preserve"> at -53°C and 0.016 mBar for 24 h. Finally, the secondary drying </w:t>
      </w:r>
      <w:proofErr w:type="gramStart"/>
      <w:r w:rsidRPr="00F57FE9">
        <w:rPr>
          <w:rFonts w:eastAsia="MinionPro-Regular"/>
        </w:rPr>
        <w:t>was carried out</w:t>
      </w:r>
      <w:proofErr w:type="gramEnd"/>
      <w:r w:rsidRPr="00F57FE9">
        <w:rPr>
          <w:rFonts w:eastAsia="MinionPro-Regular"/>
        </w:rPr>
        <w:t xml:space="preserve"> at 10°C for 8 h followed by 25°C for 4 h. Further drying of obtained lyophili</w:t>
      </w:r>
      <w:r w:rsidR="000E74BF" w:rsidRPr="00F57FE9">
        <w:rPr>
          <w:rFonts w:eastAsia="MinionPro-Regular"/>
        </w:rPr>
        <w:t xml:space="preserve">zed NS </w:t>
      </w:r>
      <w:proofErr w:type="gramStart"/>
      <w:r w:rsidR="000E74BF" w:rsidRPr="00F57FE9">
        <w:rPr>
          <w:rFonts w:eastAsia="MinionPro-Regular"/>
        </w:rPr>
        <w:t>was done</w:t>
      </w:r>
      <w:proofErr w:type="gramEnd"/>
      <w:r w:rsidR="000E74BF" w:rsidRPr="00F57FE9">
        <w:rPr>
          <w:rFonts w:eastAsia="MinionPro-Regular"/>
        </w:rPr>
        <w:t xml:space="preserve"> by gradually increasing </w:t>
      </w:r>
      <w:r w:rsidRPr="00F57FE9">
        <w:rPr>
          <w:rFonts w:eastAsia="MinionPro-Regular"/>
        </w:rPr>
        <w:t xml:space="preserve">the drying process temperature by 1°C/min. to finish the process. The temperature of the cold trap </w:t>
      </w:r>
      <w:proofErr w:type="gramStart"/>
      <w:r w:rsidRPr="00F57FE9">
        <w:rPr>
          <w:rFonts w:eastAsia="MinionPro-Regular"/>
        </w:rPr>
        <w:t>was maintained</w:t>
      </w:r>
      <w:proofErr w:type="gramEnd"/>
      <w:r w:rsidRPr="00F57FE9">
        <w:rPr>
          <w:rFonts w:eastAsia="MinionPro-Regular"/>
        </w:rPr>
        <w:t xml:space="preserve"> at -53°C until the end of the drying process. </w:t>
      </w:r>
    </w:p>
    <w:p w:rsidR="003527E6" w:rsidRPr="00F57FE9" w:rsidRDefault="003527E6" w:rsidP="00F57FE9">
      <w:pPr>
        <w:spacing w:line="360" w:lineRule="auto"/>
        <w:jc w:val="both"/>
        <w:rPr>
          <w:b/>
        </w:rPr>
      </w:pPr>
      <w:r w:rsidRPr="00F57FE9">
        <w:rPr>
          <w:b/>
        </w:rPr>
        <w:t xml:space="preserve">2.2.3. </w:t>
      </w:r>
      <w:r w:rsidR="00F8501B" w:rsidRPr="00F57FE9">
        <w:rPr>
          <w:b/>
        </w:rPr>
        <w:t xml:space="preserve">Quality </w:t>
      </w:r>
      <w:r w:rsidR="000E7F35" w:rsidRPr="00F57FE9">
        <w:rPr>
          <w:b/>
        </w:rPr>
        <w:t>by design</w:t>
      </w:r>
    </w:p>
    <w:p w:rsidR="003527E6" w:rsidRPr="00F57FE9" w:rsidRDefault="003527E6" w:rsidP="00F57FE9">
      <w:pPr>
        <w:spacing w:line="360" w:lineRule="auto"/>
        <w:jc w:val="both"/>
        <w:rPr>
          <w:b/>
        </w:rPr>
      </w:pPr>
      <w:r w:rsidRPr="00F57FE9">
        <w:rPr>
          <w:b/>
          <w:bCs/>
        </w:rPr>
        <w:t xml:space="preserve">2.2.3.1. Quality </w:t>
      </w:r>
      <w:r w:rsidR="00217C37" w:rsidRPr="00F57FE9">
        <w:rPr>
          <w:b/>
          <w:bCs/>
        </w:rPr>
        <w:t xml:space="preserve">target product profile </w:t>
      </w:r>
      <w:r w:rsidRPr="00F57FE9">
        <w:rPr>
          <w:b/>
          <w:bCs/>
        </w:rPr>
        <w:t>(QTPP)</w:t>
      </w:r>
    </w:p>
    <w:p w:rsidR="003527E6" w:rsidRPr="00F57FE9" w:rsidRDefault="003527E6" w:rsidP="00F57FE9">
      <w:pPr>
        <w:shd w:val="clear" w:color="auto" w:fill="FFFFFF"/>
        <w:spacing w:line="360" w:lineRule="auto"/>
        <w:jc w:val="both"/>
      </w:pPr>
      <w:r w:rsidRPr="00F57FE9">
        <w:t xml:space="preserve">The primary step in QbD is to define the potential target product profile (TPP) and critical quality attributes (CQA) of the formulation. To this study, the CQAs </w:t>
      </w:r>
      <w:proofErr w:type="gramStart"/>
      <w:r w:rsidRPr="00F57FE9">
        <w:t>were enlisted</w:t>
      </w:r>
      <w:proofErr w:type="gramEnd"/>
      <w:r w:rsidRPr="00F57FE9">
        <w:t xml:space="preserve"> based on a literature survey and preliminary research on the formulation. For the study, CMAs, CPPs have been chosen to satisfy the predefined objective</w:t>
      </w:r>
      <w:r w:rsidR="00D721EA">
        <w:t>.</w:t>
      </w:r>
      <w:r w:rsidR="007163F6" w:rsidRPr="00F57FE9">
        <w:fldChar w:fldCharType="begin"/>
      </w:r>
      <w:r w:rsidR="00F57FE9" w:rsidRPr="00F57FE9">
        <w:instrText xml:space="preserve"> ADDIN EN.CITE &lt;EndNote&gt;&lt;Cite&gt;&lt;Author&gt;Srinivas&lt;/Author&gt;&lt;Year&gt;2017&lt;/Year&gt;&lt;RecNum&gt;20&lt;/RecNum&gt;&lt;DisplayText&gt;&lt;style face="superscript"&gt;18&lt;/style&gt;&lt;/DisplayText&gt;&lt;record&gt;&lt;rec-number&gt;20&lt;/rec-number&gt;&lt;foreign-keys&gt;&lt;key app="EN" db-id="sv2ef2t2hvz5asez0dnprs50e22was0afref" timestamp="1588932367"&gt;20&lt;/key&gt;&lt;/foreign-keys&gt;&lt;ref-type name="Journal Article"&gt;17&lt;/ref-type&gt;&lt;contributors&gt;&lt;authors&gt;&lt;author&gt;Srinivas, Navya Sree Kola&lt;/author&gt;&lt;author&gt;Verma, Ruchi&lt;/author&gt;&lt;author&gt;Kulyadi, Girish Pai&lt;/author&gt;&lt;author&gt;Kumar, Lalit&lt;/author&gt;&lt;/authors&gt;&lt;/contributors&gt;&lt;titles&gt;&lt;title&gt;A quality by design approach on polymeric nanocarrier delivery of gefitinib: formulation, in vitro, and in vivo characterization&lt;/title&gt;&lt;secondary-title&gt;International journal of nanomedicine&lt;/secondary-title&gt;&lt;/titles&gt;&lt;periodical&gt;&lt;full-title&gt;International journal of nanomedicine&lt;/full-title&gt;&lt;/periodical&gt;&lt;pages&gt;15&lt;/pages&gt;&lt;volume&gt;12&lt;/volume&gt;&lt;dates&gt;&lt;year&gt;2017&lt;/year&gt;&lt;/dates&gt;&lt;urls&gt;&lt;/urls&gt;&lt;/record&gt;&lt;/Cite&gt;&lt;/EndNote&gt;</w:instrText>
      </w:r>
      <w:r w:rsidR="007163F6" w:rsidRPr="00F57FE9">
        <w:fldChar w:fldCharType="separate"/>
      </w:r>
      <w:r w:rsidR="00F57FE9" w:rsidRPr="00F57FE9">
        <w:rPr>
          <w:noProof/>
          <w:vertAlign w:val="superscript"/>
        </w:rPr>
        <w:t>18</w:t>
      </w:r>
      <w:r w:rsidR="007163F6" w:rsidRPr="00F57FE9">
        <w:fldChar w:fldCharType="end"/>
      </w:r>
      <w:r w:rsidRPr="00F57FE9">
        <w:t xml:space="preserve"> The QTPP, CMAs, and CPPs listed </w:t>
      </w:r>
      <w:proofErr w:type="gramStart"/>
      <w:r w:rsidRPr="00F57FE9">
        <w:t>are presented</w:t>
      </w:r>
      <w:proofErr w:type="gramEnd"/>
      <w:r w:rsidRPr="00F57FE9">
        <w:t xml:space="preserve"> in Table 1. </w:t>
      </w:r>
    </w:p>
    <w:p w:rsidR="003527E6" w:rsidRPr="00F57FE9" w:rsidRDefault="003527E6" w:rsidP="00E36FB7">
      <w:pPr>
        <w:shd w:val="clear" w:color="auto" w:fill="FFFFFF"/>
        <w:spacing w:line="360" w:lineRule="auto"/>
        <w:rPr>
          <w:bCs/>
        </w:rPr>
      </w:pPr>
      <w:proofErr w:type="gramStart"/>
      <w:r w:rsidRPr="00E36FB7">
        <w:rPr>
          <w:b/>
        </w:rPr>
        <w:t>Table 1</w:t>
      </w:r>
      <w:r w:rsidR="00F059FF">
        <w:rPr>
          <w:bCs/>
        </w:rPr>
        <w:t>.</w:t>
      </w:r>
      <w:proofErr w:type="gramEnd"/>
      <w:r w:rsidR="00F059FF">
        <w:rPr>
          <w:bCs/>
        </w:rPr>
        <w:t xml:space="preserve"> </w:t>
      </w:r>
      <w:r w:rsidR="0057780D" w:rsidRPr="00F57FE9">
        <w:rPr>
          <w:bCs/>
        </w:rPr>
        <w:t>Study target with CMAs and CPPs</w:t>
      </w:r>
    </w:p>
    <w:tbl>
      <w:tblPr>
        <w:tblW w:w="10260" w:type="dxa"/>
        <w:tblInd w:w="-432" w:type="dxa"/>
        <w:tblLayout w:type="fixed"/>
        <w:tblLook w:val="04A0"/>
      </w:tblPr>
      <w:tblGrid>
        <w:gridCol w:w="1620"/>
        <w:gridCol w:w="1908"/>
        <w:gridCol w:w="1962"/>
        <w:gridCol w:w="2070"/>
        <w:gridCol w:w="1260"/>
        <w:gridCol w:w="1440"/>
      </w:tblGrid>
      <w:tr w:rsidR="00FD4D29" w:rsidRPr="00E36FB7" w:rsidTr="00E36FB7">
        <w:trPr>
          <w:trHeight w:val="325"/>
        </w:trPr>
        <w:tc>
          <w:tcPr>
            <w:tcW w:w="7560" w:type="dxa"/>
            <w:gridSpan w:val="4"/>
            <w:tcBorders>
              <w:top w:val="single" w:sz="4" w:space="0" w:color="auto"/>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QTPP</w:t>
            </w:r>
          </w:p>
        </w:tc>
        <w:tc>
          <w:tcPr>
            <w:tcW w:w="1260" w:type="dxa"/>
            <w:tcBorders>
              <w:top w:val="single" w:sz="4" w:space="0" w:color="auto"/>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CMAs</w:t>
            </w:r>
          </w:p>
        </w:tc>
        <w:tc>
          <w:tcPr>
            <w:tcW w:w="1440" w:type="dxa"/>
            <w:tcBorders>
              <w:top w:val="single" w:sz="4" w:space="0" w:color="auto"/>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CPPs</w:t>
            </w:r>
          </w:p>
        </w:tc>
      </w:tr>
      <w:tr w:rsidR="00FD4D29" w:rsidRPr="00E36FB7" w:rsidTr="00E36FB7">
        <w:trPr>
          <w:trHeight w:val="505"/>
        </w:trPr>
        <w:tc>
          <w:tcPr>
            <w:tcW w:w="1620" w:type="dxa"/>
            <w:tcBorders>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TPP</w:t>
            </w:r>
          </w:p>
        </w:tc>
        <w:tc>
          <w:tcPr>
            <w:tcW w:w="1908" w:type="dxa"/>
            <w:tcBorders>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Target</w:t>
            </w:r>
          </w:p>
        </w:tc>
        <w:tc>
          <w:tcPr>
            <w:tcW w:w="1962" w:type="dxa"/>
            <w:tcBorders>
              <w:top w:val="single" w:sz="4" w:space="0" w:color="auto"/>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TPQP</w:t>
            </w:r>
          </w:p>
        </w:tc>
        <w:tc>
          <w:tcPr>
            <w:tcW w:w="2070" w:type="dxa"/>
            <w:tcBorders>
              <w:top w:val="single" w:sz="4" w:space="0" w:color="auto"/>
              <w:bottom w:val="single" w:sz="4" w:space="0" w:color="auto"/>
            </w:tcBorders>
          </w:tcPr>
          <w:p w:rsidR="00FD4D29" w:rsidRPr="00E36FB7" w:rsidRDefault="00FD4D29" w:rsidP="00F57FE9">
            <w:pPr>
              <w:spacing w:line="360" w:lineRule="auto"/>
              <w:contextualSpacing/>
              <w:jc w:val="center"/>
              <w:rPr>
                <w:b/>
                <w:bCs/>
                <w:sz w:val="20"/>
                <w:szCs w:val="20"/>
              </w:rPr>
            </w:pPr>
            <w:proofErr w:type="spellStart"/>
            <w:r w:rsidRPr="00E36FB7">
              <w:rPr>
                <w:b/>
                <w:bCs/>
                <w:sz w:val="20"/>
                <w:szCs w:val="20"/>
              </w:rPr>
              <w:t>MoA</w:t>
            </w:r>
            <w:proofErr w:type="spellEnd"/>
          </w:p>
        </w:tc>
        <w:tc>
          <w:tcPr>
            <w:tcW w:w="1260" w:type="dxa"/>
            <w:tcBorders>
              <w:top w:val="single" w:sz="4" w:space="0" w:color="auto"/>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Materials</w:t>
            </w:r>
          </w:p>
        </w:tc>
        <w:tc>
          <w:tcPr>
            <w:tcW w:w="1440" w:type="dxa"/>
            <w:tcBorders>
              <w:top w:val="single" w:sz="4" w:space="0" w:color="auto"/>
              <w:bottom w:val="single" w:sz="4" w:space="0" w:color="auto"/>
            </w:tcBorders>
            <w:shd w:val="clear" w:color="auto" w:fill="auto"/>
            <w:vAlign w:val="center"/>
          </w:tcPr>
          <w:p w:rsidR="00FD4D29" w:rsidRPr="00E36FB7" w:rsidRDefault="00FD4D29" w:rsidP="00F57FE9">
            <w:pPr>
              <w:spacing w:line="360" w:lineRule="auto"/>
              <w:contextualSpacing/>
              <w:jc w:val="center"/>
              <w:rPr>
                <w:b/>
                <w:bCs/>
                <w:sz w:val="20"/>
                <w:szCs w:val="20"/>
              </w:rPr>
            </w:pPr>
            <w:r w:rsidRPr="00E36FB7">
              <w:rPr>
                <w:b/>
                <w:bCs/>
                <w:sz w:val="20"/>
                <w:szCs w:val="20"/>
              </w:rPr>
              <w:t>Parameters</w:t>
            </w:r>
          </w:p>
        </w:tc>
      </w:tr>
      <w:tr w:rsidR="00FD4D29" w:rsidRPr="00E36FB7" w:rsidTr="00E36FB7">
        <w:trPr>
          <w:trHeight w:val="741"/>
        </w:trPr>
        <w:tc>
          <w:tcPr>
            <w:tcW w:w="1620" w:type="dxa"/>
            <w:vMerge w:val="restart"/>
            <w:tcBorders>
              <w:top w:val="single" w:sz="4" w:space="0" w:color="auto"/>
            </w:tcBorders>
            <w:shd w:val="clear" w:color="auto" w:fill="auto"/>
            <w:vAlign w:val="center"/>
          </w:tcPr>
          <w:p w:rsidR="00FD4D29" w:rsidRPr="00E36FB7" w:rsidRDefault="00FD4D29" w:rsidP="00E36FB7">
            <w:pPr>
              <w:spacing w:line="360" w:lineRule="auto"/>
              <w:contextualSpacing/>
              <w:rPr>
                <w:sz w:val="20"/>
                <w:szCs w:val="20"/>
              </w:rPr>
            </w:pPr>
            <w:r w:rsidRPr="00E36FB7">
              <w:rPr>
                <w:sz w:val="20"/>
                <w:szCs w:val="20"/>
              </w:rPr>
              <w:t>Formulation type</w:t>
            </w:r>
          </w:p>
        </w:tc>
        <w:tc>
          <w:tcPr>
            <w:tcW w:w="1908" w:type="dxa"/>
            <w:vMerge w:val="restart"/>
            <w:tcBorders>
              <w:top w:val="single" w:sz="4" w:space="0" w:color="auto"/>
            </w:tcBorders>
            <w:shd w:val="clear" w:color="auto" w:fill="auto"/>
            <w:vAlign w:val="center"/>
          </w:tcPr>
          <w:p w:rsidR="00FD4D29" w:rsidRPr="00E36FB7" w:rsidRDefault="00FD4D29" w:rsidP="00F57FE9">
            <w:pPr>
              <w:spacing w:line="360" w:lineRule="auto"/>
              <w:contextualSpacing/>
              <w:jc w:val="center"/>
              <w:rPr>
                <w:sz w:val="20"/>
                <w:szCs w:val="20"/>
              </w:rPr>
            </w:pPr>
            <w:r w:rsidRPr="00E36FB7">
              <w:rPr>
                <w:sz w:val="20"/>
                <w:szCs w:val="20"/>
              </w:rPr>
              <w:t>NS</w:t>
            </w:r>
          </w:p>
        </w:tc>
        <w:tc>
          <w:tcPr>
            <w:tcW w:w="1962" w:type="dxa"/>
            <w:tcBorders>
              <w:top w:val="single" w:sz="4" w:space="0" w:color="auto"/>
            </w:tcBorders>
            <w:shd w:val="clear" w:color="auto" w:fill="auto"/>
            <w:vAlign w:val="center"/>
          </w:tcPr>
          <w:p w:rsidR="00FD4D29" w:rsidRPr="00E36FB7" w:rsidRDefault="00FD4D29" w:rsidP="00E36FB7">
            <w:pPr>
              <w:pStyle w:val="ListParagraph"/>
              <w:numPr>
                <w:ilvl w:val="0"/>
                <w:numId w:val="5"/>
              </w:numPr>
              <w:spacing w:line="360" w:lineRule="auto"/>
              <w:ind w:left="234"/>
            </w:pPr>
            <w:r w:rsidRPr="00E36FB7">
              <w:t>Particle size and PDI</w:t>
            </w:r>
          </w:p>
        </w:tc>
        <w:tc>
          <w:tcPr>
            <w:tcW w:w="2070" w:type="dxa"/>
            <w:tcBorders>
              <w:top w:val="single" w:sz="4" w:space="0" w:color="auto"/>
            </w:tcBorders>
          </w:tcPr>
          <w:p w:rsidR="00FD4D29" w:rsidRPr="00E36FB7" w:rsidRDefault="00FD4D29" w:rsidP="00F57FE9">
            <w:pPr>
              <w:spacing w:line="360" w:lineRule="auto"/>
              <w:ind w:left="234"/>
              <w:jc w:val="both"/>
              <w:rPr>
                <w:sz w:val="20"/>
                <w:szCs w:val="20"/>
              </w:rPr>
            </w:pPr>
            <w:r w:rsidRPr="00E36FB7">
              <w:rPr>
                <w:sz w:val="20"/>
                <w:szCs w:val="20"/>
              </w:rPr>
              <w:t>Malvern Zetasizer</w:t>
            </w:r>
          </w:p>
          <w:p w:rsidR="00FD4D29" w:rsidRPr="00E36FB7" w:rsidRDefault="00FD4D29" w:rsidP="00F57FE9">
            <w:pPr>
              <w:spacing w:line="360" w:lineRule="auto"/>
              <w:contextualSpacing/>
              <w:jc w:val="center"/>
              <w:rPr>
                <w:sz w:val="20"/>
                <w:szCs w:val="20"/>
              </w:rPr>
            </w:pPr>
          </w:p>
        </w:tc>
        <w:tc>
          <w:tcPr>
            <w:tcW w:w="1260" w:type="dxa"/>
            <w:vMerge w:val="restart"/>
            <w:tcBorders>
              <w:top w:val="single" w:sz="4" w:space="0" w:color="auto"/>
            </w:tcBorders>
            <w:shd w:val="clear" w:color="auto" w:fill="auto"/>
            <w:vAlign w:val="center"/>
          </w:tcPr>
          <w:p w:rsidR="00FD4D29" w:rsidRPr="00E36FB7" w:rsidRDefault="00FD4D29" w:rsidP="00F57FE9">
            <w:pPr>
              <w:spacing w:line="360" w:lineRule="auto"/>
              <w:contextualSpacing/>
              <w:jc w:val="center"/>
              <w:rPr>
                <w:sz w:val="20"/>
                <w:szCs w:val="20"/>
              </w:rPr>
            </w:pPr>
            <w:r w:rsidRPr="00E36FB7">
              <w:rPr>
                <w:sz w:val="20"/>
                <w:szCs w:val="20"/>
              </w:rPr>
              <w:t>Poloxamer 188 (mg)</w:t>
            </w:r>
          </w:p>
          <w:p w:rsidR="00FD4D29" w:rsidRPr="00E36FB7" w:rsidRDefault="00FD4D29" w:rsidP="00F57FE9">
            <w:pPr>
              <w:spacing w:line="360" w:lineRule="auto"/>
              <w:contextualSpacing/>
              <w:jc w:val="center"/>
              <w:rPr>
                <w:sz w:val="20"/>
                <w:szCs w:val="20"/>
              </w:rPr>
            </w:pPr>
          </w:p>
        </w:tc>
        <w:tc>
          <w:tcPr>
            <w:tcW w:w="1440" w:type="dxa"/>
            <w:vMerge w:val="restart"/>
            <w:tcBorders>
              <w:top w:val="single" w:sz="4" w:space="0" w:color="auto"/>
            </w:tcBorders>
            <w:shd w:val="clear" w:color="auto" w:fill="auto"/>
            <w:vAlign w:val="center"/>
          </w:tcPr>
          <w:p w:rsidR="00FD4D29" w:rsidRPr="00E36FB7" w:rsidRDefault="00FD4D29" w:rsidP="00F57FE9">
            <w:pPr>
              <w:spacing w:line="360" w:lineRule="auto"/>
              <w:contextualSpacing/>
              <w:jc w:val="center"/>
              <w:rPr>
                <w:sz w:val="20"/>
                <w:szCs w:val="20"/>
              </w:rPr>
            </w:pPr>
            <w:r w:rsidRPr="00E36FB7">
              <w:rPr>
                <w:sz w:val="20"/>
                <w:szCs w:val="20"/>
              </w:rPr>
              <w:t>Number of cycles</w:t>
            </w:r>
          </w:p>
          <w:p w:rsidR="00FD4D29" w:rsidRPr="00E36FB7" w:rsidRDefault="00FD4D29" w:rsidP="00F57FE9">
            <w:pPr>
              <w:spacing w:line="360" w:lineRule="auto"/>
              <w:contextualSpacing/>
              <w:jc w:val="center"/>
              <w:rPr>
                <w:sz w:val="20"/>
                <w:szCs w:val="20"/>
              </w:rPr>
            </w:pPr>
            <w:r w:rsidRPr="00E36FB7">
              <w:rPr>
                <w:sz w:val="20"/>
                <w:szCs w:val="20"/>
              </w:rPr>
              <w:t>Time of milling (h)</w:t>
            </w:r>
          </w:p>
        </w:tc>
      </w:tr>
      <w:tr w:rsidR="00FD4D29" w:rsidRPr="00E36FB7" w:rsidTr="00E36FB7">
        <w:trPr>
          <w:trHeight w:val="737"/>
        </w:trPr>
        <w:tc>
          <w:tcPr>
            <w:tcW w:w="1620" w:type="dxa"/>
            <w:vMerge/>
            <w:shd w:val="clear" w:color="auto" w:fill="auto"/>
            <w:vAlign w:val="center"/>
          </w:tcPr>
          <w:p w:rsidR="00FD4D29" w:rsidRPr="00E36FB7" w:rsidRDefault="00FD4D29" w:rsidP="00F57FE9">
            <w:pPr>
              <w:spacing w:line="360" w:lineRule="auto"/>
              <w:contextualSpacing/>
              <w:jc w:val="center"/>
              <w:rPr>
                <w:sz w:val="20"/>
                <w:szCs w:val="20"/>
              </w:rPr>
            </w:pPr>
          </w:p>
        </w:tc>
        <w:tc>
          <w:tcPr>
            <w:tcW w:w="1908" w:type="dxa"/>
            <w:vMerge/>
            <w:shd w:val="clear" w:color="auto" w:fill="auto"/>
            <w:vAlign w:val="center"/>
          </w:tcPr>
          <w:p w:rsidR="00FD4D29" w:rsidRPr="00E36FB7" w:rsidRDefault="00FD4D29" w:rsidP="00F57FE9">
            <w:pPr>
              <w:spacing w:line="360" w:lineRule="auto"/>
              <w:contextualSpacing/>
              <w:jc w:val="center"/>
              <w:rPr>
                <w:sz w:val="20"/>
                <w:szCs w:val="20"/>
              </w:rPr>
            </w:pPr>
          </w:p>
        </w:tc>
        <w:tc>
          <w:tcPr>
            <w:tcW w:w="1962" w:type="dxa"/>
            <w:shd w:val="clear" w:color="auto" w:fill="auto"/>
            <w:vAlign w:val="center"/>
          </w:tcPr>
          <w:p w:rsidR="00FD4D29" w:rsidRPr="00E36FB7" w:rsidRDefault="00FD4D29" w:rsidP="00E36FB7">
            <w:pPr>
              <w:pStyle w:val="ListParagraph"/>
              <w:numPr>
                <w:ilvl w:val="0"/>
                <w:numId w:val="5"/>
              </w:numPr>
              <w:spacing w:line="360" w:lineRule="auto"/>
              <w:ind w:left="234"/>
            </w:pPr>
            <w:r w:rsidRPr="00E36FB7">
              <w:t>Particle shape and morphology</w:t>
            </w:r>
          </w:p>
        </w:tc>
        <w:tc>
          <w:tcPr>
            <w:tcW w:w="2070" w:type="dxa"/>
          </w:tcPr>
          <w:p w:rsidR="00FD4D29" w:rsidRPr="00E36FB7" w:rsidRDefault="00FD4D29" w:rsidP="00F57FE9">
            <w:pPr>
              <w:spacing w:line="360" w:lineRule="auto"/>
              <w:ind w:left="234"/>
              <w:jc w:val="both"/>
              <w:rPr>
                <w:sz w:val="20"/>
                <w:szCs w:val="20"/>
              </w:rPr>
            </w:pPr>
            <w:r w:rsidRPr="00E36FB7">
              <w:rPr>
                <w:sz w:val="20"/>
                <w:szCs w:val="20"/>
              </w:rPr>
              <w:t>SEM</w:t>
            </w:r>
          </w:p>
        </w:tc>
        <w:tc>
          <w:tcPr>
            <w:tcW w:w="1260" w:type="dxa"/>
            <w:vMerge/>
            <w:shd w:val="clear" w:color="auto" w:fill="auto"/>
            <w:vAlign w:val="center"/>
          </w:tcPr>
          <w:p w:rsidR="00FD4D29" w:rsidRPr="00E36FB7" w:rsidRDefault="00FD4D29" w:rsidP="00F57FE9">
            <w:pPr>
              <w:spacing w:line="360" w:lineRule="auto"/>
              <w:contextualSpacing/>
              <w:jc w:val="center"/>
              <w:rPr>
                <w:sz w:val="20"/>
                <w:szCs w:val="20"/>
              </w:rPr>
            </w:pPr>
          </w:p>
        </w:tc>
        <w:tc>
          <w:tcPr>
            <w:tcW w:w="1440" w:type="dxa"/>
            <w:vMerge/>
            <w:shd w:val="clear" w:color="auto" w:fill="auto"/>
            <w:vAlign w:val="center"/>
          </w:tcPr>
          <w:p w:rsidR="00FD4D29" w:rsidRPr="00E36FB7" w:rsidRDefault="00FD4D29" w:rsidP="00F57FE9">
            <w:pPr>
              <w:spacing w:line="360" w:lineRule="auto"/>
              <w:contextualSpacing/>
              <w:jc w:val="center"/>
              <w:rPr>
                <w:sz w:val="20"/>
                <w:szCs w:val="20"/>
              </w:rPr>
            </w:pPr>
          </w:p>
        </w:tc>
      </w:tr>
      <w:tr w:rsidR="00FD4D29" w:rsidRPr="00E36FB7" w:rsidTr="00E36FB7">
        <w:trPr>
          <w:trHeight w:val="458"/>
        </w:trPr>
        <w:tc>
          <w:tcPr>
            <w:tcW w:w="1620" w:type="dxa"/>
            <w:vMerge w:val="restart"/>
            <w:shd w:val="clear" w:color="auto" w:fill="auto"/>
            <w:vAlign w:val="center"/>
          </w:tcPr>
          <w:p w:rsidR="00FD4D29" w:rsidRPr="00E36FB7" w:rsidRDefault="00FD4D29" w:rsidP="00F57FE9">
            <w:pPr>
              <w:spacing w:line="360" w:lineRule="auto"/>
              <w:contextualSpacing/>
              <w:jc w:val="center"/>
              <w:rPr>
                <w:sz w:val="20"/>
                <w:szCs w:val="20"/>
              </w:rPr>
            </w:pPr>
            <w:r w:rsidRPr="00E36FB7">
              <w:rPr>
                <w:sz w:val="20"/>
                <w:szCs w:val="20"/>
              </w:rPr>
              <w:t>Oral bioavailability</w:t>
            </w:r>
          </w:p>
        </w:tc>
        <w:tc>
          <w:tcPr>
            <w:tcW w:w="1908" w:type="dxa"/>
            <w:vMerge w:val="restart"/>
            <w:shd w:val="clear" w:color="auto" w:fill="auto"/>
            <w:vAlign w:val="center"/>
          </w:tcPr>
          <w:p w:rsidR="00FD4D29" w:rsidRPr="00E36FB7" w:rsidRDefault="00FD4D29" w:rsidP="00F57FE9">
            <w:pPr>
              <w:spacing w:line="360" w:lineRule="auto"/>
              <w:contextualSpacing/>
              <w:jc w:val="center"/>
              <w:rPr>
                <w:sz w:val="20"/>
                <w:szCs w:val="20"/>
              </w:rPr>
            </w:pPr>
            <w:r w:rsidRPr="00E36FB7">
              <w:rPr>
                <w:sz w:val="20"/>
                <w:szCs w:val="20"/>
              </w:rPr>
              <w:t>Enhancement of oral bioavailability</w:t>
            </w:r>
          </w:p>
        </w:tc>
        <w:tc>
          <w:tcPr>
            <w:tcW w:w="1962" w:type="dxa"/>
            <w:shd w:val="clear" w:color="auto" w:fill="auto"/>
            <w:vAlign w:val="center"/>
          </w:tcPr>
          <w:p w:rsidR="00FD4D29" w:rsidRPr="00E36FB7" w:rsidRDefault="00FD4D29" w:rsidP="00E36FB7">
            <w:pPr>
              <w:pStyle w:val="ListParagraph"/>
              <w:numPr>
                <w:ilvl w:val="0"/>
                <w:numId w:val="5"/>
              </w:numPr>
              <w:spacing w:line="360" w:lineRule="auto"/>
              <w:ind w:left="234"/>
            </w:pPr>
            <w:r w:rsidRPr="00E36FB7">
              <w:t>Saturation solubility</w:t>
            </w:r>
          </w:p>
        </w:tc>
        <w:tc>
          <w:tcPr>
            <w:tcW w:w="2070" w:type="dxa"/>
          </w:tcPr>
          <w:p w:rsidR="00FD4D29" w:rsidRPr="00E36FB7" w:rsidRDefault="00FD4D29" w:rsidP="00F57FE9">
            <w:pPr>
              <w:spacing w:line="360" w:lineRule="auto"/>
              <w:contextualSpacing/>
              <w:jc w:val="center"/>
              <w:rPr>
                <w:sz w:val="20"/>
                <w:szCs w:val="20"/>
              </w:rPr>
            </w:pPr>
            <w:r w:rsidRPr="00E36FB7">
              <w:rPr>
                <w:sz w:val="20"/>
                <w:szCs w:val="20"/>
              </w:rPr>
              <w:t>Orbital shaker</w:t>
            </w:r>
          </w:p>
        </w:tc>
        <w:tc>
          <w:tcPr>
            <w:tcW w:w="1260" w:type="dxa"/>
            <w:vMerge w:val="restart"/>
            <w:shd w:val="clear" w:color="auto" w:fill="auto"/>
            <w:vAlign w:val="center"/>
          </w:tcPr>
          <w:p w:rsidR="00FD4D29" w:rsidRPr="00E36FB7" w:rsidRDefault="00FD4D29" w:rsidP="00F57FE9">
            <w:pPr>
              <w:spacing w:line="360" w:lineRule="auto"/>
              <w:contextualSpacing/>
              <w:jc w:val="center"/>
              <w:rPr>
                <w:sz w:val="20"/>
                <w:szCs w:val="20"/>
              </w:rPr>
            </w:pPr>
            <w:r w:rsidRPr="00E36FB7">
              <w:rPr>
                <w:sz w:val="20"/>
                <w:szCs w:val="20"/>
              </w:rPr>
              <w:t>Tween 80</w:t>
            </w:r>
          </w:p>
          <w:p w:rsidR="00FD4D29" w:rsidRPr="00E36FB7" w:rsidRDefault="00FD4D29" w:rsidP="00F57FE9">
            <w:pPr>
              <w:spacing w:line="360" w:lineRule="auto"/>
              <w:contextualSpacing/>
              <w:jc w:val="center"/>
              <w:rPr>
                <w:sz w:val="20"/>
                <w:szCs w:val="20"/>
              </w:rPr>
            </w:pPr>
            <w:r w:rsidRPr="00E36FB7">
              <w:rPr>
                <w:sz w:val="20"/>
                <w:szCs w:val="20"/>
              </w:rPr>
              <w:t>(% v/v)</w:t>
            </w:r>
          </w:p>
        </w:tc>
        <w:tc>
          <w:tcPr>
            <w:tcW w:w="1440" w:type="dxa"/>
            <w:vMerge/>
            <w:shd w:val="clear" w:color="auto" w:fill="auto"/>
            <w:vAlign w:val="center"/>
          </w:tcPr>
          <w:p w:rsidR="00FD4D29" w:rsidRPr="00E36FB7" w:rsidRDefault="00FD4D29" w:rsidP="00F57FE9">
            <w:pPr>
              <w:spacing w:line="360" w:lineRule="auto"/>
              <w:contextualSpacing/>
              <w:jc w:val="center"/>
              <w:rPr>
                <w:sz w:val="20"/>
                <w:szCs w:val="20"/>
              </w:rPr>
            </w:pPr>
          </w:p>
        </w:tc>
      </w:tr>
      <w:tr w:rsidR="00FD4D29" w:rsidRPr="00E36FB7" w:rsidTr="00D07021">
        <w:trPr>
          <w:trHeight w:val="530"/>
        </w:trPr>
        <w:tc>
          <w:tcPr>
            <w:tcW w:w="1620" w:type="dxa"/>
            <w:vMerge/>
            <w:shd w:val="clear" w:color="auto" w:fill="auto"/>
            <w:vAlign w:val="center"/>
          </w:tcPr>
          <w:p w:rsidR="00FD4D29" w:rsidRPr="00E36FB7" w:rsidRDefault="00FD4D29" w:rsidP="00F57FE9">
            <w:pPr>
              <w:spacing w:line="360" w:lineRule="auto"/>
              <w:contextualSpacing/>
              <w:jc w:val="center"/>
              <w:rPr>
                <w:sz w:val="20"/>
                <w:szCs w:val="20"/>
              </w:rPr>
            </w:pPr>
          </w:p>
        </w:tc>
        <w:tc>
          <w:tcPr>
            <w:tcW w:w="1908" w:type="dxa"/>
            <w:vMerge/>
            <w:shd w:val="clear" w:color="auto" w:fill="auto"/>
            <w:vAlign w:val="center"/>
          </w:tcPr>
          <w:p w:rsidR="00FD4D29" w:rsidRPr="00E36FB7" w:rsidRDefault="00FD4D29" w:rsidP="00F57FE9">
            <w:pPr>
              <w:spacing w:line="360" w:lineRule="auto"/>
              <w:contextualSpacing/>
              <w:jc w:val="center"/>
              <w:rPr>
                <w:sz w:val="20"/>
                <w:szCs w:val="20"/>
              </w:rPr>
            </w:pPr>
          </w:p>
        </w:tc>
        <w:tc>
          <w:tcPr>
            <w:tcW w:w="1962" w:type="dxa"/>
            <w:shd w:val="clear" w:color="auto" w:fill="auto"/>
            <w:vAlign w:val="center"/>
          </w:tcPr>
          <w:p w:rsidR="00FD4D29" w:rsidRPr="00E36FB7" w:rsidRDefault="00FD4D29" w:rsidP="00E36FB7">
            <w:pPr>
              <w:pStyle w:val="ListParagraph"/>
              <w:numPr>
                <w:ilvl w:val="0"/>
                <w:numId w:val="5"/>
              </w:numPr>
              <w:spacing w:line="360" w:lineRule="auto"/>
              <w:ind w:left="324" w:hanging="396"/>
            </w:pPr>
            <w:r w:rsidRPr="00E36FB7">
              <w:rPr>
                <w:i/>
                <w:iCs/>
              </w:rPr>
              <w:t>In-vitro</w:t>
            </w:r>
            <w:r w:rsidR="00E36FB7">
              <w:t> </w:t>
            </w:r>
            <w:r w:rsidRPr="00E36FB7">
              <w:t>drug release</w:t>
            </w:r>
          </w:p>
        </w:tc>
        <w:tc>
          <w:tcPr>
            <w:tcW w:w="2070" w:type="dxa"/>
          </w:tcPr>
          <w:p w:rsidR="00FD4D29" w:rsidRPr="00E36FB7" w:rsidRDefault="00FD4D29" w:rsidP="00F57FE9">
            <w:pPr>
              <w:spacing w:line="360" w:lineRule="auto"/>
              <w:contextualSpacing/>
              <w:jc w:val="center"/>
              <w:rPr>
                <w:sz w:val="20"/>
                <w:szCs w:val="20"/>
              </w:rPr>
            </w:pPr>
            <w:r w:rsidRPr="00E36FB7">
              <w:rPr>
                <w:sz w:val="20"/>
                <w:szCs w:val="20"/>
              </w:rPr>
              <w:t>USP apparatus type II</w:t>
            </w:r>
          </w:p>
        </w:tc>
        <w:tc>
          <w:tcPr>
            <w:tcW w:w="1260" w:type="dxa"/>
            <w:vMerge/>
            <w:shd w:val="clear" w:color="auto" w:fill="auto"/>
            <w:vAlign w:val="center"/>
          </w:tcPr>
          <w:p w:rsidR="00FD4D29" w:rsidRPr="00E36FB7" w:rsidRDefault="00FD4D29" w:rsidP="00F57FE9">
            <w:pPr>
              <w:spacing w:line="360" w:lineRule="auto"/>
              <w:contextualSpacing/>
              <w:jc w:val="center"/>
              <w:rPr>
                <w:sz w:val="20"/>
                <w:szCs w:val="20"/>
              </w:rPr>
            </w:pPr>
          </w:p>
        </w:tc>
        <w:tc>
          <w:tcPr>
            <w:tcW w:w="1440" w:type="dxa"/>
            <w:vMerge/>
            <w:shd w:val="clear" w:color="auto" w:fill="auto"/>
            <w:vAlign w:val="center"/>
          </w:tcPr>
          <w:p w:rsidR="00FD4D29" w:rsidRPr="00E36FB7" w:rsidRDefault="00FD4D29" w:rsidP="00F57FE9">
            <w:pPr>
              <w:spacing w:line="360" w:lineRule="auto"/>
              <w:contextualSpacing/>
              <w:jc w:val="center"/>
              <w:rPr>
                <w:sz w:val="20"/>
                <w:szCs w:val="20"/>
              </w:rPr>
            </w:pPr>
          </w:p>
        </w:tc>
      </w:tr>
      <w:tr w:rsidR="00FD4D29" w:rsidRPr="00E36FB7" w:rsidTr="00D07021">
        <w:trPr>
          <w:trHeight w:val="991"/>
        </w:trPr>
        <w:tc>
          <w:tcPr>
            <w:tcW w:w="1620" w:type="dxa"/>
            <w:vMerge/>
            <w:tcBorders>
              <w:bottom w:val="single" w:sz="4" w:space="0" w:color="auto"/>
            </w:tcBorders>
            <w:shd w:val="clear" w:color="auto" w:fill="auto"/>
            <w:vAlign w:val="center"/>
          </w:tcPr>
          <w:p w:rsidR="00FD4D29" w:rsidRPr="00E36FB7" w:rsidRDefault="00FD4D29" w:rsidP="00F57FE9">
            <w:pPr>
              <w:spacing w:line="360" w:lineRule="auto"/>
              <w:contextualSpacing/>
              <w:jc w:val="center"/>
              <w:rPr>
                <w:sz w:val="20"/>
                <w:szCs w:val="20"/>
              </w:rPr>
            </w:pPr>
          </w:p>
        </w:tc>
        <w:tc>
          <w:tcPr>
            <w:tcW w:w="1908" w:type="dxa"/>
            <w:vMerge/>
            <w:tcBorders>
              <w:bottom w:val="single" w:sz="4" w:space="0" w:color="auto"/>
            </w:tcBorders>
            <w:shd w:val="clear" w:color="auto" w:fill="auto"/>
            <w:vAlign w:val="center"/>
          </w:tcPr>
          <w:p w:rsidR="00FD4D29" w:rsidRPr="00E36FB7" w:rsidRDefault="00FD4D29" w:rsidP="00F57FE9">
            <w:pPr>
              <w:spacing w:line="360" w:lineRule="auto"/>
              <w:contextualSpacing/>
              <w:jc w:val="center"/>
              <w:rPr>
                <w:sz w:val="20"/>
                <w:szCs w:val="20"/>
              </w:rPr>
            </w:pPr>
          </w:p>
        </w:tc>
        <w:tc>
          <w:tcPr>
            <w:tcW w:w="1962" w:type="dxa"/>
            <w:tcBorders>
              <w:bottom w:val="single" w:sz="4" w:space="0" w:color="auto"/>
            </w:tcBorders>
            <w:shd w:val="clear" w:color="auto" w:fill="auto"/>
            <w:vAlign w:val="center"/>
          </w:tcPr>
          <w:p w:rsidR="00FD4D29" w:rsidRPr="00E36FB7" w:rsidRDefault="00FD4D29" w:rsidP="00E36FB7">
            <w:pPr>
              <w:pStyle w:val="ListParagraph"/>
              <w:numPr>
                <w:ilvl w:val="0"/>
                <w:numId w:val="5"/>
              </w:numPr>
              <w:spacing w:line="360" w:lineRule="auto"/>
              <w:ind w:left="234"/>
            </w:pPr>
            <w:r w:rsidRPr="00E36FB7">
              <w:rPr>
                <w:i/>
                <w:iCs/>
              </w:rPr>
              <w:t>In-vivo</w:t>
            </w:r>
            <w:r w:rsidRPr="00E36FB7">
              <w:t xml:space="preserve"> studies</w:t>
            </w:r>
          </w:p>
        </w:tc>
        <w:tc>
          <w:tcPr>
            <w:tcW w:w="2070" w:type="dxa"/>
            <w:tcBorders>
              <w:bottom w:val="single" w:sz="4" w:space="0" w:color="auto"/>
            </w:tcBorders>
          </w:tcPr>
          <w:p w:rsidR="00FD4D29" w:rsidRPr="00E36FB7" w:rsidRDefault="00FD4D29" w:rsidP="00F57FE9">
            <w:pPr>
              <w:spacing w:line="360" w:lineRule="auto"/>
              <w:contextualSpacing/>
              <w:jc w:val="center"/>
              <w:rPr>
                <w:sz w:val="20"/>
                <w:szCs w:val="20"/>
              </w:rPr>
            </w:pPr>
            <w:r w:rsidRPr="00E36FB7">
              <w:rPr>
                <w:sz w:val="20"/>
                <w:szCs w:val="20"/>
              </w:rPr>
              <w:t>an indirect method for the assessment of drug in rat plasma</w:t>
            </w:r>
          </w:p>
        </w:tc>
        <w:tc>
          <w:tcPr>
            <w:tcW w:w="1260" w:type="dxa"/>
            <w:vMerge/>
            <w:tcBorders>
              <w:bottom w:val="single" w:sz="4" w:space="0" w:color="auto"/>
            </w:tcBorders>
            <w:shd w:val="clear" w:color="auto" w:fill="auto"/>
            <w:vAlign w:val="center"/>
          </w:tcPr>
          <w:p w:rsidR="00FD4D29" w:rsidRPr="00E36FB7" w:rsidRDefault="00FD4D29" w:rsidP="00F57FE9">
            <w:pPr>
              <w:spacing w:line="360" w:lineRule="auto"/>
              <w:contextualSpacing/>
              <w:jc w:val="center"/>
              <w:rPr>
                <w:sz w:val="20"/>
                <w:szCs w:val="20"/>
              </w:rPr>
            </w:pPr>
          </w:p>
        </w:tc>
        <w:tc>
          <w:tcPr>
            <w:tcW w:w="1440" w:type="dxa"/>
            <w:vMerge/>
            <w:tcBorders>
              <w:bottom w:val="single" w:sz="4" w:space="0" w:color="auto"/>
            </w:tcBorders>
            <w:shd w:val="clear" w:color="auto" w:fill="auto"/>
            <w:vAlign w:val="center"/>
          </w:tcPr>
          <w:p w:rsidR="00FD4D29" w:rsidRPr="00E36FB7" w:rsidRDefault="00FD4D29" w:rsidP="00F57FE9">
            <w:pPr>
              <w:spacing w:line="360" w:lineRule="auto"/>
              <w:contextualSpacing/>
              <w:jc w:val="center"/>
              <w:rPr>
                <w:sz w:val="20"/>
                <w:szCs w:val="20"/>
              </w:rPr>
            </w:pPr>
          </w:p>
        </w:tc>
      </w:tr>
    </w:tbl>
    <w:p w:rsidR="00FD4D29" w:rsidRPr="00F57FE9" w:rsidRDefault="00FD4D29" w:rsidP="00F57FE9">
      <w:pPr>
        <w:spacing w:line="360" w:lineRule="auto"/>
        <w:jc w:val="both"/>
        <w:rPr>
          <w:iCs/>
        </w:rPr>
      </w:pPr>
      <w:r w:rsidRPr="00F57FE9">
        <w:rPr>
          <w:iCs/>
        </w:rPr>
        <w:t xml:space="preserve">* TPQP: Target Product Quality Profile; TPP: Target Product Profile; CMA: Critical Material Attribute; QTPP: Quality Target Product Profile; CPP= Critical Processing Parameter; SEM: </w:t>
      </w:r>
      <w:r w:rsidRPr="00F57FE9">
        <w:rPr>
          <w:iCs/>
        </w:rPr>
        <w:lastRenderedPageBreak/>
        <w:t>Scanning Electron Microscopy; USP: United States Pharmacopeia; PCS: Photon Correlation Spectroscopy; PDI: Polydispersity Index.</w:t>
      </w:r>
    </w:p>
    <w:p w:rsidR="003527E6" w:rsidRPr="00F57FE9" w:rsidRDefault="003527E6" w:rsidP="00F57FE9">
      <w:pPr>
        <w:spacing w:line="360" w:lineRule="auto"/>
        <w:jc w:val="both"/>
        <w:rPr>
          <w:b/>
        </w:rPr>
      </w:pPr>
      <w:r w:rsidRPr="00F57FE9">
        <w:rPr>
          <w:b/>
          <w:bCs/>
        </w:rPr>
        <w:t>2.2.3.2. Ishikawa diagram for risk assessment</w:t>
      </w:r>
    </w:p>
    <w:p w:rsidR="003527E6" w:rsidRPr="00F57FE9" w:rsidRDefault="003527E6" w:rsidP="00F57FE9">
      <w:pPr>
        <w:spacing w:line="360" w:lineRule="auto"/>
        <w:jc w:val="both"/>
      </w:pPr>
      <w:r w:rsidRPr="00F57FE9">
        <w:t xml:space="preserve">In the context of risk assessment, the main critical material and process parameters that influence the formulation quality were established. An Ishikawa fishbone diagram </w:t>
      </w:r>
      <w:proofErr w:type="gramStart"/>
      <w:r w:rsidR="00D61DB4" w:rsidRPr="00F57FE9">
        <w:t xml:space="preserve">is </w:t>
      </w:r>
      <w:r w:rsidRPr="00F57FE9">
        <w:t>also referred</w:t>
      </w:r>
      <w:proofErr w:type="gramEnd"/>
      <w:r w:rsidRPr="00F57FE9">
        <w:t xml:space="preserve"> to as a cause-effect diagram</w:t>
      </w:r>
      <w:r w:rsidR="00B0562D" w:rsidRPr="00F57FE9">
        <w:t xml:space="preserve">, </w:t>
      </w:r>
      <w:r w:rsidRPr="00F57FE9">
        <w:t>developed to define the CPPs and CMAs. Only three-parameter were indicated as important factors influencing formulation i.e. drug content (DC), average particle size, and entrapment efficiency (EE) as CQAs following the risk analysis using the diagram and preliminary studies</w:t>
      </w:r>
      <w:r w:rsidR="00D721EA">
        <w:t>.</w:t>
      </w:r>
      <w:r w:rsidR="007163F6" w:rsidRPr="00F57FE9">
        <w:fldChar w:fldCharType="begin"/>
      </w:r>
      <w:r w:rsidR="00F57FE9" w:rsidRPr="00F57FE9">
        <w:instrText xml:space="preserve"> ADDIN EN.CITE &lt;EndNote&gt;&lt;Cite&gt;&lt;Author&gt;Srinivas&lt;/Author&gt;&lt;Year&gt;2017&lt;/Year&gt;&lt;RecNum&gt;20&lt;/RecNum&gt;&lt;DisplayText&gt;&lt;style face="superscript"&gt;18, 19&lt;/style&gt;&lt;/DisplayText&gt;&lt;record&gt;&lt;rec-number&gt;20&lt;/rec-number&gt;&lt;foreign-keys&gt;&lt;key app="EN" db-id="sv2ef2t2hvz5asez0dnprs50e22was0afref" timestamp="1588932367"&gt;20&lt;/key&gt;&lt;/foreign-keys&gt;&lt;ref-type name="Journal Article"&gt;17&lt;/ref-type&gt;&lt;contributors&gt;&lt;authors&gt;&lt;author&gt;Srinivas, Navya Sree Kola&lt;/author&gt;&lt;author&gt;Verma, Ruchi&lt;/author&gt;&lt;author&gt;Kulyadi, Girish Pai&lt;/author&gt;&lt;author&gt;Kumar, Lalit&lt;/author&gt;&lt;/authors&gt;&lt;/contributors&gt;&lt;titles&gt;&lt;title&gt;A quality by design approach on polymeric nanocarrier delivery of gefitinib: formulation, in vitro, and in vivo characterization&lt;/title&gt;&lt;secondary-title&gt;International journal of nanomedicine&lt;/secondary-title&gt;&lt;/titles&gt;&lt;periodical&gt;&lt;full-title&gt;International journal of nanomedicine&lt;/full-title&gt;&lt;/periodical&gt;&lt;pages&gt;15&lt;/pages&gt;&lt;volume&gt;12&lt;/volume&gt;&lt;dates&gt;&lt;year&gt;2017&lt;/year&gt;&lt;/dates&gt;&lt;urls&gt;&lt;/urls&gt;&lt;/record&gt;&lt;/Cite&gt;&lt;Cite&gt;&lt;Author&gt;Yerlikaya&lt;/Author&gt;&lt;Year&gt;2013&lt;/Year&gt;&lt;RecNum&gt;21&lt;/RecNum&gt;&lt;record&gt;&lt;rec-number&gt;21&lt;/rec-number&gt;&lt;foreign-keys&gt;&lt;key app="EN" db-id="sv2ef2t2hvz5asez0dnprs50e22was0afref" timestamp="1588932436"&gt;21&lt;/key&gt;&lt;/foreign-keys&gt;&lt;ref-type name="Journal Article"&gt;17&lt;/ref-type&gt;&lt;contributors&gt;&lt;authors&gt;&lt;author&gt;Yerlikaya, Firat&lt;/author&gt;&lt;author&gt;Ozgen, Aysegul&lt;/author&gt;&lt;author&gt;Vural, Imran&lt;/author&gt;&lt;author&gt;Guven, Olgun&lt;/author&gt;&lt;author&gt;Karaagaoglu, Ergun&lt;/author&gt;&lt;author&gt;Khan, Mansoor A&lt;/author&gt;&lt;author&gt;Capan, Yilmaz&lt;/author&gt;&lt;/authors&gt;&lt;/contributors&gt;&lt;titles&gt;&lt;title&gt;Development and evaluation of paclitaxel nanoparticles using a quality-by-design approach&lt;/title&gt;&lt;secondary-title&gt;Journal of pharmaceutical sciences&lt;/secondary-title&gt;&lt;/titles&gt;&lt;periodical&gt;&lt;full-title&gt;Journal of pharmaceutical sciences&lt;/full-title&gt;&lt;/periodical&gt;&lt;pages&gt;3748-3761&lt;/pages&gt;&lt;volume&gt;102&lt;/volume&gt;&lt;number&gt;10&lt;/number&gt;&lt;dates&gt;&lt;year&gt;2013&lt;/year&gt;&lt;/dates&gt;&lt;isbn&gt;0022-3549&lt;/isbn&gt;&lt;urls&gt;&lt;/urls&gt;&lt;/record&gt;&lt;/Cite&gt;&lt;/EndNote&gt;</w:instrText>
      </w:r>
      <w:r w:rsidR="007163F6" w:rsidRPr="00F57FE9">
        <w:fldChar w:fldCharType="separate"/>
      </w:r>
      <w:r w:rsidR="00F57FE9" w:rsidRPr="00F57FE9">
        <w:rPr>
          <w:noProof/>
          <w:vertAlign w:val="superscript"/>
        </w:rPr>
        <w:t>1</w:t>
      </w:r>
      <w:r w:rsidR="000D31F9">
        <w:rPr>
          <w:noProof/>
          <w:vertAlign w:val="superscript"/>
        </w:rPr>
        <w:t>7</w:t>
      </w:r>
      <w:r w:rsidR="00F57FE9" w:rsidRPr="00F57FE9">
        <w:rPr>
          <w:noProof/>
          <w:vertAlign w:val="superscript"/>
        </w:rPr>
        <w:t>, 1</w:t>
      </w:r>
      <w:r w:rsidR="000D31F9">
        <w:rPr>
          <w:noProof/>
          <w:vertAlign w:val="superscript"/>
        </w:rPr>
        <w:t>8</w:t>
      </w:r>
      <w:r w:rsidR="007163F6" w:rsidRPr="00F57FE9">
        <w:fldChar w:fldCharType="end"/>
      </w:r>
      <w:r w:rsidRPr="00F57FE9">
        <w:t xml:space="preserve"> </w:t>
      </w:r>
    </w:p>
    <w:p w:rsidR="003527E6" w:rsidRPr="00F57FE9" w:rsidRDefault="003527E6" w:rsidP="00F57FE9">
      <w:pPr>
        <w:autoSpaceDE w:val="0"/>
        <w:autoSpaceDN w:val="0"/>
        <w:adjustRightInd w:val="0"/>
        <w:spacing w:line="360" w:lineRule="auto"/>
        <w:jc w:val="both"/>
        <w:rPr>
          <w:b/>
        </w:rPr>
      </w:pPr>
      <w:r w:rsidRPr="00F57FE9">
        <w:rPr>
          <w:b/>
        </w:rPr>
        <w:t>2.2.3.3. Experimental design</w:t>
      </w:r>
    </w:p>
    <w:p w:rsidR="003527E6" w:rsidRPr="00F57FE9" w:rsidRDefault="003527E6" w:rsidP="00F57FE9">
      <w:pPr>
        <w:spacing w:line="360" w:lineRule="auto"/>
        <w:jc w:val="both"/>
      </w:pPr>
      <w:r w:rsidRPr="00F57FE9">
        <w:t xml:space="preserve">Eight independent variables were selected based on risk analysis, (Table 2) namely speed of </w:t>
      </w:r>
      <w:r w:rsidR="00F46C90" w:rsidRPr="00F57FE9">
        <w:t>high-speed homogenizer (pre-</w:t>
      </w:r>
      <w:r w:rsidRPr="00F57FE9">
        <w:t>NS) (X1</w:t>
      </w:r>
      <w:r w:rsidR="00F46C90" w:rsidRPr="00F57FE9">
        <w:t>), time of homogenizer (pre-</w:t>
      </w:r>
      <w:r w:rsidRPr="00F57FE9">
        <w:t>NS</w:t>
      </w:r>
      <w:r w:rsidR="00F46C90" w:rsidRPr="00F57FE9">
        <w:t>)</w:t>
      </w:r>
      <w:r w:rsidRPr="00F57FE9">
        <w:t xml:space="preserve"> (X2), homogenization pressure (X3), number of cycles (X4), the concentration of poloxamer </w:t>
      </w:r>
      <w:r w:rsidR="00F46C90" w:rsidRPr="00F57FE9">
        <w:t>188 (X5), the concentration of s</w:t>
      </w:r>
      <w:r w:rsidRPr="00F57FE9">
        <w:t>odium lauryl sulf</w:t>
      </w:r>
      <w:r w:rsidR="00F46C90" w:rsidRPr="00F57FE9">
        <w:t>ate (X6), the concentration of t</w:t>
      </w:r>
      <w:r w:rsidRPr="00F57FE9">
        <w:t xml:space="preserve">ween 80 (X7), the concentration of MTX (X8). For the optimization study of NS, the response surface method </w:t>
      </w:r>
      <w:proofErr w:type="gramStart"/>
      <w:r w:rsidRPr="00F57FE9">
        <w:t>was employed</w:t>
      </w:r>
      <w:proofErr w:type="gramEnd"/>
      <w:r w:rsidRPr="00F57FE9">
        <w:t xml:space="preserve">. Furthermore, each of these factors </w:t>
      </w:r>
      <w:proofErr w:type="gramStart"/>
      <w:r w:rsidRPr="00F57FE9">
        <w:t>w</w:t>
      </w:r>
      <w:r w:rsidR="0000487E" w:rsidRPr="00F57FE9">
        <w:t>ere</w:t>
      </w:r>
      <w:proofErr w:type="gramEnd"/>
      <w:r w:rsidRPr="00F57FE9">
        <w:t xml:space="preserve"> evaluated at two levels, including six center points; Plackett-Burman Design (PB design) was used to study the effect of the</w:t>
      </w:r>
      <w:r w:rsidR="0000487E" w:rsidRPr="00F57FE9">
        <w:t>se</w:t>
      </w:r>
      <w:r w:rsidRPr="00F57FE9">
        <w:t xml:space="preserve"> variables on the preparation of NS. </w:t>
      </w:r>
      <w:r w:rsidRPr="00F57FE9">
        <w:rPr>
          <w:rFonts w:eastAsia="MinionPro-Regular"/>
        </w:rPr>
        <w:t xml:space="preserve">Design-Expert (Version11.0.5.0, Stat-Ease Inc., MN) software was used for the analysis of </w:t>
      </w:r>
      <w:proofErr w:type="gramStart"/>
      <w:r w:rsidRPr="00F57FE9">
        <w:rPr>
          <w:rFonts w:eastAsia="MinionPro-Regular"/>
        </w:rPr>
        <w:t>three response</w:t>
      </w:r>
      <w:proofErr w:type="gramEnd"/>
      <w:r w:rsidRPr="00F57FE9">
        <w:rPr>
          <w:rFonts w:eastAsia="MinionPro-Regular"/>
        </w:rPr>
        <w:t xml:space="preserve"> variables</w:t>
      </w:r>
      <w:r w:rsidRPr="00F57FE9">
        <w:t xml:space="preserve"> viz., particle size (Y1), DC (Y2), and EE (Y3). The experiment </w:t>
      </w:r>
      <w:proofErr w:type="gramStart"/>
      <w:r w:rsidRPr="00F57FE9">
        <w:t>was conducted</w:t>
      </w:r>
      <w:proofErr w:type="gramEnd"/>
      <w:r w:rsidRPr="00F57FE9">
        <w:t xml:space="preserve"> in random order according to the runs or trial organized by design expert software</w:t>
      </w:r>
      <w:r w:rsidR="001E7A7D" w:rsidRPr="00F57FE9">
        <w:t xml:space="preserve">. </w:t>
      </w:r>
      <w:r w:rsidRPr="00F57FE9">
        <w:t xml:space="preserve">Besides, the variable analysis (ANOVA) </w:t>
      </w:r>
      <w:proofErr w:type="gramStart"/>
      <w:r w:rsidRPr="00F57FE9">
        <w:t>was used</w:t>
      </w:r>
      <w:proofErr w:type="gramEnd"/>
      <w:r w:rsidRPr="00F57FE9">
        <w:t xml:space="preserve"> to estimate the significance of interaction and key effects. Factors that have a marginal effect on the reaction variables at a significance level of 95 % </w:t>
      </w:r>
      <w:proofErr w:type="gramStart"/>
      <w:r w:rsidRPr="00F57FE9">
        <w:t>have been analyzed</w:t>
      </w:r>
      <w:proofErr w:type="gramEnd"/>
      <w:r w:rsidRPr="00F57FE9">
        <w:t xml:space="preserve"> and CCD further optimizes the remaining important factors influencing the response variables. </w:t>
      </w:r>
    </w:p>
    <w:p w:rsidR="003527E6" w:rsidRPr="00F57FE9" w:rsidRDefault="00F059FF" w:rsidP="00D07021">
      <w:pPr>
        <w:spacing w:line="360" w:lineRule="auto"/>
        <w:ind w:left="57" w:right="57"/>
      </w:pPr>
      <w:proofErr w:type="gramStart"/>
      <w:r>
        <w:rPr>
          <w:b/>
          <w:bCs/>
        </w:rPr>
        <w:t>Table 2.</w:t>
      </w:r>
      <w:proofErr w:type="gramEnd"/>
      <w:r>
        <w:rPr>
          <w:b/>
          <w:bCs/>
        </w:rPr>
        <w:t xml:space="preserve"> </w:t>
      </w:r>
      <w:r w:rsidR="003527E6" w:rsidRPr="00F57FE9">
        <w:t>Plackett–Burman Design with independen</w:t>
      </w:r>
      <w:r w:rsidR="0057780D" w:rsidRPr="00F57FE9">
        <w:t>t variables and their responses</w:t>
      </w:r>
    </w:p>
    <w:tbl>
      <w:tblPr>
        <w:tblW w:w="0" w:type="auto"/>
        <w:jc w:val="center"/>
        <w:tblLayout w:type="fixed"/>
        <w:tblLook w:val="04A0"/>
      </w:tblPr>
      <w:tblGrid>
        <w:gridCol w:w="1867"/>
        <w:gridCol w:w="5135"/>
        <w:gridCol w:w="1075"/>
        <w:gridCol w:w="1170"/>
      </w:tblGrid>
      <w:tr w:rsidR="00FD4D29" w:rsidRPr="00F57FE9" w:rsidTr="00D07021">
        <w:trPr>
          <w:jc w:val="center"/>
        </w:trPr>
        <w:tc>
          <w:tcPr>
            <w:tcW w:w="7002" w:type="dxa"/>
            <w:gridSpan w:val="2"/>
            <w:vMerge w:val="restart"/>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Factors</w:t>
            </w:r>
          </w:p>
        </w:tc>
        <w:tc>
          <w:tcPr>
            <w:tcW w:w="2245" w:type="dxa"/>
            <w:gridSpan w:val="2"/>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Levels</w:t>
            </w:r>
          </w:p>
        </w:tc>
      </w:tr>
      <w:tr w:rsidR="00FD4D29" w:rsidRPr="00F57FE9" w:rsidTr="00D07021">
        <w:trPr>
          <w:jc w:val="center"/>
        </w:trPr>
        <w:tc>
          <w:tcPr>
            <w:tcW w:w="7002" w:type="dxa"/>
            <w:gridSpan w:val="2"/>
            <w:vMerge/>
            <w:tcBorders>
              <w:top w:val="single" w:sz="4" w:space="0" w:color="auto"/>
              <w:bottom w:val="single" w:sz="4" w:space="0" w:color="auto"/>
            </w:tcBorders>
            <w:vAlign w:val="center"/>
          </w:tcPr>
          <w:p w:rsidR="00FD4D29" w:rsidRPr="00F57FE9" w:rsidRDefault="00FD4D29" w:rsidP="00F57FE9">
            <w:pPr>
              <w:spacing w:line="360" w:lineRule="auto"/>
              <w:jc w:val="center"/>
              <w:rPr>
                <w:b/>
              </w:rPr>
            </w:pPr>
          </w:p>
        </w:tc>
        <w:tc>
          <w:tcPr>
            <w:tcW w:w="1075"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High</w:t>
            </w:r>
          </w:p>
        </w:tc>
        <w:tc>
          <w:tcPr>
            <w:tcW w:w="1170"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Low</w:t>
            </w:r>
          </w:p>
        </w:tc>
      </w:tr>
      <w:tr w:rsidR="00FD4D29" w:rsidRPr="00F57FE9" w:rsidTr="00D07021">
        <w:trPr>
          <w:jc w:val="center"/>
        </w:trPr>
        <w:tc>
          <w:tcPr>
            <w:tcW w:w="1867" w:type="dxa"/>
            <w:tcBorders>
              <w:top w:val="single" w:sz="4" w:space="0" w:color="auto"/>
            </w:tcBorders>
            <w:vAlign w:val="center"/>
          </w:tcPr>
          <w:p w:rsidR="00FD4D29" w:rsidRPr="00F57FE9" w:rsidRDefault="00FD4D29" w:rsidP="00F57FE9">
            <w:pPr>
              <w:spacing w:line="360" w:lineRule="auto"/>
              <w:jc w:val="center"/>
            </w:pPr>
            <w:r w:rsidRPr="00F57FE9">
              <w:t>X1</w:t>
            </w:r>
          </w:p>
        </w:tc>
        <w:tc>
          <w:tcPr>
            <w:tcW w:w="5135" w:type="dxa"/>
            <w:tcBorders>
              <w:top w:val="single" w:sz="4" w:space="0" w:color="auto"/>
            </w:tcBorders>
            <w:vAlign w:val="center"/>
          </w:tcPr>
          <w:p w:rsidR="00FD4D29" w:rsidRPr="00F57FE9" w:rsidRDefault="00FD4D29" w:rsidP="00F57FE9">
            <w:pPr>
              <w:spacing w:line="360" w:lineRule="auto"/>
            </w:pPr>
            <w:r w:rsidRPr="00F57FE9">
              <w:t>Speed of Homogenizer (Preliminary Stage) (rpm)</w:t>
            </w:r>
          </w:p>
        </w:tc>
        <w:tc>
          <w:tcPr>
            <w:tcW w:w="1075" w:type="dxa"/>
            <w:tcBorders>
              <w:top w:val="single" w:sz="4" w:space="0" w:color="auto"/>
            </w:tcBorders>
            <w:vAlign w:val="center"/>
          </w:tcPr>
          <w:p w:rsidR="00FD4D29" w:rsidRPr="00F57FE9" w:rsidRDefault="00FD4D29" w:rsidP="00F57FE9">
            <w:pPr>
              <w:spacing w:line="360" w:lineRule="auto"/>
              <w:jc w:val="center"/>
            </w:pPr>
            <w:r w:rsidRPr="00F57FE9">
              <w:t>8000</w:t>
            </w:r>
          </w:p>
        </w:tc>
        <w:tc>
          <w:tcPr>
            <w:tcW w:w="1170" w:type="dxa"/>
            <w:vAlign w:val="center"/>
          </w:tcPr>
          <w:p w:rsidR="00FD4D29" w:rsidRPr="00F57FE9" w:rsidRDefault="00FD4D29" w:rsidP="00F57FE9">
            <w:pPr>
              <w:spacing w:line="360" w:lineRule="auto"/>
              <w:jc w:val="center"/>
            </w:pPr>
            <w:r w:rsidRPr="00F57FE9">
              <w:t>6000</w:t>
            </w:r>
          </w:p>
        </w:tc>
      </w:tr>
      <w:tr w:rsidR="00FD4D29" w:rsidRPr="00F57FE9" w:rsidTr="00D07021">
        <w:trPr>
          <w:jc w:val="center"/>
        </w:trPr>
        <w:tc>
          <w:tcPr>
            <w:tcW w:w="1867" w:type="dxa"/>
            <w:vAlign w:val="center"/>
          </w:tcPr>
          <w:p w:rsidR="00FD4D29" w:rsidRPr="00F57FE9" w:rsidRDefault="00FD4D29" w:rsidP="00F57FE9">
            <w:pPr>
              <w:spacing w:line="360" w:lineRule="auto"/>
              <w:jc w:val="center"/>
            </w:pPr>
            <w:r w:rsidRPr="00F57FE9">
              <w:t>X2</w:t>
            </w:r>
          </w:p>
        </w:tc>
        <w:tc>
          <w:tcPr>
            <w:tcW w:w="5135" w:type="dxa"/>
            <w:vAlign w:val="center"/>
          </w:tcPr>
          <w:p w:rsidR="00FD4D29" w:rsidRPr="00F57FE9" w:rsidRDefault="00FD4D29" w:rsidP="00F57FE9">
            <w:pPr>
              <w:spacing w:line="360" w:lineRule="auto"/>
            </w:pPr>
            <w:r w:rsidRPr="00F57FE9">
              <w:t>Time of Homogenizer (Preliminary Stage) (min.)</w:t>
            </w:r>
          </w:p>
        </w:tc>
        <w:tc>
          <w:tcPr>
            <w:tcW w:w="1075" w:type="dxa"/>
            <w:vAlign w:val="center"/>
          </w:tcPr>
          <w:p w:rsidR="00FD4D29" w:rsidRPr="00F57FE9" w:rsidRDefault="00FD4D29" w:rsidP="00F57FE9">
            <w:pPr>
              <w:spacing w:line="360" w:lineRule="auto"/>
              <w:jc w:val="center"/>
            </w:pPr>
            <w:r w:rsidRPr="00F57FE9">
              <w:t>45</w:t>
            </w:r>
          </w:p>
        </w:tc>
        <w:tc>
          <w:tcPr>
            <w:tcW w:w="1170" w:type="dxa"/>
            <w:vAlign w:val="center"/>
          </w:tcPr>
          <w:p w:rsidR="00FD4D29" w:rsidRPr="00F57FE9" w:rsidRDefault="00FD4D29" w:rsidP="00F57FE9">
            <w:pPr>
              <w:spacing w:line="360" w:lineRule="auto"/>
              <w:jc w:val="center"/>
            </w:pPr>
            <w:r w:rsidRPr="00F57FE9">
              <w:t>30</w:t>
            </w:r>
          </w:p>
        </w:tc>
      </w:tr>
      <w:tr w:rsidR="00FD4D29" w:rsidRPr="00F57FE9" w:rsidTr="00D07021">
        <w:trPr>
          <w:jc w:val="center"/>
        </w:trPr>
        <w:tc>
          <w:tcPr>
            <w:tcW w:w="1867" w:type="dxa"/>
            <w:vAlign w:val="center"/>
          </w:tcPr>
          <w:p w:rsidR="00FD4D29" w:rsidRPr="00F57FE9" w:rsidRDefault="00FD4D29" w:rsidP="00F57FE9">
            <w:pPr>
              <w:spacing w:line="360" w:lineRule="auto"/>
              <w:jc w:val="center"/>
            </w:pPr>
            <w:r w:rsidRPr="00F57FE9">
              <w:t>X3</w:t>
            </w:r>
          </w:p>
        </w:tc>
        <w:tc>
          <w:tcPr>
            <w:tcW w:w="5135" w:type="dxa"/>
            <w:vAlign w:val="center"/>
          </w:tcPr>
          <w:p w:rsidR="00FD4D29" w:rsidRPr="00F57FE9" w:rsidRDefault="00FD4D29" w:rsidP="00F57FE9">
            <w:pPr>
              <w:spacing w:line="360" w:lineRule="auto"/>
            </w:pPr>
            <w:r w:rsidRPr="00F57FE9">
              <w:t>Homogenization Pressure (Bars * 1000)</w:t>
            </w:r>
          </w:p>
        </w:tc>
        <w:tc>
          <w:tcPr>
            <w:tcW w:w="1075" w:type="dxa"/>
            <w:vAlign w:val="center"/>
          </w:tcPr>
          <w:p w:rsidR="00FD4D29" w:rsidRPr="00F57FE9" w:rsidRDefault="00FD4D29" w:rsidP="00F57FE9">
            <w:pPr>
              <w:spacing w:line="360" w:lineRule="auto"/>
              <w:jc w:val="center"/>
            </w:pPr>
            <w:r w:rsidRPr="00F57FE9">
              <w:t>25</w:t>
            </w:r>
          </w:p>
        </w:tc>
        <w:tc>
          <w:tcPr>
            <w:tcW w:w="1170" w:type="dxa"/>
            <w:vAlign w:val="center"/>
          </w:tcPr>
          <w:p w:rsidR="00FD4D29" w:rsidRPr="00F57FE9" w:rsidRDefault="00FD4D29" w:rsidP="00F57FE9">
            <w:pPr>
              <w:spacing w:line="360" w:lineRule="auto"/>
              <w:jc w:val="center"/>
            </w:pPr>
            <w:r w:rsidRPr="00F57FE9">
              <w:t>5</w:t>
            </w:r>
          </w:p>
        </w:tc>
      </w:tr>
      <w:tr w:rsidR="00FD4D29" w:rsidRPr="00F57FE9" w:rsidTr="00D07021">
        <w:trPr>
          <w:jc w:val="center"/>
        </w:trPr>
        <w:tc>
          <w:tcPr>
            <w:tcW w:w="1867" w:type="dxa"/>
            <w:vAlign w:val="center"/>
          </w:tcPr>
          <w:p w:rsidR="00FD4D29" w:rsidRPr="00F57FE9" w:rsidRDefault="00FD4D29" w:rsidP="00F57FE9">
            <w:pPr>
              <w:spacing w:line="360" w:lineRule="auto"/>
              <w:jc w:val="center"/>
            </w:pPr>
            <w:r w:rsidRPr="00F57FE9">
              <w:t>X4</w:t>
            </w:r>
          </w:p>
        </w:tc>
        <w:tc>
          <w:tcPr>
            <w:tcW w:w="5135" w:type="dxa"/>
            <w:vAlign w:val="center"/>
          </w:tcPr>
          <w:p w:rsidR="00FD4D29" w:rsidRPr="00F57FE9" w:rsidRDefault="00FD4D29" w:rsidP="00F57FE9">
            <w:pPr>
              <w:spacing w:line="360" w:lineRule="auto"/>
            </w:pPr>
            <w:r w:rsidRPr="00F57FE9">
              <w:t>Number of Cycles</w:t>
            </w:r>
          </w:p>
        </w:tc>
        <w:tc>
          <w:tcPr>
            <w:tcW w:w="1075" w:type="dxa"/>
            <w:vAlign w:val="center"/>
          </w:tcPr>
          <w:p w:rsidR="00FD4D29" w:rsidRPr="00F57FE9" w:rsidRDefault="00FD4D29" w:rsidP="00F57FE9">
            <w:pPr>
              <w:spacing w:line="360" w:lineRule="auto"/>
              <w:jc w:val="center"/>
            </w:pPr>
            <w:r w:rsidRPr="00F57FE9">
              <w:t>25</w:t>
            </w:r>
          </w:p>
        </w:tc>
        <w:tc>
          <w:tcPr>
            <w:tcW w:w="1170" w:type="dxa"/>
            <w:vAlign w:val="center"/>
          </w:tcPr>
          <w:p w:rsidR="00FD4D29" w:rsidRPr="00F57FE9" w:rsidRDefault="00FD4D29" w:rsidP="00F57FE9">
            <w:pPr>
              <w:spacing w:line="360" w:lineRule="auto"/>
              <w:jc w:val="center"/>
            </w:pPr>
            <w:r w:rsidRPr="00F57FE9">
              <w:t>5</w:t>
            </w:r>
          </w:p>
        </w:tc>
      </w:tr>
      <w:tr w:rsidR="00FD4D29" w:rsidRPr="00F57FE9" w:rsidTr="00D07021">
        <w:trPr>
          <w:jc w:val="center"/>
        </w:trPr>
        <w:tc>
          <w:tcPr>
            <w:tcW w:w="1867" w:type="dxa"/>
            <w:vAlign w:val="center"/>
          </w:tcPr>
          <w:p w:rsidR="00FD4D29" w:rsidRPr="00F57FE9" w:rsidRDefault="00FD4D29" w:rsidP="00F57FE9">
            <w:pPr>
              <w:spacing w:line="360" w:lineRule="auto"/>
              <w:jc w:val="center"/>
            </w:pPr>
            <w:r w:rsidRPr="00F57FE9">
              <w:lastRenderedPageBreak/>
              <w:t>X5</w:t>
            </w:r>
          </w:p>
        </w:tc>
        <w:tc>
          <w:tcPr>
            <w:tcW w:w="5135" w:type="dxa"/>
            <w:vAlign w:val="center"/>
          </w:tcPr>
          <w:p w:rsidR="00FD4D29" w:rsidRPr="00F57FE9" w:rsidRDefault="00FD4D29" w:rsidP="00F57FE9">
            <w:pPr>
              <w:spacing w:line="360" w:lineRule="auto"/>
            </w:pPr>
            <w:r w:rsidRPr="00F57FE9">
              <w:t>Concentration of Poloxamer 188 (mg)</w:t>
            </w:r>
          </w:p>
        </w:tc>
        <w:tc>
          <w:tcPr>
            <w:tcW w:w="1075" w:type="dxa"/>
            <w:vAlign w:val="center"/>
          </w:tcPr>
          <w:p w:rsidR="00FD4D29" w:rsidRPr="00F57FE9" w:rsidRDefault="00FD4D29" w:rsidP="00F57FE9">
            <w:pPr>
              <w:spacing w:line="360" w:lineRule="auto"/>
              <w:jc w:val="center"/>
            </w:pPr>
            <w:r w:rsidRPr="00F57FE9">
              <w:t>75</w:t>
            </w:r>
          </w:p>
        </w:tc>
        <w:tc>
          <w:tcPr>
            <w:tcW w:w="1170" w:type="dxa"/>
            <w:vAlign w:val="center"/>
          </w:tcPr>
          <w:p w:rsidR="00FD4D29" w:rsidRPr="00F57FE9" w:rsidRDefault="00FD4D29" w:rsidP="00F57FE9">
            <w:pPr>
              <w:spacing w:line="360" w:lineRule="auto"/>
              <w:jc w:val="center"/>
            </w:pPr>
            <w:r w:rsidRPr="00F57FE9">
              <w:t>50</w:t>
            </w:r>
          </w:p>
        </w:tc>
      </w:tr>
      <w:tr w:rsidR="00FD4D29" w:rsidRPr="00F57FE9" w:rsidTr="00D07021">
        <w:trPr>
          <w:jc w:val="center"/>
        </w:trPr>
        <w:tc>
          <w:tcPr>
            <w:tcW w:w="1867" w:type="dxa"/>
            <w:vAlign w:val="center"/>
          </w:tcPr>
          <w:p w:rsidR="00FD4D29" w:rsidRPr="00F57FE9" w:rsidRDefault="00FD4D29" w:rsidP="00F57FE9">
            <w:pPr>
              <w:spacing w:line="360" w:lineRule="auto"/>
              <w:jc w:val="center"/>
            </w:pPr>
            <w:r w:rsidRPr="00F57FE9">
              <w:t>X6</w:t>
            </w:r>
          </w:p>
        </w:tc>
        <w:tc>
          <w:tcPr>
            <w:tcW w:w="5135" w:type="dxa"/>
            <w:vAlign w:val="center"/>
          </w:tcPr>
          <w:p w:rsidR="00FD4D29" w:rsidRPr="00F57FE9" w:rsidRDefault="00FD4D29" w:rsidP="00F57FE9">
            <w:pPr>
              <w:spacing w:line="360" w:lineRule="auto"/>
            </w:pPr>
            <w:r w:rsidRPr="00F57FE9">
              <w:t>Concentration of Sodium Lauryl Sulphate (mg)</w:t>
            </w:r>
          </w:p>
        </w:tc>
        <w:tc>
          <w:tcPr>
            <w:tcW w:w="1075" w:type="dxa"/>
            <w:vAlign w:val="center"/>
          </w:tcPr>
          <w:p w:rsidR="00FD4D29" w:rsidRPr="00F57FE9" w:rsidRDefault="00FD4D29" w:rsidP="00F57FE9">
            <w:pPr>
              <w:spacing w:line="360" w:lineRule="auto"/>
              <w:jc w:val="center"/>
            </w:pPr>
            <w:r w:rsidRPr="00F57FE9">
              <w:t>75</w:t>
            </w:r>
          </w:p>
        </w:tc>
        <w:tc>
          <w:tcPr>
            <w:tcW w:w="1170" w:type="dxa"/>
            <w:vAlign w:val="center"/>
          </w:tcPr>
          <w:p w:rsidR="00FD4D29" w:rsidRPr="00F57FE9" w:rsidRDefault="00FD4D29" w:rsidP="00F57FE9">
            <w:pPr>
              <w:spacing w:line="360" w:lineRule="auto"/>
              <w:jc w:val="center"/>
            </w:pPr>
            <w:r w:rsidRPr="00F57FE9">
              <w:t>50</w:t>
            </w:r>
          </w:p>
        </w:tc>
      </w:tr>
      <w:tr w:rsidR="00FD4D29" w:rsidRPr="00F57FE9" w:rsidTr="00D07021">
        <w:trPr>
          <w:jc w:val="center"/>
        </w:trPr>
        <w:tc>
          <w:tcPr>
            <w:tcW w:w="1867" w:type="dxa"/>
            <w:vAlign w:val="center"/>
          </w:tcPr>
          <w:p w:rsidR="00FD4D29" w:rsidRPr="00F57FE9" w:rsidRDefault="00FD4D29" w:rsidP="00F57FE9">
            <w:pPr>
              <w:spacing w:line="360" w:lineRule="auto"/>
              <w:jc w:val="center"/>
            </w:pPr>
            <w:r w:rsidRPr="00F57FE9">
              <w:t>X7</w:t>
            </w:r>
          </w:p>
        </w:tc>
        <w:tc>
          <w:tcPr>
            <w:tcW w:w="5135" w:type="dxa"/>
            <w:vAlign w:val="center"/>
          </w:tcPr>
          <w:p w:rsidR="00FD4D29" w:rsidRPr="00F57FE9" w:rsidRDefault="00FD4D29" w:rsidP="00F57FE9">
            <w:pPr>
              <w:spacing w:line="360" w:lineRule="auto"/>
            </w:pPr>
            <w:r w:rsidRPr="00F57FE9">
              <w:t>Concentration of Tween 80 (mL)</w:t>
            </w:r>
          </w:p>
        </w:tc>
        <w:tc>
          <w:tcPr>
            <w:tcW w:w="1075" w:type="dxa"/>
            <w:vAlign w:val="center"/>
          </w:tcPr>
          <w:p w:rsidR="00FD4D29" w:rsidRPr="00F57FE9" w:rsidRDefault="00FD4D29" w:rsidP="00F57FE9">
            <w:pPr>
              <w:spacing w:line="360" w:lineRule="auto"/>
              <w:jc w:val="center"/>
            </w:pPr>
            <w:r w:rsidRPr="00F57FE9">
              <w:t>0.75</w:t>
            </w:r>
          </w:p>
        </w:tc>
        <w:tc>
          <w:tcPr>
            <w:tcW w:w="1170" w:type="dxa"/>
            <w:vAlign w:val="center"/>
          </w:tcPr>
          <w:p w:rsidR="00FD4D29" w:rsidRPr="00F57FE9" w:rsidRDefault="00FD4D29" w:rsidP="00F57FE9">
            <w:pPr>
              <w:spacing w:line="360" w:lineRule="auto"/>
              <w:jc w:val="center"/>
            </w:pPr>
            <w:r w:rsidRPr="00F57FE9">
              <w:t>0.50</w:t>
            </w:r>
          </w:p>
        </w:tc>
      </w:tr>
      <w:tr w:rsidR="00FD4D29" w:rsidRPr="00F57FE9" w:rsidTr="00D07021">
        <w:trPr>
          <w:jc w:val="center"/>
        </w:trPr>
        <w:tc>
          <w:tcPr>
            <w:tcW w:w="1867" w:type="dxa"/>
            <w:tcBorders>
              <w:bottom w:val="single" w:sz="4" w:space="0" w:color="auto"/>
            </w:tcBorders>
            <w:vAlign w:val="center"/>
          </w:tcPr>
          <w:p w:rsidR="00FD4D29" w:rsidRPr="00F57FE9" w:rsidRDefault="00FD4D29" w:rsidP="00F57FE9">
            <w:pPr>
              <w:spacing w:line="360" w:lineRule="auto"/>
              <w:jc w:val="center"/>
            </w:pPr>
            <w:r w:rsidRPr="00F57FE9">
              <w:t>X8</w:t>
            </w:r>
          </w:p>
        </w:tc>
        <w:tc>
          <w:tcPr>
            <w:tcW w:w="5135" w:type="dxa"/>
            <w:tcBorders>
              <w:bottom w:val="single" w:sz="4" w:space="0" w:color="auto"/>
            </w:tcBorders>
            <w:vAlign w:val="center"/>
          </w:tcPr>
          <w:p w:rsidR="00FD4D29" w:rsidRPr="00F57FE9" w:rsidRDefault="00FD4D29" w:rsidP="00F57FE9">
            <w:pPr>
              <w:spacing w:line="360" w:lineRule="auto"/>
            </w:pPr>
            <w:r w:rsidRPr="00F57FE9">
              <w:t>Concentration of Methotrexate (mg)</w:t>
            </w:r>
          </w:p>
        </w:tc>
        <w:tc>
          <w:tcPr>
            <w:tcW w:w="1075" w:type="dxa"/>
            <w:tcBorders>
              <w:bottom w:val="single" w:sz="4" w:space="0" w:color="auto"/>
            </w:tcBorders>
            <w:vAlign w:val="center"/>
          </w:tcPr>
          <w:p w:rsidR="00FD4D29" w:rsidRPr="00F57FE9" w:rsidRDefault="00FD4D29" w:rsidP="00F57FE9">
            <w:pPr>
              <w:spacing w:line="360" w:lineRule="auto"/>
              <w:jc w:val="center"/>
            </w:pPr>
            <w:r w:rsidRPr="00F57FE9">
              <w:t>150</w:t>
            </w:r>
          </w:p>
        </w:tc>
        <w:tc>
          <w:tcPr>
            <w:tcW w:w="1170" w:type="dxa"/>
            <w:tcBorders>
              <w:bottom w:val="single" w:sz="4" w:space="0" w:color="auto"/>
            </w:tcBorders>
            <w:vAlign w:val="center"/>
          </w:tcPr>
          <w:p w:rsidR="00FD4D29" w:rsidRPr="00F57FE9" w:rsidRDefault="00FD4D29" w:rsidP="00F57FE9">
            <w:pPr>
              <w:spacing w:line="360" w:lineRule="auto"/>
              <w:jc w:val="center"/>
            </w:pPr>
            <w:r w:rsidRPr="00F57FE9">
              <w:t>100</w:t>
            </w:r>
          </w:p>
        </w:tc>
      </w:tr>
    </w:tbl>
    <w:p w:rsidR="00FD4D29" w:rsidRPr="00F57FE9" w:rsidRDefault="00FD4D29" w:rsidP="00F57FE9">
      <w:pPr>
        <w:spacing w:line="360" w:lineRule="auto"/>
        <w:ind w:left="57" w:right="57"/>
        <w:jc w:val="center"/>
        <w:rPr>
          <w:b/>
        </w:rPr>
      </w:pPr>
    </w:p>
    <w:p w:rsidR="003527E6" w:rsidRPr="00F57FE9" w:rsidRDefault="003527E6" w:rsidP="00F57FE9">
      <w:pPr>
        <w:spacing w:line="360" w:lineRule="auto"/>
        <w:ind w:right="57"/>
        <w:jc w:val="both"/>
        <w:rPr>
          <w:b/>
        </w:rPr>
      </w:pPr>
      <w:r w:rsidRPr="00F57FE9">
        <w:rPr>
          <w:b/>
        </w:rPr>
        <w:t>2.2.3.4. Central Composite Design (CCD) for optimization of MTX-NS</w:t>
      </w:r>
    </w:p>
    <w:p w:rsidR="003527E6" w:rsidRPr="00F57FE9" w:rsidRDefault="003527E6" w:rsidP="00F57FE9">
      <w:pPr>
        <w:spacing w:line="360" w:lineRule="auto"/>
        <w:jc w:val="both"/>
      </w:pPr>
      <w:r w:rsidRPr="00F57FE9">
        <w:t>After the identification of critical formulation and process variables using PB screening design, 5</w:t>
      </w:r>
      <w:r w:rsidRPr="00F57FE9">
        <w:rPr>
          <w:vertAlign w:val="superscript"/>
        </w:rPr>
        <w:t>3</w:t>
      </w:r>
      <w:r w:rsidRPr="00F57FE9">
        <w:t xml:space="preserve"> CCD response surface methods </w:t>
      </w:r>
      <w:proofErr w:type="gramStart"/>
      <w:r w:rsidRPr="00F57FE9">
        <w:t>were used</w:t>
      </w:r>
      <w:proofErr w:type="gramEnd"/>
      <w:r w:rsidRPr="00F57FE9">
        <w:t xml:space="preserve"> to inspect the optimum levels of the variables. This consisted of two groups of design points, which include two-level factorial design points as -1 and  +1, axial, or star points as -α and +α along with center points as 0. Thus, the effect of three independent variables viz., the concentration of tween 80 (A), the concentration of poloxamer 188  (B) and the number of cycles (C) was studied at five different levels, with the coding of  -α, -1, 0, +1, and +α. Alpha value, 1.6817 fulfills the rotatability in the CCD. Dependent variables selected for the formulation of </w:t>
      </w:r>
      <w:r w:rsidRPr="00F57FE9">
        <w:rPr>
          <w:bCs/>
        </w:rPr>
        <w:t>MTX</w:t>
      </w:r>
      <w:r w:rsidRPr="00F57FE9">
        <w:t xml:space="preserve">NPs by CCD were particle size (Y1), DC (Y2) &amp; EE (Y3). Table 3 suggests the coded and actual values of variables. The Design Expert® software </w:t>
      </w:r>
      <w:proofErr w:type="gramStart"/>
      <w:r w:rsidRPr="00F57FE9">
        <w:t>was used</w:t>
      </w:r>
      <w:proofErr w:type="gramEnd"/>
      <w:r w:rsidRPr="00F57FE9">
        <w:t xml:space="preserve"> to generate a CCD matrix with 20 runs, which includes six replicated center points, one axial point, and one replication of fractional point. </w:t>
      </w:r>
    </w:p>
    <w:p w:rsidR="003527E6" w:rsidRPr="00F57FE9" w:rsidRDefault="003527E6" w:rsidP="00F059FF">
      <w:pPr>
        <w:spacing w:line="360" w:lineRule="auto"/>
        <w:ind w:right="57"/>
        <w:rPr>
          <w:bCs/>
          <w:iCs/>
        </w:rPr>
      </w:pPr>
      <w:proofErr w:type="gramStart"/>
      <w:r w:rsidRPr="00F059FF">
        <w:rPr>
          <w:b/>
          <w:iCs/>
        </w:rPr>
        <w:t>Table 3.</w:t>
      </w:r>
      <w:proofErr w:type="gramEnd"/>
      <w:r w:rsidRPr="00F57FE9">
        <w:rPr>
          <w:bCs/>
          <w:iCs/>
        </w:rPr>
        <w:t xml:space="preserve">  </w:t>
      </w:r>
      <w:proofErr w:type="gramStart"/>
      <w:r w:rsidRPr="00F57FE9">
        <w:rPr>
          <w:bCs/>
          <w:iCs/>
        </w:rPr>
        <w:t>5</w:t>
      </w:r>
      <w:r w:rsidRPr="00F57FE9">
        <w:rPr>
          <w:bCs/>
          <w:iCs/>
          <w:vertAlign w:val="superscript"/>
        </w:rPr>
        <w:t>3</w:t>
      </w:r>
      <w:proofErr w:type="gramEnd"/>
      <w:r w:rsidRPr="00F57FE9">
        <w:rPr>
          <w:bCs/>
          <w:iCs/>
        </w:rPr>
        <w:t xml:space="preserve"> Central Composite Design w</w:t>
      </w:r>
      <w:r w:rsidR="0057780D" w:rsidRPr="00F57FE9">
        <w:rPr>
          <w:bCs/>
          <w:iCs/>
        </w:rPr>
        <w:t>ith factors and their responses</w:t>
      </w:r>
    </w:p>
    <w:tbl>
      <w:tblPr>
        <w:tblW w:w="9282" w:type="dxa"/>
        <w:jc w:val="center"/>
        <w:tblLayout w:type="fixed"/>
        <w:tblLook w:val="04A0"/>
      </w:tblPr>
      <w:tblGrid>
        <w:gridCol w:w="940"/>
        <w:gridCol w:w="4050"/>
        <w:gridCol w:w="810"/>
        <w:gridCol w:w="810"/>
        <w:gridCol w:w="810"/>
        <w:gridCol w:w="810"/>
        <w:gridCol w:w="1052"/>
      </w:tblGrid>
      <w:tr w:rsidR="00FD4D29" w:rsidRPr="00F57FE9" w:rsidTr="00F059FF">
        <w:trPr>
          <w:jc w:val="center"/>
        </w:trPr>
        <w:tc>
          <w:tcPr>
            <w:tcW w:w="4990" w:type="dxa"/>
            <w:gridSpan w:val="2"/>
            <w:vMerge w:val="restart"/>
            <w:tcBorders>
              <w:top w:val="single" w:sz="4" w:space="0" w:color="auto"/>
            </w:tcBorders>
            <w:vAlign w:val="center"/>
          </w:tcPr>
          <w:p w:rsidR="00FD4D29" w:rsidRPr="00F57FE9" w:rsidRDefault="00FD4D29" w:rsidP="00F57FE9">
            <w:pPr>
              <w:spacing w:line="360" w:lineRule="auto"/>
              <w:jc w:val="center"/>
              <w:rPr>
                <w:b/>
              </w:rPr>
            </w:pPr>
            <w:r w:rsidRPr="00F57FE9">
              <w:rPr>
                <w:b/>
              </w:rPr>
              <w:t>Factors</w:t>
            </w:r>
          </w:p>
        </w:tc>
        <w:tc>
          <w:tcPr>
            <w:tcW w:w="4292" w:type="dxa"/>
            <w:gridSpan w:val="5"/>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Levels</w:t>
            </w:r>
          </w:p>
        </w:tc>
      </w:tr>
      <w:tr w:rsidR="00FD4D29" w:rsidRPr="00F57FE9" w:rsidTr="00F059FF">
        <w:trPr>
          <w:trHeight w:val="557"/>
          <w:jc w:val="center"/>
        </w:trPr>
        <w:tc>
          <w:tcPr>
            <w:tcW w:w="4990" w:type="dxa"/>
            <w:gridSpan w:val="2"/>
            <w:vMerge/>
            <w:tcBorders>
              <w:bottom w:val="single" w:sz="4" w:space="0" w:color="auto"/>
            </w:tcBorders>
            <w:vAlign w:val="center"/>
          </w:tcPr>
          <w:p w:rsidR="00FD4D29" w:rsidRPr="00F57FE9" w:rsidRDefault="00FD4D29" w:rsidP="00F57FE9">
            <w:pPr>
              <w:spacing w:line="360" w:lineRule="auto"/>
              <w:jc w:val="center"/>
              <w:rPr>
                <w:b/>
              </w:rPr>
            </w:pPr>
          </w:p>
        </w:tc>
        <w:tc>
          <w:tcPr>
            <w:tcW w:w="810"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-α</w:t>
            </w:r>
          </w:p>
        </w:tc>
        <w:tc>
          <w:tcPr>
            <w:tcW w:w="810"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-1</w:t>
            </w:r>
          </w:p>
        </w:tc>
        <w:tc>
          <w:tcPr>
            <w:tcW w:w="810"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0</w:t>
            </w:r>
          </w:p>
        </w:tc>
        <w:tc>
          <w:tcPr>
            <w:tcW w:w="810"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+1</w:t>
            </w:r>
          </w:p>
        </w:tc>
        <w:tc>
          <w:tcPr>
            <w:tcW w:w="1052"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+α</w:t>
            </w:r>
          </w:p>
        </w:tc>
      </w:tr>
      <w:tr w:rsidR="00FD4D29" w:rsidRPr="00F57FE9" w:rsidTr="00F059FF">
        <w:trPr>
          <w:jc w:val="center"/>
        </w:trPr>
        <w:tc>
          <w:tcPr>
            <w:tcW w:w="940" w:type="dxa"/>
            <w:tcBorders>
              <w:top w:val="single" w:sz="4" w:space="0" w:color="auto"/>
            </w:tcBorders>
            <w:vAlign w:val="center"/>
          </w:tcPr>
          <w:p w:rsidR="00FD4D29" w:rsidRPr="00F57FE9" w:rsidRDefault="00FD4D29" w:rsidP="00F57FE9">
            <w:pPr>
              <w:spacing w:line="360" w:lineRule="auto"/>
              <w:jc w:val="center"/>
            </w:pPr>
            <w:r w:rsidRPr="00F57FE9">
              <w:t>A</w:t>
            </w:r>
          </w:p>
        </w:tc>
        <w:tc>
          <w:tcPr>
            <w:tcW w:w="4050" w:type="dxa"/>
            <w:tcBorders>
              <w:top w:val="single" w:sz="4" w:space="0" w:color="auto"/>
            </w:tcBorders>
            <w:vAlign w:val="center"/>
          </w:tcPr>
          <w:p w:rsidR="00FD4D29" w:rsidRPr="00F57FE9" w:rsidRDefault="00FD4D29" w:rsidP="00F57FE9">
            <w:pPr>
              <w:spacing w:line="360" w:lineRule="auto"/>
            </w:pPr>
            <w:r w:rsidRPr="00F57FE9">
              <w:t>Concentration of Tween 80 (mL)</w:t>
            </w:r>
          </w:p>
        </w:tc>
        <w:tc>
          <w:tcPr>
            <w:tcW w:w="810" w:type="dxa"/>
            <w:tcBorders>
              <w:top w:val="single" w:sz="4" w:space="0" w:color="auto"/>
            </w:tcBorders>
            <w:vAlign w:val="center"/>
          </w:tcPr>
          <w:p w:rsidR="00FD4D29" w:rsidRPr="00F57FE9" w:rsidRDefault="00FD4D29" w:rsidP="00F57FE9">
            <w:pPr>
              <w:spacing w:line="360" w:lineRule="auto"/>
              <w:jc w:val="center"/>
            </w:pPr>
            <w:r w:rsidRPr="00F57FE9">
              <w:t>0.05</w:t>
            </w:r>
          </w:p>
        </w:tc>
        <w:tc>
          <w:tcPr>
            <w:tcW w:w="810" w:type="dxa"/>
            <w:tcBorders>
              <w:top w:val="single" w:sz="4" w:space="0" w:color="auto"/>
            </w:tcBorders>
            <w:vAlign w:val="center"/>
          </w:tcPr>
          <w:p w:rsidR="00FD4D29" w:rsidRPr="00F57FE9" w:rsidRDefault="00FD4D29" w:rsidP="00F57FE9">
            <w:pPr>
              <w:spacing w:line="360" w:lineRule="auto"/>
              <w:jc w:val="center"/>
            </w:pPr>
            <w:r w:rsidRPr="00F57FE9">
              <w:t>0.15</w:t>
            </w:r>
          </w:p>
        </w:tc>
        <w:tc>
          <w:tcPr>
            <w:tcW w:w="810" w:type="dxa"/>
            <w:tcBorders>
              <w:top w:val="single" w:sz="4" w:space="0" w:color="auto"/>
            </w:tcBorders>
            <w:vAlign w:val="center"/>
          </w:tcPr>
          <w:p w:rsidR="00FD4D29" w:rsidRPr="00F57FE9" w:rsidRDefault="00FD4D29" w:rsidP="00F57FE9">
            <w:pPr>
              <w:spacing w:line="360" w:lineRule="auto"/>
              <w:jc w:val="center"/>
            </w:pPr>
            <w:r w:rsidRPr="00F57FE9">
              <w:t>0.25</w:t>
            </w:r>
          </w:p>
        </w:tc>
        <w:tc>
          <w:tcPr>
            <w:tcW w:w="810" w:type="dxa"/>
            <w:tcBorders>
              <w:top w:val="single" w:sz="4" w:space="0" w:color="auto"/>
            </w:tcBorders>
            <w:vAlign w:val="center"/>
          </w:tcPr>
          <w:p w:rsidR="00FD4D29" w:rsidRPr="00F57FE9" w:rsidRDefault="00FD4D29" w:rsidP="00F57FE9">
            <w:pPr>
              <w:spacing w:line="360" w:lineRule="auto"/>
              <w:jc w:val="center"/>
            </w:pPr>
            <w:r w:rsidRPr="00F57FE9">
              <w:t>0.35</w:t>
            </w:r>
          </w:p>
        </w:tc>
        <w:tc>
          <w:tcPr>
            <w:tcW w:w="1052" w:type="dxa"/>
            <w:tcBorders>
              <w:top w:val="single" w:sz="4" w:space="0" w:color="auto"/>
            </w:tcBorders>
            <w:vAlign w:val="center"/>
          </w:tcPr>
          <w:p w:rsidR="00FD4D29" w:rsidRPr="00F57FE9" w:rsidRDefault="00FD4D29" w:rsidP="00F57FE9">
            <w:pPr>
              <w:spacing w:line="360" w:lineRule="auto"/>
              <w:jc w:val="center"/>
            </w:pPr>
            <w:r w:rsidRPr="00F57FE9">
              <w:t>0.45</w:t>
            </w:r>
          </w:p>
        </w:tc>
      </w:tr>
      <w:tr w:rsidR="00FD4D29" w:rsidRPr="00F57FE9" w:rsidTr="00F059FF">
        <w:trPr>
          <w:jc w:val="center"/>
        </w:trPr>
        <w:tc>
          <w:tcPr>
            <w:tcW w:w="940" w:type="dxa"/>
            <w:vAlign w:val="center"/>
          </w:tcPr>
          <w:p w:rsidR="00FD4D29" w:rsidRPr="00F57FE9" w:rsidRDefault="00FD4D29" w:rsidP="00F57FE9">
            <w:pPr>
              <w:spacing w:line="360" w:lineRule="auto"/>
              <w:jc w:val="center"/>
            </w:pPr>
            <w:r w:rsidRPr="00F57FE9">
              <w:t>B</w:t>
            </w:r>
          </w:p>
        </w:tc>
        <w:tc>
          <w:tcPr>
            <w:tcW w:w="4050" w:type="dxa"/>
            <w:vAlign w:val="center"/>
          </w:tcPr>
          <w:p w:rsidR="00FD4D29" w:rsidRPr="00F57FE9" w:rsidRDefault="00FD4D29" w:rsidP="00F57FE9">
            <w:pPr>
              <w:spacing w:line="360" w:lineRule="auto"/>
            </w:pPr>
            <w:r w:rsidRPr="00F57FE9">
              <w:t>Concentration of Poloxamer 188 (mg)</w:t>
            </w:r>
          </w:p>
        </w:tc>
        <w:tc>
          <w:tcPr>
            <w:tcW w:w="810" w:type="dxa"/>
            <w:vAlign w:val="center"/>
          </w:tcPr>
          <w:p w:rsidR="00FD4D29" w:rsidRPr="00F57FE9" w:rsidRDefault="00FD4D29" w:rsidP="00F57FE9">
            <w:pPr>
              <w:spacing w:line="360" w:lineRule="auto"/>
              <w:jc w:val="center"/>
            </w:pPr>
            <w:r w:rsidRPr="00F57FE9">
              <w:t>25</w:t>
            </w:r>
          </w:p>
        </w:tc>
        <w:tc>
          <w:tcPr>
            <w:tcW w:w="810" w:type="dxa"/>
            <w:vAlign w:val="center"/>
          </w:tcPr>
          <w:p w:rsidR="00FD4D29" w:rsidRPr="00F57FE9" w:rsidRDefault="00FD4D29" w:rsidP="00F57FE9">
            <w:pPr>
              <w:spacing w:line="360" w:lineRule="auto"/>
              <w:jc w:val="center"/>
            </w:pPr>
            <w:r w:rsidRPr="00F57FE9">
              <w:t>50</w:t>
            </w:r>
          </w:p>
        </w:tc>
        <w:tc>
          <w:tcPr>
            <w:tcW w:w="810" w:type="dxa"/>
            <w:vAlign w:val="center"/>
          </w:tcPr>
          <w:p w:rsidR="00FD4D29" w:rsidRPr="00F57FE9" w:rsidRDefault="00FD4D29" w:rsidP="00F57FE9">
            <w:pPr>
              <w:spacing w:line="360" w:lineRule="auto"/>
              <w:jc w:val="center"/>
            </w:pPr>
            <w:r w:rsidRPr="00F57FE9">
              <w:t>75</w:t>
            </w:r>
          </w:p>
        </w:tc>
        <w:tc>
          <w:tcPr>
            <w:tcW w:w="810" w:type="dxa"/>
            <w:vAlign w:val="center"/>
          </w:tcPr>
          <w:p w:rsidR="00FD4D29" w:rsidRPr="00F57FE9" w:rsidRDefault="00FD4D29" w:rsidP="00F57FE9">
            <w:pPr>
              <w:spacing w:line="360" w:lineRule="auto"/>
              <w:jc w:val="center"/>
            </w:pPr>
            <w:r w:rsidRPr="00F57FE9">
              <w:t>100</w:t>
            </w:r>
          </w:p>
        </w:tc>
        <w:tc>
          <w:tcPr>
            <w:tcW w:w="1052" w:type="dxa"/>
            <w:vAlign w:val="center"/>
          </w:tcPr>
          <w:p w:rsidR="00FD4D29" w:rsidRPr="00F57FE9" w:rsidRDefault="00FD4D29" w:rsidP="00F57FE9">
            <w:pPr>
              <w:spacing w:line="360" w:lineRule="auto"/>
              <w:jc w:val="center"/>
            </w:pPr>
            <w:r w:rsidRPr="00F57FE9">
              <w:t>125</w:t>
            </w:r>
          </w:p>
        </w:tc>
      </w:tr>
      <w:tr w:rsidR="00FD4D29" w:rsidRPr="00F57FE9" w:rsidTr="00F059FF">
        <w:trPr>
          <w:trHeight w:val="347"/>
          <w:jc w:val="center"/>
        </w:trPr>
        <w:tc>
          <w:tcPr>
            <w:tcW w:w="940" w:type="dxa"/>
            <w:tcBorders>
              <w:bottom w:val="single" w:sz="4" w:space="0" w:color="auto"/>
            </w:tcBorders>
            <w:vAlign w:val="center"/>
          </w:tcPr>
          <w:p w:rsidR="00FD4D29" w:rsidRPr="00F57FE9" w:rsidRDefault="00FD4D29" w:rsidP="00F57FE9">
            <w:pPr>
              <w:spacing w:line="360" w:lineRule="auto"/>
              <w:jc w:val="center"/>
            </w:pPr>
            <w:r w:rsidRPr="00F57FE9">
              <w:t>C</w:t>
            </w:r>
          </w:p>
        </w:tc>
        <w:tc>
          <w:tcPr>
            <w:tcW w:w="4050" w:type="dxa"/>
            <w:tcBorders>
              <w:bottom w:val="single" w:sz="4" w:space="0" w:color="auto"/>
            </w:tcBorders>
            <w:vAlign w:val="center"/>
          </w:tcPr>
          <w:p w:rsidR="00FD4D29" w:rsidRPr="00F57FE9" w:rsidRDefault="00FD4D29" w:rsidP="00F57FE9">
            <w:pPr>
              <w:spacing w:line="360" w:lineRule="auto"/>
            </w:pPr>
            <w:r w:rsidRPr="00F57FE9">
              <w:t>Number of cycles</w:t>
            </w:r>
          </w:p>
        </w:tc>
        <w:tc>
          <w:tcPr>
            <w:tcW w:w="810" w:type="dxa"/>
            <w:tcBorders>
              <w:bottom w:val="single" w:sz="4" w:space="0" w:color="auto"/>
            </w:tcBorders>
            <w:vAlign w:val="center"/>
          </w:tcPr>
          <w:p w:rsidR="00FD4D29" w:rsidRPr="00F57FE9" w:rsidRDefault="00FD4D29" w:rsidP="00F57FE9">
            <w:pPr>
              <w:spacing w:line="360" w:lineRule="auto"/>
              <w:jc w:val="center"/>
            </w:pPr>
            <w:r w:rsidRPr="00F57FE9">
              <w:t>10</w:t>
            </w:r>
          </w:p>
        </w:tc>
        <w:tc>
          <w:tcPr>
            <w:tcW w:w="810" w:type="dxa"/>
            <w:tcBorders>
              <w:bottom w:val="single" w:sz="4" w:space="0" w:color="auto"/>
            </w:tcBorders>
            <w:vAlign w:val="center"/>
          </w:tcPr>
          <w:p w:rsidR="00FD4D29" w:rsidRPr="00F57FE9" w:rsidRDefault="00FD4D29" w:rsidP="00F57FE9">
            <w:pPr>
              <w:spacing w:line="360" w:lineRule="auto"/>
              <w:jc w:val="center"/>
            </w:pPr>
            <w:r w:rsidRPr="00F57FE9">
              <w:t>20</w:t>
            </w:r>
          </w:p>
        </w:tc>
        <w:tc>
          <w:tcPr>
            <w:tcW w:w="810" w:type="dxa"/>
            <w:tcBorders>
              <w:bottom w:val="single" w:sz="4" w:space="0" w:color="auto"/>
            </w:tcBorders>
            <w:vAlign w:val="center"/>
          </w:tcPr>
          <w:p w:rsidR="00FD4D29" w:rsidRPr="00F57FE9" w:rsidRDefault="00FD4D29" w:rsidP="00F57FE9">
            <w:pPr>
              <w:spacing w:line="360" w:lineRule="auto"/>
              <w:jc w:val="center"/>
            </w:pPr>
            <w:r w:rsidRPr="00F57FE9">
              <w:t>30</w:t>
            </w:r>
          </w:p>
        </w:tc>
        <w:tc>
          <w:tcPr>
            <w:tcW w:w="810" w:type="dxa"/>
            <w:tcBorders>
              <w:bottom w:val="single" w:sz="4" w:space="0" w:color="auto"/>
            </w:tcBorders>
            <w:vAlign w:val="center"/>
          </w:tcPr>
          <w:p w:rsidR="00FD4D29" w:rsidRPr="00F57FE9" w:rsidRDefault="00FD4D29" w:rsidP="00F57FE9">
            <w:pPr>
              <w:spacing w:line="360" w:lineRule="auto"/>
              <w:jc w:val="center"/>
            </w:pPr>
            <w:r w:rsidRPr="00F57FE9">
              <w:t>40</w:t>
            </w:r>
          </w:p>
        </w:tc>
        <w:tc>
          <w:tcPr>
            <w:tcW w:w="1052" w:type="dxa"/>
            <w:tcBorders>
              <w:bottom w:val="single" w:sz="4" w:space="0" w:color="auto"/>
            </w:tcBorders>
            <w:vAlign w:val="center"/>
          </w:tcPr>
          <w:p w:rsidR="00FD4D29" w:rsidRPr="00F57FE9" w:rsidRDefault="00FD4D29" w:rsidP="00F57FE9">
            <w:pPr>
              <w:spacing w:line="360" w:lineRule="auto"/>
              <w:jc w:val="center"/>
            </w:pPr>
            <w:r w:rsidRPr="00F57FE9">
              <w:t>50</w:t>
            </w:r>
          </w:p>
        </w:tc>
      </w:tr>
    </w:tbl>
    <w:p w:rsidR="00FD4D29" w:rsidRPr="00F57FE9" w:rsidRDefault="00FD4D29" w:rsidP="00F57FE9">
      <w:pPr>
        <w:spacing w:line="360" w:lineRule="auto"/>
        <w:ind w:right="57"/>
        <w:jc w:val="center"/>
        <w:rPr>
          <w:bCs/>
          <w:i/>
          <w:iCs/>
        </w:rPr>
      </w:pPr>
    </w:p>
    <w:p w:rsidR="003527E6" w:rsidRPr="00F57FE9" w:rsidRDefault="003527E6" w:rsidP="00F57FE9">
      <w:pPr>
        <w:spacing w:line="360" w:lineRule="auto"/>
        <w:jc w:val="both"/>
        <w:rPr>
          <w:b/>
          <w:bCs/>
        </w:rPr>
      </w:pPr>
      <w:r w:rsidRPr="00F57FE9">
        <w:rPr>
          <w:b/>
          <w:bCs/>
        </w:rPr>
        <w:t xml:space="preserve">2.2.4. Process analytical technology (PAT) –Particle size analysis, EE, and DC </w:t>
      </w:r>
    </w:p>
    <w:p w:rsidR="003527E6" w:rsidRPr="00F57FE9" w:rsidRDefault="003527E6" w:rsidP="00F57FE9">
      <w:pPr>
        <w:spacing w:line="360" w:lineRule="auto"/>
        <w:jc w:val="both"/>
      </w:pPr>
      <w:proofErr w:type="gramStart"/>
      <w:r w:rsidRPr="00F57FE9">
        <w:rPr>
          <w:bCs/>
        </w:rPr>
        <w:t xml:space="preserve">The particle size analysis of developed NS was measured by </w:t>
      </w:r>
      <w:r w:rsidRPr="00F57FE9">
        <w:t>Zetasizer 300 HAS (Malvern Instruments, Malvern, UK)</w:t>
      </w:r>
      <w:proofErr w:type="gramEnd"/>
      <w:r w:rsidRPr="00F57FE9">
        <w:t xml:space="preserve">. The EE and DC </w:t>
      </w:r>
      <w:proofErr w:type="gramStart"/>
      <w:r w:rsidRPr="00F57FE9">
        <w:t>were calculated</w:t>
      </w:r>
      <w:proofErr w:type="gramEnd"/>
      <w:r w:rsidRPr="00F57FE9">
        <w:t xml:space="preserve"> by using a UV-visible spectrophotometer (Jasco V-530, Japan) at 303 nm wavelengths. It was used for PAT for NS particle size, EE, and DC</w:t>
      </w:r>
      <w:r w:rsidR="00D721EA">
        <w:t>.</w:t>
      </w:r>
      <w:r w:rsidR="00493BE5" w:rsidRPr="00493BE5">
        <w:rPr>
          <w:vertAlign w:val="superscript"/>
        </w:rPr>
        <w:t>19,</w:t>
      </w:r>
      <w:r w:rsidR="00493BE5">
        <w:rPr>
          <w:vertAlign w:val="superscript"/>
        </w:rPr>
        <w:t xml:space="preserve"> </w:t>
      </w:r>
      <w:r w:rsidR="007163F6" w:rsidRPr="00F57FE9">
        <w:fldChar w:fldCharType="begin"/>
      </w:r>
      <w:r w:rsidR="00F57FE9" w:rsidRPr="00F57FE9">
        <w:instrText xml:space="preserve"> ADDIN EN.CITE &lt;EndNote&gt;&lt;Cite&gt;&lt;Author&gt;Rabelo&lt;/Author&gt;&lt;Year&gt;2012&lt;/Year&gt;&lt;RecNum&gt;24&lt;/RecNum&gt;&lt;DisplayText&gt;&lt;style face="superscript"&gt;20, 21&lt;/style&gt;&lt;/DisplayText&gt;&lt;record&gt;&lt;rec-number&gt;24&lt;/rec-number&gt;&lt;foreign-keys&gt;&lt;key app="EN" db-id="sv2ef2t2hvz5asez0dnprs50e22was0afref" timestamp="1588932677"&gt;24&lt;/key&gt;&lt;/foreign-keys&gt;&lt;ref-type name="Journal Article"&gt;17&lt;/ref-type&gt;&lt;contributors&gt;&lt;authors&gt;&lt;author&gt;Rabelo, Luciana&lt;/author&gt;&lt;author&gt;Monteiro, Norberto&lt;/author&gt;&lt;author&gt;Serquiz, Raphael&lt;/author&gt;&lt;author&gt;Santos, Paula&lt;/author&gt;&lt;author&gt;Oliveira, Ruth&lt;/author&gt;&lt;author&gt;Oliveira, Adeliana&lt;/author&gt;&lt;author&gt;Rocha, Hugo&lt;/author&gt;&lt;author&gt;Morais, Ana Heloneida&lt;/author&gt;&lt;author&gt;Uchoa, Adriana&lt;/author&gt;&lt;author&gt;Santos, Elizeu&lt;/author&gt;&lt;/authors&gt;&lt;/contributors&gt;&lt;titles&gt;&lt;title&gt;A lactose-binding lectin from the marine sponge Cinachyrella apion (Cal) induces cell death in human cervical adenocarcinoma cells&lt;/title&gt;&lt;secondary-title&gt;Marine drugs&lt;/secondary-title&gt;&lt;/titles&gt;&lt;periodical&gt;&lt;full-title&gt;Marine drugs&lt;/full-title&gt;&lt;/periodical&gt;&lt;pages&gt;727-743&lt;/pages&gt;&lt;volume&gt;10&lt;/volume&gt;&lt;number&gt;4&lt;/number&gt;&lt;dates&gt;&lt;year&gt;2012&lt;/year&gt;&lt;/dates&gt;&lt;urls&gt;&lt;/urls&gt;&lt;/record&gt;&lt;/Cite&gt;&lt;Cite&gt;&lt;Author&gt;Abdelbary&lt;/Author&gt;&lt;Year&gt;2015&lt;/Year&gt;&lt;RecNum&gt;25&lt;/RecNum&gt;&lt;record&gt;&lt;rec-number&gt;25&lt;/rec-number&gt;&lt;foreign-keys&gt;&lt;key app="EN" db-id="sv2ef2t2hvz5asez0dnprs50e22was0afref" timestamp="1588932705"&gt;25&lt;/key&gt;&lt;/foreign-keys&gt;&lt;ref-type name="Journal Article"&gt;17&lt;/ref-type&gt;&lt;contributors&gt;&lt;authors&gt;&lt;author&gt;Abdelbary, Aly A&lt;/author&gt;&lt;author&gt;Al-Mahallawi, Abdulaziz M&lt;/author&gt;&lt;author&gt;Abdelrahim, Mohamed E&lt;/author&gt;&lt;author&gt;Ali, Ahmed MA&lt;/author&gt;&lt;/authors&gt;&lt;/contributors&gt;&lt;titles&gt;&lt;title&gt;Preparation, optimization, and in vitro simulated inhalation delivery of carvedilol nanoparticles loaded on a coarse carrier intended for pulmonary administration&lt;/title&gt;&lt;secondary-title&gt;International journal of nanomedicine&lt;/secondary-title&gt;&lt;/titles&gt;&lt;periodical&gt;&lt;full-title&gt;International journal of nanomedicine&lt;/full-title&gt;&lt;/periodical&gt;&lt;pages&gt;6339&lt;/pages&gt;&lt;volume&gt;10&lt;/volume&gt;&lt;dates&gt;&lt;year&gt;2015&lt;/year&gt;&lt;/dates&gt;&lt;urls&gt;&lt;/urls&gt;&lt;/record&gt;&lt;/Cite&gt;&lt;/EndNote&gt;</w:instrText>
      </w:r>
      <w:r w:rsidR="007163F6" w:rsidRPr="00F57FE9">
        <w:fldChar w:fldCharType="separate"/>
      </w:r>
      <w:r w:rsidR="00F57FE9" w:rsidRPr="00F57FE9">
        <w:rPr>
          <w:noProof/>
          <w:vertAlign w:val="superscript"/>
        </w:rPr>
        <w:t>20</w:t>
      </w:r>
      <w:r w:rsidR="007163F6" w:rsidRPr="00F57FE9">
        <w:fldChar w:fldCharType="end"/>
      </w:r>
      <w:r w:rsidRPr="00F57FE9">
        <w:t xml:space="preserve"> </w:t>
      </w:r>
    </w:p>
    <w:p w:rsidR="003527E6" w:rsidRPr="00F57FE9" w:rsidRDefault="003527E6" w:rsidP="00F57FE9">
      <w:pPr>
        <w:spacing w:line="360" w:lineRule="auto"/>
        <w:ind w:right="57"/>
        <w:jc w:val="both"/>
        <w:rPr>
          <w:b/>
        </w:rPr>
      </w:pPr>
      <w:r w:rsidRPr="00F57FE9">
        <w:rPr>
          <w:b/>
        </w:rPr>
        <w:t>2.2.5. Characterization of NS</w:t>
      </w:r>
    </w:p>
    <w:p w:rsidR="003527E6" w:rsidRPr="00F57FE9" w:rsidRDefault="003527E6" w:rsidP="00F57FE9">
      <w:pPr>
        <w:spacing w:line="360" w:lineRule="auto"/>
        <w:ind w:right="57"/>
        <w:jc w:val="both"/>
        <w:rPr>
          <w:b/>
        </w:rPr>
      </w:pPr>
      <w:r w:rsidRPr="00F57FE9">
        <w:rPr>
          <w:b/>
        </w:rPr>
        <w:t xml:space="preserve">2.2.5.1. Particle </w:t>
      </w:r>
      <w:r w:rsidR="000E7F35" w:rsidRPr="00F57FE9">
        <w:rPr>
          <w:b/>
        </w:rPr>
        <w:t xml:space="preserve">size analysis  </w:t>
      </w:r>
    </w:p>
    <w:p w:rsidR="003527E6" w:rsidRPr="00F57FE9" w:rsidRDefault="003527E6" w:rsidP="00F57FE9">
      <w:pPr>
        <w:autoSpaceDE w:val="0"/>
        <w:autoSpaceDN w:val="0"/>
        <w:adjustRightInd w:val="0"/>
        <w:spacing w:line="360" w:lineRule="auto"/>
        <w:jc w:val="both"/>
        <w:rPr>
          <w:rFonts w:eastAsia="MinionPro-Regular"/>
        </w:rPr>
      </w:pPr>
      <w:r w:rsidRPr="00F57FE9">
        <w:lastRenderedPageBreak/>
        <w:t xml:space="preserve">MTX-NS particle size, polydispersity index (PDI), and zeta potential were measured at 25 °C by dynamic light scattering (DLS) method using Zetasizer </w:t>
      </w:r>
      <w:r w:rsidRPr="00F57FE9">
        <w:rPr>
          <w:rFonts w:eastAsia="MinionPro-Regular"/>
        </w:rPr>
        <w:t>300 HAS (Malvern Instruments, Malvern, UK) in triplicates</w:t>
      </w:r>
      <w:r w:rsidRPr="00F57FE9">
        <w:t xml:space="preserve"> in a 1 ml disposable polystyrene cuvette</w:t>
      </w:r>
      <w:r w:rsidRPr="00F57FE9">
        <w:rPr>
          <w:rFonts w:eastAsia="MinionPro-Regular"/>
        </w:rPr>
        <w:t xml:space="preserve">. For sample preparation, the </w:t>
      </w:r>
      <w:r w:rsidR="004105A2" w:rsidRPr="00F57FE9">
        <w:rPr>
          <w:rFonts w:eastAsia="MinionPro-Regular"/>
        </w:rPr>
        <w:t xml:space="preserve">1 mg of </w:t>
      </w:r>
      <w:r w:rsidRPr="00F57FE9">
        <w:rPr>
          <w:rFonts w:eastAsia="MinionPro-Regular"/>
        </w:rPr>
        <w:t xml:space="preserve">lyophilized </w:t>
      </w:r>
      <w:r w:rsidRPr="00F57FE9">
        <w:t>MTX-NS</w:t>
      </w:r>
      <w:r w:rsidRPr="00F57FE9">
        <w:rPr>
          <w:rFonts w:eastAsia="MinionPro-Regular"/>
        </w:rPr>
        <w:t xml:space="preserve"> was </w:t>
      </w:r>
      <w:r w:rsidR="004105A2" w:rsidRPr="00F57FE9">
        <w:rPr>
          <w:rFonts w:eastAsia="MinionPro-Regular"/>
        </w:rPr>
        <w:t>diluted in</w:t>
      </w:r>
      <w:r w:rsidR="00CB72D2" w:rsidRPr="00F57FE9">
        <w:rPr>
          <w:rFonts w:eastAsia="MinionPro-Regular"/>
        </w:rPr>
        <w:t xml:space="preserve"> </w:t>
      </w:r>
      <w:r w:rsidR="004105A2" w:rsidRPr="00F57FE9">
        <w:rPr>
          <w:rFonts w:eastAsia="MinionPro-Regular"/>
        </w:rPr>
        <w:t xml:space="preserve">10 ml </w:t>
      </w:r>
      <w:r w:rsidR="00CB72D2" w:rsidRPr="00F57FE9">
        <w:rPr>
          <w:rFonts w:eastAsia="MinionPro-Regular"/>
        </w:rPr>
        <w:t>water</w:t>
      </w:r>
      <w:r w:rsidRPr="00F57FE9">
        <w:rPr>
          <w:rFonts w:eastAsia="MinionPro-Regular"/>
        </w:rPr>
        <w:t xml:space="preserve"> and analysis was performed for independent samples</w:t>
      </w:r>
      <w:r w:rsidR="004105A2" w:rsidRPr="00F57FE9">
        <w:rPr>
          <w:rFonts w:eastAsia="MinionPro-Regular"/>
        </w:rPr>
        <w:t xml:space="preserve"> (n=6.18)</w:t>
      </w:r>
      <w:r w:rsidRPr="00F57FE9">
        <w:rPr>
          <w:rFonts w:eastAsia="MinionPro-Regular"/>
        </w:rPr>
        <w:t xml:space="preserve">. The values shown on average are the hydrodynamic sample diameter and the PDI value measured is the size distribution width. Besides, the zeta potential of NS </w:t>
      </w:r>
      <w:proofErr w:type="gramStart"/>
      <w:r w:rsidRPr="00F57FE9">
        <w:rPr>
          <w:rFonts w:eastAsia="MinionPro-Regular"/>
        </w:rPr>
        <w:t>was measured</w:t>
      </w:r>
      <w:proofErr w:type="gramEnd"/>
      <w:r w:rsidRPr="00F57FE9">
        <w:rPr>
          <w:rFonts w:eastAsia="MinionPro-Regular"/>
        </w:rPr>
        <w:t xml:space="preserve"> at the above-ment</w:t>
      </w:r>
      <w:r w:rsidR="00CD50E4" w:rsidRPr="00F57FE9">
        <w:rPr>
          <w:rFonts w:eastAsia="MinionPro-Regular"/>
        </w:rPr>
        <w:t xml:space="preserve">ioned zeta </w:t>
      </w:r>
      <w:proofErr w:type="spellStart"/>
      <w:r w:rsidR="00CD50E4" w:rsidRPr="00F57FE9">
        <w:rPr>
          <w:rFonts w:eastAsia="MinionPro-Regular"/>
        </w:rPr>
        <w:t>sizer</w:t>
      </w:r>
      <w:proofErr w:type="spellEnd"/>
      <w:r w:rsidR="00CD50E4" w:rsidRPr="00F57FE9">
        <w:rPr>
          <w:rFonts w:eastAsia="MinionPro-Regular"/>
        </w:rPr>
        <w:t>. It is determined</w:t>
      </w:r>
      <w:r w:rsidRPr="00F57FE9">
        <w:rPr>
          <w:rFonts w:eastAsia="MinionPro-Regular"/>
        </w:rPr>
        <w:t xml:space="preserve"> at an average of measurements based on the electrical mobility of particles in an electric field</w:t>
      </w:r>
      <w:r w:rsidR="00D721EA">
        <w:rPr>
          <w:rFonts w:eastAsia="MinionPro-Regular"/>
        </w:rPr>
        <w:t>.</w:t>
      </w:r>
      <w:r w:rsidR="007163F6" w:rsidRPr="00F57FE9">
        <w:rPr>
          <w:rFonts w:eastAsia="MinionPro-Regular"/>
        </w:rPr>
        <w:fldChar w:fldCharType="begin"/>
      </w:r>
      <w:r w:rsidR="00F57FE9" w:rsidRPr="00F57FE9">
        <w:rPr>
          <w:rFonts w:eastAsia="MinionPro-Regular"/>
        </w:rPr>
        <w:instrText xml:space="preserve"> ADDIN EN.CITE &lt;EndNote&gt;&lt;Cite&gt;&lt;Author&gt;Abdelbary&lt;/Author&gt;&lt;Year&gt;2015&lt;/Year&gt;&lt;RecNum&gt;25&lt;/RecNum&gt;&lt;DisplayText&gt;&lt;style face="superscript"&gt;12, 21&lt;/style&gt;&lt;/DisplayText&gt;&lt;record&gt;&lt;rec-number&gt;25&lt;/rec-number&gt;&lt;foreign-keys&gt;&lt;key app="EN" db-id="sv2ef2t2hvz5asez0dnprs50e22was0afref" timestamp="1588932705"&gt;25&lt;/key&gt;&lt;/foreign-keys&gt;&lt;ref-type name="Journal Article"&gt;17&lt;/ref-type&gt;&lt;contributors&gt;&lt;authors&gt;&lt;author&gt;Abdelbary, Aly A&lt;/author&gt;&lt;author&gt;Al-Mahallawi, Abdulaziz M&lt;/author&gt;&lt;author&gt;Abdelrahim, Mohamed E&lt;/author&gt;&lt;author&gt;Ali, Ahmed MA&lt;/author&gt;&lt;/authors&gt;&lt;/contributors&gt;&lt;titles&gt;&lt;title&gt;Preparation, optimization, and in vitro simulated inhalation delivery of carvedilol nanoparticles loaded on a coarse carrier intended for pulmonary administration&lt;/title&gt;&lt;secondary-title&gt;International journal of nanomedicine&lt;/secondary-title&gt;&lt;/titles&gt;&lt;periodical&gt;&lt;full-title&gt;International journal of nanomedicine&lt;/full-title&gt;&lt;/periodical&gt;&lt;pages&gt;6339&lt;/pages&gt;&lt;volume&gt;10&lt;/volume&gt;&lt;dates&gt;&lt;year&gt;2015&lt;/year&gt;&lt;/dates&gt;&lt;urls&gt;&lt;/urls&gt;&lt;/record&gt;&lt;/Cite&gt;&lt;Cite&gt;&lt;Author&gt;Powar&lt;/Author&gt;&lt;Year&gt;2020&lt;/Year&gt;&lt;RecNum&gt;9&lt;/RecNum&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EndNote&gt;</w:instrText>
      </w:r>
      <w:r w:rsidR="007163F6" w:rsidRPr="00F57FE9">
        <w:rPr>
          <w:rFonts w:eastAsia="MinionPro-Regular"/>
        </w:rPr>
        <w:fldChar w:fldCharType="separate"/>
      </w:r>
      <w:r w:rsidR="00F57FE9" w:rsidRPr="00F57FE9">
        <w:rPr>
          <w:rFonts w:eastAsia="MinionPro-Regular"/>
          <w:noProof/>
          <w:vertAlign w:val="superscript"/>
        </w:rPr>
        <w:t>1</w:t>
      </w:r>
      <w:r w:rsidR="00493BE5">
        <w:rPr>
          <w:rFonts w:eastAsia="MinionPro-Regular"/>
          <w:noProof/>
          <w:vertAlign w:val="superscript"/>
        </w:rPr>
        <w:t>1</w:t>
      </w:r>
      <w:r w:rsidR="00F57FE9" w:rsidRPr="00F57FE9">
        <w:rPr>
          <w:rFonts w:eastAsia="MinionPro-Regular"/>
          <w:noProof/>
          <w:vertAlign w:val="superscript"/>
        </w:rPr>
        <w:t>, 2</w:t>
      </w:r>
      <w:r w:rsidR="00493BE5">
        <w:rPr>
          <w:rFonts w:eastAsia="MinionPro-Regular"/>
          <w:noProof/>
          <w:vertAlign w:val="superscript"/>
        </w:rPr>
        <w:t>0</w:t>
      </w:r>
      <w:r w:rsidR="007163F6" w:rsidRPr="00F57FE9">
        <w:rPr>
          <w:rFonts w:eastAsia="MinionPro-Regular"/>
        </w:rPr>
        <w:fldChar w:fldCharType="end"/>
      </w:r>
    </w:p>
    <w:p w:rsidR="003527E6" w:rsidRPr="00F57FE9" w:rsidRDefault="003527E6" w:rsidP="00F57FE9">
      <w:pPr>
        <w:spacing w:line="360" w:lineRule="auto"/>
        <w:jc w:val="both"/>
        <w:rPr>
          <w:b/>
        </w:rPr>
      </w:pPr>
      <w:r w:rsidRPr="00F57FE9">
        <w:rPr>
          <w:b/>
        </w:rPr>
        <w:t>2.2.5.2. Scanning electron microscopy (SEM)                </w:t>
      </w:r>
    </w:p>
    <w:p w:rsidR="003527E6" w:rsidRPr="00F57FE9" w:rsidRDefault="003527E6" w:rsidP="00F57FE9">
      <w:pPr>
        <w:spacing w:line="360" w:lineRule="auto"/>
        <w:jc w:val="both"/>
        <w:rPr>
          <w:i/>
        </w:rPr>
      </w:pPr>
      <w:proofErr w:type="gramStart"/>
      <w:r w:rsidRPr="00F57FE9">
        <w:t>The morphology of MTX-NS was determined by SEM (JEOL JSM-6360, Japan)</w:t>
      </w:r>
      <w:proofErr w:type="gramEnd"/>
      <w:r w:rsidRPr="00F57FE9">
        <w:t xml:space="preserve">. Imaging </w:t>
      </w:r>
      <w:proofErr w:type="gramStart"/>
      <w:r w:rsidRPr="00F57FE9">
        <w:t>was performed</w:t>
      </w:r>
      <w:proofErr w:type="gramEnd"/>
      <w:r w:rsidRPr="00F57FE9">
        <w:t xml:space="preserve"> on SEM at a voltage of </w:t>
      </w:r>
      <w:r w:rsidRPr="00F57FE9">
        <w:rPr>
          <w:rFonts w:eastAsia="MinionPro-Regular"/>
        </w:rPr>
        <w:t xml:space="preserve">20 kV and a high vacuum. Lyophilized </w:t>
      </w:r>
      <w:r w:rsidRPr="00F57FE9">
        <w:t>MTX-NS</w:t>
      </w:r>
      <w:r w:rsidRPr="00F57FE9">
        <w:rPr>
          <w:rFonts w:eastAsia="MinionPro-Regular"/>
        </w:rPr>
        <w:t xml:space="preserve"> </w:t>
      </w:r>
      <w:proofErr w:type="gramStart"/>
      <w:r w:rsidRPr="00F57FE9">
        <w:rPr>
          <w:rFonts w:eastAsia="MinionPro-Regular"/>
        </w:rPr>
        <w:t>was placed</w:t>
      </w:r>
      <w:proofErr w:type="gramEnd"/>
      <w:r w:rsidRPr="00F57FE9">
        <w:rPr>
          <w:rFonts w:eastAsia="MinionPro-Regular"/>
        </w:rPr>
        <w:t xml:space="preserve"> on two-sided carbon tape and sputtered using gold-palladium alloy (3–5 nm of thickness) and imaging was captured using SEM</w:t>
      </w:r>
      <w:r w:rsidR="00D721EA">
        <w:rPr>
          <w:rFonts w:eastAsia="MinionPro-Regular"/>
        </w:rPr>
        <w:t>.</w:t>
      </w:r>
      <w:r w:rsidR="00D10CA0" w:rsidRPr="00D10CA0">
        <w:rPr>
          <w:rFonts w:eastAsia="MinionPro-Regular"/>
          <w:vertAlign w:val="superscript"/>
        </w:rPr>
        <w:t>2</w:t>
      </w:r>
      <w:r w:rsidR="00493BE5">
        <w:rPr>
          <w:rFonts w:eastAsia="MinionPro-Regular"/>
          <w:vertAlign w:val="superscript"/>
        </w:rPr>
        <w:t>1</w:t>
      </w:r>
      <w:r w:rsidR="00D10CA0" w:rsidRPr="00F57FE9">
        <w:rPr>
          <w:i/>
        </w:rPr>
        <w:t xml:space="preserve"> </w:t>
      </w:r>
    </w:p>
    <w:p w:rsidR="003527E6" w:rsidRPr="00F57FE9" w:rsidRDefault="003527E6" w:rsidP="00F57FE9">
      <w:pPr>
        <w:spacing w:line="360" w:lineRule="auto"/>
        <w:ind w:right="57"/>
        <w:jc w:val="both"/>
        <w:rPr>
          <w:b/>
        </w:rPr>
      </w:pPr>
      <w:r w:rsidRPr="00F57FE9">
        <w:rPr>
          <w:b/>
        </w:rPr>
        <w:t xml:space="preserve">2.2.5.3. X-ray </w:t>
      </w:r>
      <w:r w:rsidR="000E7F35" w:rsidRPr="00F57FE9">
        <w:rPr>
          <w:b/>
        </w:rPr>
        <w:t>crystallogr</w:t>
      </w:r>
      <w:r w:rsidRPr="00F57FE9">
        <w:rPr>
          <w:b/>
        </w:rPr>
        <w:t xml:space="preserve">aphy (XRD) </w:t>
      </w:r>
    </w:p>
    <w:p w:rsidR="003527E6" w:rsidRPr="00F57FE9" w:rsidRDefault="003527E6" w:rsidP="00F57FE9">
      <w:pPr>
        <w:spacing w:line="360" w:lineRule="auto"/>
        <w:jc w:val="both"/>
      </w:pPr>
      <w:r w:rsidRPr="00F57FE9">
        <w:rPr>
          <w:bCs/>
        </w:rPr>
        <w:t>Powder XRD analysis of pure drug, physical mixture (PM), and optimized NS were performed using an X-ray diffractometer (Philips analytical XRD, PW 3710) with Cu-</w:t>
      </w:r>
      <w:proofErr w:type="spellStart"/>
      <w:r w:rsidRPr="00F57FE9">
        <w:rPr>
          <w:bCs/>
        </w:rPr>
        <w:t>Kα</w:t>
      </w:r>
      <w:proofErr w:type="spellEnd"/>
      <w:r w:rsidRPr="00F57FE9">
        <w:rPr>
          <w:bCs/>
        </w:rPr>
        <w:t xml:space="preserve"> radiation (1.54 Å), at 40 kV, 40 mA by passing through a nickel filter. The samples were prepared by spreading the powder samples on the </w:t>
      </w:r>
      <w:proofErr w:type="gramStart"/>
      <w:r w:rsidRPr="00F57FE9">
        <w:rPr>
          <w:bCs/>
        </w:rPr>
        <w:t>specimen holding</w:t>
      </w:r>
      <w:proofErr w:type="gramEnd"/>
      <w:r w:rsidRPr="00F57FE9">
        <w:rPr>
          <w:bCs/>
        </w:rPr>
        <w:t xml:space="preserve"> ring and further it was subjected to sample angular scan. The samples </w:t>
      </w:r>
      <w:proofErr w:type="gramStart"/>
      <w:r w:rsidRPr="00F57FE9">
        <w:rPr>
          <w:bCs/>
        </w:rPr>
        <w:t>were analyzed</w:t>
      </w:r>
      <w:proofErr w:type="gramEnd"/>
      <w:r w:rsidRPr="00F57FE9">
        <w:rPr>
          <w:bCs/>
        </w:rPr>
        <w:t xml:space="preserve"> in the 2θ angle range of 5 to 80º. The range and the chart speed were 5 × 10</w:t>
      </w:r>
      <w:r w:rsidRPr="00F57FE9">
        <w:rPr>
          <w:bCs/>
          <w:vertAlign w:val="superscript"/>
        </w:rPr>
        <w:t>3</w:t>
      </w:r>
      <w:r w:rsidRPr="00F57FE9">
        <w:rPr>
          <w:bCs/>
        </w:rPr>
        <w:t xml:space="preserve"> CPS and 10 mm/º2θ</w:t>
      </w:r>
      <w:r w:rsidRPr="00F57FE9">
        <w:t>, respectively</w:t>
      </w:r>
      <w:r w:rsidR="00D721EA">
        <w:t>.</w:t>
      </w:r>
      <w:r w:rsidR="00D10CA0" w:rsidRPr="00D10CA0">
        <w:rPr>
          <w:vertAlign w:val="superscript"/>
        </w:rPr>
        <w:t>2</w:t>
      </w:r>
      <w:r w:rsidR="00493BE5">
        <w:rPr>
          <w:vertAlign w:val="superscript"/>
        </w:rPr>
        <w:t>1</w:t>
      </w:r>
    </w:p>
    <w:p w:rsidR="003527E6" w:rsidRPr="00F57FE9" w:rsidRDefault="003527E6" w:rsidP="00F57FE9">
      <w:pPr>
        <w:spacing w:line="360" w:lineRule="auto"/>
        <w:ind w:right="57"/>
        <w:jc w:val="both"/>
        <w:rPr>
          <w:b/>
        </w:rPr>
      </w:pPr>
      <w:r w:rsidRPr="00F57FE9">
        <w:rPr>
          <w:b/>
        </w:rPr>
        <w:t xml:space="preserve">2.2.5.4. Differential </w:t>
      </w:r>
      <w:r w:rsidR="000E7F35" w:rsidRPr="00F57FE9">
        <w:rPr>
          <w:b/>
        </w:rPr>
        <w:t xml:space="preserve">scanning calorimetry </w:t>
      </w:r>
      <w:r w:rsidRPr="00F57FE9">
        <w:rPr>
          <w:b/>
        </w:rPr>
        <w:t xml:space="preserve">(DSC) </w:t>
      </w:r>
    </w:p>
    <w:p w:rsidR="003527E6" w:rsidRPr="00F57FE9" w:rsidRDefault="003527E6" w:rsidP="00F57FE9">
      <w:pPr>
        <w:autoSpaceDE w:val="0"/>
        <w:autoSpaceDN w:val="0"/>
        <w:adjustRightInd w:val="0"/>
        <w:spacing w:line="360" w:lineRule="auto"/>
        <w:jc w:val="both"/>
      </w:pPr>
      <w:r w:rsidRPr="00F57FE9">
        <w:t xml:space="preserve">The samples of </w:t>
      </w:r>
      <w:r w:rsidRPr="00F57FE9">
        <w:rPr>
          <w:bCs/>
        </w:rPr>
        <w:t xml:space="preserve">pure drug, physical mixture (PM), and optimized NS </w:t>
      </w:r>
      <w:r w:rsidRPr="00F57FE9">
        <w:t xml:space="preserve">were accurately weighed and filled in aluminum pans followed by </w:t>
      </w:r>
      <w:r w:rsidR="007B7A8D" w:rsidRPr="00F57FE9">
        <w:t xml:space="preserve">a </w:t>
      </w:r>
      <w:r w:rsidRPr="00F57FE9">
        <w:t>sealing process and then shifted to DSC using Perkin-Elmer Pyris 6 DSC, coupled with Pyris software and equipped with a thermal analyzer (Perkin-Elmer Instruments, Norwalk, USA). Thermo grams were taken from 35 to 300</w:t>
      </w:r>
      <w:r w:rsidRPr="00F57FE9">
        <w:rPr>
          <w:vertAlign w:val="superscript"/>
        </w:rPr>
        <w:t>o</w:t>
      </w:r>
      <w:r w:rsidRPr="00F57FE9">
        <w:t>C with a heating rate of 10°C min</w:t>
      </w:r>
      <w:r w:rsidRPr="00F57FE9">
        <w:rPr>
          <w:vertAlign w:val="superscript"/>
        </w:rPr>
        <w:t>−1</w:t>
      </w:r>
      <w:r w:rsidRPr="00F57FE9">
        <w:t xml:space="preserve"> using a bare aluminum pan as a reference by heating the sample in the nitrogen atmosphere</w:t>
      </w:r>
      <w:r w:rsidR="00D721EA">
        <w:t>.</w:t>
      </w:r>
      <w:r w:rsidR="007163F6" w:rsidRPr="00F57FE9">
        <w:fldChar w:fldCharType="begin"/>
      </w:r>
      <w:r w:rsidR="00F57FE9" w:rsidRPr="00F57FE9">
        <w:instrText xml:space="preserve"> ADDIN EN.CITE &lt;EndNote&gt;&lt;Cite&gt;&lt;Author&gt;Powar&lt;/Author&gt;&lt;Year&gt;2020&lt;/Year&gt;&lt;RecNum&gt;9&lt;/RecNum&gt;&lt;DisplayText&gt;&lt;style face="superscript"&gt;12&lt;/style&gt;&lt;/DisplayText&gt;&lt;record&gt;&lt;rec-number&gt;9&lt;/rec-number&gt;&lt;foreign-keys&gt;&lt;key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EndNote&gt;</w:instrText>
      </w:r>
      <w:r w:rsidR="007163F6" w:rsidRPr="00F57FE9">
        <w:fldChar w:fldCharType="separate"/>
      </w:r>
      <w:r w:rsidR="00F57FE9" w:rsidRPr="00F57FE9">
        <w:rPr>
          <w:noProof/>
          <w:vertAlign w:val="superscript"/>
        </w:rPr>
        <w:t>1</w:t>
      </w:r>
      <w:r w:rsidR="00493BE5">
        <w:rPr>
          <w:noProof/>
          <w:vertAlign w:val="superscript"/>
        </w:rPr>
        <w:t>1</w:t>
      </w:r>
      <w:r w:rsidR="007163F6" w:rsidRPr="00F57FE9">
        <w:fldChar w:fldCharType="end"/>
      </w:r>
      <w:r w:rsidRPr="00F57FE9">
        <w:t xml:space="preserve"> </w:t>
      </w:r>
    </w:p>
    <w:p w:rsidR="003527E6" w:rsidRPr="00F57FE9" w:rsidRDefault="003527E6" w:rsidP="00F57FE9">
      <w:pPr>
        <w:spacing w:line="360" w:lineRule="auto"/>
        <w:ind w:right="57"/>
        <w:jc w:val="both"/>
        <w:rPr>
          <w:b/>
        </w:rPr>
      </w:pPr>
      <w:r w:rsidRPr="00F57FE9">
        <w:rPr>
          <w:b/>
          <w:bCs/>
        </w:rPr>
        <w:t xml:space="preserve">2.2.5.5. Fourier </w:t>
      </w:r>
      <w:proofErr w:type="gramStart"/>
      <w:r w:rsidR="000E7F35" w:rsidRPr="00F57FE9">
        <w:rPr>
          <w:b/>
          <w:bCs/>
        </w:rPr>
        <w:t>transform</w:t>
      </w:r>
      <w:proofErr w:type="gramEnd"/>
      <w:r w:rsidR="000E7F35" w:rsidRPr="00F57FE9">
        <w:rPr>
          <w:b/>
          <w:bCs/>
        </w:rPr>
        <w:t xml:space="preserve"> infrared spectroscopy </w:t>
      </w:r>
      <w:r w:rsidRPr="00F57FE9">
        <w:rPr>
          <w:b/>
          <w:bCs/>
        </w:rPr>
        <w:t>(</w:t>
      </w:r>
      <w:r w:rsidRPr="00F57FE9">
        <w:rPr>
          <w:b/>
        </w:rPr>
        <w:t>FTIR)</w:t>
      </w:r>
    </w:p>
    <w:p w:rsidR="003527E6" w:rsidRPr="00F57FE9" w:rsidRDefault="003527E6" w:rsidP="00F57FE9">
      <w:pPr>
        <w:spacing w:line="360" w:lineRule="auto"/>
        <w:ind w:right="57"/>
        <w:jc w:val="both"/>
      </w:pPr>
      <w:r w:rsidRPr="00F57FE9">
        <w:t xml:space="preserve">The FTIR of the drug, physical mixture (PM), and optimized lyophilized NS </w:t>
      </w:r>
      <w:proofErr w:type="gramStart"/>
      <w:r w:rsidRPr="00F57FE9">
        <w:t>were obtained</w:t>
      </w:r>
      <w:proofErr w:type="gramEnd"/>
      <w:r w:rsidRPr="00F57FE9">
        <w:t xml:space="preserve"> using the FTIR spectrophotometer (Agilent CARY 630 FTIR). The above-mentioned samples </w:t>
      </w:r>
      <w:proofErr w:type="gramStart"/>
      <w:r w:rsidRPr="00F57FE9">
        <w:lastRenderedPageBreak/>
        <w:t>were crushed to a fine powder, mulled with potassium bromide, and pressed to form a thin pellet and subjected to analysis</w:t>
      </w:r>
      <w:r w:rsidR="00D721EA">
        <w:t>.</w:t>
      </w:r>
      <w:r w:rsidR="00D10CA0" w:rsidRPr="00D10CA0">
        <w:rPr>
          <w:vertAlign w:val="superscript"/>
        </w:rPr>
        <w:t>2</w:t>
      </w:r>
      <w:r w:rsidR="00493BE5">
        <w:rPr>
          <w:vertAlign w:val="superscript"/>
        </w:rPr>
        <w:t>1</w:t>
      </w:r>
      <w:proofErr w:type="gramEnd"/>
      <w:r w:rsidRPr="00F57FE9">
        <w:t xml:space="preserve"> </w:t>
      </w:r>
    </w:p>
    <w:p w:rsidR="003527E6" w:rsidRPr="00F57FE9" w:rsidRDefault="003527E6" w:rsidP="00F57FE9">
      <w:pPr>
        <w:spacing w:line="360" w:lineRule="auto"/>
        <w:ind w:right="57"/>
        <w:jc w:val="both"/>
        <w:rPr>
          <w:b/>
        </w:rPr>
      </w:pPr>
      <w:r w:rsidRPr="00F57FE9">
        <w:rPr>
          <w:b/>
        </w:rPr>
        <w:t xml:space="preserve">2.2.5.6. Saturation </w:t>
      </w:r>
      <w:r w:rsidR="000E7F35" w:rsidRPr="00F57FE9">
        <w:rPr>
          <w:b/>
        </w:rPr>
        <w:t>solubility studies</w:t>
      </w:r>
    </w:p>
    <w:p w:rsidR="003527E6" w:rsidRPr="00F57FE9" w:rsidRDefault="003527E6" w:rsidP="00F57FE9">
      <w:pPr>
        <w:spacing w:line="360" w:lineRule="auto"/>
        <w:ind w:right="57"/>
        <w:jc w:val="both"/>
      </w:pPr>
      <w:r w:rsidRPr="00F57FE9">
        <w:t xml:space="preserve">Excess pure drug (MTX) and lyophilized MTX-NS in 10 mL of distilled water were added to their saturation, followed by agitation using an </w:t>
      </w:r>
      <w:r w:rsidRPr="00F57FE9">
        <w:rPr>
          <w:rFonts w:eastAsia="MinionPro-Regular"/>
        </w:rPr>
        <w:t xml:space="preserve">orbital shaker for 48 h at 25°C. The obtained samples </w:t>
      </w:r>
      <w:proofErr w:type="gramStart"/>
      <w:r w:rsidRPr="00F57FE9">
        <w:rPr>
          <w:rFonts w:eastAsia="MinionPro-Regular"/>
        </w:rPr>
        <w:t>were subjected</w:t>
      </w:r>
      <w:proofErr w:type="gramEnd"/>
      <w:r w:rsidRPr="00F57FE9">
        <w:rPr>
          <w:rFonts w:eastAsia="MinionPro-Regular"/>
        </w:rPr>
        <w:t xml:space="preserve"> to centrifugation. Then the supernatant layer was analyzed using a UV-visible spectrophotometer at 303 nm</w:t>
      </w:r>
      <w:r w:rsidR="00D721EA">
        <w:rPr>
          <w:rFonts w:eastAsia="MinionPro-Regular"/>
        </w:rPr>
        <w:t>.</w:t>
      </w:r>
      <w:r w:rsidR="007163F6" w:rsidRPr="00F57FE9">
        <w:rPr>
          <w:rFonts w:eastAsia="MinionPro-Regular"/>
        </w:rPr>
        <w:fldChar w:fldCharType="begin"/>
      </w:r>
      <w:r w:rsidR="00F57FE9" w:rsidRPr="00F57FE9">
        <w:rPr>
          <w:rFonts w:eastAsia="MinionPro-Regular"/>
        </w:rPr>
        <w:instrText xml:space="preserve"> ADDIN EN.CITE &lt;EndNote&gt;&lt;Cite&gt;&lt;Author&gt;Powar&lt;/Author&gt;&lt;Year&gt;2020&lt;/Year&gt;&lt;RecNum&gt;9&lt;/RecNum&gt;&lt;DisplayText&gt;&lt;style face="superscript"&gt;12, 25&lt;/style&gt;&lt;/DisplayText&gt;&lt;record&gt;&lt;rec-number&gt;9&lt;/rec-number&gt;&lt;foreign-keys&gt;&lt;key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Cite&gt;&lt;Author&gt;Yue&lt;/Author&gt;&lt;Year&gt;2012&lt;/Year&gt;&lt;RecNum&gt;30&lt;/RecNum&gt;&lt;record&gt;&lt;rec-number&gt;30&lt;/rec-number&gt;&lt;foreign-keys&gt;&lt;key app="EN" db-id="sv2ef2t2hvz5asez0dnprs50e22was0afref" timestamp="1588933386"&gt;30&lt;/key&gt;&lt;/foreign-keys&gt;&lt;ref-type name="Journal Article"&gt;17&lt;/ref-type&gt;&lt;contributors&gt;&lt;authors&gt;&lt;author&gt;Yue, Peng-Fei&lt;/author&gt;&lt;author&gt;Zheng, Qin&lt;/author&gt;&lt;author&gt;Wu, Bin&lt;/author&gt;&lt;author&gt;Hu, Peng-Yi&lt;/author&gt;&lt;author&gt;Wu, Zhen-Feng&lt;/author&gt;&lt;author&gt;Yang, Ming&lt;/author&gt;&lt;/authors&gt;&lt;/contributors&gt;&lt;titles&gt;&lt;title&gt;Application of Plackett-Burman design and Box-Behnken design to achieve process optimization for Geniposide submicron emulsion&lt;/title&gt;&lt;secondary-title&gt;Journal of dispersion science and technology&lt;/secondary-title&gt;&lt;/titles&gt;&lt;periodical&gt;&lt;full-title&gt;Journal of dispersion science and technology&lt;/full-title&gt;&lt;/periodical&gt;&lt;pages&gt;213-222&lt;/pages&gt;&lt;volume&gt;33&lt;/volume&gt;&lt;number&gt;2&lt;/number&gt;&lt;dates&gt;&lt;year&gt;2012&lt;/year&gt;&lt;/dates&gt;&lt;isbn&gt;0193-2691&lt;/isbn&gt;&lt;urls&gt;&lt;/urls&gt;&lt;/record&gt;&lt;/Cite&gt;&lt;/EndNote&gt;</w:instrText>
      </w:r>
      <w:r w:rsidR="007163F6" w:rsidRPr="00F57FE9">
        <w:rPr>
          <w:rFonts w:eastAsia="MinionPro-Regular"/>
        </w:rPr>
        <w:fldChar w:fldCharType="separate"/>
      </w:r>
      <w:r w:rsidR="00F57FE9" w:rsidRPr="00F57FE9">
        <w:rPr>
          <w:rFonts w:eastAsia="MinionPro-Regular"/>
          <w:noProof/>
          <w:vertAlign w:val="superscript"/>
        </w:rPr>
        <w:t>1</w:t>
      </w:r>
      <w:r w:rsidR="00493BE5">
        <w:rPr>
          <w:rFonts w:eastAsia="MinionPro-Regular"/>
          <w:noProof/>
          <w:vertAlign w:val="superscript"/>
        </w:rPr>
        <w:t>1</w:t>
      </w:r>
      <w:r w:rsidR="00F57FE9" w:rsidRPr="00F57FE9">
        <w:rPr>
          <w:rFonts w:eastAsia="MinionPro-Regular"/>
          <w:noProof/>
          <w:vertAlign w:val="superscript"/>
        </w:rPr>
        <w:t>, 2</w:t>
      </w:r>
      <w:r w:rsidR="00C264FB">
        <w:rPr>
          <w:rFonts w:eastAsia="MinionPro-Regular"/>
          <w:noProof/>
          <w:vertAlign w:val="superscript"/>
        </w:rPr>
        <w:t>2</w:t>
      </w:r>
      <w:r w:rsidR="007163F6" w:rsidRPr="00F57FE9">
        <w:rPr>
          <w:rFonts w:eastAsia="MinionPro-Regular"/>
        </w:rPr>
        <w:fldChar w:fldCharType="end"/>
      </w:r>
    </w:p>
    <w:p w:rsidR="003527E6" w:rsidRPr="00F57FE9" w:rsidRDefault="003527E6" w:rsidP="00F57FE9">
      <w:pPr>
        <w:spacing w:line="360" w:lineRule="auto"/>
        <w:ind w:right="57"/>
        <w:jc w:val="both"/>
        <w:rPr>
          <w:b/>
        </w:rPr>
      </w:pPr>
      <w:r w:rsidRPr="00F57FE9">
        <w:rPr>
          <w:b/>
        </w:rPr>
        <w:t>2.2.5.7. Tot</w:t>
      </w:r>
      <w:r w:rsidR="000E7F35" w:rsidRPr="00F57FE9">
        <w:rPr>
          <w:b/>
        </w:rPr>
        <w:t xml:space="preserve">al drug content </w:t>
      </w:r>
    </w:p>
    <w:p w:rsidR="003527E6" w:rsidRPr="00F57FE9" w:rsidRDefault="003527E6" w:rsidP="00F57FE9">
      <w:pPr>
        <w:spacing w:line="360" w:lineRule="auto"/>
        <w:jc w:val="both"/>
      </w:pPr>
      <w:r w:rsidRPr="00F57FE9">
        <w:t>A</w:t>
      </w:r>
      <w:r w:rsidR="00461E60" w:rsidRPr="00F57FE9">
        <w:t>bout</w:t>
      </w:r>
      <w:r w:rsidR="00415669" w:rsidRPr="00F57FE9">
        <w:t xml:space="preserve"> 10 mg of </w:t>
      </w:r>
      <w:r w:rsidRPr="00F57FE9">
        <w:t xml:space="preserve">MTX- NS </w:t>
      </w:r>
      <w:proofErr w:type="gramStart"/>
      <w:r w:rsidRPr="00F57FE9">
        <w:t>was dissolved</w:t>
      </w:r>
      <w:proofErr w:type="gramEnd"/>
      <w:r w:rsidRPr="00F57FE9">
        <w:t xml:space="preserve"> in </w:t>
      </w:r>
      <w:r w:rsidR="00DB03E3" w:rsidRPr="00F57FE9">
        <w:t xml:space="preserve">water </w:t>
      </w:r>
      <w:r w:rsidRPr="00F57FE9">
        <w:t xml:space="preserve">followed by filtration using 0.45 μm filter paper. Finally, the filtrate </w:t>
      </w:r>
      <w:proofErr w:type="gramStart"/>
      <w:r w:rsidRPr="00F57FE9">
        <w:t>was collected and subjected to total DC analysis using a UV-visible spectrophotometer (Shimadzu-1700, Japan) at λ max of 303 nm</w:t>
      </w:r>
      <w:proofErr w:type="gramEnd"/>
      <w:r w:rsidRPr="00F57FE9">
        <w:t>. The total DC (TDC) and percentage TDC were calculated from equations 1 and 2</w:t>
      </w:r>
      <w:r w:rsidR="00D721EA">
        <w:t>.</w:t>
      </w:r>
      <w:r w:rsidR="007163F6" w:rsidRPr="00F57FE9">
        <w:fldChar w:fldCharType="begin"/>
      </w:r>
      <w:r w:rsidR="00F57FE9" w:rsidRPr="00F57FE9">
        <w:instrText xml:space="preserve"> ADDIN EN.CITE &lt;EndNote&gt;&lt;Cite&gt;&lt;Author&gt;Dora&lt;/Author&gt;&lt;Year&gt;2010&lt;/Year&gt;&lt;RecNum&gt;19&lt;/RecNum&gt;&lt;DisplayText&gt;&lt;style face="superscript"&gt;17&lt;/style&gt;&lt;/DisplayText&gt;&lt;record&gt;&lt;rec-number&gt;19&lt;/rec-number&gt;&lt;foreign-keys&gt;&lt;key app="EN" db-id="sv2ef2t2hvz5asez0dnprs50e22was0afref" timestamp="1588932292"&gt;19&lt;/key&gt;&lt;/foreign-keys&gt;&lt;ref-type name="Journal Article"&gt;17&lt;/ref-type&gt;&lt;contributors&gt;&lt;authors&gt;&lt;author&gt;Dora, Chander Parkash&lt;/author&gt;&lt;author&gt;Singh, Shailendra Kumar&lt;/author&gt;&lt;author&gt;Kumar, Sanjeev&lt;/author&gt;&lt;author&gt;Datusalia, Ashok Kumar&lt;/author&gt;&lt;author&gt;Deep, Aakash&lt;/author&gt;&lt;/authors&gt;&lt;/contributors&gt;&lt;titles&gt;&lt;title&gt;Development and characterization of nanoparticles of glibenclamide by solvent displacement method&lt;/title&gt;&lt;secondary-title&gt;Acta Pol Pharm&lt;/secondary-title&gt;&lt;/titles&gt;&lt;periodical&gt;&lt;full-title&gt;Acta Pol Pharm&lt;/full-title&gt;&lt;/periodical&gt;&lt;pages&gt;283-90&lt;/pages&gt;&lt;volume&gt;67&lt;/volume&gt;&lt;number&gt;3&lt;/number&gt;&lt;dates&gt;&lt;year&gt;2010&lt;/year&gt;&lt;/dates&gt;&lt;urls&gt;&lt;/urls&gt;&lt;/record&gt;&lt;/Cite&gt;&lt;/EndNote&gt;</w:instrText>
      </w:r>
      <w:r w:rsidR="007163F6" w:rsidRPr="00F57FE9">
        <w:fldChar w:fldCharType="separate"/>
      </w:r>
      <w:r w:rsidR="00F57FE9" w:rsidRPr="00F57FE9">
        <w:rPr>
          <w:noProof/>
          <w:vertAlign w:val="superscript"/>
        </w:rPr>
        <w:t>1</w:t>
      </w:r>
      <w:r w:rsidR="00493BE5">
        <w:rPr>
          <w:noProof/>
          <w:vertAlign w:val="superscript"/>
        </w:rPr>
        <w:t>6</w:t>
      </w:r>
      <w:r w:rsidR="007163F6" w:rsidRPr="00F57FE9">
        <w:fldChar w:fldCharType="end"/>
      </w:r>
      <w:r w:rsidRPr="00F57FE9">
        <w:t xml:space="preserve"> </w:t>
      </w:r>
    </w:p>
    <w:p w:rsidR="003527E6" w:rsidRPr="00F57FE9" w:rsidRDefault="003527E6" w:rsidP="00F57FE9">
      <w:pPr>
        <w:spacing w:line="360" w:lineRule="auto"/>
        <w:jc w:val="both"/>
      </w:pPr>
      <w:r w:rsidRPr="00F57FE9">
        <w:t xml:space="preserve">TDC = (Vol. total/ Vol. aliquot) x drug in aliquot x 100                                             </w:t>
      </w:r>
      <w:r w:rsidR="008C709D">
        <w:t xml:space="preserve">             </w:t>
      </w:r>
      <w:r w:rsidRPr="00F57FE9">
        <w:rPr>
          <w:i/>
        </w:rPr>
        <w:t>Eq.</w:t>
      </w:r>
      <w:r w:rsidRPr="00F57FE9">
        <w:t xml:space="preserve"> 1</w:t>
      </w:r>
    </w:p>
    <w:p w:rsidR="003527E6" w:rsidRPr="00F57FE9" w:rsidRDefault="003527E6" w:rsidP="00F57FE9">
      <w:pPr>
        <w:spacing w:line="360" w:lineRule="auto"/>
        <w:jc w:val="both"/>
      </w:pPr>
      <w:r w:rsidRPr="00F57FE9">
        <w:t xml:space="preserve">% TDC = TDC / TAD x 100                                                                                       </w:t>
      </w:r>
      <w:r w:rsidR="008C709D">
        <w:t xml:space="preserve">             </w:t>
      </w:r>
      <w:r w:rsidRPr="00F57FE9">
        <w:rPr>
          <w:i/>
        </w:rPr>
        <w:t>Eq</w:t>
      </w:r>
      <w:r w:rsidRPr="00F57FE9">
        <w:t xml:space="preserve">. 2                                 </w:t>
      </w:r>
    </w:p>
    <w:p w:rsidR="003527E6" w:rsidRPr="00F57FE9" w:rsidRDefault="003527E6" w:rsidP="00F57FE9">
      <w:pPr>
        <w:spacing w:line="360" w:lineRule="auto"/>
        <w:jc w:val="both"/>
      </w:pPr>
      <w:r w:rsidRPr="00F57FE9">
        <w:t>Where,</w:t>
      </w:r>
    </w:p>
    <w:p w:rsidR="003527E6" w:rsidRPr="00F57FE9" w:rsidRDefault="003527E6" w:rsidP="00F57FE9">
      <w:pPr>
        <w:spacing w:line="360" w:lineRule="auto"/>
        <w:jc w:val="both"/>
      </w:pPr>
      <w:r w:rsidRPr="00F57FE9">
        <w:t xml:space="preserve">TAD: vol. total/vol. an aliquot is the total volume of NS to the taken aliquot volume and the total amount of drug i.e. TAD is the drug used for the fabrication of NS. </w:t>
      </w:r>
    </w:p>
    <w:p w:rsidR="003527E6" w:rsidRPr="00F57FE9" w:rsidRDefault="003527E6" w:rsidP="00F57FE9">
      <w:pPr>
        <w:spacing w:line="360" w:lineRule="auto"/>
        <w:jc w:val="both"/>
        <w:rPr>
          <w:b/>
        </w:rPr>
      </w:pPr>
      <w:r w:rsidRPr="00F57FE9">
        <w:rPr>
          <w:b/>
        </w:rPr>
        <w:t xml:space="preserve">2.2.5.8. Entrapment </w:t>
      </w:r>
      <w:r w:rsidR="000E7F35" w:rsidRPr="00F57FE9">
        <w:rPr>
          <w:b/>
        </w:rPr>
        <w:t>e</w:t>
      </w:r>
      <w:r w:rsidRPr="00F57FE9">
        <w:rPr>
          <w:b/>
        </w:rPr>
        <w:t>fficiency</w:t>
      </w:r>
    </w:p>
    <w:p w:rsidR="003527E6" w:rsidRPr="00F57FE9" w:rsidRDefault="00F3220F" w:rsidP="00F57FE9">
      <w:pPr>
        <w:spacing w:line="360" w:lineRule="auto"/>
        <w:jc w:val="both"/>
      </w:pPr>
      <w:r w:rsidRPr="00F57FE9">
        <w:t>About</w:t>
      </w:r>
      <w:r w:rsidR="00DB03E3" w:rsidRPr="00F57FE9">
        <w:t xml:space="preserve"> 10 mg of MTX- NS was dissolved in 10 ml of water and %</w:t>
      </w:r>
      <w:r w:rsidR="003527E6" w:rsidRPr="00F57FE9">
        <w:t xml:space="preserve"> EE was determined by </w:t>
      </w:r>
      <w:r w:rsidR="003527E6" w:rsidRPr="00F57FE9">
        <w:rPr>
          <w:rStyle w:val="Emphasis"/>
          <w:rFonts w:eastAsia="Batang"/>
          <w:i w:val="0"/>
          <w:iCs w:val="0"/>
          <w:shd w:val="clear" w:color="auto" w:fill="FFFFFF"/>
        </w:rPr>
        <w:t xml:space="preserve">ultracentrifugation </w:t>
      </w:r>
      <w:r w:rsidR="003527E6" w:rsidRPr="00F57FE9">
        <w:t xml:space="preserve">for 30 min at 10,000 rpm using a cold centrifuge (at 4°C, Remi CM 12 Plus, Mumbai). The supernatant </w:t>
      </w:r>
      <w:proofErr w:type="gramStart"/>
      <w:r w:rsidR="003527E6" w:rsidRPr="00F57FE9">
        <w:t>was used</w:t>
      </w:r>
      <w:proofErr w:type="gramEnd"/>
      <w:r w:rsidR="003527E6" w:rsidRPr="00F57FE9">
        <w:t xml:space="preserve"> to determine free DC (FDC) and obtained sediment was washed with a 0.1 N </w:t>
      </w:r>
      <w:proofErr w:type="spellStart"/>
      <w:r w:rsidR="003527E6" w:rsidRPr="00F57FE9">
        <w:t>NaOH</w:t>
      </w:r>
      <w:proofErr w:type="spellEnd"/>
      <w:r w:rsidR="003527E6" w:rsidRPr="00F57FE9">
        <w:t xml:space="preserve"> solution to determine surface adsorbed drugs (SAD). Finally, the drug solutions </w:t>
      </w:r>
      <w:proofErr w:type="gramStart"/>
      <w:r w:rsidR="003527E6" w:rsidRPr="00F57FE9">
        <w:t>were quantified</w:t>
      </w:r>
      <w:proofErr w:type="gramEnd"/>
      <w:r w:rsidR="003527E6" w:rsidRPr="00F57FE9">
        <w:t xml:space="preserve"> in triplicates at 303</w:t>
      </w:r>
      <w:r w:rsidR="00EF238B" w:rsidRPr="00F57FE9">
        <w:t xml:space="preserve"> nm</w:t>
      </w:r>
      <w:r w:rsidR="003527E6" w:rsidRPr="00F57FE9">
        <w:t xml:space="preserve"> using a UV-visible spectrophotometer. EE is the percentage of drug entrapped in nanoparticles and can be calculated using a given formula (Equation)</w:t>
      </w:r>
      <w:r w:rsidR="00D721EA">
        <w:t>.</w:t>
      </w:r>
      <w:r w:rsidR="007163F6" w:rsidRPr="00F57FE9">
        <w:fldChar w:fldCharType="begin"/>
      </w:r>
      <w:r w:rsidR="00F57FE9" w:rsidRPr="00F57FE9">
        <w:instrText xml:space="preserve"> ADDIN EN.CITE &lt;EndNote&gt;&lt;Cite&gt;&lt;Author&gt;Powar&lt;/Author&gt;&lt;Year&gt;2020&lt;/Year&gt;&lt;RecNum&gt;9&lt;/RecNum&gt;&lt;DisplayText&gt;&lt;style face="superscript"&gt;12&lt;/style&gt;&lt;/DisplayText&gt;&lt;record&gt;&lt;rec-number&gt;9&lt;/rec-number&gt;&lt;foreign-keys&gt;&lt;key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EndNote&gt;</w:instrText>
      </w:r>
      <w:r w:rsidR="007163F6" w:rsidRPr="00F57FE9">
        <w:fldChar w:fldCharType="separate"/>
      </w:r>
      <w:r w:rsidR="00F57FE9" w:rsidRPr="00F57FE9">
        <w:rPr>
          <w:noProof/>
          <w:vertAlign w:val="superscript"/>
        </w:rPr>
        <w:t>1</w:t>
      </w:r>
      <w:r w:rsidR="00493BE5">
        <w:rPr>
          <w:noProof/>
          <w:vertAlign w:val="superscript"/>
        </w:rPr>
        <w:t>1</w:t>
      </w:r>
      <w:r w:rsidR="007163F6" w:rsidRPr="00F57FE9">
        <w:fldChar w:fldCharType="end"/>
      </w:r>
    </w:p>
    <w:p w:rsidR="003527E6" w:rsidRPr="00F57FE9" w:rsidRDefault="003527E6" w:rsidP="00F57FE9">
      <w:pPr>
        <w:spacing w:line="360" w:lineRule="auto"/>
        <w:ind w:left="57" w:right="57"/>
        <w:jc w:val="both"/>
      </w:pPr>
      <w:r w:rsidRPr="00F57FE9">
        <w:t xml:space="preserve">% EE = TDC – (FDC + SAD)/TAD x 100                                                                 </w:t>
      </w:r>
      <w:r w:rsidR="008C709D">
        <w:t xml:space="preserve">            </w:t>
      </w:r>
      <w:r w:rsidRPr="00F57FE9">
        <w:t xml:space="preserve"> </w:t>
      </w:r>
      <w:r w:rsidRPr="00F57FE9">
        <w:rPr>
          <w:i/>
        </w:rPr>
        <w:t>Eq</w:t>
      </w:r>
      <w:r w:rsidR="009B54A6" w:rsidRPr="00F57FE9">
        <w:t>. 3</w:t>
      </w:r>
      <w:r w:rsidRPr="00F57FE9">
        <w:t xml:space="preserve"> </w:t>
      </w:r>
    </w:p>
    <w:p w:rsidR="003527E6" w:rsidRPr="00F57FE9" w:rsidRDefault="001F5DC7" w:rsidP="00F57FE9">
      <w:pPr>
        <w:spacing w:line="360" w:lineRule="auto"/>
        <w:ind w:right="57"/>
        <w:jc w:val="both"/>
        <w:rPr>
          <w:b/>
        </w:rPr>
      </w:pPr>
      <w:r w:rsidRPr="00F57FE9">
        <w:rPr>
          <w:b/>
          <w:iCs/>
        </w:rPr>
        <w:t>2.2.5.9. In-vitro</w:t>
      </w:r>
      <w:r w:rsidRPr="00F57FE9">
        <w:rPr>
          <w:b/>
        </w:rPr>
        <w:t xml:space="preserve"> drug release</w:t>
      </w:r>
    </w:p>
    <w:p w:rsidR="003527E6" w:rsidRPr="00F57FE9" w:rsidRDefault="003527E6" w:rsidP="00F57FE9">
      <w:pPr>
        <w:spacing w:line="360" w:lineRule="auto"/>
        <w:ind w:right="57"/>
        <w:jc w:val="both"/>
      </w:pPr>
      <w:r w:rsidRPr="00F57FE9">
        <w:t xml:space="preserve">Dissolution studies on MTX powder and optimized MTX-NS </w:t>
      </w:r>
      <w:proofErr w:type="gramStart"/>
      <w:r w:rsidR="00070353" w:rsidRPr="00F57FE9">
        <w:t>were performed</w:t>
      </w:r>
      <w:proofErr w:type="gramEnd"/>
      <w:r w:rsidR="00070353" w:rsidRPr="00F57FE9">
        <w:t xml:space="preserve"> using USP type-I</w:t>
      </w:r>
      <w:r w:rsidRPr="00F57FE9">
        <w:t xml:space="preserve"> apparatus</w:t>
      </w:r>
      <w:r w:rsidR="00AB243E" w:rsidRPr="00F57FE9">
        <w:t xml:space="preserve"> </w:t>
      </w:r>
      <w:r w:rsidR="00AB243E" w:rsidRPr="00F57FE9">
        <w:rPr>
          <w:color w:val="000000" w:themeColor="text1"/>
        </w:rPr>
        <w:t>(</w:t>
      </w:r>
      <w:r w:rsidR="00083922" w:rsidRPr="00F57FE9">
        <w:rPr>
          <w:color w:val="000000" w:themeColor="text1"/>
          <w:shd w:val="clear" w:color="auto" w:fill="FFFFFF"/>
        </w:rPr>
        <w:t>Basket</w:t>
      </w:r>
      <w:r w:rsidR="00083922" w:rsidRPr="00F57FE9">
        <w:rPr>
          <w:rStyle w:val="apple-converted-space"/>
          <w:rFonts w:eastAsia="Batang"/>
          <w:color w:val="000000" w:themeColor="text1"/>
          <w:shd w:val="clear" w:color="auto" w:fill="FFFFFF"/>
        </w:rPr>
        <w:t>)</w:t>
      </w:r>
      <w:r w:rsidRPr="00F57FE9">
        <w:rPr>
          <w:color w:val="000000" w:themeColor="text1"/>
        </w:rPr>
        <w:t>.</w:t>
      </w:r>
      <w:r w:rsidRPr="00F57FE9">
        <w:t xml:space="preserve"> </w:t>
      </w:r>
      <w:r w:rsidR="00104901" w:rsidRPr="00F57FE9">
        <w:t>About 50 mg of w</w:t>
      </w:r>
      <w:r w:rsidRPr="00F57FE9">
        <w:t xml:space="preserve">eighed quantities of samples </w:t>
      </w:r>
      <w:proofErr w:type="gramStart"/>
      <w:r w:rsidRPr="00F57FE9">
        <w:t>were transferred</w:t>
      </w:r>
      <w:proofErr w:type="gramEnd"/>
      <w:r w:rsidRPr="00F57FE9">
        <w:t xml:space="preserve"> into the dissolution apparatus (Electro lab TDT-08 L, India) containing 900 mL of simulated intestinal fluid (SIF) with pH 6.8 as a medium at 50 rpm with 37±0.5 ºC temperature. For analysis, 5 mL </w:t>
      </w:r>
      <w:r w:rsidRPr="00F57FE9">
        <w:lastRenderedPageBreak/>
        <w:t xml:space="preserve">samples </w:t>
      </w:r>
      <w:proofErr w:type="gramStart"/>
      <w:r w:rsidRPr="00F57FE9">
        <w:t>were withdrawn</w:t>
      </w:r>
      <w:proofErr w:type="gramEnd"/>
      <w:r w:rsidRPr="00F57FE9">
        <w:t xml:space="preserve"> at 10, 20, 30, 40, 50, and 60 min. of time points, and the fresh buffer was added for sink condition maintenance. The samples were collected and filtered using the Whatman filter paper (0.25 µm, Whatman Inc., USA) and subjected to UV spectrophotometer analysis at 303 nm</w:t>
      </w:r>
      <w:r w:rsidR="00D721EA">
        <w:t>.</w:t>
      </w:r>
      <w:r w:rsidR="007163F6" w:rsidRPr="00F57FE9">
        <w:fldChar w:fldCharType="begin"/>
      </w:r>
      <w:r w:rsidR="00F57FE9" w:rsidRPr="00F57FE9">
        <w:instrText xml:space="preserve"> ADDIN EN.CITE &lt;EndNote&gt;&lt;Cite&gt;&lt;Author&gt;Kalvakuntla&lt;/Author&gt;&lt;Year&gt;2016&lt;/Year&gt;&lt;RecNum&gt;29&lt;/RecNum&gt;&lt;DisplayText&gt;&lt;style face="superscript"&gt;16&lt;/style&gt;&lt;/DisplayText&gt;&lt;record&gt;&lt;rec-number&gt;29&lt;/rec-number&gt;&lt;foreign-keys&gt;&lt;key app="EN" db-id="sv2ef2t2hvz5asez0dnprs50e22was0afref" timestamp="1588933317"&gt;29&lt;/key&gt;&lt;/foreign-keys&gt;&lt;ref-type name="Journal Article"&gt;17&lt;/ref-type&gt;&lt;contributors&gt;&lt;authors&gt;&lt;author&gt;Kalvakuntla, Sunethra&lt;/author&gt;&lt;author&gt;Deshpande, Mangesh&lt;/author&gt;&lt;author&gt;Attari, Zenab&lt;/author&gt;&lt;author&gt;Kunnatur, Koteshwara&lt;/author&gt;&lt;/authors&gt;&lt;/contributors&gt;&lt;titles&gt;&lt;title&gt;Preparation and characterization of nanosuspension of aprepitant by H96 process&lt;/title&gt;&lt;secondary-title&gt;Advanced pharmaceutical bulletin&lt;/secondary-title&gt;&lt;/titles&gt;&lt;periodical&gt;&lt;full-title&gt;Advanced pharmaceutical bulletin&lt;/full-title&gt;&lt;/periodical&gt;&lt;pages&gt;83&lt;/pages&gt;&lt;volume&gt;6&lt;/volume&gt;&lt;number&gt;1&lt;/number&gt;&lt;dates&gt;&lt;year&gt;2016&lt;/year&gt;&lt;/dates&gt;&lt;urls&gt;&lt;/urls&gt;&lt;/record&gt;&lt;/Cite&gt;&lt;/EndNote&gt;</w:instrText>
      </w:r>
      <w:r w:rsidR="007163F6" w:rsidRPr="00F57FE9">
        <w:fldChar w:fldCharType="separate"/>
      </w:r>
      <w:r w:rsidR="00F57FE9" w:rsidRPr="00F57FE9">
        <w:rPr>
          <w:noProof/>
          <w:vertAlign w:val="superscript"/>
        </w:rPr>
        <w:t>1</w:t>
      </w:r>
      <w:r w:rsidR="00493BE5">
        <w:rPr>
          <w:noProof/>
          <w:vertAlign w:val="superscript"/>
        </w:rPr>
        <w:t>5</w:t>
      </w:r>
      <w:r w:rsidR="007163F6" w:rsidRPr="00F57FE9">
        <w:fldChar w:fldCharType="end"/>
      </w:r>
      <w:r w:rsidRPr="00F57FE9">
        <w:t xml:space="preserve"> </w:t>
      </w:r>
    </w:p>
    <w:p w:rsidR="003527E6" w:rsidRPr="00F57FE9" w:rsidRDefault="00D40CDC" w:rsidP="00F57FE9">
      <w:pPr>
        <w:shd w:val="clear" w:color="auto" w:fill="FFFFFF"/>
        <w:spacing w:line="360" w:lineRule="auto"/>
        <w:rPr>
          <w:b/>
          <w:lang w:bidi="mr-IN"/>
        </w:rPr>
      </w:pPr>
      <w:r w:rsidRPr="00F57FE9">
        <w:rPr>
          <w:b/>
        </w:rPr>
        <w:t>2.2.5.10</w:t>
      </w:r>
      <w:r w:rsidR="003527E6" w:rsidRPr="00F57FE9">
        <w:rPr>
          <w:b/>
        </w:rPr>
        <w:t xml:space="preserve">. Cytotoxicity activity on human breast cancer cell line (MCF-7 cells) </w:t>
      </w:r>
    </w:p>
    <w:p w:rsidR="003527E6" w:rsidRPr="00F57FE9" w:rsidRDefault="003527E6" w:rsidP="00F57FE9">
      <w:pPr>
        <w:pStyle w:val="Displayedquotation"/>
        <w:spacing w:before="0" w:after="0"/>
        <w:ind w:left="0" w:right="0"/>
        <w:jc w:val="both"/>
        <w:rPr>
          <w:sz w:val="24"/>
          <w:lang w:val="en-IN"/>
        </w:rPr>
      </w:pPr>
      <w:r w:rsidRPr="00F57FE9">
        <w:rPr>
          <w:bCs/>
          <w:i/>
          <w:sz w:val="24"/>
          <w:lang w:val="en-IN"/>
        </w:rPr>
        <w:t>Cell Culture:</w:t>
      </w:r>
      <w:r w:rsidR="001D3D23" w:rsidRPr="00F57FE9">
        <w:rPr>
          <w:bCs/>
          <w:i/>
          <w:sz w:val="24"/>
          <w:lang w:val="en-IN"/>
        </w:rPr>
        <w:t xml:space="preserve"> </w:t>
      </w:r>
      <w:r w:rsidRPr="00F57FE9">
        <w:rPr>
          <w:sz w:val="24"/>
          <w:lang w:val="en-IN"/>
        </w:rPr>
        <w:t>Cytotoxicity of optimized MTX-NS and aqueous dispersion (AQD) was studied on human MCF-7 breast cancer cell lines, which were procured from NCCS (</w:t>
      </w:r>
      <w:r w:rsidRPr="00F57FE9">
        <w:rPr>
          <w:sz w:val="24"/>
        </w:rPr>
        <w:t>National Centre for Cell Sciences)</w:t>
      </w:r>
      <w:r w:rsidRPr="00F57FE9">
        <w:rPr>
          <w:sz w:val="24"/>
          <w:lang w:val="en-IN"/>
        </w:rPr>
        <w:t xml:space="preserve">, Pune, </w:t>
      </w:r>
      <w:r w:rsidRPr="00F57FE9">
        <w:rPr>
          <w:sz w:val="24"/>
        </w:rPr>
        <w:t>India</w:t>
      </w:r>
      <w:r w:rsidRPr="00F57FE9">
        <w:rPr>
          <w:sz w:val="24"/>
          <w:lang w:val="en-IN"/>
        </w:rPr>
        <w:t xml:space="preserve">. They were stored and nurtured in </w:t>
      </w:r>
      <w:r w:rsidRPr="00F57FE9">
        <w:rPr>
          <w:sz w:val="24"/>
        </w:rPr>
        <w:t>DMEM (</w:t>
      </w:r>
      <w:proofErr w:type="gramStart"/>
      <w:r w:rsidRPr="00F57FE9">
        <w:rPr>
          <w:sz w:val="24"/>
        </w:rPr>
        <w:t>Dulbecco’s</w:t>
      </w:r>
      <w:proofErr w:type="gramEnd"/>
      <w:r w:rsidRPr="00F57FE9">
        <w:rPr>
          <w:sz w:val="24"/>
        </w:rPr>
        <w:t xml:space="preserve"> modified eagles medium of Sigma Aldrich, USA).</w:t>
      </w:r>
      <w:r w:rsidRPr="00F57FE9">
        <w:rPr>
          <w:sz w:val="24"/>
          <w:lang w:val="en-IN"/>
        </w:rPr>
        <w:t xml:space="preserve"> Cell lines were cultured and maintained in </w:t>
      </w:r>
      <w:r w:rsidR="001D3D23" w:rsidRPr="00F57FE9">
        <w:rPr>
          <w:sz w:val="24"/>
          <w:lang w:val="en-IN"/>
        </w:rPr>
        <w:t xml:space="preserve">a </w:t>
      </w:r>
      <w:r w:rsidRPr="00F57FE9">
        <w:rPr>
          <w:sz w:val="24"/>
        </w:rPr>
        <w:t>25 cm</w:t>
      </w:r>
      <w:r w:rsidRPr="00F57FE9">
        <w:rPr>
          <w:sz w:val="24"/>
          <w:vertAlign w:val="superscript"/>
        </w:rPr>
        <w:t>2</w:t>
      </w:r>
      <w:r w:rsidRPr="00F57FE9">
        <w:rPr>
          <w:sz w:val="24"/>
        </w:rPr>
        <w:t xml:space="preserve"> flask of tissue culture with DMEM which was boosted with L</w:t>
      </w:r>
      <w:r w:rsidRPr="00F57FE9">
        <w:rPr>
          <w:bCs/>
          <w:sz w:val="24"/>
          <w:shd w:val="clear" w:color="auto" w:fill="FDFDFD"/>
        </w:rPr>
        <w:t xml:space="preserve">-glutamine, </w:t>
      </w:r>
      <w:r w:rsidRPr="00F57FE9">
        <w:rPr>
          <w:sz w:val="24"/>
        </w:rPr>
        <w:t xml:space="preserve">10% FBS, </w:t>
      </w:r>
      <w:r w:rsidRPr="00F57FE9">
        <w:rPr>
          <w:bCs/>
          <w:sz w:val="24"/>
          <w:shd w:val="clear" w:color="auto" w:fill="FDFDFD"/>
        </w:rPr>
        <w:t>sodium bicarbonate (Merck, Germany)</w:t>
      </w:r>
      <w:r w:rsidR="001D3D23" w:rsidRPr="00F57FE9">
        <w:rPr>
          <w:bCs/>
          <w:sz w:val="24"/>
          <w:shd w:val="clear" w:color="auto" w:fill="FDFDFD"/>
        </w:rPr>
        <w:t>,</w:t>
      </w:r>
      <w:r w:rsidRPr="00F57FE9">
        <w:rPr>
          <w:bCs/>
          <w:sz w:val="24"/>
          <w:shd w:val="clear" w:color="auto" w:fill="FDFDFD"/>
        </w:rPr>
        <w:t xml:space="preserve"> and with an antibiotic solution containing streptomycin (100µg/ml), amphotericin B (2.5µg/ml) and penicillin (100U/ml). These cultured cells were then kept in a CO</w:t>
      </w:r>
      <w:r w:rsidRPr="00F57FE9">
        <w:rPr>
          <w:bCs/>
          <w:sz w:val="24"/>
          <w:shd w:val="clear" w:color="auto" w:fill="FDFDFD"/>
          <w:vertAlign w:val="subscript"/>
        </w:rPr>
        <w:t>2</w:t>
      </w:r>
      <w:r w:rsidRPr="00F57FE9">
        <w:rPr>
          <w:sz w:val="24"/>
          <w:lang w:val="en-IN"/>
        </w:rPr>
        <w:t xml:space="preserve"> incubator at 37 ºC </w:t>
      </w:r>
      <w:proofErr w:type="gramStart"/>
      <w:r w:rsidRPr="00F57FE9">
        <w:rPr>
          <w:sz w:val="24"/>
          <w:lang w:val="en-IN"/>
        </w:rPr>
        <w:t>with  5</w:t>
      </w:r>
      <w:proofErr w:type="gramEnd"/>
      <w:r w:rsidRPr="00F57FE9">
        <w:rPr>
          <w:sz w:val="24"/>
          <w:lang w:val="en-IN"/>
        </w:rPr>
        <w:t xml:space="preserve"> % humidity.</w:t>
      </w:r>
    </w:p>
    <w:p w:rsidR="003527E6" w:rsidRPr="00F57FE9" w:rsidRDefault="003527E6" w:rsidP="00F57FE9">
      <w:pPr>
        <w:pStyle w:val="Displayedquotation"/>
        <w:spacing w:before="0" w:after="0"/>
        <w:ind w:left="0" w:right="0"/>
        <w:jc w:val="both"/>
        <w:rPr>
          <w:sz w:val="24"/>
          <w:lang w:val="en-IN"/>
        </w:rPr>
      </w:pPr>
      <w:r w:rsidRPr="00F57FE9">
        <w:rPr>
          <w:i/>
          <w:sz w:val="24"/>
        </w:rPr>
        <w:t>MTT assay:</w:t>
      </w:r>
      <w:r w:rsidR="00F8501B" w:rsidRPr="00F57FE9">
        <w:rPr>
          <w:i/>
          <w:sz w:val="24"/>
        </w:rPr>
        <w:t xml:space="preserve"> </w:t>
      </w:r>
      <w:r w:rsidRPr="00F57FE9">
        <w:rPr>
          <w:sz w:val="24"/>
        </w:rPr>
        <w:t xml:space="preserve">In each well of 96 well </w:t>
      </w:r>
      <w:proofErr w:type="spellStart"/>
      <w:r w:rsidRPr="00F57FE9">
        <w:rPr>
          <w:sz w:val="24"/>
        </w:rPr>
        <w:t>microtiter</w:t>
      </w:r>
      <w:proofErr w:type="spellEnd"/>
      <w:r w:rsidRPr="00F57FE9">
        <w:rPr>
          <w:sz w:val="24"/>
        </w:rPr>
        <w:t xml:space="preserve"> plates, about 50 µL 1 × 10</w:t>
      </w:r>
      <w:r w:rsidRPr="00F57FE9">
        <w:rPr>
          <w:sz w:val="24"/>
          <w:vertAlign w:val="superscript"/>
        </w:rPr>
        <w:t>5</w:t>
      </w:r>
      <w:r w:rsidRPr="00F57FE9">
        <w:rPr>
          <w:sz w:val="24"/>
        </w:rPr>
        <w:t xml:space="preserve"> cells/mL cell suspension was seeded and end volume </w:t>
      </w:r>
      <w:proofErr w:type="gramStart"/>
      <w:r w:rsidRPr="00F57FE9">
        <w:rPr>
          <w:sz w:val="24"/>
        </w:rPr>
        <w:t>was made</w:t>
      </w:r>
      <w:proofErr w:type="gramEnd"/>
      <w:r w:rsidRPr="00F57FE9">
        <w:rPr>
          <w:sz w:val="24"/>
        </w:rPr>
        <w:t xml:space="preserve"> to 150 µL by adding DMEM media. Dilutions of NS were made in DMEM media and about 100 µL of different concentrations of NS and their aqueous dispersion (AQD) (62.5, 125, 250, 500, 1000 µg/mL) were added and incubated for 48 h in presence of </w:t>
      </w:r>
      <w:r w:rsidRPr="00F57FE9">
        <w:rPr>
          <w:bCs/>
          <w:sz w:val="24"/>
          <w:shd w:val="clear" w:color="auto" w:fill="FDFDFD"/>
        </w:rPr>
        <w:t>CO</w:t>
      </w:r>
      <w:r w:rsidRPr="00F57FE9">
        <w:rPr>
          <w:bCs/>
          <w:sz w:val="24"/>
          <w:shd w:val="clear" w:color="auto" w:fill="FDFDFD"/>
          <w:vertAlign w:val="subscript"/>
        </w:rPr>
        <w:t>2</w:t>
      </w:r>
      <w:r w:rsidRPr="00F57FE9">
        <w:rPr>
          <w:sz w:val="24"/>
          <w:lang w:val="en-IN"/>
        </w:rPr>
        <w:t xml:space="preserve"> incubator at 37 ºC with  5 % humidity</w:t>
      </w:r>
      <w:r w:rsidRPr="00F57FE9">
        <w:rPr>
          <w:sz w:val="24"/>
        </w:rPr>
        <w:t xml:space="preserve">. After 48 h, 20 µL 3-(4,5-dimethylthiazol-2-yl)-2,5-diphenyl </w:t>
      </w:r>
      <w:proofErr w:type="spellStart"/>
      <w:r w:rsidRPr="00F57FE9">
        <w:rPr>
          <w:sz w:val="24"/>
        </w:rPr>
        <w:t>tetrazolium</w:t>
      </w:r>
      <w:proofErr w:type="spellEnd"/>
      <w:r w:rsidRPr="00F57FE9">
        <w:rPr>
          <w:sz w:val="24"/>
        </w:rPr>
        <w:t xml:space="preserve"> bromide  (MTT) reagent (5 mg/mL) was added to the wells and the plates were kept for 4 h to incubate in a dark place at room temperature. The plates were covered with </w:t>
      </w:r>
      <w:proofErr w:type="spellStart"/>
      <w:r w:rsidRPr="00F57FE9">
        <w:rPr>
          <w:sz w:val="24"/>
        </w:rPr>
        <w:t>aluminum</w:t>
      </w:r>
      <w:proofErr w:type="spellEnd"/>
      <w:r w:rsidRPr="00F57FE9">
        <w:rPr>
          <w:sz w:val="24"/>
        </w:rPr>
        <w:t xml:space="preserve"> </w:t>
      </w:r>
      <w:proofErr w:type="gramStart"/>
      <w:r w:rsidRPr="00F57FE9">
        <w:rPr>
          <w:sz w:val="24"/>
        </w:rPr>
        <w:t>foil</w:t>
      </w:r>
      <w:proofErr w:type="gramEnd"/>
      <w:r w:rsidRPr="00F57FE9">
        <w:rPr>
          <w:sz w:val="24"/>
        </w:rPr>
        <w:t xml:space="preserve"> as MTT reagent is photosensitive. Without disturbing the precipitated </w:t>
      </w:r>
      <w:proofErr w:type="spellStart"/>
      <w:r w:rsidRPr="00F57FE9">
        <w:rPr>
          <w:sz w:val="24"/>
        </w:rPr>
        <w:t>formazan</w:t>
      </w:r>
      <w:proofErr w:type="spellEnd"/>
      <w:r w:rsidRPr="00F57FE9">
        <w:rPr>
          <w:sz w:val="24"/>
        </w:rPr>
        <w:t xml:space="preserve"> crystals, the supernatant was removed carefully and </w:t>
      </w:r>
      <w:proofErr w:type="gramStart"/>
      <w:r w:rsidRPr="00F57FE9">
        <w:rPr>
          <w:sz w:val="24"/>
        </w:rPr>
        <w:t>100 µL</w:t>
      </w:r>
      <w:proofErr w:type="gramEnd"/>
      <w:r w:rsidRPr="00F57FE9">
        <w:rPr>
          <w:sz w:val="24"/>
        </w:rPr>
        <w:t xml:space="preserve"> dimethyl </w:t>
      </w:r>
      <w:proofErr w:type="spellStart"/>
      <w:r w:rsidRPr="00F57FE9">
        <w:rPr>
          <w:sz w:val="24"/>
        </w:rPr>
        <w:t>sulfoxide</w:t>
      </w:r>
      <w:proofErr w:type="spellEnd"/>
      <w:r w:rsidRPr="00F57FE9">
        <w:rPr>
          <w:sz w:val="24"/>
        </w:rPr>
        <w:t xml:space="preserve"> (DMSO) was added to dissolve the formed crystals. The OD (optical density) </w:t>
      </w:r>
      <w:proofErr w:type="gramStart"/>
      <w:r w:rsidRPr="00F57FE9">
        <w:rPr>
          <w:sz w:val="24"/>
        </w:rPr>
        <w:t>was measured</w:t>
      </w:r>
      <w:proofErr w:type="gramEnd"/>
      <w:r w:rsidRPr="00F57FE9">
        <w:rPr>
          <w:sz w:val="24"/>
        </w:rPr>
        <w:t xml:space="preserve"> using the ELISA </w:t>
      </w:r>
      <w:proofErr w:type="spellStart"/>
      <w:r w:rsidRPr="00F57FE9">
        <w:rPr>
          <w:sz w:val="24"/>
        </w:rPr>
        <w:t>microplate</w:t>
      </w:r>
      <w:proofErr w:type="spellEnd"/>
      <w:r w:rsidRPr="00F57FE9">
        <w:rPr>
          <w:sz w:val="24"/>
        </w:rPr>
        <w:t xml:space="preserve"> reader at 492 nm. Baseline </w:t>
      </w:r>
      <w:proofErr w:type="gramStart"/>
      <w:r w:rsidRPr="00F57FE9">
        <w:rPr>
          <w:sz w:val="24"/>
        </w:rPr>
        <w:t>was obtained</w:t>
      </w:r>
      <w:proofErr w:type="gramEnd"/>
      <w:r w:rsidRPr="00F57FE9">
        <w:rPr>
          <w:sz w:val="24"/>
        </w:rPr>
        <w:t xml:space="preserve"> using culture medium and the wells with only cells were used as control. With an assessment of </w:t>
      </w:r>
      <w:proofErr w:type="spellStart"/>
      <w:r w:rsidRPr="00F57FE9">
        <w:rPr>
          <w:sz w:val="24"/>
        </w:rPr>
        <w:t>colorimetry</w:t>
      </w:r>
      <w:proofErr w:type="spellEnd"/>
      <w:r w:rsidRPr="00F57FE9">
        <w:rPr>
          <w:sz w:val="24"/>
        </w:rPr>
        <w:t xml:space="preserve"> and </w:t>
      </w:r>
      <w:proofErr w:type="spellStart"/>
      <w:r w:rsidRPr="00F57FE9">
        <w:rPr>
          <w:sz w:val="24"/>
        </w:rPr>
        <w:t>spectrophotometry</w:t>
      </w:r>
      <w:proofErr w:type="spellEnd"/>
      <w:r w:rsidRPr="00F57FE9">
        <w:rPr>
          <w:sz w:val="24"/>
        </w:rPr>
        <w:t xml:space="preserve">, the </w:t>
      </w:r>
      <w:r w:rsidRPr="00F57FE9">
        <w:rPr>
          <w:i/>
          <w:sz w:val="24"/>
        </w:rPr>
        <w:t>in-vitro</w:t>
      </w:r>
      <w:r w:rsidRPr="00F57FE9">
        <w:rPr>
          <w:sz w:val="24"/>
        </w:rPr>
        <w:t xml:space="preserve"> growth inhibition effect of NS and AQD </w:t>
      </w:r>
      <w:proofErr w:type="gramStart"/>
      <w:r w:rsidRPr="00F57FE9">
        <w:rPr>
          <w:sz w:val="24"/>
        </w:rPr>
        <w:t>was measured</w:t>
      </w:r>
      <w:proofErr w:type="gramEnd"/>
      <w:r w:rsidRPr="00F57FE9">
        <w:rPr>
          <w:sz w:val="24"/>
        </w:rPr>
        <w:t xml:space="preserve"> by the conversion of MTT into “</w:t>
      </w:r>
      <w:proofErr w:type="spellStart"/>
      <w:r w:rsidRPr="00F57FE9">
        <w:rPr>
          <w:sz w:val="24"/>
        </w:rPr>
        <w:t>Formazan</w:t>
      </w:r>
      <w:proofErr w:type="spellEnd"/>
      <w:r w:rsidRPr="00F57FE9">
        <w:rPr>
          <w:sz w:val="24"/>
        </w:rPr>
        <w:t xml:space="preserve"> blue” by living cells. The study </w:t>
      </w:r>
      <w:proofErr w:type="gramStart"/>
      <w:r w:rsidRPr="00F57FE9">
        <w:rPr>
          <w:sz w:val="24"/>
        </w:rPr>
        <w:t>was performed</w:t>
      </w:r>
      <w:proofErr w:type="gramEnd"/>
      <w:r w:rsidRPr="00F57FE9">
        <w:rPr>
          <w:sz w:val="24"/>
        </w:rPr>
        <w:t xml:space="preserve"> in triplicates. The generated dose-response curve </w:t>
      </w:r>
      <w:proofErr w:type="gramStart"/>
      <w:r w:rsidRPr="00F57FE9">
        <w:rPr>
          <w:sz w:val="24"/>
        </w:rPr>
        <w:t>was used</w:t>
      </w:r>
      <w:proofErr w:type="gramEnd"/>
      <w:r w:rsidRPr="00F57FE9">
        <w:rPr>
          <w:sz w:val="24"/>
        </w:rPr>
        <w:t xml:space="preserve"> to estimate the IC</w:t>
      </w:r>
      <w:r w:rsidRPr="00F57FE9">
        <w:rPr>
          <w:sz w:val="24"/>
          <w:vertAlign w:val="subscript"/>
        </w:rPr>
        <w:t>50</w:t>
      </w:r>
      <w:r w:rsidRPr="00F57FE9">
        <w:rPr>
          <w:sz w:val="24"/>
        </w:rPr>
        <w:t xml:space="preserve"> of test samples required to inhibit the growth of 50% cells. The </w:t>
      </w:r>
      <w:proofErr w:type="gramStart"/>
      <w:r w:rsidRPr="00F57FE9">
        <w:rPr>
          <w:sz w:val="24"/>
        </w:rPr>
        <w:t>%</w:t>
      </w:r>
      <w:proofErr w:type="gramEnd"/>
      <w:r w:rsidRPr="00F57FE9">
        <w:rPr>
          <w:sz w:val="24"/>
        </w:rPr>
        <w:t xml:space="preserve"> growth inhibition was calculated using t</w:t>
      </w:r>
      <w:r w:rsidR="009B54A6" w:rsidRPr="00F57FE9">
        <w:rPr>
          <w:sz w:val="24"/>
        </w:rPr>
        <w:t>he following formula (equation 4</w:t>
      </w:r>
      <w:r w:rsidRPr="00F57FE9">
        <w:rPr>
          <w:sz w:val="24"/>
        </w:rPr>
        <w:t>),</w:t>
      </w:r>
    </w:p>
    <w:p w:rsidR="003527E6" w:rsidRPr="00F57FE9" w:rsidRDefault="003527E6" w:rsidP="00F57FE9">
      <w:pPr>
        <w:spacing w:line="360" w:lineRule="auto"/>
        <w:jc w:val="both"/>
      </w:pPr>
      <w:r w:rsidRPr="00F57FE9">
        <w:t xml:space="preserve">Growth inhibition (%) = </w:t>
      </w:r>
      <m:oMath>
        <m:r>
          <w:rPr>
            <w:rFonts w:ascii="Cambria Math"/>
          </w:rPr>
          <m:t>1</m:t>
        </m:r>
        <m:r>
          <w:rPr>
            <w:rFonts w:ascii="Cambria Math" w:hAnsi="Cambria Math"/>
          </w:rPr>
          <m:t>-</m:t>
        </m:r>
        <m:f>
          <m:fPr>
            <m:ctrlPr>
              <w:rPr>
                <w:rFonts w:ascii="Cambria Math" w:hAnsi="Cambria Math"/>
              </w:rPr>
            </m:ctrlPr>
          </m:fPr>
          <m:num>
            <m:r>
              <m:rPr>
                <m:sty m:val="p"/>
              </m:rPr>
              <w:rPr>
                <w:rFonts w:ascii="Cambria Math"/>
              </w:rPr>
              <m:t xml:space="preserve">Mean OD of the test compound   </m:t>
            </m:r>
          </m:num>
          <m:den>
            <m:r>
              <m:rPr>
                <m:sty m:val="p"/>
              </m:rPr>
              <w:rPr>
                <w:rFonts w:ascii="Cambria Math"/>
              </w:rPr>
              <m:t>Mean OD at untreated cells</m:t>
            </m:r>
          </m:den>
        </m:f>
        <m:r>
          <w:rPr>
            <w:rFonts w:ascii="Cambria Math" w:hAnsi="Cambria Math"/>
          </w:rPr>
          <m:t>X</m:t>
        </m:r>
        <m:r>
          <w:rPr>
            <w:rFonts w:ascii="Cambria Math"/>
          </w:rPr>
          <m:t xml:space="preserve">100                                                     </m:t>
        </m:r>
      </m:oMath>
      <w:r w:rsidRPr="00F57FE9">
        <w:rPr>
          <w:i/>
          <w:iCs/>
        </w:rPr>
        <w:t>Eq.</w:t>
      </w:r>
      <w:r w:rsidR="009B54A6" w:rsidRPr="00F57FE9">
        <w:t xml:space="preserve"> 4</w:t>
      </w:r>
      <w:r w:rsidRPr="00F57FE9">
        <w:t xml:space="preserve">   </w:t>
      </w:r>
    </w:p>
    <w:p w:rsidR="003527E6" w:rsidRPr="00F57FE9" w:rsidRDefault="00D40CDC" w:rsidP="00F57FE9">
      <w:pPr>
        <w:spacing w:line="360" w:lineRule="auto"/>
        <w:jc w:val="both"/>
        <w:rPr>
          <w:b/>
        </w:rPr>
      </w:pPr>
      <w:r w:rsidRPr="00F57FE9">
        <w:rPr>
          <w:b/>
        </w:rPr>
        <w:lastRenderedPageBreak/>
        <w:t>2.2.5.11</w:t>
      </w:r>
      <w:r w:rsidR="003527E6" w:rsidRPr="00F57FE9">
        <w:rPr>
          <w:b/>
        </w:rPr>
        <w:t>. Direct microscopy</w:t>
      </w:r>
    </w:p>
    <w:p w:rsidR="003527E6" w:rsidRPr="00F57FE9" w:rsidRDefault="003527E6" w:rsidP="00F57FE9">
      <w:pPr>
        <w:spacing w:line="360" w:lineRule="auto"/>
        <w:jc w:val="both"/>
      </w:pPr>
      <w:r w:rsidRPr="00F57FE9">
        <w:rPr>
          <w:iCs/>
        </w:rPr>
        <w:t>The e</w:t>
      </w:r>
      <w:r w:rsidRPr="00F57FE9">
        <w:rPr>
          <w:bCs/>
        </w:rPr>
        <w:t xml:space="preserve">ntire plate </w:t>
      </w:r>
      <w:proofErr w:type="gramStart"/>
      <w:r w:rsidRPr="00F57FE9">
        <w:rPr>
          <w:bCs/>
        </w:rPr>
        <w:t>was observed</w:t>
      </w:r>
      <w:proofErr w:type="gramEnd"/>
      <w:r w:rsidRPr="00F57FE9">
        <w:rPr>
          <w:bCs/>
        </w:rPr>
        <w:t xml:space="preserve"> under an inverted phase-contrast tissue culture microscope after </w:t>
      </w:r>
      <w:r w:rsidRPr="00F57FE9">
        <w:t>48 h</w:t>
      </w:r>
      <w:r w:rsidRPr="00F57FE9">
        <w:rPr>
          <w:bCs/>
        </w:rPr>
        <w:t xml:space="preserve"> of treatment with NS and AQD and observations were recorded as a microscopic image. A change in the morphology of cells, like rounding or shrinking, vacuolization, and granulation in the cell cytoplasm is</w:t>
      </w:r>
      <w:r w:rsidRPr="00F57FE9">
        <w:t xml:space="preserve"> an indication of cytotoxicity.     </w:t>
      </w:r>
    </w:p>
    <w:p w:rsidR="003527E6" w:rsidRPr="00F57FE9" w:rsidRDefault="00D40CDC" w:rsidP="00F57FE9">
      <w:pPr>
        <w:shd w:val="clear" w:color="auto" w:fill="FFFFFF"/>
        <w:spacing w:line="360" w:lineRule="auto"/>
        <w:jc w:val="both"/>
        <w:rPr>
          <w:rFonts w:eastAsia="Arial"/>
          <w:b/>
          <w:lang w:bidi="mr-IN"/>
        </w:rPr>
      </w:pPr>
      <w:r w:rsidRPr="00F57FE9">
        <w:rPr>
          <w:b/>
        </w:rPr>
        <w:t>2.2.5.12</w:t>
      </w:r>
      <w:r w:rsidR="003527E6" w:rsidRPr="00F57FE9">
        <w:rPr>
          <w:b/>
        </w:rPr>
        <w:t xml:space="preserve">. Apoptosis </w:t>
      </w:r>
      <w:r w:rsidR="001F5DC7" w:rsidRPr="00F57FE9">
        <w:rPr>
          <w:b/>
        </w:rPr>
        <w:t xml:space="preserve">study by fluorescent microscopy </w:t>
      </w:r>
      <w:r w:rsidR="003527E6" w:rsidRPr="00F57FE9">
        <w:rPr>
          <w:b/>
        </w:rPr>
        <w:t xml:space="preserve">using </w:t>
      </w:r>
      <w:proofErr w:type="spellStart"/>
      <w:r w:rsidR="003527E6" w:rsidRPr="00F57FE9">
        <w:rPr>
          <w:b/>
        </w:rPr>
        <w:t>Eb</w:t>
      </w:r>
      <w:proofErr w:type="spellEnd"/>
      <w:r w:rsidR="003527E6" w:rsidRPr="00F57FE9">
        <w:rPr>
          <w:b/>
        </w:rPr>
        <w:t xml:space="preserve"> (</w:t>
      </w:r>
      <w:proofErr w:type="spellStart"/>
      <w:r w:rsidR="003527E6" w:rsidRPr="00F57FE9">
        <w:rPr>
          <w:b/>
        </w:rPr>
        <w:t>Ethidium</w:t>
      </w:r>
      <w:proofErr w:type="spellEnd"/>
      <w:r w:rsidR="003527E6" w:rsidRPr="00F57FE9">
        <w:rPr>
          <w:b/>
        </w:rPr>
        <w:t xml:space="preserve"> Bromide) and AO (</w:t>
      </w:r>
      <w:proofErr w:type="spellStart"/>
      <w:r w:rsidR="003527E6" w:rsidRPr="00F57FE9">
        <w:rPr>
          <w:b/>
        </w:rPr>
        <w:t>Acridine</w:t>
      </w:r>
      <w:proofErr w:type="spellEnd"/>
      <w:r w:rsidR="003527E6" w:rsidRPr="00F57FE9">
        <w:rPr>
          <w:b/>
        </w:rPr>
        <w:t xml:space="preserve"> Orange) double staining method. </w:t>
      </w:r>
    </w:p>
    <w:p w:rsidR="003527E6" w:rsidRPr="00F57FE9" w:rsidRDefault="003527E6" w:rsidP="00F57FE9">
      <w:pPr>
        <w:shd w:val="clear" w:color="auto" w:fill="FFFFFF"/>
        <w:spacing w:line="360" w:lineRule="auto"/>
        <w:jc w:val="both"/>
        <w:rPr>
          <w:rFonts w:eastAsia="Arial"/>
          <w:lang w:bidi="mr-IN"/>
        </w:rPr>
      </w:pPr>
      <w:r w:rsidRPr="00F57FE9">
        <w:t xml:space="preserve">The MCF-7 cells were washed using cold </w:t>
      </w:r>
      <w:r w:rsidRPr="00F57FE9">
        <w:rPr>
          <w:bCs/>
        </w:rPr>
        <w:t>phosphate buffer saline solution (</w:t>
      </w:r>
      <w:r w:rsidRPr="00F57FE9">
        <w:t xml:space="preserve">PBS) after treating them with different concentrations of NS and AQD as 13.2262 µg/mL, 26.4524 µg/mL (LD 50 Concentration), 52.9048 µg/mL for forty-eight-hour, following AO (100 μg/ml) and </w:t>
      </w:r>
      <w:proofErr w:type="spellStart"/>
      <w:r w:rsidRPr="00F57FE9">
        <w:t>EtBr</w:t>
      </w:r>
      <w:proofErr w:type="spellEnd"/>
      <w:r w:rsidRPr="00F57FE9">
        <w:t xml:space="preserve"> (100 μg/ml) stains for 10 min at RT. Further, with </w:t>
      </w:r>
      <w:proofErr w:type="gramStart"/>
      <w:r w:rsidRPr="00F57FE9">
        <w:t>1X</w:t>
      </w:r>
      <w:proofErr w:type="gramEnd"/>
      <w:r w:rsidRPr="00F57FE9">
        <w:t xml:space="preserve"> PBS solution the cells which are stained are washed twice and were observed under a fluorescent microscope using a blue filter (Zhang et al., 1998). Based on staining reactions, the cells were grouped as normal green nucleus (living cells), bright green colored nucleus with fragmented or condensed chromatin (early apoptotic), orange-colored nuclei with condensation or fragmentation of chromatin (late apoptotic)</w:t>
      </w:r>
      <w:r w:rsidR="001D3D23" w:rsidRPr="00F57FE9">
        <w:t>,</w:t>
      </w:r>
      <w:r w:rsidRPr="00F57FE9">
        <w:t xml:space="preserve"> and uniformly orange-stained cell nuclei (necrotic cells).</w:t>
      </w:r>
    </w:p>
    <w:p w:rsidR="003527E6" w:rsidRPr="00F57FE9" w:rsidRDefault="00070353" w:rsidP="00F57FE9">
      <w:pPr>
        <w:spacing w:line="360" w:lineRule="auto"/>
        <w:ind w:right="57"/>
        <w:jc w:val="both"/>
        <w:rPr>
          <w:b/>
        </w:rPr>
      </w:pPr>
      <w:r w:rsidRPr="00F57FE9">
        <w:rPr>
          <w:b/>
        </w:rPr>
        <w:t>2.2.5.13</w:t>
      </w:r>
      <w:r w:rsidR="003527E6" w:rsidRPr="00F57FE9">
        <w:rPr>
          <w:b/>
        </w:rPr>
        <w:t xml:space="preserve">. Pharmacokinetic and </w:t>
      </w:r>
      <w:r w:rsidR="0042366F" w:rsidRPr="00F57FE9">
        <w:rPr>
          <w:b/>
        </w:rPr>
        <w:t>biodistribution study in rats</w:t>
      </w:r>
    </w:p>
    <w:p w:rsidR="003527E6" w:rsidRPr="00F57FE9" w:rsidRDefault="003527E6" w:rsidP="00F57FE9">
      <w:pPr>
        <w:autoSpaceDE w:val="0"/>
        <w:autoSpaceDN w:val="0"/>
        <w:adjustRightInd w:val="0"/>
        <w:spacing w:line="360" w:lineRule="auto"/>
        <w:jc w:val="both"/>
      </w:pPr>
      <w:r w:rsidRPr="00F57FE9">
        <w:rPr>
          <w:rFonts w:eastAsia="MinionPro-Regular"/>
        </w:rPr>
        <w:t xml:space="preserve">Sprague- Dawley rats (mean weight 200–220 g) </w:t>
      </w:r>
      <w:proofErr w:type="gramStart"/>
      <w:r w:rsidRPr="00F57FE9">
        <w:rPr>
          <w:rFonts w:eastAsia="MinionPro-Regular"/>
        </w:rPr>
        <w:t>were purchased</w:t>
      </w:r>
      <w:proofErr w:type="gramEnd"/>
      <w:r w:rsidRPr="00F57FE9">
        <w:rPr>
          <w:rFonts w:eastAsia="MinionPro-Regular"/>
        </w:rPr>
        <w:t xml:space="preserve"> from Global Bioresearch Solutions Pvt. Ltd., Pune. The pharmacokinetic (PK) and biodistribution studies of MTX </w:t>
      </w:r>
      <w:proofErr w:type="gramStart"/>
      <w:r w:rsidRPr="00F57FE9">
        <w:rPr>
          <w:rFonts w:eastAsia="MinionPro-Regular"/>
        </w:rPr>
        <w:t>were performed</w:t>
      </w:r>
      <w:proofErr w:type="gramEnd"/>
      <w:r w:rsidRPr="00F57FE9">
        <w:rPr>
          <w:rFonts w:eastAsia="MinionPro-Regular"/>
        </w:rPr>
        <w:t xml:space="preserve"> using the Sprague- Dawley rats model (BVCPK / CPCSEA /IAEC / 01/14/2017-2020). Initially, rats were kept on fast overnight with free access to water </w:t>
      </w:r>
      <w:r w:rsidRPr="00F57FE9">
        <w:rPr>
          <w:rFonts w:eastAsia="MinionPro-Regular"/>
          <w:i/>
          <w:iCs/>
        </w:rPr>
        <w:t>ad libitum</w:t>
      </w:r>
      <w:r w:rsidRPr="00F57FE9">
        <w:rPr>
          <w:rFonts w:eastAsia="MinionPro-Regular"/>
        </w:rPr>
        <w:t xml:space="preserve">. For the study, rats were randomly divided into three groups (n = 3). </w:t>
      </w:r>
      <w:r w:rsidR="001D3D23" w:rsidRPr="00F57FE9">
        <w:rPr>
          <w:rFonts w:eastAsia="MinionPro-Regular"/>
        </w:rPr>
        <w:t>G</w:t>
      </w:r>
      <w:r w:rsidRPr="00F57FE9">
        <w:rPr>
          <w:rFonts w:eastAsia="MinionPro-Regular"/>
        </w:rPr>
        <w:t xml:space="preserve">roup </w:t>
      </w:r>
      <w:proofErr w:type="gramStart"/>
      <w:r w:rsidRPr="00F57FE9">
        <w:rPr>
          <w:rFonts w:eastAsia="MinionPro-Regular"/>
        </w:rPr>
        <w:t>I</w:t>
      </w:r>
      <w:proofErr w:type="gramEnd"/>
      <w:r w:rsidRPr="00F57FE9">
        <w:rPr>
          <w:rFonts w:eastAsia="MinionPro-Regular"/>
        </w:rPr>
        <w:t xml:space="preserve"> was selected as the test group (MTX-NS), </w:t>
      </w:r>
      <w:r w:rsidR="001D3D23" w:rsidRPr="00F57FE9">
        <w:rPr>
          <w:rFonts w:eastAsia="MinionPro-Regular"/>
        </w:rPr>
        <w:t xml:space="preserve">the </w:t>
      </w:r>
      <w:r w:rsidRPr="00F57FE9">
        <w:rPr>
          <w:rFonts w:eastAsia="MinionPro-Regular"/>
        </w:rPr>
        <w:t xml:space="preserve">standard group (group II) was treated with MTX-AQD, and group III (control group) was given a normal saline solution. On the day of the study, the rats have been dosed (40 mg/kg) </w:t>
      </w:r>
      <w:r w:rsidR="001D3D23" w:rsidRPr="00F57FE9">
        <w:rPr>
          <w:rFonts w:eastAsia="MinionPro-Regular"/>
        </w:rPr>
        <w:t>with</w:t>
      </w:r>
      <w:r w:rsidRPr="00F57FE9">
        <w:rPr>
          <w:rFonts w:eastAsia="MinionPro-Regular"/>
        </w:rPr>
        <w:t xml:space="preserve"> optimized MTX-NS and MTX-AQD via oral feeding cannula. </w:t>
      </w:r>
      <w:r w:rsidRPr="00F57FE9">
        <w:t>Blood samples (0.5 mL) were obtained from the retro-orbital </w:t>
      </w:r>
      <w:r w:rsidR="00070353" w:rsidRPr="00F57FE9">
        <w:t xml:space="preserve">vein at predetermined </w:t>
      </w:r>
      <w:r w:rsidRPr="00F57FE9">
        <w:t>intervals of 0,</w:t>
      </w:r>
      <w:proofErr w:type="gramStart"/>
      <w:r w:rsidRPr="00F57FE9">
        <w:t>  2</w:t>
      </w:r>
      <w:proofErr w:type="gramEnd"/>
      <w:r w:rsidRPr="00F57FE9">
        <w:t>,  3,  4,  6,  12,  24,  36, 48 hours under mild anesthesia and</w:t>
      </w:r>
      <w:r w:rsidRPr="00F57FE9">
        <w:rPr>
          <w:rFonts w:eastAsia="MinionPro-Regular"/>
        </w:rPr>
        <w:t xml:space="preserve"> transferred into a tube containing EDTA.  Finally, blood samples </w:t>
      </w:r>
      <w:proofErr w:type="gramStart"/>
      <w:r w:rsidRPr="00F57FE9">
        <w:rPr>
          <w:rFonts w:eastAsia="MinionPro-Regular"/>
        </w:rPr>
        <w:t>were centrifuged</w:t>
      </w:r>
      <w:proofErr w:type="gramEnd"/>
      <w:r w:rsidRPr="00F57FE9">
        <w:rPr>
          <w:rFonts w:eastAsia="MinionPro-Regular"/>
        </w:rPr>
        <w:t xml:space="preserve"> immediately at 3,000 rpm for 10 min at 4</w:t>
      </w:r>
      <w:r w:rsidRPr="00F57FE9">
        <w:rPr>
          <w:rFonts w:eastAsia="MinionPro-Regular"/>
          <w:vertAlign w:val="superscript"/>
        </w:rPr>
        <w:t>o</w:t>
      </w:r>
      <w:r w:rsidRPr="00F57FE9">
        <w:rPr>
          <w:rFonts w:eastAsia="MinionPro-Regular"/>
        </w:rPr>
        <w:t xml:space="preserve">C, and separated plasma and samples were stored at –20 °C. The rats were sacrificed (n=3) using the cervical dislocation method. The distribution of the drug in vital organs </w:t>
      </w:r>
      <w:proofErr w:type="gramStart"/>
      <w:r w:rsidRPr="00F57FE9">
        <w:rPr>
          <w:rFonts w:eastAsia="MinionPro-Regular"/>
        </w:rPr>
        <w:t>is measured</w:t>
      </w:r>
      <w:proofErr w:type="gramEnd"/>
      <w:r w:rsidRPr="00F57FE9">
        <w:rPr>
          <w:rFonts w:eastAsia="MinionPro-Regular"/>
        </w:rPr>
        <w:t xml:space="preserve"> after 72 </w:t>
      </w:r>
      <w:r w:rsidRPr="00F57FE9">
        <w:rPr>
          <w:rFonts w:eastAsia="MinionPro-Regular"/>
        </w:rPr>
        <w:lastRenderedPageBreak/>
        <w:t>h of dosing. Spleen, liver, heart, brain, lungs, stomach, and kidney tissue samples were homogenized and centrifuged to get clear tissue samples, further stored at -</w:t>
      </w:r>
      <w:r w:rsidRPr="00F57FE9">
        <w:t xml:space="preserve">20°C. </w:t>
      </w:r>
    </w:p>
    <w:p w:rsidR="003527E6" w:rsidRPr="00F57FE9" w:rsidRDefault="003527E6" w:rsidP="00F57FE9">
      <w:pPr>
        <w:autoSpaceDE w:val="0"/>
        <w:autoSpaceDN w:val="0"/>
        <w:adjustRightInd w:val="0"/>
        <w:spacing w:line="360" w:lineRule="auto"/>
        <w:jc w:val="both"/>
      </w:pPr>
      <w:proofErr w:type="gramStart"/>
      <w:r w:rsidRPr="00F57FE9">
        <w:rPr>
          <w:b/>
        </w:rPr>
        <w:t>Plasma and tissue sample preparation:</w:t>
      </w:r>
      <w:r w:rsidRPr="00F57FE9">
        <w:t xml:space="preserve"> The tissue and plasma blood samples have been combined </w:t>
      </w:r>
      <w:r w:rsidR="0042366F" w:rsidRPr="00F57FE9">
        <w:t>with 20 μL (MTX) solution (5 μg</w:t>
      </w:r>
      <w:r w:rsidRPr="00F57FE9">
        <w:t>/mL) and d</w:t>
      </w:r>
      <w:r w:rsidRPr="00F57FE9">
        <w:rPr>
          <w:rFonts w:eastAsia="MinionPro-Regular"/>
        </w:rPr>
        <w:t>eproteinization of the sample was achieved by applying 100 μL acetonitrile to a 50 μL plasma sample and 300 μL acetonitrile to 200 μL of clear homogenates of tissue followed by cold centrifugation (6,000 rpm, 15 min) at 4 °C.</w:t>
      </w:r>
      <w:proofErr w:type="gramEnd"/>
      <w:r w:rsidRPr="00F57FE9">
        <w:rPr>
          <w:rFonts w:eastAsia="MinionPro-Regular"/>
        </w:rPr>
        <w:t xml:space="preserve"> The collected transparent supernatant was filtered by a syringe filter (0.20 μm) and injected into the HPLC for the determination of MTX content in tissue and blood samples</w:t>
      </w:r>
      <w:r w:rsidR="00741E5A">
        <w:rPr>
          <w:rFonts w:eastAsia="MinionPro-Regular"/>
        </w:rPr>
        <w:t>.</w:t>
      </w:r>
      <w:r w:rsidR="007163F6" w:rsidRPr="00F57FE9">
        <w:rPr>
          <w:rFonts w:eastAsia="MinionPro-Regular"/>
        </w:rPr>
        <w:fldChar w:fldCharType="begin"/>
      </w:r>
      <w:r w:rsidR="00F57FE9" w:rsidRPr="00F57FE9">
        <w:rPr>
          <w:rFonts w:eastAsia="MinionPro-Regular"/>
        </w:rPr>
        <w:instrText xml:space="preserve"> ADDIN EN.CITE &lt;EndNote&gt;&lt;Cite&gt;&lt;Author&gt;Rabelo&lt;/Author&gt;&lt;Year&gt;2012&lt;/Year&gt;&lt;RecNum&gt;31&lt;/RecNum&gt;&lt;DisplayText&gt;&lt;style face="superscript"&gt;20, 26&lt;/style&gt;&lt;/DisplayText&gt;&lt;record&gt;&lt;rec-number&gt;31&lt;/rec-number&gt;&lt;foreign-keys&gt;&lt;key app="EN" db-id="sv2ef2t2hvz5asez0dnprs50e22was0afref" timestamp="1588933451"&gt;31&lt;/key&gt;&lt;/foreign-keys&gt;&lt;ref-type name="Journal Article"&gt;17&lt;/ref-type&gt;&lt;contributors&gt;&lt;authors&gt;&lt;author&gt;Rabelo, Luciana&lt;/author&gt;&lt;author&gt;Monteiro, Norberto&lt;/author&gt;&lt;author&gt;Serquiz, Raphael&lt;/author&gt;&lt;author&gt;Santos, Paula&lt;/author&gt;&lt;author&gt;Oliveira, Ruth&lt;/author&gt;&lt;author&gt;Oliveira, Adeliana&lt;/author&gt;&lt;author&gt;Rocha, Hugo&lt;/author&gt;&lt;author&gt;Morais, Ana Heloneida&lt;/author&gt;&lt;author&gt;Uchoa, Adriana&lt;/author&gt;&lt;author&gt;Santos, Elizeu&lt;/author&gt;&lt;/authors&gt;&lt;/contributors&gt;&lt;titles&gt;&lt;title&gt;A lactose-binding lectin from the marine sponge Cinachyrella apion (Cal) induces cell death in human cervical adenocarcinoma cells&lt;/title&gt;&lt;secondary-title&gt;Marine drugs&lt;/secondary-title&gt;&lt;/titles&gt;&lt;periodical&gt;&lt;full-title&gt;Marine drugs&lt;/full-title&gt;&lt;/periodical&gt;&lt;pages&gt;727-743&lt;/pages&gt;&lt;volume&gt;10&lt;/volume&gt;&lt;number&gt;4&lt;/number&gt;&lt;dates&gt;&lt;year&gt;2012&lt;/year&gt;&lt;/dates&gt;&lt;urls&gt;&lt;/urls&gt;&lt;/record&gt;&lt;/Cite&gt;&lt;Cite&gt;&lt;Author&gt;He&lt;/Author&gt;&lt;Year&gt;2017&lt;/Year&gt;&lt;RecNum&gt;32&lt;/RecNum&gt;&lt;record&gt;&lt;rec-number&gt;32&lt;/rec-number&gt;&lt;foreign-keys&gt;&lt;key app="EN" db-id="sv2ef2t2hvz5asez0dnprs50e22was0afref" timestamp="1588933473"&gt;32&lt;/key&gt;&lt;/foreign-keys&gt;&lt;ref-type name="Journal Article"&gt;17&lt;/ref-type&gt;&lt;contributors&gt;&lt;authors&gt;&lt;author&gt;He, Jiali&lt;/author&gt;&lt;author&gt;Han, Yue&lt;/author&gt;&lt;author&gt;Xu, Gujun&lt;/author&gt;&lt;author&gt;Yin, Lifang&lt;/author&gt;&lt;author&gt;Neubi, M Ngandeu&lt;/author&gt;&lt;author&gt;Zhou, Jianping&lt;/author&gt;&lt;author&gt;Ding, Yang&lt;/author&gt;&lt;/authors&gt;&lt;/contributors&gt;&lt;titles&gt;&lt;title&gt;Preparation and evaluation of celecoxib nanosuspensions for bioavailability enhancement&lt;/title&gt;&lt;secondary-title&gt;RSC advances&lt;/secondary-title&gt;&lt;/titles&gt;&lt;periodical&gt;&lt;full-title&gt;RSC advances&lt;/full-title&gt;&lt;/periodical&gt;&lt;pages&gt;13053-13064&lt;/pages&gt;&lt;volume&gt;7&lt;/volume&gt;&lt;number&gt;22&lt;/number&gt;&lt;dates&gt;&lt;year&gt;2017&lt;/year&gt;&lt;/dates&gt;&lt;urls&gt;&lt;/urls&gt;&lt;/record&gt;&lt;/Cite&gt;&lt;/EndNote&gt;</w:instrText>
      </w:r>
      <w:r w:rsidR="007163F6" w:rsidRPr="00F57FE9">
        <w:rPr>
          <w:rFonts w:eastAsia="MinionPro-Regular"/>
        </w:rPr>
        <w:fldChar w:fldCharType="separate"/>
      </w:r>
      <w:r w:rsidR="00493BE5">
        <w:rPr>
          <w:rFonts w:eastAsia="MinionPro-Regular"/>
          <w:noProof/>
          <w:vertAlign w:val="superscript"/>
        </w:rPr>
        <w:t>19</w:t>
      </w:r>
      <w:r w:rsidR="00F57FE9" w:rsidRPr="00F57FE9">
        <w:rPr>
          <w:rFonts w:eastAsia="MinionPro-Regular"/>
          <w:noProof/>
          <w:vertAlign w:val="superscript"/>
        </w:rPr>
        <w:t>, 2</w:t>
      </w:r>
      <w:r w:rsidR="00C264FB">
        <w:rPr>
          <w:rFonts w:eastAsia="MinionPro-Regular"/>
          <w:noProof/>
          <w:vertAlign w:val="superscript"/>
        </w:rPr>
        <w:t>3</w:t>
      </w:r>
      <w:r w:rsidR="007163F6" w:rsidRPr="00F57FE9">
        <w:rPr>
          <w:rFonts w:eastAsia="MinionPro-Regular"/>
        </w:rPr>
        <w:fldChar w:fldCharType="end"/>
      </w:r>
      <w:r w:rsidRPr="00F57FE9">
        <w:rPr>
          <w:rFonts w:eastAsia="MinionPro-Regular"/>
        </w:rPr>
        <w:t xml:space="preserve"> </w:t>
      </w:r>
    </w:p>
    <w:p w:rsidR="003527E6" w:rsidRPr="00F57FE9" w:rsidRDefault="00070353" w:rsidP="00F57FE9">
      <w:pPr>
        <w:spacing w:line="360" w:lineRule="auto"/>
        <w:jc w:val="both"/>
        <w:rPr>
          <w:b/>
        </w:rPr>
      </w:pPr>
      <w:r w:rsidRPr="00F57FE9">
        <w:rPr>
          <w:b/>
        </w:rPr>
        <w:t>2.2.5.14</w:t>
      </w:r>
      <w:r w:rsidR="003527E6" w:rsidRPr="00F57FE9">
        <w:rPr>
          <w:b/>
        </w:rPr>
        <w:t>. Pharmacokinetic analysis</w:t>
      </w:r>
    </w:p>
    <w:p w:rsidR="003527E6" w:rsidRPr="00F57FE9" w:rsidRDefault="003527E6" w:rsidP="00F57FE9">
      <w:pPr>
        <w:spacing w:line="360" w:lineRule="auto"/>
        <w:jc w:val="both"/>
      </w:pPr>
      <w:r w:rsidRPr="00F57FE9">
        <w:t xml:space="preserve">A non-compartmental model </w:t>
      </w:r>
      <w:proofErr w:type="gramStart"/>
      <w:r w:rsidRPr="00F57FE9">
        <w:t>was used</w:t>
      </w:r>
      <w:proofErr w:type="gramEnd"/>
      <w:r w:rsidRPr="00F57FE9">
        <w:t xml:space="preserve"> to perform the PK study of the plasma concentration-time profile using Microsoft Excel (Microsoft office 2016). PK parameters obtained directly from plasma data, includes AUC</w:t>
      </w:r>
      <w:r w:rsidRPr="00F57FE9">
        <w:rPr>
          <w:vertAlign w:val="subscript"/>
        </w:rPr>
        <w:t>0-t</w:t>
      </w:r>
      <w:r w:rsidRPr="00F57FE9">
        <w:t xml:space="preserve"> (AU plasma concentration-time curves), </w:t>
      </w:r>
      <w:proofErr w:type="spellStart"/>
      <w:r w:rsidRPr="00F57FE9">
        <w:t>T</w:t>
      </w:r>
      <w:r w:rsidRPr="00F57FE9">
        <w:rPr>
          <w:vertAlign w:val="subscript"/>
        </w:rPr>
        <w:t>max</w:t>
      </w:r>
      <w:proofErr w:type="spellEnd"/>
      <w:r w:rsidRPr="00F57FE9">
        <w:t xml:space="preserve"> (the time to reach maximum plasma concentration), C</w:t>
      </w:r>
      <w:r w:rsidRPr="00F57FE9">
        <w:rPr>
          <w:vertAlign w:val="subscript"/>
        </w:rPr>
        <w:t>max</w:t>
      </w:r>
      <w:r w:rsidRPr="00F57FE9">
        <w:t xml:space="preserve"> (maximum plasma concentration), </w:t>
      </w:r>
      <w:proofErr w:type="spellStart"/>
      <w:r w:rsidRPr="00F57FE9">
        <w:t>K</w:t>
      </w:r>
      <w:r w:rsidRPr="00F57FE9">
        <w:rPr>
          <w:vertAlign w:val="subscript"/>
        </w:rPr>
        <w:t>el</w:t>
      </w:r>
      <w:proofErr w:type="spellEnd"/>
      <w:r w:rsidRPr="00F57FE9">
        <w:rPr>
          <w:vertAlign w:val="subscript"/>
        </w:rPr>
        <w:t xml:space="preserve"> </w:t>
      </w:r>
      <w:r w:rsidRPr="00F57FE9">
        <w:t>(elimination rate constant), t</w:t>
      </w:r>
      <w:r w:rsidRPr="00F57FE9">
        <w:rPr>
          <w:vertAlign w:val="subscript"/>
        </w:rPr>
        <w:t xml:space="preserve">1/2 </w:t>
      </w:r>
      <w:r w:rsidRPr="00F57FE9">
        <w:t xml:space="preserve">(elimination half-life), </w:t>
      </w:r>
      <w:proofErr w:type="spellStart"/>
      <w:r w:rsidRPr="00F57FE9">
        <w:t>Cl</w:t>
      </w:r>
      <w:proofErr w:type="spellEnd"/>
      <w:r w:rsidRPr="00F57FE9">
        <w:t xml:space="preserve"> (clearance), VD (volume of distribution), MRT (mean residence time), and </w:t>
      </w:r>
      <w:proofErr w:type="spellStart"/>
      <w:r w:rsidRPr="00F57FE9">
        <w:t>F</w:t>
      </w:r>
      <w:r w:rsidRPr="00F57FE9">
        <w:rPr>
          <w:vertAlign w:val="subscript"/>
        </w:rPr>
        <w:t>rel</w:t>
      </w:r>
      <w:proofErr w:type="spellEnd"/>
      <w:r w:rsidRPr="00F57FE9">
        <w:t xml:space="preserve"> (relative bioavailability). Lyophilized MTX-</w:t>
      </w:r>
      <w:proofErr w:type="spellStart"/>
      <w:r w:rsidRPr="00F57FE9">
        <w:t>NSF</w:t>
      </w:r>
      <w:r w:rsidRPr="00F57FE9">
        <w:rPr>
          <w:vertAlign w:val="subscript"/>
        </w:rPr>
        <w:t>rel</w:t>
      </w:r>
      <w:proofErr w:type="spellEnd"/>
      <w:r w:rsidRPr="00F57FE9">
        <w:t xml:space="preserve"> after oral administration </w:t>
      </w:r>
      <w:proofErr w:type="gramStart"/>
      <w:r w:rsidRPr="00F57FE9">
        <w:t>was measured</w:t>
      </w:r>
      <w:proofErr w:type="gramEnd"/>
      <w:r w:rsidRPr="00F57FE9">
        <w:t xml:space="preserve"> with the AQD as a reference using the following formula (Equation 5).</w:t>
      </w:r>
    </w:p>
    <w:p w:rsidR="003527E6" w:rsidRPr="00F57FE9" w:rsidRDefault="003527E6" w:rsidP="008C709D">
      <w:pPr>
        <w:spacing w:line="360" w:lineRule="auto"/>
      </w:pPr>
      <w:proofErr w:type="spellStart"/>
      <w:r w:rsidRPr="00F57FE9">
        <w:t>F</w:t>
      </w:r>
      <w:r w:rsidRPr="00F57FE9">
        <w:rPr>
          <w:vertAlign w:val="subscript"/>
        </w:rPr>
        <w:t>rel</w:t>
      </w:r>
      <w:proofErr w:type="spellEnd"/>
      <w:r w:rsidRPr="00F57FE9">
        <w:t xml:space="preserve"> = </w:t>
      </w:r>
      <m:oMath>
        <m:f>
          <m:fPr>
            <m:ctrlPr>
              <w:rPr>
                <w:rFonts w:ascii="Cambria Math" w:hAnsi="Cambria Math"/>
                <w:i/>
                <w:lang w:val="en-GB" w:eastAsia="en-GB"/>
              </w:rPr>
            </m:ctrlPr>
          </m:fPr>
          <m:num>
            <m:r>
              <m:rPr>
                <m:sty m:val="p"/>
              </m:rPr>
              <w:rPr>
                <w:rFonts w:ascii="Cambria Math"/>
              </w:rPr>
              <m:t>AUC test</m:t>
            </m:r>
          </m:num>
          <m:den>
            <m:r>
              <m:rPr>
                <m:sty m:val="p"/>
              </m:rPr>
              <w:rPr>
                <w:rFonts w:ascii="Cambria Math"/>
              </w:rPr>
              <m:t>AUC reference</m:t>
            </m:r>
          </m:den>
        </m:f>
        <m:r>
          <w:rPr>
            <w:rFonts w:ascii="Cambria Math"/>
          </w:rPr>
          <m:t>×</m:t>
        </m:r>
        <m:r>
          <w:rPr>
            <w:rFonts w:ascii="Cambria Math"/>
          </w:rPr>
          <m:t xml:space="preserve">100 </m:t>
        </m:r>
      </m:oMath>
      <w:r w:rsidR="008C709D">
        <w:t xml:space="preserve">                                                                                                         </w:t>
      </w:r>
      <w:r w:rsidRPr="00F57FE9">
        <w:rPr>
          <w:i/>
          <w:iCs/>
        </w:rPr>
        <w:t>Eq</w:t>
      </w:r>
      <w:r w:rsidRPr="00F57FE9">
        <w:t>. 5</w:t>
      </w:r>
    </w:p>
    <w:p w:rsidR="00E57ECE" w:rsidRPr="00F57FE9" w:rsidRDefault="003527E6" w:rsidP="00F57FE9">
      <w:pPr>
        <w:spacing w:line="360" w:lineRule="auto"/>
        <w:jc w:val="both"/>
      </w:pPr>
      <w:r w:rsidRPr="00F57FE9">
        <w:t xml:space="preserve">All data were revealed as ± SD (mean) and the level of significance was taken as P&lt; 0.05 </w:t>
      </w:r>
      <w:r w:rsidR="007163F6" w:rsidRPr="00F57FE9">
        <w:fldChar w:fldCharType="begin"/>
      </w:r>
      <w:r w:rsidR="00F57FE9" w:rsidRPr="00F57FE9">
        <w:instrText xml:space="preserve"> ADDIN EN.CITE &lt;EndNote&gt;&lt;Cite&gt;&lt;Author&gt;Vadlamudi&lt;/Author&gt;&lt;Year&gt;2016&lt;/Year&gt;&lt;RecNum&gt;34&lt;/RecNum&gt;&lt;DisplayText&gt;&lt;style face="superscript"&gt;22&lt;/style&gt;&lt;/DisplayText&gt;&lt;record&gt;&lt;rec-number&gt;34&lt;/rec-number&gt;&lt;foreign-keys&gt;&lt;key app="EN" db-id="sv2ef2t2hvz5asez0dnprs50e22was0afref" timestamp="1588933561"&gt;34&lt;/key&gt;&lt;/foreign-keys&gt;&lt;ref-type name="Journal Article"&gt;17&lt;/ref-type&gt;&lt;contributors&gt;&lt;authors&gt;&lt;author&gt;Vadlamudi, Harini Chowdary&lt;/author&gt;&lt;author&gt;Yalavarthi, Prasanna Raju&lt;/author&gt;&lt;author&gt;Venkata, Basaveswara Rao Mandava&lt;/author&gt;&lt;author&gt;Thanniru, Jyotsna&lt;/author&gt;&lt;author&gt;Vandana, KR&lt;/author&gt;&lt;author&gt;Sundaresan, CR&lt;/author&gt;&lt;/authors&gt;&lt;/contributors&gt;&lt;titles&gt;&lt;title&gt;Potential of microemulsified entacapone drug delivery systems in the management of acute Parkinson&amp;apos;s disease&lt;/title&gt;&lt;secondary-title&gt;Journal of Acute Disease&lt;/secondary-title&gt;&lt;/titles&gt;&lt;periodical&gt;&lt;full-title&gt;Journal of Acute Disease&lt;/full-title&gt;&lt;/periodical&gt;&lt;pages&gt;315-325&lt;/pages&gt;&lt;volume&gt;5&lt;/volume&gt;&lt;number&gt;4&lt;/number&gt;&lt;dates&gt;&lt;year&gt;2016&lt;/year&gt;&lt;/dates&gt;&lt;isbn&gt;2221-6189&lt;/isbn&gt;&lt;urls&gt;&lt;/urls&gt;&lt;/record&gt;&lt;/Cite&gt;&lt;/EndNote&gt;</w:instrText>
      </w:r>
      <w:r w:rsidR="007163F6" w:rsidRPr="00F57FE9">
        <w:fldChar w:fldCharType="separate"/>
      </w:r>
      <w:r w:rsidR="00F57FE9" w:rsidRPr="00F57FE9">
        <w:rPr>
          <w:noProof/>
          <w:vertAlign w:val="superscript"/>
        </w:rPr>
        <w:t>22</w:t>
      </w:r>
      <w:r w:rsidR="007163F6" w:rsidRPr="00F57FE9">
        <w:fldChar w:fldCharType="end"/>
      </w:r>
      <w:r w:rsidRPr="00F57FE9">
        <w:t>.</w:t>
      </w:r>
      <w:r w:rsidR="00E57ECE" w:rsidRPr="00F57FE9">
        <w:t xml:space="preserve"> While the Absolute bioavailability (</w:t>
      </w:r>
      <w:proofErr w:type="gramStart"/>
      <w:r w:rsidR="00E57ECE" w:rsidRPr="00F57FE9">
        <w:t>F%</w:t>
      </w:r>
      <w:proofErr w:type="gramEnd"/>
      <w:r w:rsidR="00E57ECE" w:rsidRPr="00F57FE9">
        <w:t xml:space="preserve">) is calculated by comparing exposure of drug by extra vascular route of MTX NS to its </w:t>
      </w:r>
      <w:proofErr w:type="spellStart"/>
      <w:r w:rsidR="00E57ECE" w:rsidRPr="00F57FE9">
        <w:t>i.v</w:t>
      </w:r>
      <w:proofErr w:type="spellEnd"/>
      <w:r w:rsidR="00E57ECE" w:rsidRPr="00F57FE9">
        <w:t xml:space="preserve">. administration which is assumed to be 100%. It </w:t>
      </w:r>
      <w:proofErr w:type="gramStart"/>
      <w:r w:rsidR="00E57ECE" w:rsidRPr="00F57FE9">
        <w:t>is calculated</w:t>
      </w:r>
      <w:proofErr w:type="gramEnd"/>
      <w:r w:rsidR="00E57ECE" w:rsidRPr="00F57FE9">
        <w:t xml:space="preserve"> by given formula</w:t>
      </w:r>
      <w:r w:rsidR="00F426AA" w:rsidRPr="00F57FE9">
        <w:t xml:space="preserve"> (equation 6)</w:t>
      </w:r>
      <w:r w:rsidR="00E57ECE" w:rsidRPr="00F57FE9">
        <w:t>:</w:t>
      </w:r>
    </w:p>
    <w:p w:rsidR="003527E6" w:rsidRPr="00F57FE9" w:rsidRDefault="00E57ECE" w:rsidP="008C709D">
      <w:pPr>
        <w:spacing w:line="360" w:lineRule="auto"/>
        <w:rPr>
          <w:i/>
          <w:iCs/>
        </w:rPr>
      </w:pPr>
      <m:oMath>
        <m:r>
          <w:rPr>
            <w:rFonts w:ascii="Cambria Math" w:hAnsi="Cambria Math"/>
          </w:rPr>
          <m:t>F</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AUC</m:t>
                </m:r>
              </m:e>
              <m:sub>
                <m:r>
                  <w:rPr>
                    <w:rFonts w:ascii="Cambria Math" w:hAnsi="Cambria Math"/>
                  </w:rPr>
                  <m:t>e</m:t>
                </m:r>
                <m:r>
                  <w:rPr>
                    <w:rFonts w:ascii="Cambria Math"/>
                  </w:rPr>
                  <m:t>.</m:t>
                </m:r>
                <m:r>
                  <w:rPr>
                    <w:rFonts w:ascii="Cambria Math" w:hAnsi="Cambria Math"/>
                  </w:rPr>
                  <m:t>v</m:t>
                </m:r>
                <m:r>
                  <w:rPr>
                    <w:rFonts w:ascii="Cambria Math"/>
                  </w:rPr>
                  <m:t>.</m:t>
                </m:r>
              </m:sub>
            </m:sSub>
          </m:num>
          <m:den>
            <m:sSub>
              <m:sSubPr>
                <m:ctrlPr>
                  <w:rPr>
                    <w:rFonts w:ascii="Cambria Math" w:hAnsi="Cambria Math"/>
                    <w:i/>
                  </w:rPr>
                </m:ctrlPr>
              </m:sSubPr>
              <m:e>
                <m:r>
                  <w:rPr>
                    <w:rFonts w:ascii="Cambria Math" w:hAnsi="Cambria Math"/>
                  </w:rPr>
                  <m:t>AUC</m:t>
                </m:r>
              </m:e>
              <m:sub>
                <m:r>
                  <w:rPr>
                    <w:rFonts w:ascii="Cambria Math" w:hAnsi="Cambria Math"/>
                  </w:rPr>
                  <m:t>i</m:t>
                </m:r>
                <m:r>
                  <w:rPr>
                    <w:rFonts w:ascii="Cambria Math"/>
                  </w:rPr>
                  <m:t>.</m:t>
                </m:r>
                <m:r>
                  <w:rPr>
                    <w:rFonts w:ascii="Cambria Math" w:hAnsi="Cambria Math"/>
                  </w:rPr>
                  <m:t>v</m:t>
                </m:r>
                <m:r>
                  <w:rPr>
                    <w:rFonts w:ascii="Cambria Math"/>
                  </w:rPr>
                  <m:t>.</m:t>
                </m:r>
              </m:sub>
            </m:sSub>
          </m:den>
        </m:f>
      </m:oMath>
      <w:r w:rsidRPr="00F57FE9">
        <w:t xml:space="preserve"> X </w:t>
      </w:r>
      <m:oMath>
        <m:f>
          <m:fPr>
            <m:ctrlPr>
              <w:rPr>
                <w:rFonts w:ascii="Cambria Math" w:hAnsi="Cambria Math"/>
                <w:i/>
              </w:rPr>
            </m:ctrlPr>
          </m:fPr>
          <m:num>
            <m:sSub>
              <m:sSubPr>
                <m:ctrlPr>
                  <w:rPr>
                    <w:rFonts w:ascii="Cambria Math" w:hAnsi="Cambria Math"/>
                    <w:i/>
                  </w:rPr>
                </m:ctrlPr>
              </m:sSubPr>
              <m:e>
                <m:r>
                  <w:rPr>
                    <w:rFonts w:ascii="Cambria Math" w:hAnsi="Cambria Math"/>
                  </w:rPr>
                  <m:t>Dose</m:t>
                </m:r>
              </m:e>
              <m:sub>
                <m:r>
                  <w:rPr>
                    <w:rFonts w:ascii="Cambria Math" w:hAnsi="Cambria Math"/>
                  </w:rPr>
                  <m:t>i</m:t>
                </m:r>
                <m:r>
                  <w:rPr>
                    <w:rFonts w:ascii="Cambria Math"/>
                  </w:rPr>
                  <m:t>.</m:t>
                </m:r>
                <m:r>
                  <w:rPr>
                    <w:rFonts w:ascii="Cambria Math" w:hAnsi="Cambria Math"/>
                  </w:rPr>
                  <m:t>v</m:t>
                </m:r>
                <m:r>
                  <w:rPr>
                    <w:rFonts w:ascii="Cambria Math"/>
                  </w:rPr>
                  <m:t>.</m:t>
                </m:r>
              </m:sub>
            </m:sSub>
          </m:num>
          <m:den>
            <m:sSub>
              <m:sSubPr>
                <m:ctrlPr>
                  <w:rPr>
                    <w:rFonts w:ascii="Cambria Math" w:hAnsi="Cambria Math"/>
                    <w:i/>
                  </w:rPr>
                </m:ctrlPr>
              </m:sSubPr>
              <m:e>
                <m:r>
                  <w:rPr>
                    <w:rFonts w:ascii="Cambria Math" w:hAnsi="Cambria Math"/>
                  </w:rPr>
                  <m:t>Dose</m:t>
                </m:r>
              </m:e>
              <m:sub>
                <m:r>
                  <w:rPr>
                    <w:rFonts w:ascii="Cambria Math" w:hAnsi="Cambria Math"/>
                  </w:rPr>
                  <m:t>e</m:t>
                </m:r>
                <m:r>
                  <w:rPr>
                    <w:rFonts w:ascii="Cambria Math"/>
                  </w:rPr>
                  <m:t>.</m:t>
                </m:r>
                <m:r>
                  <w:rPr>
                    <w:rFonts w:ascii="Cambria Math" w:hAnsi="Cambria Math"/>
                  </w:rPr>
                  <m:t>v</m:t>
                </m:r>
                <m:r>
                  <w:rPr>
                    <w:rFonts w:ascii="Cambria Math"/>
                  </w:rPr>
                  <m:t>.</m:t>
                </m:r>
              </m:sub>
            </m:sSub>
          </m:den>
        </m:f>
      </m:oMath>
      <w:r w:rsidRPr="00F57FE9">
        <w:t>X 100</w:t>
      </w:r>
      <w:r w:rsidR="008C709D">
        <w:t xml:space="preserve">                                                                                                     </w:t>
      </w:r>
      <w:r w:rsidRPr="00F57FE9">
        <w:t xml:space="preserve"> </w:t>
      </w:r>
      <w:r w:rsidRPr="00F57FE9">
        <w:rPr>
          <w:i/>
          <w:iCs/>
        </w:rPr>
        <w:t>Eq.6</w:t>
      </w:r>
    </w:p>
    <w:p w:rsidR="003527E6" w:rsidRPr="00F57FE9" w:rsidRDefault="00E57ECE" w:rsidP="00F57FE9">
      <w:pPr>
        <w:spacing w:line="360" w:lineRule="auto"/>
        <w:ind w:left="58" w:right="58"/>
        <w:jc w:val="both"/>
        <w:rPr>
          <w:b/>
        </w:rPr>
      </w:pPr>
      <w:r w:rsidRPr="00F57FE9">
        <w:rPr>
          <w:b/>
        </w:rPr>
        <w:t>2.2.5.15</w:t>
      </w:r>
      <w:r w:rsidR="003527E6" w:rsidRPr="00F57FE9">
        <w:rPr>
          <w:b/>
        </w:rPr>
        <w:t>. HPLC analysis of MTX</w:t>
      </w:r>
    </w:p>
    <w:p w:rsidR="003527E6" w:rsidRPr="00F57FE9" w:rsidRDefault="003527E6" w:rsidP="00F57FE9">
      <w:pPr>
        <w:spacing w:line="360" w:lineRule="auto"/>
        <w:ind w:left="57" w:right="57"/>
        <w:jc w:val="both"/>
      </w:pPr>
      <w:r w:rsidRPr="00F57FE9">
        <w:t xml:space="preserve">The MTX content was analyzed through reverse-phase (RP)- HPLC (UV detector system, intelligent HPLC pump, Model Jasco PU-2080) using a reverse-phase C18 column (5 μm pore size, 150 mm ×4.6 mm, Phenomenex). The optimized mobile phase was </w:t>
      </w:r>
      <w:r w:rsidR="00A90E78" w:rsidRPr="00F57FE9">
        <w:t>(70:30 v/</w:t>
      </w:r>
      <w:proofErr w:type="gramStart"/>
      <w:r w:rsidR="00A90E78" w:rsidRPr="00F57FE9">
        <w:t>v )</w:t>
      </w:r>
      <w:proofErr w:type="gramEnd"/>
      <w:r w:rsidR="00A90E78" w:rsidRPr="00F57FE9">
        <w:t xml:space="preserve"> </w:t>
      </w:r>
      <w:r w:rsidRPr="00F57FE9">
        <w:t xml:space="preserve">water and acetonitrile mixture. For separation, HPLC analysis was performed using a constant flow rate (1.0 mL/min), </w:t>
      </w:r>
      <w:r w:rsidR="00A90E78" w:rsidRPr="00F57FE9">
        <w:t xml:space="preserve">with </w:t>
      </w:r>
      <w:r w:rsidRPr="00F57FE9">
        <w:t xml:space="preserve">a </w:t>
      </w:r>
      <w:proofErr w:type="gramStart"/>
      <w:r w:rsidRPr="00F57FE9">
        <w:t>20 μL</w:t>
      </w:r>
      <w:proofErr w:type="gramEnd"/>
      <w:r w:rsidRPr="00F57FE9">
        <w:t xml:space="preserve"> injection at 25°C column temperature, and 303 nm wavelengths under isocratic condition</w:t>
      </w:r>
      <w:r w:rsidR="001D3D23" w:rsidRPr="00F57FE9">
        <w:t>s</w:t>
      </w:r>
      <w:r w:rsidRPr="00F57FE9">
        <w:t xml:space="preserve">. The curve of calibration for MTX in plasma was found within the </w:t>
      </w:r>
      <w:r w:rsidRPr="00F57FE9">
        <w:lastRenderedPageBreak/>
        <w:t>linear concentration range of 15–100 μg/mL (R</w:t>
      </w:r>
      <w:r w:rsidRPr="00F57FE9">
        <w:rPr>
          <w:vertAlign w:val="superscript"/>
        </w:rPr>
        <w:t>2</w:t>
      </w:r>
      <w:r w:rsidRPr="00F57FE9">
        <w:t>=0.9865) with pazopanib as an internal standard. The experimental outcomes indicate a mean ±SD and &lt; 0.05 level of significance.</w:t>
      </w:r>
    </w:p>
    <w:p w:rsidR="003527E6" w:rsidRPr="00F57FE9" w:rsidRDefault="003527E6" w:rsidP="00F57FE9">
      <w:pPr>
        <w:spacing w:line="360" w:lineRule="auto"/>
        <w:ind w:right="57"/>
        <w:jc w:val="both"/>
        <w:rPr>
          <w:b/>
          <w:lang w:eastAsia="en-IN"/>
        </w:rPr>
      </w:pPr>
      <w:r w:rsidRPr="00F57FE9">
        <w:rPr>
          <w:b/>
          <w:lang w:eastAsia="en-IN"/>
        </w:rPr>
        <w:t>2.2.5.1</w:t>
      </w:r>
      <w:r w:rsidR="00E57ECE" w:rsidRPr="00F57FE9">
        <w:rPr>
          <w:b/>
          <w:lang w:eastAsia="en-IN"/>
        </w:rPr>
        <w:t>6</w:t>
      </w:r>
      <w:r w:rsidRPr="00F57FE9">
        <w:rPr>
          <w:b/>
          <w:lang w:eastAsia="en-IN"/>
        </w:rPr>
        <w:t xml:space="preserve">. Stability studies </w:t>
      </w:r>
    </w:p>
    <w:p w:rsidR="00EE58B8" w:rsidRPr="00F57FE9" w:rsidRDefault="003527E6" w:rsidP="00F57FE9">
      <w:pPr>
        <w:spacing w:line="360" w:lineRule="auto"/>
        <w:ind w:right="57"/>
        <w:jc w:val="both"/>
        <w:rPr>
          <w:rFonts w:eastAsia="MinionPro-Regular"/>
        </w:rPr>
      </w:pPr>
      <w:r w:rsidRPr="00F57FE9">
        <w:rPr>
          <w:lang w:eastAsia="en-IN"/>
        </w:rPr>
        <w:t xml:space="preserve">The stability studies of optimized </w:t>
      </w:r>
      <w:r w:rsidR="00A90E78" w:rsidRPr="00F57FE9">
        <w:rPr>
          <w:lang w:eastAsia="en-IN"/>
        </w:rPr>
        <w:t xml:space="preserve">lyophilized </w:t>
      </w:r>
      <w:r w:rsidRPr="00F57FE9">
        <w:rPr>
          <w:lang w:eastAsia="en-IN"/>
        </w:rPr>
        <w:t>MTX-NS and liquid MTX-NS were performed [</w:t>
      </w:r>
      <w:r w:rsidRPr="00F57FE9">
        <w:rPr>
          <w:rFonts w:eastAsia="MinionPro-Regular"/>
        </w:rPr>
        <w:t xml:space="preserve">ICH Q1A (R2)]. In brief, the developed formulations were wrapped into aluminum foils and stored in a refrigerator at  </w:t>
      </w:r>
      <w:r w:rsidRPr="00F57FE9">
        <w:rPr>
          <w:lang w:eastAsia="en-IN"/>
        </w:rPr>
        <w:t xml:space="preserve">4ºC, room temperature, and 40º±2ºC/75±5% </w:t>
      </w:r>
      <w:r w:rsidRPr="00F57FE9">
        <w:rPr>
          <w:rFonts w:eastAsia="MinionPro-Regular"/>
        </w:rPr>
        <w:t>relative humidity (in the stability chamber) for 6 months. As per the defined time interval, the DC and particle size were calculated to check the chemical as well as physical stability of developed MTX-NS</w:t>
      </w:r>
      <w:r w:rsidR="00741E5A">
        <w:rPr>
          <w:rFonts w:eastAsia="MinionPro-Regular"/>
        </w:rPr>
        <w:t>.</w:t>
      </w:r>
      <w:r w:rsidR="007163F6" w:rsidRPr="00F57FE9">
        <w:rPr>
          <w:rFonts w:eastAsia="MinionPro-Regular"/>
        </w:rPr>
        <w:fldChar w:fldCharType="begin"/>
      </w:r>
      <w:r w:rsidR="00F57FE9" w:rsidRPr="00F57FE9">
        <w:rPr>
          <w:rFonts w:eastAsia="MinionPro-Regular"/>
        </w:rPr>
        <w:instrText xml:space="preserve"> ADDIN EN.CITE &lt;EndNote&gt;&lt;Cite&gt;&lt;Author&gt;Powar&lt;/Author&gt;&lt;Year&gt;2020&lt;/Year&gt;&lt;RecNum&gt;9&lt;/RecNum&gt;&lt;DisplayText&gt;&lt;style face="superscript"&gt;12&lt;/style&gt;&lt;/DisplayText&gt;&lt;record&gt;&lt;rec-number&gt;9&lt;/rec-number&gt;&lt;foreign-keys&gt;&lt;key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EndNote&gt;</w:instrText>
      </w:r>
      <w:r w:rsidR="007163F6" w:rsidRPr="00F57FE9">
        <w:rPr>
          <w:rFonts w:eastAsia="MinionPro-Regular"/>
        </w:rPr>
        <w:fldChar w:fldCharType="separate"/>
      </w:r>
      <w:r w:rsidR="00F57FE9" w:rsidRPr="00F57FE9">
        <w:rPr>
          <w:rFonts w:eastAsia="MinionPro-Regular"/>
          <w:noProof/>
          <w:vertAlign w:val="superscript"/>
        </w:rPr>
        <w:t>1</w:t>
      </w:r>
      <w:r w:rsidR="00493BE5">
        <w:rPr>
          <w:rFonts w:eastAsia="MinionPro-Regular"/>
          <w:noProof/>
          <w:vertAlign w:val="superscript"/>
        </w:rPr>
        <w:t>1</w:t>
      </w:r>
      <w:r w:rsidR="007163F6" w:rsidRPr="00F57FE9">
        <w:rPr>
          <w:rFonts w:eastAsia="MinionPro-Regular"/>
        </w:rPr>
        <w:fldChar w:fldCharType="end"/>
      </w:r>
    </w:p>
    <w:p w:rsidR="003527E6" w:rsidRPr="00F57FE9" w:rsidRDefault="00EE58B8" w:rsidP="00F57FE9">
      <w:pPr>
        <w:autoSpaceDE w:val="0"/>
        <w:autoSpaceDN w:val="0"/>
        <w:adjustRightInd w:val="0"/>
        <w:spacing w:line="360" w:lineRule="auto"/>
        <w:jc w:val="both"/>
        <w:rPr>
          <w:b/>
          <w:bCs/>
        </w:rPr>
      </w:pPr>
      <w:r w:rsidRPr="00F57FE9">
        <w:rPr>
          <w:b/>
          <w:bCs/>
        </w:rPr>
        <w:t>2.2.5.17</w:t>
      </w:r>
      <w:r w:rsidR="003527E6" w:rsidRPr="00F57FE9">
        <w:rPr>
          <w:b/>
          <w:bCs/>
        </w:rPr>
        <w:t xml:space="preserve">. Statistical </w:t>
      </w:r>
      <w:r w:rsidR="00894A0C" w:rsidRPr="00F57FE9">
        <w:rPr>
          <w:b/>
          <w:bCs/>
        </w:rPr>
        <w:t>a</w:t>
      </w:r>
      <w:r w:rsidR="003527E6" w:rsidRPr="00F57FE9">
        <w:rPr>
          <w:b/>
          <w:bCs/>
        </w:rPr>
        <w:t>nalysis</w:t>
      </w:r>
    </w:p>
    <w:p w:rsidR="003527E6" w:rsidRPr="00F57FE9" w:rsidRDefault="003527E6" w:rsidP="00F57FE9">
      <w:pPr>
        <w:autoSpaceDE w:val="0"/>
        <w:autoSpaceDN w:val="0"/>
        <w:adjustRightInd w:val="0"/>
        <w:spacing w:line="360" w:lineRule="auto"/>
        <w:jc w:val="both"/>
        <w:rPr>
          <w:rFonts w:eastAsia="MinionPro-Regular"/>
        </w:rPr>
      </w:pPr>
      <w:r w:rsidRPr="00F57FE9">
        <w:rPr>
          <w:rFonts w:eastAsia="MinionPro-Regular"/>
        </w:rPr>
        <w:t xml:space="preserve">The outcomes of the study </w:t>
      </w:r>
      <w:proofErr w:type="gramStart"/>
      <w:r w:rsidRPr="00F57FE9">
        <w:rPr>
          <w:rFonts w:eastAsia="MinionPro-Regular"/>
        </w:rPr>
        <w:t>were analyzed</w:t>
      </w:r>
      <w:proofErr w:type="gramEnd"/>
      <w:r w:rsidRPr="00F57FE9">
        <w:rPr>
          <w:rFonts w:eastAsia="MinionPro-Regular"/>
        </w:rPr>
        <w:t xml:space="preserve"> using ANOVA, multilinear regression analysis, and lack-of-fit tests. Student’s t-test where appropriate, was used and expressed as mean ± SD (n=3), to test the statistical significance</w:t>
      </w:r>
      <w:r w:rsidR="00741E5A">
        <w:rPr>
          <w:rFonts w:eastAsia="MinionPro-Regular"/>
        </w:rPr>
        <w:t>.</w:t>
      </w:r>
      <w:r w:rsidR="007163F6" w:rsidRPr="00F57FE9">
        <w:rPr>
          <w:rFonts w:eastAsia="MinionPro-Regular"/>
        </w:rPr>
        <w:fldChar w:fldCharType="begin"/>
      </w:r>
      <w:r w:rsidR="00F57FE9" w:rsidRPr="00F57FE9">
        <w:rPr>
          <w:rFonts w:eastAsia="MinionPro-Regular"/>
        </w:rPr>
        <w:instrText xml:space="preserve"> ADDIN EN.CITE &lt;EndNote&gt;&lt;Cite&gt;&lt;Author&gt;Powar&lt;/Author&gt;&lt;Year&gt;2020&lt;/Year&gt;&lt;RecNum&gt;9&lt;/RecNum&gt;&lt;DisplayText&gt;&lt;style face="superscript"&gt;12&lt;/style&gt;&lt;/DisplayText&gt;&lt;record&gt;&lt;rec-number&gt;9&lt;/rec-number&gt;&lt;foreign-keys&gt;&lt;key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EndNote&gt;</w:instrText>
      </w:r>
      <w:r w:rsidR="007163F6" w:rsidRPr="00F57FE9">
        <w:rPr>
          <w:rFonts w:eastAsia="MinionPro-Regular"/>
        </w:rPr>
        <w:fldChar w:fldCharType="separate"/>
      </w:r>
      <w:r w:rsidR="00F57FE9" w:rsidRPr="00F57FE9">
        <w:rPr>
          <w:rFonts w:eastAsia="MinionPro-Regular"/>
          <w:noProof/>
          <w:vertAlign w:val="superscript"/>
        </w:rPr>
        <w:t>1</w:t>
      </w:r>
      <w:r w:rsidR="00493BE5">
        <w:rPr>
          <w:rFonts w:eastAsia="MinionPro-Regular"/>
          <w:noProof/>
          <w:vertAlign w:val="superscript"/>
        </w:rPr>
        <w:t>1</w:t>
      </w:r>
      <w:r w:rsidR="007163F6" w:rsidRPr="00F57FE9">
        <w:rPr>
          <w:rFonts w:eastAsia="MinionPro-Regular"/>
        </w:rPr>
        <w:fldChar w:fldCharType="end"/>
      </w:r>
      <w:r w:rsidRPr="00F57FE9">
        <w:rPr>
          <w:rFonts w:eastAsia="MinionPro-Regular"/>
        </w:rPr>
        <w:t xml:space="preserve"> </w:t>
      </w:r>
    </w:p>
    <w:p w:rsidR="003527E6" w:rsidRPr="00F57FE9" w:rsidRDefault="003527E6" w:rsidP="00F57FE9">
      <w:pPr>
        <w:spacing w:line="360" w:lineRule="auto"/>
        <w:ind w:right="57"/>
        <w:jc w:val="both"/>
        <w:rPr>
          <w:b/>
        </w:rPr>
      </w:pPr>
      <w:r w:rsidRPr="00F57FE9">
        <w:rPr>
          <w:b/>
        </w:rPr>
        <w:t xml:space="preserve">3. </w:t>
      </w:r>
      <w:r w:rsidR="0076336F" w:rsidRPr="00F57FE9">
        <w:rPr>
          <w:b/>
        </w:rPr>
        <w:t>Results and discussion</w:t>
      </w:r>
    </w:p>
    <w:p w:rsidR="003527E6" w:rsidRPr="00F57FE9" w:rsidRDefault="003527E6" w:rsidP="00F57FE9">
      <w:pPr>
        <w:autoSpaceDE w:val="0"/>
        <w:autoSpaceDN w:val="0"/>
        <w:adjustRightInd w:val="0"/>
        <w:spacing w:line="360" w:lineRule="auto"/>
        <w:rPr>
          <w:b/>
          <w:bCs/>
        </w:rPr>
      </w:pPr>
      <w:r w:rsidRPr="00F57FE9">
        <w:rPr>
          <w:b/>
          <w:bCs/>
        </w:rPr>
        <w:t xml:space="preserve">3.1. Screening of the </w:t>
      </w:r>
      <w:r w:rsidR="00585FBB" w:rsidRPr="00F57FE9">
        <w:rPr>
          <w:b/>
          <w:bCs/>
        </w:rPr>
        <w:t>s</w:t>
      </w:r>
      <w:r w:rsidRPr="00F57FE9">
        <w:rPr>
          <w:b/>
          <w:bCs/>
        </w:rPr>
        <w:t>tabilizer for MTX-NS</w:t>
      </w:r>
    </w:p>
    <w:p w:rsidR="003527E6" w:rsidRPr="00F57FE9" w:rsidRDefault="003527E6" w:rsidP="00F57FE9">
      <w:pPr>
        <w:autoSpaceDE w:val="0"/>
        <w:autoSpaceDN w:val="0"/>
        <w:adjustRightInd w:val="0"/>
        <w:spacing w:line="360" w:lineRule="auto"/>
        <w:rPr>
          <w:b/>
          <w:bCs/>
        </w:rPr>
      </w:pPr>
      <w:r w:rsidRPr="00F57FE9">
        <w:rPr>
          <w:b/>
          <w:bCs/>
        </w:rPr>
        <w:t xml:space="preserve">3.1.1. Suspending </w:t>
      </w:r>
      <w:r w:rsidR="00585FBB" w:rsidRPr="00F57FE9">
        <w:rPr>
          <w:b/>
          <w:bCs/>
        </w:rPr>
        <w:t xml:space="preserve">effect of stabilizers </w:t>
      </w:r>
      <w:r w:rsidRPr="00F57FE9">
        <w:rPr>
          <w:b/>
          <w:bCs/>
        </w:rPr>
        <w:t>on MTX</w:t>
      </w:r>
    </w:p>
    <w:p w:rsidR="003527E6" w:rsidRPr="00F57FE9" w:rsidRDefault="003527E6" w:rsidP="00F57FE9">
      <w:pPr>
        <w:autoSpaceDE w:val="0"/>
        <w:autoSpaceDN w:val="0"/>
        <w:adjustRightInd w:val="0"/>
        <w:spacing w:line="360" w:lineRule="auto"/>
        <w:jc w:val="both"/>
        <w:rPr>
          <w:bCs/>
        </w:rPr>
      </w:pPr>
      <w:r w:rsidRPr="00F57FE9">
        <w:rPr>
          <w:bCs/>
        </w:rPr>
        <w:t xml:space="preserve">In the development of NS, stabilizers and polymers play a crucial role. A lack of adequate stabilizers causes </w:t>
      </w:r>
      <w:r w:rsidRPr="00F57FE9">
        <w:t>aggregation</w:t>
      </w:r>
      <w:r w:rsidRPr="00F57FE9">
        <w:rPr>
          <w:bCs/>
        </w:rPr>
        <w:t xml:space="preserve"> of nano-sized drug particles due to extremely free of surface energy. An admirable stabilizer efficiently decreases the </w:t>
      </w:r>
      <w:proofErr w:type="spellStart"/>
      <w:r w:rsidRPr="00F57FE9">
        <w:rPr>
          <w:bCs/>
        </w:rPr>
        <w:t>nanoparticle's</w:t>
      </w:r>
      <w:proofErr w:type="spellEnd"/>
      <w:r w:rsidRPr="00F57FE9">
        <w:rPr>
          <w:bCs/>
        </w:rPr>
        <w:t xml:space="preserve"> surface energy by dispersing them at a water and particle interface to avoid particulate accumulation in the NS. Moreover, the ionic/steric barrier </w:t>
      </w:r>
      <w:proofErr w:type="gramStart"/>
      <w:r w:rsidRPr="00F57FE9">
        <w:rPr>
          <w:bCs/>
        </w:rPr>
        <w:t>is therefore stopped</w:t>
      </w:r>
      <w:proofErr w:type="gramEnd"/>
      <w:r w:rsidRPr="00F57FE9">
        <w:rPr>
          <w:bCs/>
        </w:rPr>
        <w:t xml:space="preserve"> from </w:t>
      </w:r>
      <w:r w:rsidRPr="00F57FE9">
        <w:rPr>
          <w:rFonts w:eastAsia="MinionPro-Regular"/>
        </w:rPr>
        <w:t xml:space="preserve">Ostwald’s ripening. </w:t>
      </w:r>
      <w:r w:rsidRPr="00F57FE9">
        <w:rPr>
          <w:bCs/>
        </w:rPr>
        <w:t>A stable MTX-NS system with a suitable stabilizer was optimized by various factors such as sedimentation effect, suspending effects, and particle size analysis</w:t>
      </w:r>
      <w:r w:rsidR="00EE58B8" w:rsidRPr="00F57FE9">
        <w:rPr>
          <w:bCs/>
        </w:rPr>
        <w:t xml:space="preserve"> </w:t>
      </w:r>
      <w:r w:rsidRPr="00F57FE9">
        <w:rPr>
          <w:bCs/>
        </w:rPr>
        <w:t>(Table 4)</w:t>
      </w:r>
      <w:r w:rsidR="00741E5A">
        <w:rPr>
          <w:bCs/>
        </w:rPr>
        <w:t>.</w:t>
      </w:r>
      <w:r w:rsidR="007163F6" w:rsidRPr="00F57FE9">
        <w:rPr>
          <w:bCs/>
        </w:rPr>
        <w:fldChar w:fldCharType="begin"/>
      </w:r>
      <w:r w:rsidR="00F57FE9" w:rsidRPr="00F57FE9">
        <w:rPr>
          <w:bCs/>
        </w:rPr>
        <w:instrText xml:space="preserve"> ADDIN EN.CITE &lt;EndNote&gt;&lt;Cite&gt;&lt;Author&gt;Huang&lt;/Author&gt;&lt;Year&gt;2010&lt;/Year&gt;&lt;RecNum&gt;36&lt;/RecNum&gt;&lt;DisplayText&gt;&lt;style face="superscript"&gt;15, 27&lt;/style&gt;&lt;/DisplayText&gt;&lt;record&gt;&lt;rec-number&gt;36&lt;/rec-number&gt;&lt;foreign-keys&gt;&lt;key app="EN" db-id="sv2ef2t2hvz5asez0dnprs50e22was0afref" timestamp="1588934167"&gt;36&lt;/key&gt;&lt;/foreign-keys&gt;&lt;ref-type name="Journal Article"&gt;17&lt;/ref-type&gt;&lt;contributors&gt;&lt;authors&gt;&lt;author&gt;Huang, Qingrong&lt;/author&gt;&lt;author&gt;Yu, Hailong&lt;/author&gt;&lt;author&gt;Ru, Qiaomei&lt;/author&gt;&lt;/authors&gt;&lt;/contributors&gt;&lt;titles&gt;&lt;title&gt;Bioavailability and delivery of nutraceuticals using nanotechnology&lt;/title&gt;&lt;secondary-title&gt;Journal of food science&lt;/secondary-title&gt;&lt;/titles&gt;&lt;periodical&gt;&lt;full-title&gt;Journal of food science&lt;/full-title&gt;&lt;/periodical&gt;&lt;pages&gt;R50-R57&lt;/pages&gt;&lt;volume&gt;75&lt;/volume&gt;&lt;number&gt;1&lt;/number&gt;&lt;dates&gt;&lt;year&gt;2010&lt;/year&gt;&lt;/dates&gt;&lt;isbn&gt;0022-1147&lt;/isbn&gt;&lt;urls&gt;&lt;/urls&gt;&lt;/record&gt;&lt;/Cite&gt;&lt;Cite&gt;&lt;Author&gt;Sattar&lt;/Author&gt;&lt;Year&gt;2017&lt;/Year&gt;&lt;RecNum&gt;35&lt;/RecNum&gt;&lt;record&gt;&lt;rec-number&gt;35&lt;/rec-number&gt;&lt;foreign-keys&gt;&lt;key app="EN" db-id="sv2ef2t2hvz5asez0dnprs50e22was0afref" timestamp="1588934141"&gt;35&lt;/key&gt;&lt;/foreign-keys&gt;&lt;ref-type name="Journal Article"&gt;17&lt;/ref-type&gt;&lt;contributors&gt;&lt;authors&gt;&lt;author&gt;Sattar, Adeel&lt;/author&gt;&lt;author&gt;Chen, Dongmei&lt;/author&gt;&lt;author&gt;Jiang, Lishun&lt;/author&gt;&lt;author&gt;Pan, Yuanhu&lt;/author&gt;&lt;author&gt;Tao, Yanfei&lt;/author&gt;&lt;author&gt;Huang, Lingli&lt;/author&gt;&lt;author&gt;Liu, Zhenli&lt;/author&gt;&lt;author&gt;Xie, Shuyu&lt;/author&gt;&lt;author&gt;Yuan, Zonghui&lt;/author&gt;&lt;/authors&gt;&lt;/contributors&gt;&lt;titles&gt;&lt;title&gt;Preparation, characterization and pharmacokinetics of cyadox nanosuspension&lt;/title&gt;&lt;secondary-title&gt;Scientific reports&lt;/secondary-title&gt;&lt;/titles&gt;&lt;periodical&gt;&lt;full-title&gt;Scientific reports&lt;/full-title&gt;&lt;/periodical&gt;&lt;pages&gt;1-9&lt;/pages&gt;&lt;volume&gt;7&lt;/volume&gt;&lt;number&gt;1&lt;/number&gt;&lt;dates&gt;&lt;year&gt;2017&lt;/year&gt;&lt;/dates&gt;&lt;isbn&gt;2045-2322&lt;/isbn&gt;&lt;urls&gt;&lt;/urls&gt;&lt;/record&gt;&lt;/Cite&gt;&lt;/EndNote&gt;</w:instrText>
      </w:r>
      <w:r w:rsidR="007163F6" w:rsidRPr="00F57FE9">
        <w:rPr>
          <w:bCs/>
        </w:rPr>
        <w:fldChar w:fldCharType="separate"/>
      </w:r>
      <w:r w:rsidR="00F57FE9" w:rsidRPr="00F57FE9">
        <w:rPr>
          <w:bCs/>
          <w:noProof/>
          <w:vertAlign w:val="superscript"/>
        </w:rPr>
        <w:t>1</w:t>
      </w:r>
      <w:r w:rsidR="00493BE5">
        <w:rPr>
          <w:bCs/>
          <w:noProof/>
          <w:vertAlign w:val="superscript"/>
        </w:rPr>
        <w:t>4</w:t>
      </w:r>
      <w:r w:rsidR="00F57FE9" w:rsidRPr="00F57FE9">
        <w:rPr>
          <w:bCs/>
          <w:noProof/>
          <w:vertAlign w:val="superscript"/>
        </w:rPr>
        <w:t>, 2</w:t>
      </w:r>
      <w:r w:rsidR="00C264FB">
        <w:rPr>
          <w:bCs/>
          <w:noProof/>
          <w:vertAlign w:val="superscript"/>
        </w:rPr>
        <w:t>4</w:t>
      </w:r>
      <w:r w:rsidR="007163F6" w:rsidRPr="00F57FE9">
        <w:rPr>
          <w:bCs/>
        </w:rPr>
        <w:fldChar w:fldCharType="end"/>
      </w:r>
      <w:r w:rsidRPr="00F57FE9">
        <w:rPr>
          <w:bCs/>
        </w:rPr>
        <w:t xml:space="preserve"> </w:t>
      </w:r>
    </w:p>
    <w:p w:rsidR="003527E6" w:rsidRPr="00F57FE9" w:rsidRDefault="003527E6" w:rsidP="008C709D">
      <w:pPr>
        <w:autoSpaceDE w:val="0"/>
        <w:autoSpaceDN w:val="0"/>
        <w:adjustRightInd w:val="0"/>
        <w:spacing w:line="360" w:lineRule="auto"/>
        <w:rPr>
          <w:rFonts w:eastAsia="MinionPro-Regular"/>
        </w:rPr>
      </w:pPr>
      <w:r w:rsidRPr="008C709D">
        <w:rPr>
          <w:b/>
        </w:rPr>
        <w:t>Table 4:</w:t>
      </w:r>
      <w:r w:rsidRPr="00F57FE9">
        <w:rPr>
          <w:bCs/>
        </w:rPr>
        <w:t xml:space="preserve">  </w:t>
      </w:r>
      <w:r w:rsidRPr="00F57FE9">
        <w:rPr>
          <w:rFonts w:eastAsia="MinionPro-Regular"/>
        </w:rPr>
        <w:t>Suspending concentrations and particle size of MTX in different</w:t>
      </w:r>
      <w:r w:rsidR="0076336F" w:rsidRPr="00F57FE9">
        <w:rPr>
          <w:rFonts w:eastAsia="MinionPro-Regular"/>
        </w:rPr>
        <w:t xml:space="preserve"> stabilizer systems for MTX-NS</w:t>
      </w:r>
    </w:p>
    <w:tbl>
      <w:tblPr>
        <w:tblW w:w="9495" w:type="dxa"/>
        <w:jc w:val="center"/>
        <w:tblLayout w:type="fixed"/>
        <w:tblLook w:val="0420"/>
      </w:tblPr>
      <w:tblGrid>
        <w:gridCol w:w="1508"/>
        <w:gridCol w:w="1800"/>
        <w:gridCol w:w="1260"/>
        <w:gridCol w:w="1710"/>
        <w:gridCol w:w="1710"/>
        <w:gridCol w:w="1507"/>
      </w:tblGrid>
      <w:tr w:rsidR="00FD4D29" w:rsidRPr="00B41994" w:rsidTr="00B41994">
        <w:trPr>
          <w:trHeight w:val="584"/>
          <w:jc w:val="center"/>
        </w:trPr>
        <w:tc>
          <w:tcPr>
            <w:tcW w:w="1508" w:type="dxa"/>
            <w:tcBorders>
              <w:top w:val="single" w:sz="4" w:space="0" w:color="auto"/>
              <w:bottom w:val="single" w:sz="4" w:space="0" w:color="auto"/>
            </w:tcBorders>
            <w:shd w:val="clear" w:color="auto" w:fill="auto"/>
            <w:vAlign w:val="center"/>
            <w:hideMark/>
          </w:tcPr>
          <w:p w:rsidR="00FD4D29" w:rsidRPr="00B41994" w:rsidRDefault="00FD4D29" w:rsidP="00B41994">
            <w:pPr>
              <w:spacing w:line="360" w:lineRule="auto"/>
              <w:jc w:val="center"/>
              <w:rPr>
                <w:b/>
                <w:sz w:val="18"/>
                <w:szCs w:val="18"/>
              </w:rPr>
            </w:pPr>
            <w:r w:rsidRPr="00B41994">
              <w:rPr>
                <w:b/>
                <w:bCs/>
                <w:sz w:val="18"/>
                <w:szCs w:val="18"/>
              </w:rPr>
              <w:t>Stabilizers*</w:t>
            </w:r>
          </w:p>
        </w:tc>
        <w:tc>
          <w:tcPr>
            <w:tcW w:w="1800" w:type="dxa"/>
            <w:tcBorders>
              <w:top w:val="single" w:sz="4" w:space="0" w:color="auto"/>
              <w:bottom w:val="single" w:sz="4" w:space="0" w:color="auto"/>
            </w:tcBorders>
            <w:shd w:val="clear" w:color="auto" w:fill="auto"/>
            <w:vAlign w:val="center"/>
            <w:hideMark/>
          </w:tcPr>
          <w:p w:rsidR="00FD4D29" w:rsidRPr="00B41994" w:rsidRDefault="00FD4D29" w:rsidP="00B41994">
            <w:pPr>
              <w:spacing w:line="360" w:lineRule="auto"/>
              <w:jc w:val="center"/>
              <w:rPr>
                <w:b/>
                <w:sz w:val="18"/>
                <w:szCs w:val="18"/>
                <w:vertAlign w:val="superscript"/>
              </w:rPr>
            </w:pPr>
            <w:r w:rsidRPr="00B41994">
              <w:rPr>
                <w:b/>
                <w:bCs/>
                <w:sz w:val="18"/>
                <w:szCs w:val="18"/>
              </w:rPr>
              <w:t>Concentration of  MTX</w:t>
            </w:r>
            <w:r w:rsidRPr="00B41994">
              <w:rPr>
                <w:b/>
                <w:bCs/>
                <w:sz w:val="18"/>
                <w:szCs w:val="18"/>
                <w:vertAlign w:val="superscript"/>
              </w:rPr>
              <w:t>**</w:t>
            </w:r>
          </w:p>
          <w:p w:rsidR="00FD4D29" w:rsidRPr="00B41994" w:rsidRDefault="00FD4D29" w:rsidP="00B41994">
            <w:pPr>
              <w:spacing w:line="360" w:lineRule="auto"/>
              <w:jc w:val="center"/>
              <w:rPr>
                <w:b/>
                <w:sz w:val="18"/>
                <w:szCs w:val="18"/>
              </w:rPr>
            </w:pPr>
            <w:r w:rsidRPr="00B41994">
              <w:rPr>
                <w:b/>
                <w:bCs/>
                <w:sz w:val="18"/>
                <w:szCs w:val="18"/>
              </w:rPr>
              <w:t>(µg/ml)</w:t>
            </w:r>
          </w:p>
        </w:tc>
        <w:tc>
          <w:tcPr>
            <w:tcW w:w="1260" w:type="dxa"/>
            <w:tcBorders>
              <w:top w:val="single" w:sz="4" w:space="0" w:color="auto"/>
              <w:bottom w:val="single" w:sz="4" w:space="0" w:color="auto"/>
            </w:tcBorders>
            <w:shd w:val="clear" w:color="auto" w:fill="auto"/>
            <w:vAlign w:val="center"/>
          </w:tcPr>
          <w:p w:rsidR="00FD4D29" w:rsidRPr="00B41994" w:rsidRDefault="00FD4D29" w:rsidP="00B41994">
            <w:pPr>
              <w:spacing w:line="360" w:lineRule="auto"/>
              <w:jc w:val="center"/>
              <w:rPr>
                <w:b/>
                <w:bCs/>
                <w:sz w:val="18"/>
                <w:szCs w:val="18"/>
              </w:rPr>
            </w:pPr>
            <w:r w:rsidRPr="00B41994">
              <w:rPr>
                <w:b/>
                <w:bCs/>
                <w:sz w:val="18"/>
                <w:szCs w:val="18"/>
              </w:rPr>
              <w:t>Particle size (nm)</w:t>
            </w:r>
            <w:r w:rsidRPr="00B41994">
              <w:rPr>
                <w:b/>
                <w:bCs/>
                <w:sz w:val="18"/>
                <w:szCs w:val="18"/>
                <w:vertAlign w:val="superscript"/>
              </w:rPr>
              <w:t xml:space="preserve"> **</w:t>
            </w:r>
          </w:p>
        </w:tc>
        <w:tc>
          <w:tcPr>
            <w:tcW w:w="1710" w:type="dxa"/>
            <w:tcBorders>
              <w:top w:val="single" w:sz="4" w:space="0" w:color="auto"/>
              <w:bottom w:val="single" w:sz="4" w:space="0" w:color="auto"/>
            </w:tcBorders>
            <w:shd w:val="clear" w:color="auto" w:fill="auto"/>
            <w:vAlign w:val="center"/>
          </w:tcPr>
          <w:p w:rsidR="00FD4D29" w:rsidRPr="00B41994" w:rsidRDefault="00FD4D29" w:rsidP="00B41994">
            <w:pPr>
              <w:spacing w:line="360" w:lineRule="auto"/>
              <w:jc w:val="center"/>
              <w:rPr>
                <w:b/>
                <w:bCs/>
                <w:sz w:val="18"/>
                <w:szCs w:val="18"/>
              </w:rPr>
            </w:pPr>
            <w:r w:rsidRPr="00B41994">
              <w:rPr>
                <w:b/>
                <w:bCs/>
                <w:sz w:val="18"/>
                <w:szCs w:val="18"/>
              </w:rPr>
              <w:t>Stabilizers*</w:t>
            </w:r>
          </w:p>
        </w:tc>
        <w:tc>
          <w:tcPr>
            <w:tcW w:w="1710" w:type="dxa"/>
            <w:tcBorders>
              <w:top w:val="single" w:sz="4" w:space="0" w:color="auto"/>
              <w:bottom w:val="single" w:sz="4" w:space="0" w:color="auto"/>
            </w:tcBorders>
            <w:shd w:val="clear" w:color="auto" w:fill="auto"/>
            <w:vAlign w:val="center"/>
          </w:tcPr>
          <w:p w:rsidR="00FD4D29" w:rsidRPr="00B41994" w:rsidRDefault="00FD4D29" w:rsidP="00B41994">
            <w:pPr>
              <w:spacing w:line="360" w:lineRule="auto"/>
              <w:jc w:val="center"/>
              <w:rPr>
                <w:b/>
                <w:sz w:val="18"/>
                <w:szCs w:val="18"/>
                <w:vertAlign w:val="superscript"/>
              </w:rPr>
            </w:pPr>
            <w:r w:rsidRPr="00B41994">
              <w:rPr>
                <w:b/>
                <w:bCs/>
                <w:sz w:val="18"/>
                <w:szCs w:val="18"/>
              </w:rPr>
              <w:t>Concentration of  MTX</w:t>
            </w:r>
            <w:r w:rsidRPr="00B41994">
              <w:rPr>
                <w:b/>
                <w:bCs/>
                <w:sz w:val="18"/>
                <w:szCs w:val="18"/>
                <w:vertAlign w:val="superscript"/>
              </w:rPr>
              <w:t>**</w:t>
            </w:r>
          </w:p>
          <w:p w:rsidR="00FD4D29" w:rsidRPr="00B41994" w:rsidRDefault="00FD4D29" w:rsidP="00B41994">
            <w:pPr>
              <w:spacing w:line="360" w:lineRule="auto"/>
              <w:jc w:val="center"/>
              <w:rPr>
                <w:b/>
                <w:bCs/>
                <w:sz w:val="18"/>
                <w:szCs w:val="18"/>
              </w:rPr>
            </w:pPr>
            <w:r w:rsidRPr="00B41994">
              <w:rPr>
                <w:b/>
                <w:bCs/>
                <w:sz w:val="18"/>
                <w:szCs w:val="18"/>
              </w:rPr>
              <w:t>(µg/ml)</w:t>
            </w:r>
          </w:p>
        </w:tc>
        <w:tc>
          <w:tcPr>
            <w:tcW w:w="1507" w:type="dxa"/>
            <w:tcBorders>
              <w:top w:val="single" w:sz="4" w:space="0" w:color="auto"/>
              <w:bottom w:val="single" w:sz="4" w:space="0" w:color="auto"/>
            </w:tcBorders>
            <w:shd w:val="clear" w:color="auto" w:fill="auto"/>
            <w:vAlign w:val="center"/>
          </w:tcPr>
          <w:p w:rsidR="00FD4D29" w:rsidRPr="00B41994" w:rsidRDefault="00FD4D29" w:rsidP="00B41994">
            <w:pPr>
              <w:spacing w:line="360" w:lineRule="auto"/>
              <w:jc w:val="center"/>
              <w:rPr>
                <w:b/>
                <w:bCs/>
                <w:sz w:val="18"/>
                <w:szCs w:val="18"/>
              </w:rPr>
            </w:pPr>
            <w:r w:rsidRPr="00B41994">
              <w:rPr>
                <w:b/>
                <w:bCs/>
                <w:sz w:val="18"/>
                <w:szCs w:val="18"/>
              </w:rPr>
              <w:t>Particle size</w:t>
            </w:r>
          </w:p>
          <w:p w:rsidR="00FD4D29" w:rsidRPr="00B41994" w:rsidRDefault="00FD4D29" w:rsidP="00B41994">
            <w:pPr>
              <w:spacing w:line="360" w:lineRule="auto"/>
              <w:jc w:val="center"/>
              <w:rPr>
                <w:b/>
                <w:bCs/>
                <w:sz w:val="18"/>
                <w:szCs w:val="18"/>
              </w:rPr>
            </w:pPr>
            <w:r w:rsidRPr="00B41994">
              <w:rPr>
                <w:b/>
                <w:bCs/>
                <w:sz w:val="18"/>
                <w:szCs w:val="18"/>
              </w:rPr>
              <w:t>(nm)</w:t>
            </w:r>
            <w:r w:rsidRPr="00B41994">
              <w:rPr>
                <w:b/>
                <w:bCs/>
                <w:sz w:val="18"/>
                <w:szCs w:val="18"/>
                <w:vertAlign w:val="superscript"/>
              </w:rPr>
              <w:t xml:space="preserve"> **</w:t>
            </w:r>
          </w:p>
        </w:tc>
      </w:tr>
      <w:tr w:rsidR="00FD4D29" w:rsidRPr="00B41994" w:rsidTr="00B41994">
        <w:trPr>
          <w:trHeight w:val="584"/>
          <w:jc w:val="center"/>
        </w:trPr>
        <w:tc>
          <w:tcPr>
            <w:tcW w:w="1508" w:type="dxa"/>
            <w:tcBorders>
              <w:top w:val="single" w:sz="4" w:space="0" w:color="auto"/>
            </w:tcBorders>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Tween 80</w:t>
            </w:r>
          </w:p>
        </w:tc>
        <w:tc>
          <w:tcPr>
            <w:tcW w:w="1800" w:type="dxa"/>
            <w:tcBorders>
              <w:top w:val="single" w:sz="4" w:space="0" w:color="auto"/>
            </w:tcBorders>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119.14</w:t>
            </w:r>
            <w:r w:rsidRPr="00B41994">
              <w:rPr>
                <w:bCs/>
                <w:sz w:val="18"/>
                <w:szCs w:val="18"/>
              </w:rPr>
              <w:t>±0.14</w:t>
            </w:r>
          </w:p>
        </w:tc>
        <w:tc>
          <w:tcPr>
            <w:tcW w:w="1260" w:type="dxa"/>
            <w:tcBorders>
              <w:top w:val="single" w:sz="4" w:space="0" w:color="auto"/>
            </w:tcBorders>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301.65±1.45</w:t>
            </w:r>
          </w:p>
        </w:tc>
        <w:tc>
          <w:tcPr>
            <w:tcW w:w="1710" w:type="dxa"/>
            <w:tcBorders>
              <w:top w:val="single" w:sz="4" w:space="0" w:color="auto"/>
            </w:tcBorders>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SL/SDS</w:t>
            </w:r>
          </w:p>
        </w:tc>
        <w:tc>
          <w:tcPr>
            <w:tcW w:w="1710" w:type="dxa"/>
            <w:tcBorders>
              <w:top w:val="single" w:sz="4" w:space="0" w:color="auto"/>
            </w:tcBorders>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111.32</w:t>
            </w:r>
            <w:r w:rsidRPr="00B41994">
              <w:rPr>
                <w:bCs/>
                <w:sz w:val="18"/>
                <w:szCs w:val="18"/>
              </w:rPr>
              <w:t>±0.24</w:t>
            </w:r>
          </w:p>
        </w:tc>
        <w:tc>
          <w:tcPr>
            <w:tcW w:w="1507" w:type="dxa"/>
            <w:tcBorders>
              <w:top w:val="single" w:sz="4" w:space="0" w:color="auto"/>
            </w:tcBorders>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564.98±3.45</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Sodium lauryl sulphate (SLS)</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112.83</w:t>
            </w:r>
            <w:r w:rsidRPr="00B41994">
              <w:rPr>
                <w:bCs/>
                <w:sz w:val="18"/>
                <w:szCs w:val="18"/>
              </w:rPr>
              <w:t>±0.21</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349.09±2.18</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SLS/ Poloxamer 407</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117.72</w:t>
            </w:r>
            <w:r w:rsidRPr="00B41994">
              <w:rPr>
                <w:bCs/>
                <w:sz w:val="18"/>
                <w:szCs w:val="18"/>
              </w:rPr>
              <w:t>±0.18</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387.09±3.42</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Poloxamer 188</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126.09</w:t>
            </w:r>
            <w:r w:rsidRPr="00B41994">
              <w:rPr>
                <w:bCs/>
                <w:sz w:val="18"/>
                <w:szCs w:val="18"/>
              </w:rPr>
              <w:t>±0.31</w:t>
            </w:r>
          </w:p>
        </w:tc>
        <w:tc>
          <w:tcPr>
            <w:tcW w:w="1260" w:type="dxa"/>
            <w:shd w:val="clear" w:color="auto" w:fill="auto"/>
            <w:vAlign w:val="center"/>
          </w:tcPr>
          <w:p w:rsidR="00FD4D29" w:rsidRPr="00B41994" w:rsidRDefault="00FD4D29" w:rsidP="00B41994">
            <w:pPr>
              <w:spacing w:line="360" w:lineRule="auto"/>
              <w:jc w:val="center"/>
              <w:rPr>
                <w:bCs/>
                <w:sz w:val="18"/>
                <w:szCs w:val="18"/>
              </w:rPr>
            </w:pPr>
            <w:r w:rsidRPr="00B41994">
              <w:rPr>
                <w:sz w:val="18"/>
                <w:szCs w:val="18"/>
              </w:rPr>
              <w:t>293.46±3.32</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Poloxamer 407/ Tween 80</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119.23</w:t>
            </w:r>
            <w:r w:rsidRPr="00B41994">
              <w:rPr>
                <w:bCs/>
                <w:sz w:val="18"/>
                <w:szCs w:val="18"/>
              </w:rPr>
              <w:t>±0.12</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345.67±2.54</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lastRenderedPageBreak/>
              <w:t>Poloxamer 407</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101.81</w:t>
            </w:r>
            <w:r w:rsidRPr="00B41994">
              <w:rPr>
                <w:bCs/>
                <w:sz w:val="18"/>
                <w:szCs w:val="18"/>
              </w:rPr>
              <w:t>±0.24</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312.45±2.34</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 xml:space="preserve">Tween 80/ </w:t>
            </w:r>
            <w:proofErr w:type="spellStart"/>
            <w:r w:rsidRPr="00B41994">
              <w:rPr>
                <w:sz w:val="18"/>
                <w:szCs w:val="18"/>
              </w:rPr>
              <w:t>Carbomer</w:t>
            </w:r>
            <w:proofErr w:type="spellEnd"/>
            <w:r w:rsidRPr="00B41994">
              <w:rPr>
                <w:sz w:val="18"/>
                <w:szCs w:val="18"/>
              </w:rPr>
              <w:t xml:space="preserve"> 940</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51.82</w:t>
            </w:r>
            <w:r w:rsidRPr="00B41994">
              <w:rPr>
                <w:bCs/>
                <w:sz w:val="18"/>
                <w:szCs w:val="18"/>
              </w:rPr>
              <w:t>±0.21</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573.45±2.98</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HPMC-K5</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109.59</w:t>
            </w:r>
            <w:r w:rsidRPr="00B41994">
              <w:rPr>
                <w:bCs/>
                <w:sz w:val="18"/>
                <w:szCs w:val="18"/>
              </w:rPr>
              <w:t>±0.17</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765.90±1.44</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Tween 80/ SLS</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101.44</w:t>
            </w:r>
            <w:r w:rsidRPr="00B41994">
              <w:rPr>
                <w:bCs/>
                <w:sz w:val="18"/>
                <w:szCs w:val="18"/>
              </w:rPr>
              <w:t>±0.24</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535.07±2.70</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Soya lecithin (SL)</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41.84</w:t>
            </w:r>
            <w:r w:rsidRPr="00B41994">
              <w:rPr>
                <w:bCs/>
                <w:sz w:val="18"/>
                <w:szCs w:val="18"/>
              </w:rPr>
              <w:t>±0.19</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352.77±2.56</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SDS/ Poloxamer 407</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95.04</w:t>
            </w:r>
            <w:r w:rsidRPr="00B41994">
              <w:rPr>
                <w:bCs/>
                <w:sz w:val="18"/>
                <w:szCs w:val="18"/>
              </w:rPr>
              <w:t>±0.54</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376.88±2.54</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Cremophor EL-  40</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103.25</w:t>
            </w:r>
            <w:r w:rsidRPr="00B41994">
              <w:rPr>
                <w:bCs/>
                <w:sz w:val="18"/>
                <w:szCs w:val="18"/>
              </w:rPr>
              <w:t>±0.32</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675.43±2.43</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Tween 80 / HPMC-K5</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105.15</w:t>
            </w:r>
            <w:r w:rsidRPr="00B41994">
              <w:rPr>
                <w:bCs/>
                <w:sz w:val="18"/>
                <w:szCs w:val="18"/>
              </w:rPr>
              <w:t>±0.65</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389.56±3.44</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Sodium deoxycholate (SDS)</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88.28</w:t>
            </w:r>
            <w:r w:rsidRPr="00B41994">
              <w:rPr>
                <w:bCs/>
                <w:sz w:val="18"/>
                <w:szCs w:val="18"/>
              </w:rPr>
              <w:t>±0.28</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673.09±2.78</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Tween 80/ SDS</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54.93</w:t>
            </w:r>
            <w:r w:rsidRPr="00B41994">
              <w:rPr>
                <w:bCs/>
                <w:sz w:val="18"/>
                <w:szCs w:val="18"/>
              </w:rPr>
              <w:t>±0.24</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409.99±2.33</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proofErr w:type="spellStart"/>
            <w:r w:rsidRPr="00B41994">
              <w:rPr>
                <w:sz w:val="18"/>
                <w:szCs w:val="18"/>
              </w:rPr>
              <w:t>Carbomer</w:t>
            </w:r>
            <w:proofErr w:type="spellEnd"/>
            <w:r w:rsidRPr="00B41994">
              <w:rPr>
                <w:sz w:val="18"/>
                <w:szCs w:val="18"/>
              </w:rPr>
              <w:t xml:space="preserve"> 940</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69.97</w:t>
            </w:r>
            <w:r w:rsidRPr="00B41994">
              <w:rPr>
                <w:bCs/>
                <w:sz w:val="18"/>
                <w:szCs w:val="18"/>
              </w:rPr>
              <w:t>±0.27</w:t>
            </w:r>
          </w:p>
        </w:tc>
        <w:tc>
          <w:tcPr>
            <w:tcW w:w="126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456.98±3.45</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Tween 80/ SL</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56.17</w:t>
            </w:r>
            <w:r w:rsidRPr="00B41994">
              <w:rPr>
                <w:bCs/>
                <w:sz w:val="18"/>
                <w:szCs w:val="18"/>
              </w:rPr>
              <w:t>±0.45</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456.98±3.01</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PVP K30</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98.87</w:t>
            </w:r>
            <w:r w:rsidRPr="00B41994">
              <w:rPr>
                <w:bCs/>
                <w:sz w:val="18"/>
                <w:szCs w:val="18"/>
              </w:rPr>
              <w:t>±0.18</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345.65±3.54</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Poloxamer 407/ SL</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41.48</w:t>
            </w:r>
            <w:r w:rsidRPr="00B41994">
              <w:rPr>
                <w:bCs/>
                <w:sz w:val="18"/>
                <w:szCs w:val="18"/>
              </w:rPr>
              <w:t>±0.74</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378.01±3.21</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PEG 6000</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110.59</w:t>
            </w:r>
            <w:r w:rsidRPr="00B41994">
              <w:rPr>
                <w:bCs/>
                <w:sz w:val="18"/>
                <w:szCs w:val="18"/>
              </w:rPr>
              <w:t>±0.16</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345.09±2.54</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SLS/soya lecithin/ PEG 6000</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110.63</w:t>
            </w:r>
            <w:r w:rsidRPr="00B41994">
              <w:rPr>
                <w:bCs/>
                <w:sz w:val="18"/>
                <w:szCs w:val="18"/>
              </w:rPr>
              <w:t>±0.23</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421.98±2.45</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Span 80</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85.87</w:t>
            </w:r>
            <w:r w:rsidRPr="00B41994">
              <w:rPr>
                <w:bCs/>
                <w:sz w:val="18"/>
                <w:szCs w:val="18"/>
              </w:rPr>
              <w:t>±0.22</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665.98±2.43</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Tween 80/SLS/ Poloxamer 188</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198.88</w:t>
            </w:r>
            <w:r w:rsidRPr="00B41994">
              <w:rPr>
                <w:bCs/>
                <w:sz w:val="18"/>
                <w:szCs w:val="18"/>
              </w:rPr>
              <w:t>±0.31</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372.89±2.43</w:t>
            </w:r>
          </w:p>
        </w:tc>
      </w:tr>
      <w:tr w:rsidR="00FD4D29" w:rsidRPr="00B41994" w:rsidTr="00B41994">
        <w:trPr>
          <w:trHeight w:val="584"/>
          <w:jc w:val="center"/>
        </w:trPr>
        <w:tc>
          <w:tcPr>
            <w:tcW w:w="1508"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Poloxamer 188/ SLS</w:t>
            </w:r>
          </w:p>
        </w:tc>
        <w:tc>
          <w:tcPr>
            <w:tcW w:w="1800" w:type="dxa"/>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51.94</w:t>
            </w:r>
            <w:r w:rsidRPr="00B41994">
              <w:rPr>
                <w:bCs/>
                <w:sz w:val="18"/>
                <w:szCs w:val="18"/>
              </w:rPr>
              <w:t>±0.11</w:t>
            </w:r>
          </w:p>
        </w:tc>
        <w:tc>
          <w:tcPr>
            <w:tcW w:w="1260"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435.98±2.87</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Soya lecithin /Poloxamer 407/ SLS</w:t>
            </w:r>
          </w:p>
        </w:tc>
        <w:tc>
          <w:tcPr>
            <w:tcW w:w="1710" w:type="dxa"/>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99.43</w:t>
            </w:r>
            <w:r w:rsidRPr="00B41994">
              <w:rPr>
                <w:bCs/>
                <w:sz w:val="18"/>
                <w:szCs w:val="18"/>
              </w:rPr>
              <w:t>±0.22</w:t>
            </w:r>
          </w:p>
        </w:tc>
        <w:tc>
          <w:tcPr>
            <w:tcW w:w="1507" w:type="dxa"/>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332.45±1.03</w:t>
            </w:r>
          </w:p>
        </w:tc>
      </w:tr>
      <w:tr w:rsidR="00FD4D29" w:rsidRPr="00B41994" w:rsidTr="00B41994">
        <w:trPr>
          <w:trHeight w:val="584"/>
          <w:jc w:val="center"/>
        </w:trPr>
        <w:tc>
          <w:tcPr>
            <w:tcW w:w="1508" w:type="dxa"/>
            <w:tcBorders>
              <w:bottom w:val="single" w:sz="4" w:space="0" w:color="auto"/>
            </w:tcBorders>
            <w:shd w:val="clear" w:color="auto" w:fill="auto"/>
            <w:vAlign w:val="center"/>
            <w:hideMark/>
          </w:tcPr>
          <w:p w:rsidR="00FD4D29" w:rsidRPr="00B41994" w:rsidRDefault="00FD4D29" w:rsidP="00B41994">
            <w:pPr>
              <w:spacing w:line="360" w:lineRule="auto"/>
              <w:ind w:left="720" w:hanging="720"/>
              <w:jc w:val="center"/>
              <w:rPr>
                <w:sz w:val="18"/>
                <w:szCs w:val="18"/>
              </w:rPr>
            </w:pPr>
            <w:r w:rsidRPr="00B41994">
              <w:rPr>
                <w:sz w:val="18"/>
                <w:szCs w:val="18"/>
              </w:rPr>
              <w:t>Tween 80/</w:t>
            </w:r>
          </w:p>
          <w:p w:rsidR="00FD4D29" w:rsidRPr="00B41994" w:rsidRDefault="00B41994" w:rsidP="00B41994">
            <w:pPr>
              <w:spacing w:line="360" w:lineRule="auto"/>
              <w:ind w:left="720" w:hanging="720"/>
              <w:jc w:val="center"/>
              <w:rPr>
                <w:sz w:val="18"/>
                <w:szCs w:val="18"/>
              </w:rPr>
            </w:pPr>
            <w:r w:rsidRPr="00B41994">
              <w:rPr>
                <w:sz w:val="18"/>
                <w:szCs w:val="18"/>
              </w:rPr>
              <w:t xml:space="preserve">Poloxamer </w:t>
            </w:r>
            <w:r w:rsidR="00FD4D29" w:rsidRPr="00B41994">
              <w:rPr>
                <w:sz w:val="18"/>
                <w:szCs w:val="18"/>
              </w:rPr>
              <w:t>188</w:t>
            </w:r>
          </w:p>
        </w:tc>
        <w:tc>
          <w:tcPr>
            <w:tcW w:w="1800" w:type="dxa"/>
            <w:tcBorders>
              <w:bottom w:val="single" w:sz="4" w:space="0" w:color="auto"/>
            </w:tcBorders>
            <w:shd w:val="clear" w:color="auto" w:fill="auto"/>
            <w:vAlign w:val="center"/>
            <w:hideMark/>
          </w:tcPr>
          <w:p w:rsidR="00FD4D29" w:rsidRPr="00B41994" w:rsidRDefault="00FD4D29" w:rsidP="00B41994">
            <w:pPr>
              <w:spacing w:line="360" w:lineRule="auto"/>
              <w:jc w:val="center"/>
              <w:rPr>
                <w:sz w:val="18"/>
                <w:szCs w:val="18"/>
              </w:rPr>
            </w:pPr>
            <w:r w:rsidRPr="00B41994">
              <w:rPr>
                <w:sz w:val="18"/>
                <w:szCs w:val="18"/>
              </w:rPr>
              <w:t>115.21</w:t>
            </w:r>
            <w:r w:rsidRPr="00B41994">
              <w:rPr>
                <w:bCs/>
                <w:sz w:val="18"/>
                <w:szCs w:val="18"/>
              </w:rPr>
              <w:t>±0.27</w:t>
            </w:r>
          </w:p>
        </w:tc>
        <w:tc>
          <w:tcPr>
            <w:tcW w:w="1260" w:type="dxa"/>
            <w:tcBorders>
              <w:bottom w:val="single" w:sz="4" w:space="0" w:color="auto"/>
            </w:tcBorders>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389.09±3.33</w:t>
            </w:r>
          </w:p>
        </w:tc>
        <w:tc>
          <w:tcPr>
            <w:tcW w:w="1710" w:type="dxa"/>
            <w:tcBorders>
              <w:bottom w:val="single" w:sz="4" w:space="0" w:color="auto"/>
            </w:tcBorders>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Tween 80/ SLS/ SL</w:t>
            </w:r>
          </w:p>
        </w:tc>
        <w:tc>
          <w:tcPr>
            <w:tcW w:w="1710" w:type="dxa"/>
            <w:tcBorders>
              <w:bottom w:val="single" w:sz="4" w:space="0" w:color="auto"/>
            </w:tcBorders>
            <w:shd w:val="clear" w:color="auto" w:fill="auto"/>
            <w:vAlign w:val="center"/>
          </w:tcPr>
          <w:p w:rsidR="00FD4D29" w:rsidRPr="00B41994" w:rsidRDefault="00FD4D29" w:rsidP="00B41994">
            <w:pPr>
              <w:spacing w:line="360" w:lineRule="auto"/>
              <w:jc w:val="center"/>
              <w:rPr>
                <w:sz w:val="18"/>
                <w:szCs w:val="18"/>
              </w:rPr>
            </w:pPr>
            <w:r w:rsidRPr="00B41994">
              <w:rPr>
                <w:sz w:val="18"/>
                <w:szCs w:val="18"/>
              </w:rPr>
              <w:t>104.23</w:t>
            </w:r>
            <w:r w:rsidRPr="00B41994">
              <w:rPr>
                <w:bCs/>
                <w:sz w:val="18"/>
                <w:szCs w:val="18"/>
              </w:rPr>
              <w:t>±0.28</w:t>
            </w:r>
          </w:p>
        </w:tc>
        <w:tc>
          <w:tcPr>
            <w:tcW w:w="1507" w:type="dxa"/>
            <w:tcBorders>
              <w:bottom w:val="single" w:sz="4" w:space="0" w:color="auto"/>
            </w:tcBorders>
            <w:shd w:val="clear" w:color="auto" w:fill="auto"/>
            <w:vAlign w:val="center"/>
          </w:tcPr>
          <w:p w:rsidR="00FD4D29" w:rsidRPr="00B41994" w:rsidRDefault="00FD4D29" w:rsidP="00B41994">
            <w:pPr>
              <w:spacing w:line="360" w:lineRule="auto"/>
              <w:ind w:firstLineChars="50" w:firstLine="90"/>
              <w:jc w:val="center"/>
              <w:rPr>
                <w:sz w:val="18"/>
                <w:szCs w:val="18"/>
              </w:rPr>
            </w:pPr>
            <w:r w:rsidRPr="00B41994">
              <w:rPr>
                <w:sz w:val="18"/>
                <w:szCs w:val="18"/>
              </w:rPr>
              <w:t>406.09±2.09</w:t>
            </w:r>
          </w:p>
        </w:tc>
      </w:tr>
    </w:tbl>
    <w:p w:rsidR="00FD4D29" w:rsidRPr="00060C24" w:rsidRDefault="00FD4D29" w:rsidP="00060C24">
      <w:pPr>
        <w:spacing w:line="360" w:lineRule="auto"/>
        <w:jc w:val="both"/>
        <w:rPr>
          <w:sz w:val="20"/>
          <w:szCs w:val="20"/>
        </w:rPr>
      </w:pPr>
      <w:r w:rsidRPr="00060C24">
        <w:rPr>
          <w:sz w:val="20"/>
          <w:szCs w:val="20"/>
        </w:rPr>
        <w:t>* All the above ratios of different types of stabilizers in a single system are re</w:t>
      </w:r>
      <w:r w:rsidR="00060C24">
        <w:rPr>
          <w:sz w:val="20"/>
          <w:szCs w:val="20"/>
        </w:rPr>
        <w:t xml:space="preserve">presented in 1:1 (w/w) or 1:1:1 </w:t>
      </w:r>
      <w:r w:rsidRPr="00060C24">
        <w:rPr>
          <w:sz w:val="20"/>
          <w:szCs w:val="20"/>
        </w:rPr>
        <w:t xml:space="preserve">(w/w/w), except that the ratio of </w:t>
      </w:r>
      <w:proofErr w:type="spellStart"/>
      <w:r w:rsidRPr="00060C24">
        <w:rPr>
          <w:sz w:val="20"/>
          <w:szCs w:val="20"/>
        </w:rPr>
        <w:t>Carbomer</w:t>
      </w:r>
      <w:proofErr w:type="spellEnd"/>
      <w:r w:rsidRPr="00060C24">
        <w:rPr>
          <w:sz w:val="20"/>
          <w:szCs w:val="20"/>
        </w:rPr>
        <w:t xml:space="preserve"> and Tween 80 was 1:0.5 (w/w).</w:t>
      </w:r>
      <w:r w:rsidR="00060C24">
        <w:rPr>
          <w:sz w:val="20"/>
          <w:szCs w:val="20"/>
        </w:rPr>
        <w:t xml:space="preserve"> </w:t>
      </w:r>
      <w:r w:rsidRPr="00060C24">
        <w:rPr>
          <w:sz w:val="20"/>
          <w:szCs w:val="20"/>
        </w:rPr>
        <w:t>** Results presented as means ± SD (n = 3).</w:t>
      </w:r>
    </w:p>
    <w:p w:rsidR="003527E6" w:rsidRDefault="003527E6" w:rsidP="00F57FE9">
      <w:pPr>
        <w:spacing w:line="360" w:lineRule="auto"/>
        <w:jc w:val="both"/>
      </w:pPr>
      <w:r w:rsidRPr="00F57FE9">
        <w:t>The combination of poloxamer 188/ tween 80/SLS (198.87 ± 0.01 μg/ml) presented superior suspending effect on MTX, followed by po</w:t>
      </w:r>
      <w:r w:rsidR="00CD00CB" w:rsidRPr="00F57FE9">
        <w:t xml:space="preserve">loxamer 188 (126 ± 0.05μg/ml), </w:t>
      </w:r>
      <w:proofErr w:type="spellStart"/>
      <w:r w:rsidRPr="00F57FE9">
        <w:t>ween</w:t>
      </w:r>
      <w:proofErr w:type="spellEnd"/>
      <w:r w:rsidRPr="00F57FE9">
        <w:t xml:space="preserve"> 80 (119.14± 0.04 μg/ml), and SLS ( 112.83 ± 0.05 μg/ml ). While the particle size of the formulation prepared by poloxamer 188/ tween 80/SLS, poloxamer 188, tween 80</w:t>
      </w:r>
      <w:r w:rsidR="001D3D23" w:rsidRPr="00F57FE9">
        <w:t>,</w:t>
      </w:r>
      <w:r w:rsidRPr="00F57FE9">
        <w:t xml:space="preserve"> and SLS was found to be 332.45±1.03, 293.46±3.32, 301.65±1.45, and 349.09±2.18 nm respectively. Poloxamer 188, tween 80</w:t>
      </w:r>
      <w:r w:rsidR="001D3D23" w:rsidRPr="00F57FE9">
        <w:t>,</w:t>
      </w:r>
      <w:r w:rsidRPr="00F57FE9">
        <w:t xml:space="preserve"> and SLS did not produce stratification and sedimentation. The high surface free energy of nanosized particles makes NS a highly unstable thermodynamic system. Thus, to optimize the surfactant and stabilizer system and to stabilize the nanosuspension, the CCD response surface </w:t>
      </w:r>
      <w:proofErr w:type="gramStart"/>
      <w:r w:rsidRPr="00F57FE9">
        <w:t>was designed</w:t>
      </w:r>
      <w:proofErr w:type="gramEnd"/>
      <w:r w:rsidRPr="00F57FE9">
        <w:t xml:space="preserve"> to finalize the surfactant and their concentration from the above results, with t</w:t>
      </w:r>
      <w:r w:rsidR="00741E5A">
        <w:t>he highest electric repulsions.</w:t>
      </w:r>
    </w:p>
    <w:p w:rsidR="00883F14" w:rsidRPr="00F57FE9" w:rsidRDefault="00883F14" w:rsidP="00F57FE9">
      <w:pPr>
        <w:spacing w:line="360" w:lineRule="auto"/>
        <w:jc w:val="both"/>
      </w:pPr>
    </w:p>
    <w:p w:rsidR="003527E6" w:rsidRPr="00F57FE9" w:rsidRDefault="003527E6" w:rsidP="00F57FE9">
      <w:pPr>
        <w:autoSpaceDE w:val="0"/>
        <w:autoSpaceDN w:val="0"/>
        <w:adjustRightInd w:val="0"/>
        <w:spacing w:line="360" w:lineRule="auto"/>
        <w:jc w:val="both"/>
        <w:rPr>
          <w:b/>
          <w:bCs/>
        </w:rPr>
      </w:pPr>
      <w:r w:rsidRPr="00F57FE9">
        <w:rPr>
          <w:b/>
          <w:bCs/>
        </w:rPr>
        <w:lastRenderedPageBreak/>
        <w:t xml:space="preserve">3.1.2. Molecular </w:t>
      </w:r>
      <w:r w:rsidR="009579C7" w:rsidRPr="00F57FE9">
        <w:rPr>
          <w:b/>
          <w:bCs/>
        </w:rPr>
        <w:t>d</w:t>
      </w:r>
      <w:r w:rsidRPr="00F57FE9">
        <w:rPr>
          <w:b/>
          <w:bCs/>
        </w:rPr>
        <w:t>ocking</w:t>
      </w:r>
    </w:p>
    <w:p w:rsidR="003527E6" w:rsidRPr="00F57FE9" w:rsidRDefault="003527E6" w:rsidP="00F57FE9">
      <w:pPr>
        <w:autoSpaceDE w:val="0"/>
        <w:autoSpaceDN w:val="0"/>
        <w:adjustRightInd w:val="0"/>
        <w:spacing w:line="360" w:lineRule="auto"/>
        <w:jc w:val="both"/>
        <w:rPr>
          <w:rFonts w:eastAsia="MinionPro-Regular"/>
        </w:rPr>
      </w:pPr>
      <w:r w:rsidRPr="00F57FE9">
        <w:rPr>
          <w:bCs/>
        </w:rPr>
        <w:t xml:space="preserve">The interactions between MTX and stabilizers show that stabilizers can </w:t>
      </w:r>
      <w:proofErr w:type="spellStart"/>
      <w:r w:rsidRPr="00F57FE9">
        <w:rPr>
          <w:bCs/>
        </w:rPr>
        <w:t>solubilize</w:t>
      </w:r>
      <w:proofErr w:type="spellEnd"/>
      <w:r w:rsidRPr="00F57FE9">
        <w:rPr>
          <w:bCs/>
        </w:rPr>
        <w:t xml:space="preserve"> drugs to improve their stability in the present study. Figure 1 shows the virtual interaction between MTX and stabilizers. In this study, the MTX and stabilizers lead to strong interaction by using less binding energy with strong hydrogen, hydrophobic, and </w:t>
      </w:r>
      <w:r w:rsidRPr="00F57FE9">
        <w:rPr>
          <w:rFonts w:eastAsia="MinionPro-Regular"/>
        </w:rPr>
        <w:t>Vander Waal interactions. This means that stronger hydrogen bonding between the MTX and stabilizers like Poloxamer 188 and Tween 80 can virtually improve the stability and solubility of MTX.</w:t>
      </w:r>
    </w:p>
    <w:p w:rsidR="00EE4E5E" w:rsidRPr="00F57FE9" w:rsidRDefault="002330A1" w:rsidP="009720C1">
      <w:pPr>
        <w:autoSpaceDE w:val="0"/>
        <w:autoSpaceDN w:val="0"/>
        <w:adjustRightInd w:val="0"/>
        <w:spacing w:line="360" w:lineRule="auto"/>
        <w:jc w:val="center"/>
        <w:rPr>
          <w:rFonts w:eastAsia="MinionPro-Regular"/>
        </w:rPr>
      </w:pPr>
      <w:r w:rsidRPr="002330A1">
        <w:rPr>
          <w:rFonts w:eastAsia="MinionPro-Regular"/>
          <w:noProof/>
        </w:rPr>
        <w:drawing>
          <wp:inline distT="0" distB="0" distL="0" distR="0">
            <wp:extent cx="5212080" cy="2534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12080" cy="2534207"/>
                    </a:xfrm>
                    <a:prstGeom prst="rect">
                      <a:avLst/>
                    </a:prstGeom>
                  </pic:spPr>
                </pic:pic>
              </a:graphicData>
            </a:graphic>
          </wp:inline>
        </w:drawing>
      </w:r>
    </w:p>
    <w:p w:rsidR="003527E6" w:rsidRPr="00F57FE9" w:rsidRDefault="003527E6" w:rsidP="009720C1">
      <w:pPr>
        <w:autoSpaceDE w:val="0"/>
        <w:autoSpaceDN w:val="0"/>
        <w:adjustRightInd w:val="0"/>
        <w:spacing w:line="360" w:lineRule="auto"/>
        <w:jc w:val="both"/>
        <w:rPr>
          <w:rFonts w:eastAsia="MinionPro-Regular"/>
        </w:rPr>
      </w:pPr>
      <w:proofErr w:type="gramStart"/>
      <w:r w:rsidRPr="0048390E">
        <w:rPr>
          <w:b/>
          <w:bCs/>
        </w:rPr>
        <w:t>Figure 1</w:t>
      </w:r>
      <w:r w:rsidR="0048390E">
        <w:t>.</w:t>
      </w:r>
      <w:proofErr w:type="gramEnd"/>
      <w:r w:rsidRPr="00F57FE9">
        <w:t xml:space="preserve"> </w:t>
      </w:r>
      <w:proofErr w:type="gramStart"/>
      <w:r w:rsidRPr="00F57FE9">
        <w:rPr>
          <w:rFonts w:eastAsia="MinionPro-Regular"/>
        </w:rPr>
        <w:t>Docking study: a) interaction of MTX with Poloxamer 188, b) interaction of MTX with tween 80.</w:t>
      </w:r>
      <w:proofErr w:type="gramEnd"/>
      <w:r w:rsidRPr="00F57FE9">
        <w:rPr>
          <w:rFonts w:eastAsia="MinionPro-Regular"/>
        </w:rPr>
        <w:t xml:space="preserve"> *Colour code Light blue: Vander Waal interaction, Green: Hydrogen bondin</w:t>
      </w:r>
      <w:r w:rsidR="00EE4E5E" w:rsidRPr="00F57FE9">
        <w:rPr>
          <w:rFonts w:eastAsia="MinionPro-Regular"/>
        </w:rPr>
        <w:t>g</w:t>
      </w:r>
    </w:p>
    <w:p w:rsidR="003527E6" w:rsidRPr="00F57FE9" w:rsidRDefault="003527E6" w:rsidP="00F57FE9">
      <w:pPr>
        <w:autoSpaceDE w:val="0"/>
        <w:autoSpaceDN w:val="0"/>
        <w:adjustRightInd w:val="0"/>
        <w:spacing w:line="360" w:lineRule="auto"/>
        <w:rPr>
          <w:b/>
          <w:bCs/>
        </w:rPr>
      </w:pPr>
      <w:r w:rsidRPr="00F57FE9">
        <w:rPr>
          <w:b/>
          <w:bCs/>
        </w:rPr>
        <w:t xml:space="preserve">3.2. Process Analytical Technology (PAT): – Particle Analysis, </w:t>
      </w:r>
      <w:proofErr w:type="gramStart"/>
      <w:r w:rsidRPr="00F57FE9">
        <w:rPr>
          <w:b/>
          <w:bCs/>
        </w:rPr>
        <w:t>%EE</w:t>
      </w:r>
      <w:proofErr w:type="gramEnd"/>
      <w:r w:rsidRPr="00F57FE9">
        <w:rPr>
          <w:b/>
          <w:bCs/>
        </w:rPr>
        <w:t>, and DC</w:t>
      </w:r>
    </w:p>
    <w:p w:rsidR="003527E6" w:rsidRPr="00F57FE9" w:rsidRDefault="003527E6" w:rsidP="00F57FE9">
      <w:pPr>
        <w:autoSpaceDE w:val="0"/>
        <w:autoSpaceDN w:val="0"/>
        <w:adjustRightInd w:val="0"/>
        <w:spacing w:line="360" w:lineRule="auto"/>
        <w:jc w:val="both"/>
        <w:rPr>
          <w:bCs/>
        </w:rPr>
      </w:pPr>
      <w:r w:rsidRPr="00F57FE9">
        <w:rPr>
          <w:bCs/>
        </w:rPr>
        <w:t xml:space="preserve">MTX-NS </w:t>
      </w:r>
      <w:proofErr w:type="gramStart"/>
      <w:r w:rsidRPr="00F57FE9">
        <w:rPr>
          <w:bCs/>
        </w:rPr>
        <w:t>was developed</w:t>
      </w:r>
      <w:proofErr w:type="gramEnd"/>
      <w:r w:rsidRPr="00F57FE9">
        <w:rPr>
          <w:bCs/>
        </w:rPr>
        <w:t xml:space="preserve"> using Tween 80 as a stabilizer and Poloxamer 188 as polymers with the applications of the QbD.</w:t>
      </w:r>
      <w:r w:rsidR="00493BE5" w:rsidRPr="00493BE5">
        <w:rPr>
          <w:bCs/>
          <w:vertAlign w:val="superscript"/>
        </w:rPr>
        <w:t>17</w:t>
      </w:r>
      <w:r w:rsidRPr="00F57FE9">
        <w:rPr>
          <w:bCs/>
        </w:rPr>
        <w:t xml:space="preserve"> As a result of the PAT study, the particle size, EE, and DC of the developed NS were found to be </w:t>
      </w:r>
      <w:r w:rsidRPr="00F57FE9">
        <w:t xml:space="preserve">in the range of 239.30- 309.60 nm, 99.42-99.96 %, and 87.56-88.32% respectively. </w:t>
      </w:r>
    </w:p>
    <w:p w:rsidR="003527E6" w:rsidRPr="00F57FE9" w:rsidRDefault="003527E6" w:rsidP="00F57FE9">
      <w:pPr>
        <w:spacing w:line="360" w:lineRule="auto"/>
        <w:jc w:val="both"/>
        <w:rPr>
          <w:b/>
        </w:rPr>
      </w:pPr>
      <w:r w:rsidRPr="00F57FE9">
        <w:rPr>
          <w:b/>
        </w:rPr>
        <w:t>3.3.</w:t>
      </w:r>
      <w:r w:rsidR="002F415D" w:rsidRPr="00F57FE9">
        <w:rPr>
          <w:b/>
        </w:rPr>
        <w:t xml:space="preserve"> Quality by </w:t>
      </w:r>
      <w:r w:rsidR="009579C7" w:rsidRPr="00F57FE9">
        <w:rPr>
          <w:b/>
        </w:rPr>
        <w:t>d</w:t>
      </w:r>
      <w:r w:rsidR="002F415D" w:rsidRPr="00F57FE9">
        <w:rPr>
          <w:b/>
        </w:rPr>
        <w:t>esign</w:t>
      </w:r>
    </w:p>
    <w:p w:rsidR="003527E6" w:rsidRPr="00F57FE9" w:rsidRDefault="003527E6" w:rsidP="00F57FE9">
      <w:pPr>
        <w:spacing w:line="360" w:lineRule="auto"/>
        <w:jc w:val="both"/>
        <w:rPr>
          <w:b/>
        </w:rPr>
      </w:pPr>
      <w:r w:rsidRPr="00F57FE9">
        <w:rPr>
          <w:b/>
        </w:rPr>
        <w:t xml:space="preserve">3.3.1. Ishikawa </w:t>
      </w:r>
      <w:r w:rsidR="009579C7" w:rsidRPr="00F57FE9">
        <w:rPr>
          <w:b/>
        </w:rPr>
        <w:t>d</w:t>
      </w:r>
      <w:r w:rsidRPr="00F57FE9">
        <w:rPr>
          <w:b/>
        </w:rPr>
        <w:t>iagram</w:t>
      </w:r>
    </w:p>
    <w:p w:rsidR="003527E6" w:rsidRPr="00F57FE9" w:rsidRDefault="003527E6" w:rsidP="00F57FE9">
      <w:pPr>
        <w:spacing w:line="360" w:lineRule="auto"/>
        <w:jc w:val="both"/>
      </w:pPr>
      <w:r w:rsidRPr="00F57FE9">
        <w:t>For identification of possible risks of process and formulation variables on the CQAs, viz., DC, EE, and particle size of MTX-NS an Ishikawa diagram was established (Figure 2). As a result of risk analysis, the 8 possible risk factors were identified based on preliminary experiments and prior knowledge and were further evaluated using experimental designs</w:t>
      </w:r>
      <w:r w:rsidR="00493BE5">
        <w:t>.</w:t>
      </w:r>
      <w:r w:rsidR="007163F6" w:rsidRPr="00F57FE9">
        <w:fldChar w:fldCharType="begin"/>
      </w:r>
      <w:r w:rsidR="00F57FE9" w:rsidRPr="00F57FE9">
        <w:instrText xml:space="preserve"> ADDIN EN.CITE &lt;EndNote&gt;&lt;Cite&gt;&lt;Author&gt;Powar&lt;/Author&gt;&lt;Year&gt;2020&lt;/Year&gt;&lt;RecNum&gt;9&lt;/RecNum&gt;&lt;DisplayText&gt;&lt;style face="superscript"&gt;12&lt;/style&gt;&lt;/DisplayText&gt;&lt;record&gt;&lt;rec-number&gt;9&lt;/rec-number&gt;&lt;foreign-keys&gt;&lt;key app="EN" db-id="sv2ef2t2hvz5asez0dnprs50e22was0afref" timestamp="1588916839"&gt;9&lt;/key&gt;&lt;/foreign-keys&gt;&lt;ref-type name="Journal Article"&gt;17&lt;/ref-type&gt;&lt;contributors&gt;&lt;authors&gt;&lt;author&gt;Powar, Trupti Ashok&lt;/author&gt;&lt;author&gt;Hajare, Ashok Ananda&lt;/author&gt;&lt;/authors&gt;&lt;/contributors&gt;&lt;titles&gt;&lt;title&gt;QbD Based Approach to Enhance the In-Vivo Bioavailability of Ethinyl Estradiol in Sprague-Dawley Rats&lt;/title&gt;&lt;secondary-title&gt;Acta Chimica Slovenica&lt;/secondary-title&gt;&lt;/titles&gt;&lt;periodical&gt;&lt;full-title&gt;Acta Chimica Slovenica&lt;/full-title&gt;&lt;/periodical&gt;&lt;pages&gt;283-303&lt;/pages&gt;&lt;volume&gt;67&lt;/volume&gt;&lt;number&gt;1&lt;/number&gt;&lt;dates&gt;&lt;year&gt;2020&lt;/year&gt;&lt;/dates&gt;&lt;isbn&gt;1580-3155&lt;/isbn&gt;&lt;urls&gt;&lt;/urls&gt;&lt;/record&gt;&lt;/Cite&gt;&lt;/EndNote&gt;</w:instrText>
      </w:r>
      <w:r w:rsidR="007163F6" w:rsidRPr="00F57FE9">
        <w:fldChar w:fldCharType="separate"/>
      </w:r>
      <w:r w:rsidR="00F57FE9" w:rsidRPr="00F57FE9">
        <w:rPr>
          <w:noProof/>
          <w:vertAlign w:val="superscript"/>
        </w:rPr>
        <w:t>1</w:t>
      </w:r>
      <w:r w:rsidR="00493BE5">
        <w:rPr>
          <w:noProof/>
          <w:vertAlign w:val="superscript"/>
        </w:rPr>
        <w:t>1</w:t>
      </w:r>
      <w:r w:rsidR="007163F6" w:rsidRPr="00F57FE9">
        <w:fldChar w:fldCharType="end"/>
      </w:r>
    </w:p>
    <w:p w:rsidR="00EE4E5E" w:rsidRPr="00F57FE9" w:rsidRDefault="006D590B" w:rsidP="0094560E">
      <w:pPr>
        <w:spacing w:line="360" w:lineRule="auto"/>
        <w:jc w:val="center"/>
      </w:pPr>
      <w:r w:rsidRPr="006D590B">
        <w:rPr>
          <w:noProof/>
        </w:rPr>
        <w:lastRenderedPageBreak/>
        <w:drawing>
          <wp:inline distT="0" distB="0" distL="0" distR="0">
            <wp:extent cx="5394960" cy="40052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94960" cy="4005299"/>
                    </a:xfrm>
                    <a:prstGeom prst="rect">
                      <a:avLst/>
                    </a:prstGeom>
                  </pic:spPr>
                </pic:pic>
              </a:graphicData>
            </a:graphic>
          </wp:inline>
        </w:drawing>
      </w:r>
    </w:p>
    <w:p w:rsidR="003527E6" w:rsidRPr="00F57FE9" w:rsidRDefault="0048390E" w:rsidP="009720C1">
      <w:pPr>
        <w:spacing w:line="360" w:lineRule="auto"/>
        <w:jc w:val="both"/>
      </w:pPr>
      <w:proofErr w:type="gramStart"/>
      <w:r w:rsidRPr="0048390E">
        <w:rPr>
          <w:b/>
          <w:bCs/>
        </w:rPr>
        <w:t>Figure 2.</w:t>
      </w:r>
      <w:proofErr w:type="gramEnd"/>
      <w:r w:rsidR="003527E6" w:rsidRPr="00F57FE9">
        <w:t xml:space="preserve"> Ishikawa Diagram illustrating process and formulation variables that may have an </w:t>
      </w:r>
      <w:proofErr w:type="spellStart"/>
      <w:r w:rsidR="003527E6" w:rsidRPr="00F57FE9">
        <w:t>inﬂuence</w:t>
      </w:r>
      <w:proofErr w:type="spellEnd"/>
      <w:r w:rsidR="003527E6" w:rsidRPr="00F57FE9">
        <w:t xml:space="preserve"> on the properties of MTX-NS</w:t>
      </w:r>
    </w:p>
    <w:p w:rsidR="003527E6" w:rsidRPr="00F57FE9" w:rsidRDefault="003527E6" w:rsidP="00F57FE9">
      <w:pPr>
        <w:spacing w:line="360" w:lineRule="auto"/>
        <w:rPr>
          <w:b/>
        </w:rPr>
      </w:pPr>
      <w:r w:rsidRPr="00F57FE9">
        <w:rPr>
          <w:b/>
        </w:rPr>
        <w:t>3.3.2. Plackett–</w:t>
      </w:r>
      <w:r w:rsidR="009720C1">
        <w:rPr>
          <w:b/>
        </w:rPr>
        <w:t>B</w:t>
      </w:r>
      <w:r w:rsidR="009579C7" w:rsidRPr="00F57FE9">
        <w:rPr>
          <w:b/>
        </w:rPr>
        <w:t>urman design</w:t>
      </w:r>
    </w:p>
    <w:p w:rsidR="003527E6" w:rsidRPr="00F57FE9" w:rsidRDefault="003527E6" w:rsidP="00F57FE9">
      <w:pPr>
        <w:spacing w:line="360" w:lineRule="auto"/>
        <w:jc w:val="both"/>
      </w:pPr>
      <w:r w:rsidRPr="00F57FE9">
        <w:t xml:space="preserve">PB design is carried out by introducing </w:t>
      </w:r>
      <w:proofErr w:type="gramStart"/>
      <w:r w:rsidRPr="00F57FE9">
        <w:t>8</w:t>
      </w:r>
      <w:proofErr w:type="gramEnd"/>
      <w:r w:rsidRPr="00F57FE9">
        <w:t xml:space="preserve"> factors, at 2 levels, with 12 runs to screen the significant formulation and process variables for the development of MTX-NS. The formulations </w:t>
      </w:r>
      <w:proofErr w:type="gramStart"/>
      <w:r w:rsidRPr="00F57FE9">
        <w:t>were piloted</w:t>
      </w:r>
      <w:proofErr w:type="gramEnd"/>
      <w:r w:rsidRPr="00F57FE9">
        <w:t xml:space="preserve"> and the resulting response values are listed in Table 5. The significant and most contributing factors for first response i.e. particle size (Y1) were the s</w:t>
      </w:r>
      <w:r w:rsidR="00EE58B8" w:rsidRPr="00F57FE9">
        <w:t>peed of homogenizer (X</w:t>
      </w:r>
      <w:proofErr w:type="gramStart"/>
      <w:r w:rsidR="00EE58B8" w:rsidRPr="00F57FE9">
        <w:t>1</w:t>
      </w:r>
      <w:proofErr w:type="gramEnd"/>
      <w:r w:rsidR="00EE58B8" w:rsidRPr="00F57FE9">
        <w:t>, pre-NS), the concentration of t</w:t>
      </w:r>
      <w:r w:rsidRPr="00F57FE9">
        <w:t xml:space="preserve">ween 80 </w:t>
      </w:r>
      <w:r w:rsidR="00EE58B8" w:rsidRPr="00F57FE9">
        <w:t>(X7), and the concentration of p</w:t>
      </w:r>
      <w:r w:rsidRPr="00F57FE9">
        <w:t>oloxamer (X5) respectively (Table 6, Figure 3). The value of R</w:t>
      </w:r>
      <w:r w:rsidRPr="00F57FE9">
        <w:rPr>
          <w:vertAlign w:val="superscript"/>
        </w:rPr>
        <w:t>2</w:t>
      </w:r>
      <w:r w:rsidRPr="00F57FE9">
        <w:t xml:space="preserve"> found was </w:t>
      </w:r>
      <w:r w:rsidRPr="00F57FE9">
        <w:rPr>
          <w:lang w:eastAsia="en-IN"/>
        </w:rPr>
        <w:t>0.8990</w:t>
      </w:r>
      <w:r w:rsidRPr="00F57FE9">
        <w:t xml:space="preserve">, which indicates a significant model fitting of the tested model. From ANOVA the p-value for main effects obtained was </w:t>
      </w:r>
      <w:r w:rsidRPr="00F57FE9">
        <w:rPr>
          <w:lang w:eastAsia="en-IN"/>
        </w:rPr>
        <w:t>0.1750</w:t>
      </w:r>
      <w:r w:rsidRPr="00F57FE9">
        <w:t xml:space="preserve">, which was not statistically signiﬁcant. Hence, by using CCD most signiﬁcant factors </w:t>
      </w:r>
      <w:proofErr w:type="gramStart"/>
      <w:r w:rsidRPr="00F57FE9">
        <w:t>were further evaluated</w:t>
      </w:r>
      <w:proofErr w:type="gramEnd"/>
      <w:r w:rsidRPr="00F57FE9">
        <w:t xml:space="preserve">. The particle size plays a crucial role for MTX-NS as they affect the stability, drug release, bioavailability and biodistribution, and cellular uptake of drugs. </w:t>
      </w:r>
    </w:p>
    <w:p w:rsidR="003527E6" w:rsidRPr="00F57FE9" w:rsidRDefault="0048390E" w:rsidP="0048390E">
      <w:pPr>
        <w:spacing w:line="360" w:lineRule="auto"/>
      </w:pPr>
      <w:proofErr w:type="gramStart"/>
      <w:r>
        <w:rPr>
          <w:b/>
          <w:bCs/>
        </w:rPr>
        <w:t>Table 5.</w:t>
      </w:r>
      <w:proofErr w:type="gramEnd"/>
      <w:r>
        <w:rPr>
          <w:b/>
          <w:bCs/>
        </w:rPr>
        <w:t xml:space="preserve"> </w:t>
      </w:r>
      <w:proofErr w:type="gramStart"/>
      <w:r w:rsidR="003527E6" w:rsidRPr="00F57FE9">
        <w:t>Plackett–Burman experimental design matrix with observe</w:t>
      </w:r>
      <w:r w:rsidR="0057780D" w:rsidRPr="00F57FE9">
        <w:t>d values of response variables.</w:t>
      </w:r>
      <w:proofErr w:type="gramEnd"/>
    </w:p>
    <w:tbl>
      <w:tblPr>
        <w:tblW w:w="9428" w:type="dxa"/>
        <w:jc w:val="center"/>
        <w:tblLayout w:type="fixed"/>
        <w:tblLook w:val="04A0"/>
      </w:tblPr>
      <w:tblGrid>
        <w:gridCol w:w="1238"/>
        <w:gridCol w:w="900"/>
        <w:gridCol w:w="877"/>
        <w:gridCol w:w="900"/>
        <w:gridCol w:w="529"/>
        <w:gridCol w:w="641"/>
        <w:gridCol w:w="630"/>
        <w:gridCol w:w="630"/>
        <w:gridCol w:w="630"/>
        <w:gridCol w:w="720"/>
        <w:gridCol w:w="810"/>
        <w:gridCol w:w="923"/>
      </w:tblGrid>
      <w:tr w:rsidR="00FD4D29" w:rsidRPr="00F57FE9" w:rsidTr="0048390E">
        <w:trPr>
          <w:trHeight w:val="728"/>
          <w:jc w:val="center"/>
        </w:trPr>
        <w:tc>
          <w:tcPr>
            <w:tcW w:w="1238"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lastRenderedPageBreak/>
              <w:t>Batch code</w:t>
            </w:r>
          </w:p>
        </w:tc>
        <w:tc>
          <w:tcPr>
            <w:tcW w:w="900"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X1</w:t>
            </w:r>
          </w:p>
          <w:p w:rsidR="00FD4D29" w:rsidRPr="00F57FE9" w:rsidRDefault="00FD4D29" w:rsidP="00F57FE9">
            <w:pPr>
              <w:spacing w:line="360" w:lineRule="auto"/>
              <w:jc w:val="center"/>
              <w:rPr>
                <w:b/>
              </w:rPr>
            </w:pPr>
            <w:r w:rsidRPr="00F57FE9">
              <w:rPr>
                <w:b/>
              </w:rPr>
              <w:t>(rpm)</w:t>
            </w:r>
          </w:p>
        </w:tc>
        <w:tc>
          <w:tcPr>
            <w:tcW w:w="877"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X2</w:t>
            </w:r>
          </w:p>
          <w:p w:rsidR="00FD4D29" w:rsidRPr="00F57FE9" w:rsidRDefault="00FD4D29" w:rsidP="00F57FE9">
            <w:pPr>
              <w:spacing w:line="360" w:lineRule="auto"/>
              <w:jc w:val="center"/>
              <w:rPr>
                <w:b/>
              </w:rPr>
            </w:pPr>
            <w:r w:rsidRPr="00F57FE9">
              <w:rPr>
                <w:b/>
              </w:rPr>
              <w:t>(min.)</w:t>
            </w:r>
          </w:p>
        </w:tc>
        <w:tc>
          <w:tcPr>
            <w:tcW w:w="900"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X3</w:t>
            </w:r>
          </w:p>
          <w:p w:rsidR="00FD4D29" w:rsidRPr="00F57FE9" w:rsidRDefault="00FD4D29" w:rsidP="00F57FE9">
            <w:pPr>
              <w:spacing w:line="360" w:lineRule="auto"/>
              <w:jc w:val="center"/>
              <w:rPr>
                <w:b/>
              </w:rPr>
            </w:pPr>
            <w:r w:rsidRPr="00F57FE9">
              <w:rPr>
                <w:b/>
              </w:rPr>
              <w:t>( Bars * 1000)</w:t>
            </w:r>
          </w:p>
        </w:tc>
        <w:tc>
          <w:tcPr>
            <w:tcW w:w="529"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X4</w:t>
            </w:r>
          </w:p>
        </w:tc>
        <w:tc>
          <w:tcPr>
            <w:tcW w:w="641"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X5</w:t>
            </w:r>
          </w:p>
          <w:p w:rsidR="00FD4D29" w:rsidRPr="00F57FE9" w:rsidRDefault="00FD4D29" w:rsidP="00F57FE9">
            <w:pPr>
              <w:spacing w:line="360" w:lineRule="auto"/>
              <w:jc w:val="center"/>
              <w:rPr>
                <w:b/>
              </w:rPr>
            </w:pPr>
            <w:r w:rsidRPr="00F57FE9">
              <w:rPr>
                <w:b/>
              </w:rPr>
              <w:t>(mg)</w:t>
            </w:r>
          </w:p>
        </w:tc>
        <w:tc>
          <w:tcPr>
            <w:tcW w:w="630"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X6</w:t>
            </w:r>
          </w:p>
          <w:p w:rsidR="00FD4D29" w:rsidRPr="00F57FE9" w:rsidRDefault="00FD4D29" w:rsidP="00F57FE9">
            <w:pPr>
              <w:spacing w:line="360" w:lineRule="auto"/>
              <w:jc w:val="center"/>
              <w:rPr>
                <w:b/>
              </w:rPr>
            </w:pPr>
            <w:r w:rsidRPr="00F57FE9">
              <w:rPr>
                <w:b/>
              </w:rPr>
              <w:t>(mg)</w:t>
            </w:r>
          </w:p>
        </w:tc>
        <w:tc>
          <w:tcPr>
            <w:tcW w:w="630"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X7</w:t>
            </w:r>
          </w:p>
          <w:p w:rsidR="00FD4D29" w:rsidRPr="00F57FE9" w:rsidRDefault="00FD4D29" w:rsidP="00F57FE9">
            <w:pPr>
              <w:spacing w:line="360" w:lineRule="auto"/>
              <w:jc w:val="center"/>
              <w:rPr>
                <w:b/>
              </w:rPr>
            </w:pPr>
            <w:r w:rsidRPr="00F57FE9">
              <w:rPr>
                <w:b/>
              </w:rPr>
              <w:t>(mg)</w:t>
            </w:r>
          </w:p>
        </w:tc>
        <w:tc>
          <w:tcPr>
            <w:tcW w:w="630"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X8</w:t>
            </w:r>
          </w:p>
          <w:p w:rsidR="00FD4D29" w:rsidRPr="00F57FE9" w:rsidRDefault="00FD4D29" w:rsidP="00F57FE9">
            <w:pPr>
              <w:spacing w:line="360" w:lineRule="auto"/>
              <w:jc w:val="center"/>
              <w:rPr>
                <w:b/>
              </w:rPr>
            </w:pPr>
            <w:r w:rsidRPr="00F57FE9">
              <w:rPr>
                <w:b/>
              </w:rPr>
              <w:t>(mg)</w:t>
            </w:r>
          </w:p>
        </w:tc>
        <w:tc>
          <w:tcPr>
            <w:tcW w:w="720"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Y1* (nm)</w:t>
            </w:r>
          </w:p>
        </w:tc>
        <w:tc>
          <w:tcPr>
            <w:tcW w:w="810"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Y2* (%)</w:t>
            </w:r>
          </w:p>
        </w:tc>
        <w:tc>
          <w:tcPr>
            <w:tcW w:w="923" w:type="dxa"/>
            <w:tcBorders>
              <w:top w:val="single" w:sz="4" w:space="0" w:color="auto"/>
              <w:bottom w:val="single" w:sz="4" w:space="0" w:color="auto"/>
            </w:tcBorders>
            <w:vAlign w:val="center"/>
            <w:hideMark/>
          </w:tcPr>
          <w:p w:rsidR="00FD4D29" w:rsidRPr="00F57FE9" w:rsidRDefault="00FD4D29" w:rsidP="00F57FE9">
            <w:pPr>
              <w:spacing w:line="360" w:lineRule="auto"/>
              <w:jc w:val="center"/>
              <w:rPr>
                <w:b/>
              </w:rPr>
            </w:pPr>
            <w:r w:rsidRPr="00F57FE9">
              <w:rPr>
                <w:b/>
              </w:rPr>
              <w:t>Y3*</w:t>
            </w:r>
          </w:p>
          <w:p w:rsidR="00FD4D29" w:rsidRPr="00F57FE9" w:rsidRDefault="00FD4D29" w:rsidP="00F57FE9">
            <w:pPr>
              <w:spacing w:line="360" w:lineRule="auto"/>
              <w:jc w:val="center"/>
              <w:rPr>
                <w:b/>
              </w:rPr>
            </w:pPr>
            <w:r w:rsidRPr="00F57FE9">
              <w:rPr>
                <w:b/>
              </w:rPr>
              <w:t>(%)</w:t>
            </w:r>
          </w:p>
        </w:tc>
      </w:tr>
      <w:tr w:rsidR="00FD4D29" w:rsidRPr="00F57FE9" w:rsidTr="0048390E">
        <w:trPr>
          <w:jc w:val="center"/>
        </w:trPr>
        <w:tc>
          <w:tcPr>
            <w:tcW w:w="1238"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900"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877"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900"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529"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641"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630"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630"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630" w:type="dxa"/>
            <w:tcBorders>
              <w:top w:val="single" w:sz="4" w:space="0" w:color="auto"/>
            </w:tcBorders>
            <w:vAlign w:val="center"/>
            <w:hideMark/>
          </w:tcPr>
          <w:p w:rsidR="00FD4D29" w:rsidRPr="00F57FE9" w:rsidRDefault="00FD4D29" w:rsidP="00F57FE9">
            <w:pPr>
              <w:spacing w:line="360" w:lineRule="auto"/>
              <w:jc w:val="center"/>
            </w:pPr>
            <w:r w:rsidRPr="00F57FE9">
              <w:t>1</w:t>
            </w:r>
          </w:p>
        </w:tc>
        <w:tc>
          <w:tcPr>
            <w:tcW w:w="720" w:type="dxa"/>
            <w:tcBorders>
              <w:top w:val="single" w:sz="4" w:space="0" w:color="auto"/>
            </w:tcBorders>
            <w:hideMark/>
          </w:tcPr>
          <w:p w:rsidR="00FD4D29" w:rsidRPr="00F57FE9" w:rsidRDefault="00FD4D29" w:rsidP="00F57FE9">
            <w:pPr>
              <w:spacing w:line="360" w:lineRule="auto"/>
              <w:jc w:val="center"/>
            </w:pPr>
            <w:r w:rsidRPr="00F57FE9">
              <w:t>141</w:t>
            </w:r>
          </w:p>
        </w:tc>
        <w:tc>
          <w:tcPr>
            <w:tcW w:w="810" w:type="dxa"/>
            <w:tcBorders>
              <w:top w:val="single" w:sz="4" w:space="0" w:color="auto"/>
            </w:tcBorders>
            <w:vAlign w:val="center"/>
            <w:hideMark/>
          </w:tcPr>
          <w:p w:rsidR="00FD4D29" w:rsidRPr="00F57FE9" w:rsidRDefault="00FD4D29" w:rsidP="00F57FE9">
            <w:pPr>
              <w:spacing w:line="360" w:lineRule="auto"/>
              <w:jc w:val="center"/>
            </w:pPr>
            <w:r w:rsidRPr="00F57FE9">
              <w:t>76.13</w:t>
            </w:r>
          </w:p>
        </w:tc>
        <w:tc>
          <w:tcPr>
            <w:tcW w:w="923" w:type="dxa"/>
            <w:tcBorders>
              <w:top w:val="single" w:sz="4" w:space="0" w:color="auto"/>
            </w:tcBorders>
            <w:vAlign w:val="center"/>
            <w:hideMark/>
          </w:tcPr>
          <w:p w:rsidR="00FD4D29" w:rsidRPr="00F57FE9" w:rsidRDefault="00FD4D29" w:rsidP="00F57FE9">
            <w:pPr>
              <w:spacing w:line="360" w:lineRule="auto"/>
              <w:jc w:val="center"/>
            </w:pPr>
            <w:r w:rsidRPr="00F57FE9">
              <w:t>83.85</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2</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208</w:t>
            </w:r>
          </w:p>
        </w:tc>
        <w:tc>
          <w:tcPr>
            <w:tcW w:w="810" w:type="dxa"/>
            <w:vAlign w:val="center"/>
            <w:hideMark/>
          </w:tcPr>
          <w:p w:rsidR="00FD4D29" w:rsidRPr="00F57FE9" w:rsidRDefault="00FD4D29" w:rsidP="00F57FE9">
            <w:pPr>
              <w:spacing w:line="360" w:lineRule="auto"/>
              <w:jc w:val="center"/>
            </w:pPr>
            <w:r w:rsidRPr="00F57FE9">
              <w:t>73.55</w:t>
            </w:r>
          </w:p>
        </w:tc>
        <w:tc>
          <w:tcPr>
            <w:tcW w:w="923" w:type="dxa"/>
            <w:vAlign w:val="center"/>
            <w:hideMark/>
          </w:tcPr>
          <w:p w:rsidR="00FD4D29" w:rsidRPr="00F57FE9" w:rsidRDefault="00FD4D29" w:rsidP="00F57FE9">
            <w:pPr>
              <w:spacing w:line="360" w:lineRule="auto"/>
              <w:jc w:val="center"/>
            </w:pPr>
            <w:r w:rsidRPr="00F57FE9">
              <w:t>76.44</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3</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167</w:t>
            </w:r>
          </w:p>
        </w:tc>
        <w:tc>
          <w:tcPr>
            <w:tcW w:w="810" w:type="dxa"/>
            <w:vAlign w:val="center"/>
            <w:hideMark/>
          </w:tcPr>
          <w:p w:rsidR="00FD4D29" w:rsidRPr="00F57FE9" w:rsidRDefault="00FD4D29" w:rsidP="00F57FE9">
            <w:pPr>
              <w:spacing w:line="360" w:lineRule="auto"/>
              <w:jc w:val="center"/>
            </w:pPr>
            <w:r w:rsidRPr="00F57FE9">
              <w:t>64.36</w:t>
            </w:r>
          </w:p>
        </w:tc>
        <w:tc>
          <w:tcPr>
            <w:tcW w:w="923" w:type="dxa"/>
            <w:vAlign w:val="center"/>
            <w:hideMark/>
          </w:tcPr>
          <w:p w:rsidR="00FD4D29" w:rsidRPr="00F57FE9" w:rsidRDefault="00FD4D29" w:rsidP="00F57FE9">
            <w:pPr>
              <w:spacing w:line="360" w:lineRule="auto"/>
              <w:jc w:val="center"/>
            </w:pPr>
            <w:r w:rsidRPr="00F57FE9">
              <w:t>65.63</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4</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215</w:t>
            </w:r>
          </w:p>
        </w:tc>
        <w:tc>
          <w:tcPr>
            <w:tcW w:w="810" w:type="dxa"/>
            <w:vAlign w:val="center"/>
            <w:hideMark/>
          </w:tcPr>
          <w:p w:rsidR="00FD4D29" w:rsidRPr="00F57FE9" w:rsidRDefault="00FD4D29" w:rsidP="00F57FE9">
            <w:pPr>
              <w:spacing w:line="360" w:lineRule="auto"/>
              <w:jc w:val="center"/>
            </w:pPr>
            <w:r w:rsidRPr="00F57FE9">
              <w:t>74.63</w:t>
            </w:r>
          </w:p>
        </w:tc>
        <w:tc>
          <w:tcPr>
            <w:tcW w:w="923" w:type="dxa"/>
            <w:vAlign w:val="center"/>
            <w:hideMark/>
          </w:tcPr>
          <w:p w:rsidR="00FD4D29" w:rsidRPr="00F57FE9" w:rsidRDefault="00FD4D29" w:rsidP="00F57FE9">
            <w:pPr>
              <w:spacing w:line="360" w:lineRule="auto"/>
              <w:jc w:val="center"/>
            </w:pPr>
            <w:r w:rsidRPr="00F57FE9">
              <w:t>75.36</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5</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152</w:t>
            </w:r>
          </w:p>
        </w:tc>
        <w:tc>
          <w:tcPr>
            <w:tcW w:w="810" w:type="dxa"/>
            <w:vAlign w:val="center"/>
            <w:hideMark/>
          </w:tcPr>
          <w:p w:rsidR="00FD4D29" w:rsidRPr="00F57FE9" w:rsidRDefault="00FD4D29" w:rsidP="00F57FE9">
            <w:pPr>
              <w:spacing w:line="360" w:lineRule="auto"/>
              <w:jc w:val="center"/>
            </w:pPr>
            <w:r w:rsidRPr="00F57FE9">
              <w:t>92.56</w:t>
            </w:r>
          </w:p>
        </w:tc>
        <w:tc>
          <w:tcPr>
            <w:tcW w:w="923" w:type="dxa"/>
            <w:vAlign w:val="center"/>
            <w:hideMark/>
          </w:tcPr>
          <w:p w:rsidR="00FD4D29" w:rsidRPr="00F57FE9" w:rsidRDefault="00FD4D29" w:rsidP="00F57FE9">
            <w:pPr>
              <w:spacing w:line="360" w:lineRule="auto"/>
              <w:jc w:val="center"/>
            </w:pPr>
            <w:r w:rsidRPr="00F57FE9">
              <w:t>93.44</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6</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228</w:t>
            </w:r>
          </w:p>
        </w:tc>
        <w:tc>
          <w:tcPr>
            <w:tcW w:w="810" w:type="dxa"/>
            <w:vAlign w:val="center"/>
            <w:hideMark/>
          </w:tcPr>
          <w:p w:rsidR="00FD4D29" w:rsidRPr="00F57FE9" w:rsidRDefault="00FD4D29" w:rsidP="00F57FE9">
            <w:pPr>
              <w:spacing w:line="360" w:lineRule="auto"/>
              <w:jc w:val="center"/>
            </w:pPr>
            <w:r w:rsidRPr="00F57FE9">
              <w:t>77.13</w:t>
            </w:r>
          </w:p>
        </w:tc>
        <w:tc>
          <w:tcPr>
            <w:tcW w:w="923" w:type="dxa"/>
            <w:vAlign w:val="center"/>
            <w:hideMark/>
          </w:tcPr>
          <w:p w:rsidR="00FD4D29" w:rsidRPr="00F57FE9" w:rsidRDefault="00FD4D29" w:rsidP="00F57FE9">
            <w:pPr>
              <w:spacing w:line="360" w:lineRule="auto"/>
              <w:jc w:val="center"/>
            </w:pPr>
            <w:r w:rsidRPr="00F57FE9">
              <w:t>78.88</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7</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188</w:t>
            </w:r>
          </w:p>
        </w:tc>
        <w:tc>
          <w:tcPr>
            <w:tcW w:w="810" w:type="dxa"/>
            <w:vAlign w:val="center"/>
            <w:hideMark/>
          </w:tcPr>
          <w:p w:rsidR="00FD4D29" w:rsidRPr="00F57FE9" w:rsidRDefault="00FD4D29" w:rsidP="00F57FE9">
            <w:pPr>
              <w:spacing w:line="360" w:lineRule="auto"/>
              <w:jc w:val="center"/>
            </w:pPr>
            <w:r w:rsidRPr="00F57FE9">
              <w:t>97.5</w:t>
            </w:r>
          </w:p>
        </w:tc>
        <w:tc>
          <w:tcPr>
            <w:tcW w:w="923" w:type="dxa"/>
            <w:vAlign w:val="center"/>
            <w:hideMark/>
          </w:tcPr>
          <w:p w:rsidR="00FD4D29" w:rsidRPr="00F57FE9" w:rsidRDefault="00FD4D29" w:rsidP="00F57FE9">
            <w:pPr>
              <w:spacing w:line="360" w:lineRule="auto"/>
              <w:jc w:val="center"/>
            </w:pPr>
            <w:r w:rsidRPr="00F57FE9">
              <w:t>98.25</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8</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202</w:t>
            </w:r>
          </w:p>
        </w:tc>
        <w:tc>
          <w:tcPr>
            <w:tcW w:w="810" w:type="dxa"/>
            <w:vAlign w:val="center"/>
            <w:hideMark/>
          </w:tcPr>
          <w:p w:rsidR="00FD4D29" w:rsidRPr="00F57FE9" w:rsidRDefault="00FD4D29" w:rsidP="00F57FE9">
            <w:pPr>
              <w:spacing w:line="360" w:lineRule="auto"/>
              <w:jc w:val="center"/>
            </w:pPr>
            <w:r w:rsidRPr="00F57FE9">
              <w:t>69.28</w:t>
            </w:r>
          </w:p>
        </w:tc>
        <w:tc>
          <w:tcPr>
            <w:tcW w:w="923" w:type="dxa"/>
            <w:vAlign w:val="center"/>
            <w:hideMark/>
          </w:tcPr>
          <w:p w:rsidR="00FD4D29" w:rsidRPr="00F57FE9" w:rsidRDefault="00FD4D29" w:rsidP="00F57FE9">
            <w:pPr>
              <w:spacing w:line="360" w:lineRule="auto"/>
              <w:jc w:val="center"/>
            </w:pPr>
            <w:r w:rsidRPr="00F57FE9">
              <w:t>70.71</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9</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199</w:t>
            </w:r>
          </w:p>
        </w:tc>
        <w:tc>
          <w:tcPr>
            <w:tcW w:w="810" w:type="dxa"/>
            <w:vAlign w:val="center"/>
            <w:hideMark/>
          </w:tcPr>
          <w:p w:rsidR="00FD4D29" w:rsidRPr="00F57FE9" w:rsidRDefault="00FD4D29" w:rsidP="00F57FE9">
            <w:pPr>
              <w:spacing w:line="360" w:lineRule="auto"/>
              <w:jc w:val="center"/>
            </w:pPr>
            <w:r w:rsidRPr="00F57FE9">
              <w:t>76.5</w:t>
            </w:r>
          </w:p>
        </w:tc>
        <w:tc>
          <w:tcPr>
            <w:tcW w:w="923" w:type="dxa"/>
            <w:vAlign w:val="center"/>
            <w:hideMark/>
          </w:tcPr>
          <w:p w:rsidR="00FD4D29" w:rsidRPr="00F57FE9" w:rsidRDefault="00FD4D29" w:rsidP="00F57FE9">
            <w:pPr>
              <w:spacing w:line="360" w:lineRule="auto"/>
              <w:jc w:val="center"/>
            </w:pPr>
            <w:r w:rsidRPr="00F57FE9">
              <w:t>77.5</w:t>
            </w:r>
          </w:p>
        </w:tc>
      </w:tr>
      <w:tr w:rsidR="00FD4D29" w:rsidRPr="00F57FE9" w:rsidTr="0048390E">
        <w:trPr>
          <w:jc w:val="center"/>
        </w:trPr>
        <w:tc>
          <w:tcPr>
            <w:tcW w:w="1238" w:type="dxa"/>
            <w:vAlign w:val="center"/>
            <w:hideMark/>
          </w:tcPr>
          <w:p w:rsidR="00FD4D29" w:rsidRPr="00F57FE9" w:rsidRDefault="00FD4D29" w:rsidP="00F57FE9">
            <w:pPr>
              <w:spacing w:line="360" w:lineRule="auto"/>
              <w:jc w:val="center"/>
            </w:pPr>
            <w:r w:rsidRPr="00F57FE9">
              <w:t>10</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151</w:t>
            </w:r>
          </w:p>
        </w:tc>
        <w:tc>
          <w:tcPr>
            <w:tcW w:w="810" w:type="dxa"/>
            <w:vAlign w:val="center"/>
            <w:hideMark/>
          </w:tcPr>
          <w:p w:rsidR="00FD4D29" w:rsidRPr="00F57FE9" w:rsidRDefault="00FD4D29" w:rsidP="00F57FE9">
            <w:pPr>
              <w:spacing w:line="360" w:lineRule="auto"/>
              <w:jc w:val="center"/>
            </w:pPr>
            <w:r w:rsidRPr="00F57FE9">
              <w:t>76.5</w:t>
            </w:r>
          </w:p>
        </w:tc>
        <w:tc>
          <w:tcPr>
            <w:tcW w:w="923" w:type="dxa"/>
            <w:vAlign w:val="center"/>
            <w:hideMark/>
          </w:tcPr>
          <w:p w:rsidR="00FD4D29" w:rsidRPr="00F57FE9" w:rsidRDefault="00FD4D29" w:rsidP="00F57FE9">
            <w:pPr>
              <w:spacing w:line="360" w:lineRule="auto"/>
              <w:jc w:val="center"/>
            </w:pPr>
            <w:r w:rsidRPr="00F57FE9">
              <w:t>77.5</w:t>
            </w:r>
          </w:p>
        </w:tc>
      </w:tr>
      <w:tr w:rsidR="00FD4D29" w:rsidRPr="00F57FE9" w:rsidTr="00B67FE6">
        <w:trPr>
          <w:jc w:val="center"/>
        </w:trPr>
        <w:tc>
          <w:tcPr>
            <w:tcW w:w="1238" w:type="dxa"/>
            <w:vAlign w:val="center"/>
            <w:hideMark/>
          </w:tcPr>
          <w:p w:rsidR="00FD4D29" w:rsidRPr="00F57FE9" w:rsidRDefault="00FD4D29" w:rsidP="00F57FE9">
            <w:pPr>
              <w:spacing w:line="360" w:lineRule="auto"/>
              <w:jc w:val="center"/>
            </w:pPr>
            <w:r w:rsidRPr="00F57FE9">
              <w:t>11</w:t>
            </w:r>
          </w:p>
        </w:tc>
        <w:tc>
          <w:tcPr>
            <w:tcW w:w="900" w:type="dxa"/>
            <w:vAlign w:val="center"/>
            <w:hideMark/>
          </w:tcPr>
          <w:p w:rsidR="00FD4D29" w:rsidRPr="00F57FE9" w:rsidRDefault="00FD4D29" w:rsidP="00F57FE9">
            <w:pPr>
              <w:spacing w:line="360" w:lineRule="auto"/>
              <w:jc w:val="center"/>
            </w:pPr>
            <w:r w:rsidRPr="00F57FE9">
              <w:t>1</w:t>
            </w:r>
          </w:p>
        </w:tc>
        <w:tc>
          <w:tcPr>
            <w:tcW w:w="877" w:type="dxa"/>
            <w:vAlign w:val="center"/>
            <w:hideMark/>
          </w:tcPr>
          <w:p w:rsidR="00FD4D29" w:rsidRPr="00F57FE9" w:rsidRDefault="00FD4D29" w:rsidP="00F57FE9">
            <w:pPr>
              <w:spacing w:line="360" w:lineRule="auto"/>
              <w:jc w:val="center"/>
            </w:pPr>
            <w:r w:rsidRPr="00F57FE9">
              <w:t>-1</w:t>
            </w:r>
          </w:p>
        </w:tc>
        <w:tc>
          <w:tcPr>
            <w:tcW w:w="900" w:type="dxa"/>
            <w:vAlign w:val="center"/>
            <w:hideMark/>
          </w:tcPr>
          <w:p w:rsidR="00FD4D29" w:rsidRPr="00F57FE9" w:rsidRDefault="00FD4D29" w:rsidP="00F57FE9">
            <w:pPr>
              <w:spacing w:line="360" w:lineRule="auto"/>
              <w:jc w:val="center"/>
            </w:pPr>
            <w:r w:rsidRPr="00F57FE9">
              <w:t>-1</w:t>
            </w:r>
          </w:p>
        </w:tc>
        <w:tc>
          <w:tcPr>
            <w:tcW w:w="529" w:type="dxa"/>
            <w:vAlign w:val="center"/>
            <w:hideMark/>
          </w:tcPr>
          <w:p w:rsidR="00FD4D29" w:rsidRPr="00F57FE9" w:rsidRDefault="00FD4D29" w:rsidP="00F57FE9">
            <w:pPr>
              <w:spacing w:line="360" w:lineRule="auto"/>
              <w:jc w:val="center"/>
            </w:pPr>
            <w:r w:rsidRPr="00F57FE9">
              <w:t>-1</w:t>
            </w:r>
          </w:p>
        </w:tc>
        <w:tc>
          <w:tcPr>
            <w:tcW w:w="641"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630" w:type="dxa"/>
            <w:vAlign w:val="center"/>
            <w:hideMark/>
          </w:tcPr>
          <w:p w:rsidR="00FD4D29" w:rsidRPr="00F57FE9" w:rsidRDefault="00FD4D29" w:rsidP="00F57FE9">
            <w:pPr>
              <w:spacing w:line="360" w:lineRule="auto"/>
              <w:jc w:val="center"/>
            </w:pPr>
            <w:r w:rsidRPr="00F57FE9">
              <w:t>1</w:t>
            </w:r>
          </w:p>
        </w:tc>
        <w:tc>
          <w:tcPr>
            <w:tcW w:w="720" w:type="dxa"/>
            <w:hideMark/>
          </w:tcPr>
          <w:p w:rsidR="00FD4D29" w:rsidRPr="00F57FE9" w:rsidRDefault="00FD4D29" w:rsidP="00F57FE9">
            <w:pPr>
              <w:spacing w:line="360" w:lineRule="auto"/>
              <w:jc w:val="center"/>
            </w:pPr>
            <w:r w:rsidRPr="00F57FE9">
              <w:t>175</w:t>
            </w:r>
          </w:p>
        </w:tc>
        <w:tc>
          <w:tcPr>
            <w:tcW w:w="810" w:type="dxa"/>
            <w:vAlign w:val="center"/>
            <w:hideMark/>
          </w:tcPr>
          <w:p w:rsidR="00FD4D29" w:rsidRPr="00F57FE9" w:rsidRDefault="00FD4D29" w:rsidP="00F57FE9">
            <w:pPr>
              <w:spacing w:line="360" w:lineRule="auto"/>
              <w:jc w:val="center"/>
            </w:pPr>
            <w:r w:rsidRPr="00F57FE9">
              <w:t>72.92</w:t>
            </w:r>
          </w:p>
        </w:tc>
        <w:tc>
          <w:tcPr>
            <w:tcW w:w="923" w:type="dxa"/>
            <w:vAlign w:val="center"/>
            <w:hideMark/>
          </w:tcPr>
          <w:p w:rsidR="00FD4D29" w:rsidRPr="00F57FE9" w:rsidRDefault="00FD4D29" w:rsidP="00F57FE9">
            <w:pPr>
              <w:spacing w:line="360" w:lineRule="auto"/>
              <w:jc w:val="center"/>
            </w:pPr>
            <w:r w:rsidRPr="00F57FE9">
              <w:t>72.71</w:t>
            </w:r>
          </w:p>
        </w:tc>
      </w:tr>
      <w:tr w:rsidR="00FD4D29" w:rsidRPr="00F57FE9" w:rsidTr="00B67FE6">
        <w:trPr>
          <w:jc w:val="center"/>
        </w:trPr>
        <w:tc>
          <w:tcPr>
            <w:tcW w:w="1238" w:type="dxa"/>
            <w:tcBorders>
              <w:bottom w:val="single" w:sz="4" w:space="0" w:color="auto"/>
            </w:tcBorders>
            <w:vAlign w:val="center"/>
            <w:hideMark/>
          </w:tcPr>
          <w:p w:rsidR="00FD4D29" w:rsidRPr="00F57FE9" w:rsidRDefault="00FD4D29" w:rsidP="00F57FE9">
            <w:pPr>
              <w:spacing w:line="360" w:lineRule="auto"/>
              <w:jc w:val="center"/>
            </w:pPr>
            <w:r w:rsidRPr="00F57FE9">
              <w:t>12</w:t>
            </w:r>
          </w:p>
        </w:tc>
        <w:tc>
          <w:tcPr>
            <w:tcW w:w="900"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877"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900"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529"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641"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630"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630"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630" w:type="dxa"/>
            <w:tcBorders>
              <w:bottom w:val="single" w:sz="4" w:space="0" w:color="auto"/>
            </w:tcBorders>
            <w:vAlign w:val="center"/>
            <w:hideMark/>
          </w:tcPr>
          <w:p w:rsidR="00FD4D29" w:rsidRPr="00F57FE9" w:rsidRDefault="00FD4D29" w:rsidP="00F57FE9">
            <w:pPr>
              <w:spacing w:line="360" w:lineRule="auto"/>
              <w:jc w:val="center"/>
            </w:pPr>
            <w:r w:rsidRPr="00F57FE9">
              <w:t>-1</w:t>
            </w:r>
          </w:p>
        </w:tc>
        <w:tc>
          <w:tcPr>
            <w:tcW w:w="720" w:type="dxa"/>
            <w:tcBorders>
              <w:bottom w:val="single" w:sz="4" w:space="0" w:color="auto"/>
            </w:tcBorders>
            <w:hideMark/>
          </w:tcPr>
          <w:p w:rsidR="00FD4D29" w:rsidRPr="00F57FE9" w:rsidRDefault="00FD4D29" w:rsidP="00F57FE9">
            <w:pPr>
              <w:spacing w:line="360" w:lineRule="auto"/>
              <w:jc w:val="center"/>
            </w:pPr>
            <w:r w:rsidRPr="00F57FE9">
              <w:t>220</w:t>
            </w:r>
          </w:p>
        </w:tc>
        <w:tc>
          <w:tcPr>
            <w:tcW w:w="810" w:type="dxa"/>
            <w:tcBorders>
              <w:bottom w:val="single" w:sz="4" w:space="0" w:color="auto"/>
            </w:tcBorders>
            <w:vAlign w:val="center"/>
            <w:hideMark/>
          </w:tcPr>
          <w:p w:rsidR="00FD4D29" w:rsidRPr="00F57FE9" w:rsidRDefault="00FD4D29" w:rsidP="00F57FE9">
            <w:pPr>
              <w:spacing w:line="360" w:lineRule="auto"/>
              <w:jc w:val="center"/>
            </w:pPr>
            <w:r w:rsidRPr="00F57FE9">
              <w:t>67.98</w:t>
            </w:r>
          </w:p>
        </w:tc>
        <w:tc>
          <w:tcPr>
            <w:tcW w:w="923" w:type="dxa"/>
            <w:tcBorders>
              <w:bottom w:val="single" w:sz="4" w:space="0" w:color="auto"/>
            </w:tcBorders>
            <w:vAlign w:val="center"/>
            <w:hideMark/>
          </w:tcPr>
          <w:p w:rsidR="00FD4D29" w:rsidRPr="00F57FE9" w:rsidRDefault="00FD4D29" w:rsidP="00F57FE9">
            <w:pPr>
              <w:spacing w:line="360" w:lineRule="auto"/>
              <w:jc w:val="center"/>
            </w:pPr>
            <w:r w:rsidRPr="00F57FE9">
              <w:t>79.09</w:t>
            </w:r>
          </w:p>
        </w:tc>
      </w:tr>
      <w:tr w:rsidR="00FD4D29" w:rsidRPr="00F57FE9" w:rsidTr="00B67FE6">
        <w:trPr>
          <w:jc w:val="center"/>
        </w:trPr>
        <w:tc>
          <w:tcPr>
            <w:tcW w:w="9428" w:type="dxa"/>
            <w:gridSpan w:val="12"/>
            <w:tcBorders>
              <w:top w:val="single" w:sz="4" w:space="0" w:color="auto"/>
            </w:tcBorders>
            <w:vAlign w:val="center"/>
            <w:hideMark/>
          </w:tcPr>
          <w:p w:rsidR="00FD4D29" w:rsidRPr="00F57FE9" w:rsidRDefault="00FD4D29" w:rsidP="0048390E">
            <w:pPr>
              <w:spacing w:line="360" w:lineRule="auto"/>
              <w:rPr>
                <w:bCs/>
                <w:iCs/>
              </w:rPr>
            </w:pPr>
            <w:r w:rsidRPr="00F57FE9">
              <w:rPr>
                <w:bCs/>
                <w:iCs/>
                <w:vertAlign w:val="superscript"/>
              </w:rPr>
              <w:t xml:space="preserve">* </w:t>
            </w:r>
            <w:r w:rsidRPr="00F57FE9">
              <w:rPr>
                <w:bCs/>
                <w:iCs/>
              </w:rPr>
              <w:t xml:space="preserve">Y1= Particle size; </w:t>
            </w:r>
            <w:r w:rsidRPr="00F57FE9">
              <w:rPr>
                <w:bCs/>
                <w:iCs/>
                <w:vertAlign w:val="superscript"/>
              </w:rPr>
              <w:t>*</w:t>
            </w:r>
            <w:r w:rsidRPr="00F57FE9">
              <w:rPr>
                <w:bCs/>
                <w:iCs/>
              </w:rPr>
              <w:t xml:space="preserve">Y2=Drug content; </w:t>
            </w:r>
            <w:r w:rsidRPr="00F57FE9">
              <w:rPr>
                <w:bCs/>
                <w:iCs/>
                <w:vertAlign w:val="superscript"/>
              </w:rPr>
              <w:t>*</w:t>
            </w:r>
            <w:r w:rsidRPr="00F57FE9">
              <w:rPr>
                <w:bCs/>
                <w:iCs/>
              </w:rPr>
              <w:t>Y3=Entrapment efficiency</w:t>
            </w:r>
          </w:p>
        </w:tc>
      </w:tr>
    </w:tbl>
    <w:p w:rsidR="00FD4D29" w:rsidRPr="00F57FE9" w:rsidRDefault="00FD4D29" w:rsidP="00F57FE9">
      <w:pPr>
        <w:spacing w:line="360" w:lineRule="auto"/>
        <w:jc w:val="center"/>
      </w:pPr>
    </w:p>
    <w:p w:rsidR="003527E6" w:rsidRPr="00F57FE9" w:rsidRDefault="003527E6" w:rsidP="00B67FE6">
      <w:pPr>
        <w:spacing w:line="360" w:lineRule="auto"/>
      </w:pPr>
      <w:proofErr w:type="gramStart"/>
      <w:r w:rsidRPr="00B67FE6">
        <w:rPr>
          <w:b/>
          <w:bCs/>
        </w:rPr>
        <w:t>Table 6</w:t>
      </w:r>
      <w:r w:rsidR="00B67FE6">
        <w:t>.</w:t>
      </w:r>
      <w:proofErr w:type="gramEnd"/>
      <w:r w:rsidRPr="00F57FE9">
        <w:t xml:space="preserve"> ANOVA analysis for response variables in P</w:t>
      </w:r>
      <w:r w:rsidR="0057780D" w:rsidRPr="00F57FE9">
        <w:t>lackett – Burman design matrix</w:t>
      </w:r>
    </w:p>
    <w:tbl>
      <w:tblPr>
        <w:tblW w:w="10300" w:type="dxa"/>
        <w:jc w:val="center"/>
        <w:tblLayout w:type="fixed"/>
        <w:tblLook w:val="04A0"/>
      </w:tblPr>
      <w:tblGrid>
        <w:gridCol w:w="400"/>
        <w:gridCol w:w="270"/>
        <w:gridCol w:w="2410"/>
        <w:gridCol w:w="1170"/>
        <w:gridCol w:w="1350"/>
        <w:gridCol w:w="1010"/>
        <w:gridCol w:w="1350"/>
        <w:gridCol w:w="900"/>
        <w:gridCol w:w="1440"/>
      </w:tblGrid>
      <w:tr w:rsidR="00B67FE6" w:rsidRPr="0048390E" w:rsidTr="00B67FE6">
        <w:trPr>
          <w:trHeight w:val="782"/>
          <w:jc w:val="center"/>
        </w:trPr>
        <w:tc>
          <w:tcPr>
            <w:tcW w:w="3080" w:type="dxa"/>
            <w:gridSpan w:val="3"/>
            <w:vMerge w:val="restart"/>
            <w:tcBorders>
              <w:top w:val="single" w:sz="4" w:space="0" w:color="auto"/>
              <w:bottom w:val="single" w:sz="4" w:space="0" w:color="auto"/>
            </w:tcBorders>
            <w:vAlign w:val="center"/>
          </w:tcPr>
          <w:p w:rsidR="00B67FE6" w:rsidRPr="0048390E" w:rsidRDefault="00B67FE6" w:rsidP="00B67FE6">
            <w:pPr>
              <w:spacing w:line="360" w:lineRule="auto"/>
              <w:jc w:val="center"/>
              <w:rPr>
                <w:b/>
                <w:sz w:val="20"/>
                <w:szCs w:val="20"/>
              </w:rPr>
            </w:pPr>
            <w:r w:rsidRPr="0048390E">
              <w:rPr>
                <w:b/>
                <w:bCs/>
                <w:kern w:val="24"/>
                <w:sz w:val="20"/>
                <w:szCs w:val="20"/>
                <w:lang w:eastAsia="en-IN"/>
              </w:rPr>
              <w:t>Factors</w:t>
            </w:r>
          </w:p>
        </w:tc>
        <w:tc>
          <w:tcPr>
            <w:tcW w:w="2520" w:type="dxa"/>
            <w:gridSpan w:val="2"/>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sz w:val="20"/>
                <w:szCs w:val="20"/>
              </w:rPr>
              <w:t>Y1: Particle size (nm)</w:t>
            </w:r>
          </w:p>
        </w:tc>
        <w:tc>
          <w:tcPr>
            <w:tcW w:w="2360" w:type="dxa"/>
            <w:gridSpan w:val="2"/>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sz w:val="20"/>
                <w:szCs w:val="20"/>
              </w:rPr>
              <w:t>Y2: Drug content             (%)</w:t>
            </w:r>
          </w:p>
        </w:tc>
        <w:tc>
          <w:tcPr>
            <w:tcW w:w="2340" w:type="dxa"/>
            <w:gridSpan w:val="2"/>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sz w:val="20"/>
                <w:szCs w:val="20"/>
              </w:rPr>
              <w:t>Y3: Entrapment efficiency (%)</w:t>
            </w:r>
          </w:p>
        </w:tc>
      </w:tr>
      <w:tr w:rsidR="00B67FE6" w:rsidRPr="0048390E" w:rsidTr="00B67FE6">
        <w:trPr>
          <w:trHeight w:val="483"/>
          <w:jc w:val="center"/>
        </w:trPr>
        <w:tc>
          <w:tcPr>
            <w:tcW w:w="3080" w:type="dxa"/>
            <w:gridSpan w:val="3"/>
            <w:vMerge/>
            <w:tcBorders>
              <w:top w:val="single" w:sz="4" w:space="0" w:color="auto"/>
              <w:bottom w:val="single" w:sz="4" w:space="0" w:color="auto"/>
            </w:tcBorders>
            <w:vAlign w:val="center"/>
          </w:tcPr>
          <w:p w:rsidR="00B67FE6" w:rsidRPr="0048390E" w:rsidRDefault="00B67FE6" w:rsidP="00B67FE6">
            <w:pPr>
              <w:spacing w:line="360" w:lineRule="auto"/>
              <w:jc w:val="center"/>
              <w:rPr>
                <w:b/>
                <w:sz w:val="20"/>
                <w:szCs w:val="20"/>
              </w:rPr>
            </w:pPr>
          </w:p>
        </w:tc>
        <w:tc>
          <w:tcPr>
            <w:tcW w:w="1170" w:type="dxa"/>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bCs/>
                <w:kern w:val="24"/>
                <w:sz w:val="20"/>
                <w:szCs w:val="20"/>
                <w:lang w:eastAsia="en-IN"/>
              </w:rPr>
              <w:t>p value</w:t>
            </w:r>
          </w:p>
        </w:tc>
        <w:tc>
          <w:tcPr>
            <w:tcW w:w="1350" w:type="dxa"/>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bCs/>
                <w:kern w:val="24"/>
                <w:sz w:val="20"/>
                <w:szCs w:val="20"/>
                <w:lang w:eastAsia="en-IN"/>
              </w:rPr>
              <w:t>% Contribution</w:t>
            </w:r>
          </w:p>
        </w:tc>
        <w:tc>
          <w:tcPr>
            <w:tcW w:w="1010" w:type="dxa"/>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bCs/>
                <w:kern w:val="24"/>
                <w:sz w:val="20"/>
                <w:szCs w:val="20"/>
                <w:lang w:eastAsia="en-IN"/>
              </w:rPr>
              <w:t>p value</w:t>
            </w:r>
          </w:p>
        </w:tc>
        <w:tc>
          <w:tcPr>
            <w:tcW w:w="1350" w:type="dxa"/>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bCs/>
                <w:kern w:val="24"/>
                <w:sz w:val="20"/>
                <w:szCs w:val="20"/>
                <w:lang w:eastAsia="en-IN"/>
              </w:rPr>
              <w:t>% Contribution</w:t>
            </w:r>
          </w:p>
        </w:tc>
        <w:tc>
          <w:tcPr>
            <w:tcW w:w="900" w:type="dxa"/>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bCs/>
                <w:kern w:val="24"/>
                <w:sz w:val="20"/>
                <w:szCs w:val="20"/>
                <w:lang w:eastAsia="en-IN"/>
              </w:rPr>
              <w:t>p value</w:t>
            </w:r>
          </w:p>
        </w:tc>
        <w:tc>
          <w:tcPr>
            <w:tcW w:w="1440" w:type="dxa"/>
            <w:tcBorders>
              <w:top w:val="single" w:sz="4" w:space="0" w:color="auto"/>
              <w:bottom w:val="single" w:sz="4" w:space="0" w:color="auto"/>
            </w:tcBorders>
            <w:vAlign w:val="center"/>
            <w:hideMark/>
          </w:tcPr>
          <w:p w:rsidR="00B67FE6" w:rsidRPr="0048390E" w:rsidRDefault="00B67FE6" w:rsidP="00B67FE6">
            <w:pPr>
              <w:spacing w:line="360" w:lineRule="auto"/>
              <w:jc w:val="center"/>
              <w:rPr>
                <w:b/>
                <w:sz w:val="20"/>
                <w:szCs w:val="20"/>
              </w:rPr>
            </w:pPr>
            <w:r w:rsidRPr="0048390E">
              <w:rPr>
                <w:b/>
                <w:bCs/>
                <w:kern w:val="24"/>
                <w:sz w:val="20"/>
                <w:szCs w:val="20"/>
                <w:lang w:eastAsia="en-IN"/>
              </w:rPr>
              <w:t>% Contribution</w:t>
            </w:r>
          </w:p>
        </w:tc>
      </w:tr>
      <w:tr w:rsidR="00B67FE6" w:rsidRPr="0048390E" w:rsidTr="00B67FE6">
        <w:trPr>
          <w:trHeight w:val="483"/>
          <w:jc w:val="center"/>
        </w:trPr>
        <w:tc>
          <w:tcPr>
            <w:tcW w:w="400" w:type="dxa"/>
            <w:tcBorders>
              <w:top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β</w:t>
            </w:r>
            <w:r w:rsidRPr="0048390E">
              <w:rPr>
                <w:sz w:val="20"/>
                <w:szCs w:val="20"/>
                <w:vertAlign w:val="subscript"/>
              </w:rPr>
              <w:t>0</w:t>
            </w:r>
          </w:p>
        </w:tc>
        <w:tc>
          <w:tcPr>
            <w:tcW w:w="270" w:type="dxa"/>
            <w:tcBorders>
              <w:top w:val="single" w:sz="4" w:space="0" w:color="auto"/>
            </w:tcBorders>
            <w:vAlign w:val="center"/>
          </w:tcPr>
          <w:p w:rsidR="00B67FE6" w:rsidRPr="0048390E" w:rsidRDefault="00B67FE6" w:rsidP="00B67FE6">
            <w:pPr>
              <w:spacing w:line="360" w:lineRule="auto"/>
              <w:jc w:val="center"/>
              <w:rPr>
                <w:sz w:val="20"/>
                <w:szCs w:val="20"/>
                <w:lang w:eastAsia="en-IN"/>
              </w:rPr>
            </w:pPr>
            <w:r>
              <w:rPr>
                <w:sz w:val="20"/>
                <w:szCs w:val="20"/>
                <w:lang w:eastAsia="en-IN"/>
              </w:rPr>
              <w:t>:</w:t>
            </w:r>
          </w:p>
        </w:tc>
        <w:tc>
          <w:tcPr>
            <w:tcW w:w="2410" w:type="dxa"/>
            <w:tcBorders>
              <w:top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lang w:eastAsia="en-IN"/>
              </w:rPr>
              <w:t>Constant</w:t>
            </w:r>
          </w:p>
        </w:tc>
        <w:tc>
          <w:tcPr>
            <w:tcW w:w="1170" w:type="dxa"/>
            <w:tcBorders>
              <w:top w:val="single" w:sz="4" w:space="0" w:color="auto"/>
            </w:tcBorders>
            <w:vAlign w:val="center"/>
            <w:hideMark/>
          </w:tcPr>
          <w:p w:rsidR="00B67FE6" w:rsidRPr="0048390E" w:rsidRDefault="00B67FE6" w:rsidP="00B67FE6">
            <w:pPr>
              <w:spacing w:line="360" w:lineRule="auto"/>
              <w:jc w:val="center"/>
              <w:rPr>
                <w:sz w:val="20"/>
                <w:szCs w:val="20"/>
                <w:lang w:eastAsia="en-IN"/>
              </w:rPr>
            </w:pPr>
            <w:r w:rsidRPr="0048390E">
              <w:rPr>
                <w:sz w:val="20"/>
                <w:szCs w:val="20"/>
                <w:lang w:eastAsia="en-IN"/>
              </w:rPr>
              <w:t>0.1750</w:t>
            </w:r>
          </w:p>
        </w:tc>
        <w:tc>
          <w:tcPr>
            <w:tcW w:w="1350" w:type="dxa"/>
            <w:tcBorders>
              <w:top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w:t>
            </w:r>
          </w:p>
        </w:tc>
        <w:tc>
          <w:tcPr>
            <w:tcW w:w="1010" w:type="dxa"/>
            <w:tcBorders>
              <w:top w:val="single" w:sz="4" w:space="0" w:color="auto"/>
            </w:tcBorders>
            <w:vAlign w:val="center"/>
            <w:hideMark/>
          </w:tcPr>
          <w:p w:rsidR="00B67FE6" w:rsidRPr="0048390E" w:rsidRDefault="00B67FE6" w:rsidP="00B67FE6">
            <w:pPr>
              <w:spacing w:line="360" w:lineRule="auto"/>
              <w:jc w:val="center"/>
              <w:rPr>
                <w:sz w:val="20"/>
                <w:szCs w:val="20"/>
                <w:lang w:eastAsia="en-IN"/>
              </w:rPr>
            </w:pPr>
            <w:r w:rsidRPr="0048390E">
              <w:rPr>
                <w:sz w:val="20"/>
                <w:szCs w:val="20"/>
                <w:lang w:eastAsia="en-IN"/>
              </w:rPr>
              <w:t>0.2884</w:t>
            </w:r>
          </w:p>
        </w:tc>
        <w:tc>
          <w:tcPr>
            <w:tcW w:w="1350" w:type="dxa"/>
            <w:tcBorders>
              <w:top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w:t>
            </w:r>
          </w:p>
        </w:tc>
        <w:tc>
          <w:tcPr>
            <w:tcW w:w="900" w:type="dxa"/>
            <w:tcBorders>
              <w:top w:val="single" w:sz="4" w:space="0" w:color="auto"/>
            </w:tcBorders>
            <w:vAlign w:val="center"/>
            <w:hideMark/>
          </w:tcPr>
          <w:p w:rsidR="00B67FE6" w:rsidRPr="0048390E" w:rsidRDefault="00B67FE6" w:rsidP="00B67FE6">
            <w:pPr>
              <w:spacing w:line="360" w:lineRule="auto"/>
              <w:jc w:val="center"/>
              <w:rPr>
                <w:sz w:val="20"/>
                <w:szCs w:val="20"/>
                <w:lang w:eastAsia="en-IN"/>
              </w:rPr>
            </w:pPr>
            <w:r w:rsidRPr="0048390E">
              <w:rPr>
                <w:sz w:val="20"/>
                <w:szCs w:val="20"/>
                <w:lang w:eastAsia="en-IN"/>
              </w:rPr>
              <w:t>0.6909</w:t>
            </w:r>
          </w:p>
        </w:tc>
        <w:tc>
          <w:tcPr>
            <w:tcW w:w="1440" w:type="dxa"/>
            <w:tcBorders>
              <w:top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w:t>
            </w:r>
          </w:p>
        </w:tc>
      </w:tr>
      <w:tr w:rsidR="00B67FE6" w:rsidRPr="0048390E" w:rsidTr="00B67FE6">
        <w:trPr>
          <w:trHeight w:val="483"/>
          <w:jc w:val="center"/>
        </w:trPr>
        <w:tc>
          <w:tcPr>
            <w:tcW w:w="400" w:type="dxa"/>
            <w:vAlign w:val="center"/>
            <w:hideMark/>
          </w:tcPr>
          <w:p w:rsidR="00B67FE6" w:rsidRPr="0048390E" w:rsidRDefault="00B67FE6" w:rsidP="00B67FE6">
            <w:pPr>
              <w:spacing w:line="360" w:lineRule="auto"/>
              <w:jc w:val="center"/>
              <w:rPr>
                <w:sz w:val="20"/>
                <w:szCs w:val="20"/>
              </w:rPr>
            </w:pPr>
            <w:r w:rsidRPr="0048390E">
              <w:rPr>
                <w:sz w:val="20"/>
                <w:szCs w:val="20"/>
              </w:rPr>
              <w:t>A</w:t>
            </w:r>
          </w:p>
        </w:tc>
        <w:tc>
          <w:tcPr>
            <w:tcW w:w="270" w:type="dxa"/>
            <w:vAlign w:val="center"/>
          </w:tcPr>
          <w:p w:rsidR="00B67FE6" w:rsidRDefault="00B67FE6" w:rsidP="00B67FE6">
            <w:pPr>
              <w:jc w:val="center"/>
            </w:pPr>
            <w:r w:rsidRPr="002F57B5">
              <w:rPr>
                <w:sz w:val="20"/>
                <w:szCs w:val="20"/>
                <w:lang w:eastAsia="en-IN"/>
              </w:rPr>
              <w:t>:</w:t>
            </w:r>
          </w:p>
        </w:tc>
        <w:tc>
          <w:tcPr>
            <w:tcW w:w="2410" w:type="dxa"/>
            <w:vAlign w:val="center"/>
            <w:hideMark/>
          </w:tcPr>
          <w:p w:rsidR="00B67FE6" w:rsidRPr="0048390E" w:rsidRDefault="00B67FE6" w:rsidP="00B67FE6">
            <w:pPr>
              <w:spacing w:line="360" w:lineRule="auto"/>
              <w:jc w:val="center"/>
              <w:rPr>
                <w:sz w:val="20"/>
                <w:szCs w:val="20"/>
              </w:rPr>
            </w:pPr>
            <w:r w:rsidRPr="0048390E">
              <w:rPr>
                <w:sz w:val="20"/>
                <w:szCs w:val="20"/>
              </w:rPr>
              <w:t>Speed of homogenizer</w:t>
            </w:r>
            <w:r w:rsidRPr="0048390E">
              <w:rPr>
                <w:sz w:val="20"/>
                <w:szCs w:val="20"/>
                <w:vertAlign w:val="superscript"/>
              </w:rPr>
              <w:t>*</w:t>
            </w:r>
            <w:r w:rsidRPr="0048390E">
              <w:rPr>
                <w:sz w:val="20"/>
                <w:szCs w:val="20"/>
              </w:rPr>
              <w:t xml:space="preserve"> (rpm)</w:t>
            </w:r>
          </w:p>
        </w:tc>
        <w:tc>
          <w:tcPr>
            <w:tcW w:w="117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0.0715</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25.23</w:t>
            </w:r>
          </w:p>
        </w:tc>
        <w:tc>
          <w:tcPr>
            <w:tcW w:w="101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0.1953</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13.78</w:t>
            </w:r>
          </w:p>
        </w:tc>
        <w:tc>
          <w:tcPr>
            <w:tcW w:w="90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0.1552</w:t>
            </w:r>
          </w:p>
        </w:tc>
        <w:tc>
          <w:tcPr>
            <w:tcW w:w="1440" w:type="dxa"/>
            <w:vAlign w:val="center"/>
          </w:tcPr>
          <w:p w:rsidR="00B67FE6" w:rsidRPr="0048390E" w:rsidRDefault="00B67FE6" w:rsidP="00B67FE6">
            <w:pPr>
              <w:spacing w:line="360" w:lineRule="auto"/>
              <w:jc w:val="center"/>
              <w:rPr>
                <w:sz w:val="20"/>
                <w:szCs w:val="20"/>
              </w:rPr>
            </w:pPr>
            <w:r w:rsidRPr="0048390E">
              <w:rPr>
                <w:sz w:val="20"/>
                <w:szCs w:val="20"/>
              </w:rPr>
              <w:t>1.59</w:t>
            </w:r>
          </w:p>
        </w:tc>
      </w:tr>
      <w:tr w:rsidR="00B67FE6" w:rsidRPr="0048390E" w:rsidTr="00B67FE6">
        <w:trPr>
          <w:trHeight w:val="497"/>
          <w:jc w:val="center"/>
        </w:trPr>
        <w:tc>
          <w:tcPr>
            <w:tcW w:w="400" w:type="dxa"/>
            <w:vAlign w:val="center"/>
            <w:hideMark/>
          </w:tcPr>
          <w:p w:rsidR="00B67FE6" w:rsidRPr="0048390E" w:rsidRDefault="00B67FE6" w:rsidP="00B67FE6">
            <w:pPr>
              <w:spacing w:line="360" w:lineRule="auto"/>
              <w:jc w:val="center"/>
              <w:rPr>
                <w:sz w:val="20"/>
                <w:szCs w:val="20"/>
              </w:rPr>
            </w:pPr>
            <w:r w:rsidRPr="0048390E">
              <w:rPr>
                <w:sz w:val="20"/>
                <w:szCs w:val="20"/>
              </w:rPr>
              <w:t>B</w:t>
            </w:r>
          </w:p>
        </w:tc>
        <w:tc>
          <w:tcPr>
            <w:tcW w:w="270" w:type="dxa"/>
            <w:vAlign w:val="center"/>
          </w:tcPr>
          <w:p w:rsidR="00B67FE6" w:rsidRDefault="00B67FE6" w:rsidP="00B67FE6">
            <w:pPr>
              <w:jc w:val="center"/>
            </w:pPr>
            <w:r w:rsidRPr="002F57B5">
              <w:rPr>
                <w:sz w:val="20"/>
                <w:szCs w:val="20"/>
                <w:lang w:eastAsia="en-IN"/>
              </w:rPr>
              <w:t>:</w:t>
            </w:r>
          </w:p>
        </w:tc>
        <w:tc>
          <w:tcPr>
            <w:tcW w:w="2410" w:type="dxa"/>
            <w:vAlign w:val="center"/>
            <w:hideMark/>
          </w:tcPr>
          <w:p w:rsidR="00B67FE6" w:rsidRPr="0048390E" w:rsidRDefault="00B67FE6" w:rsidP="00B67FE6">
            <w:pPr>
              <w:spacing w:line="360" w:lineRule="auto"/>
              <w:jc w:val="center"/>
              <w:rPr>
                <w:sz w:val="20"/>
                <w:szCs w:val="20"/>
              </w:rPr>
            </w:pPr>
            <w:r w:rsidRPr="0048390E">
              <w:rPr>
                <w:sz w:val="20"/>
                <w:szCs w:val="20"/>
              </w:rPr>
              <w:t>Time of homogenizer</w:t>
            </w:r>
            <w:r w:rsidRPr="0048390E">
              <w:rPr>
                <w:sz w:val="20"/>
                <w:szCs w:val="20"/>
                <w:vertAlign w:val="superscript"/>
              </w:rPr>
              <w:t>*</w:t>
            </w:r>
            <w:r w:rsidRPr="0048390E">
              <w:rPr>
                <w:sz w:val="20"/>
                <w:szCs w:val="20"/>
              </w:rPr>
              <w:t xml:space="preserve"> (min.)</w:t>
            </w:r>
          </w:p>
        </w:tc>
        <w:tc>
          <w:tcPr>
            <w:tcW w:w="117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0.8133</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0.22</w:t>
            </w:r>
          </w:p>
        </w:tc>
        <w:tc>
          <w:tcPr>
            <w:tcW w:w="101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0.1761</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15.52</w:t>
            </w:r>
          </w:p>
        </w:tc>
        <w:tc>
          <w:tcPr>
            <w:tcW w:w="90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0.7078</w:t>
            </w:r>
          </w:p>
        </w:tc>
        <w:tc>
          <w:tcPr>
            <w:tcW w:w="1440" w:type="dxa"/>
            <w:vAlign w:val="center"/>
            <w:hideMark/>
          </w:tcPr>
          <w:p w:rsidR="00B67FE6" w:rsidRPr="0048390E" w:rsidRDefault="00B67FE6" w:rsidP="00B67FE6">
            <w:pPr>
              <w:spacing w:line="360" w:lineRule="auto"/>
              <w:jc w:val="center"/>
              <w:rPr>
                <w:sz w:val="20"/>
                <w:szCs w:val="20"/>
              </w:rPr>
            </w:pPr>
            <w:r w:rsidRPr="0048390E">
              <w:rPr>
                <w:sz w:val="20"/>
                <w:szCs w:val="20"/>
              </w:rPr>
              <w:t>1.96</w:t>
            </w:r>
          </w:p>
        </w:tc>
      </w:tr>
      <w:tr w:rsidR="00B67FE6" w:rsidRPr="0048390E" w:rsidTr="00B67FE6">
        <w:trPr>
          <w:trHeight w:val="483"/>
          <w:jc w:val="center"/>
        </w:trPr>
        <w:tc>
          <w:tcPr>
            <w:tcW w:w="400" w:type="dxa"/>
            <w:vAlign w:val="center"/>
            <w:hideMark/>
          </w:tcPr>
          <w:p w:rsidR="00B67FE6" w:rsidRPr="0048390E" w:rsidRDefault="00B67FE6" w:rsidP="00B67FE6">
            <w:pPr>
              <w:spacing w:line="360" w:lineRule="auto"/>
              <w:jc w:val="center"/>
              <w:rPr>
                <w:sz w:val="20"/>
                <w:szCs w:val="20"/>
              </w:rPr>
            </w:pPr>
            <w:r w:rsidRPr="0048390E">
              <w:rPr>
                <w:sz w:val="20"/>
                <w:szCs w:val="20"/>
              </w:rPr>
              <w:t>C</w:t>
            </w:r>
          </w:p>
        </w:tc>
        <w:tc>
          <w:tcPr>
            <w:tcW w:w="270" w:type="dxa"/>
            <w:vAlign w:val="center"/>
          </w:tcPr>
          <w:p w:rsidR="00B67FE6" w:rsidRDefault="00B67FE6" w:rsidP="00B67FE6">
            <w:pPr>
              <w:jc w:val="center"/>
            </w:pPr>
            <w:r w:rsidRPr="00F32DE6">
              <w:rPr>
                <w:sz w:val="20"/>
                <w:szCs w:val="20"/>
                <w:lang w:eastAsia="en-IN"/>
              </w:rPr>
              <w:t>:</w:t>
            </w:r>
          </w:p>
        </w:tc>
        <w:tc>
          <w:tcPr>
            <w:tcW w:w="2410" w:type="dxa"/>
            <w:vAlign w:val="center"/>
            <w:hideMark/>
          </w:tcPr>
          <w:p w:rsidR="00B67FE6" w:rsidRPr="0048390E" w:rsidRDefault="00B67FE6" w:rsidP="00B67FE6">
            <w:pPr>
              <w:spacing w:line="360" w:lineRule="auto"/>
              <w:jc w:val="center"/>
              <w:rPr>
                <w:sz w:val="20"/>
                <w:szCs w:val="20"/>
              </w:rPr>
            </w:pPr>
            <w:r w:rsidRPr="0048390E">
              <w:rPr>
                <w:sz w:val="20"/>
                <w:szCs w:val="20"/>
              </w:rPr>
              <w:t>Homogenization pressure</w:t>
            </w:r>
            <w:r w:rsidRPr="0048390E">
              <w:rPr>
                <w:sz w:val="20"/>
                <w:szCs w:val="20"/>
                <w:vertAlign w:val="superscript"/>
              </w:rPr>
              <w:t>*</w:t>
            </w:r>
            <w:r w:rsidRPr="0048390E">
              <w:rPr>
                <w:sz w:val="20"/>
                <w:szCs w:val="20"/>
              </w:rPr>
              <w:t xml:space="preserve"> (Bar*1000)</w:t>
            </w:r>
          </w:p>
        </w:tc>
        <w:tc>
          <w:tcPr>
            <w:tcW w:w="117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0.8591</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0.13</w:t>
            </w:r>
          </w:p>
        </w:tc>
        <w:tc>
          <w:tcPr>
            <w:tcW w:w="101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0.3962</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4.87</w:t>
            </w:r>
          </w:p>
        </w:tc>
        <w:tc>
          <w:tcPr>
            <w:tcW w:w="90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0.4430</w:t>
            </w:r>
          </w:p>
        </w:tc>
        <w:tc>
          <w:tcPr>
            <w:tcW w:w="1440" w:type="dxa"/>
            <w:vAlign w:val="center"/>
            <w:hideMark/>
          </w:tcPr>
          <w:p w:rsidR="00B67FE6" w:rsidRPr="0048390E" w:rsidRDefault="00B67FE6" w:rsidP="00B67FE6">
            <w:pPr>
              <w:spacing w:line="360" w:lineRule="auto"/>
              <w:jc w:val="center"/>
              <w:rPr>
                <w:sz w:val="20"/>
                <w:szCs w:val="20"/>
              </w:rPr>
            </w:pPr>
            <w:r w:rsidRPr="0048390E">
              <w:rPr>
                <w:sz w:val="20"/>
                <w:szCs w:val="20"/>
              </w:rPr>
              <w:t>2.32</w:t>
            </w:r>
          </w:p>
        </w:tc>
      </w:tr>
      <w:tr w:rsidR="00B67FE6" w:rsidRPr="0048390E" w:rsidTr="00B67FE6">
        <w:trPr>
          <w:trHeight w:val="483"/>
          <w:jc w:val="center"/>
        </w:trPr>
        <w:tc>
          <w:tcPr>
            <w:tcW w:w="400" w:type="dxa"/>
            <w:vAlign w:val="center"/>
            <w:hideMark/>
          </w:tcPr>
          <w:p w:rsidR="00B67FE6" w:rsidRPr="0048390E" w:rsidRDefault="00B67FE6" w:rsidP="00B67FE6">
            <w:pPr>
              <w:spacing w:line="360" w:lineRule="auto"/>
              <w:jc w:val="center"/>
              <w:rPr>
                <w:sz w:val="20"/>
                <w:szCs w:val="20"/>
              </w:rPr>
            </w:pPr>
            <w:r w:rsidRPr="0048390E">
              <w:rPr>
                <w:sz w:val="20"/>
                <w:szCs w:val="20"/>
              </w:rPr>
              <w:t>D</w:t>
            </w:r>
          </w:p>
        </w:tc>
        <w:tc>
          <w:tcPr>
            <w:tcW w:w="270" w:type="dxa"/>
            <w:vAlign w:val="center"/>
          </w:tcPr>
          <w:p w:rsidR="00B67FE6" w:rsidRDefault="00B67FE6" w:rsidP="00B67FE6">
            <w:pPr>
              <w:jc w:val="center"/>
            </w:pPr>
            <w:r w:rsidRPr="00F32DE6">
              <w:rPr>
                <w:sz w:val="20"/>
                <w:szCs w:val="20"/>
                <w:lang w:eastAsia="en-IN"/>
              </w:rPr>
              <w:t>:</w:t>
            </w:r>
          </w:p>
        </w:tc>
        <w:tc>
          <w:tcPr>
            <w:tcW w:w="2410" w:type="dxa"/>
            <w:vAlign w:val="center"/>
            <w:hideMark/>
          </w:tcPr>
          <w:p w:rsidR="00B67FE6" w:rsidRPr="0048390E" w:rsidRDefault="00B67FE6" w:rsidP="00B67FE6">
            <w:pPr>
              <w:spacing w:line="360" w:lineRule="auto"/>
              <w:jc w:val="center"/>
              <w:rPr>
                <w:sz w:val="20"/>
                <w:szCs w:val="20"/>
              </w:rPr>
            </w:pPr>
            <w:r w:rsidRPr="0048390E">
              <w:rPr>
                <w:sz w:val="20"/>
                <w:szCs w:val="20"/>
              </w:rPr>
              <w:t>Number of cycles</w:t>
            </w:r>
          </w:p>
        </w:tc>
        <w:tc>
          <w:tcPr>
            <w:tcW w:w="117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0.5473</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1.54</w:t>
            </w:r>
          </w:p>
        </w:tc>
        <w:tc>
          <w:tcPr>
            <w:tcW w:w="101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0.1283</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21.72</w:t>
            </w:r>
          </w:p>
        </w:tc>
        <w:tc>
          <w:tcPr>
            <w:tcW w:w="90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0.7350</w:t>
            </w:r>
          </w:p>
        </w:tc>
        <w:tc>
          <w:tcPr>
            <w:tcW w:w="1440" w:type="dxa"/>
            <w:vAlign w:val="center"/>
            <w:hideMark/>
          </w:tcPr>
          <w:p w:rsidR="00B67FE6" w:rsidRPr="0048390E" w:rsidRDefault="00B67FE6" w:rsidP="00B67FE6">
            <w:pPr>
              <w:spacing w:line="360" w:lineRule="auto"/>
              <w:jc w:val="center"/>
              <w:rPr>
                <w:sz w:val="20"/>
                <w:szCs w:val="20"/>
              </w:rPr>
            </w:pPr>
            <w:r w:rsidRPr="0048390E">
              <w:rPr>
                <w:sz w:val="20"/>
                <w:szCs w:val="20"/>
              </w:rPr>
              <w:t>41.18</w:t>
            </w:r>
          </w:p>
        </w:tc>
      </w:tr>
      <w:tr w:rsidR="00B67FE6" w:rsidRPr="0048390E" w:rsidTr="00B67FE6">
        <w:trPr>
          <w:trHeight w:val="483"/>
          <w:jc w:val="center"/>
        </w:trPr>
        <w:tc>
          <w:tcPr>
            <w:tcW w:w="400" w:type="dxa"/>
            <w:vAlign w:val="center"/>
            <w:hideMark/>
          </w:tcPr>
          <w:p w:rsidR="00B67FE6" w:rsidRPr="0048390E" w:rsidRDefault="00B67FE6" w:rsidP="00B67FE6">
            <w:pPr>
              <w:spacing w:line="360" w:lineRule="auto"/>
              <w:jc w:val="center"/>
              <w:rPr>
                <w:sz w:val="20"/>
                <w:szCs w:val="20"/>
              </w:rPr>
            </w:pPr>
            <w:r w:rsidRPr="0048390E">
              <w:rPr>
                <w:sz w:val="20"/>
                <w:szCs w:val="20"/>
              </w:rPr>
              <w:t>E</w:t>
            </w:r>
          </w:p>
        </w:tc>
        <w:tc>
          <w:tcPr>
            <w:tcW w:w="270" w:type="dxa"/>
            <w:vAlign w:val="center"/>
          </w:tcPr>
          <w:p w:rsidR="00B67FE6" w:rsidRDefault="00B67FE6" w:rsidP="00B67FE6">
            <w:pPr>
              <w:jc w:val="center"/>
            </w:pPr>
            <w:r w:rsidRPr="00F32DE6">
              <w:rPr>
                <w:sz w:val="20"/>
                <w:szCs w:val="20"/>
                <w:lang w:eastAsia="en-IN"/>
              </w:rPr>
              <w:t>:</w:t>
            </w:r>
          </w:p>
        </w:tc>
        <w:tc>
          <w:tcPr>
            <w:tcW w:w="2410" w:type="dxa"/>
            <w:vAlign w:val="center"/>
            <w:hideMark/>
          </w:tcPr>
          <w:p w:rsidR="00B67FE6" w:rsidRPr="0048390E" w:rsidRDefault="00B67FE6" w:rsidP="00B67FE6">
            <w:pPr>
              <w:spacing w:line="360" w:lineRule="auto"/>
              <w:jc w:val="center"/>
              <w:rPr>
                <w:sz w:val="20"/>
                <w:szCs w:val="20"/>
              </w:rPr>
            </w:pPr>
            <w:r w:rsidRPr="0048390E">
              <w:rPr>
                <w:sz w:val="20"/>
                <w:szCs w:val="20"/>
              </w:rPr>
              <w:t xml:space="preserve">Concentration of </w:t>
            </w:r>
            <w:r w:rsidRPr="0048390E">
              <w:rPr>
                <w:sz w:val="20"/>
                <w:szCs w:val="20"/>
              </w:rPr>
              <w:lastRenderedPageBreak/>
              <w:t>Poloxamer 188 (mg)</w:t>
            </w:r>
          </w:p>
        </w:tc>
        <w:tc>
          <w:tcPr>
            <w:tcW w:w="117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lastRenderedPageBreak/>
              <w:t>0.0550</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31.52</w:t>
            </w:r>
          </w:p>
        </w:tc>
        <w:tc>
          <w:tcPr>
            <w:tcW w:w="101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0.1339</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20.80</w:t>
            </w:r>
          </w:p>
        </w:tc>
        <w:tc>
          <w:tcPr>
            <w:tcW w:w="90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0.8210</w:t>
            </w:r>
          </w:p>
        </w:tc>
        <w:tc>
          <w:tcPr>
            <w:tcW w:w="1440" w:type="dxa"/>
            <w:vAlign w:val="center"/>
            <w:hideMark/>
          </w:tcPr>
          <w:p w:rsidR="00B67FE6" w:rsidRPr="0048390E" w:rsidRDefault="00B67FE6" w:rsidP="00B67FE6">
            <w:pPr>
              <w:spacing w:line="360" w:lineRule="auto"/>
              <w:jc w:val="center"/>
              <w:rPr>
                <w:sz w:val="20"/>
                <w:szCs w:val="20"/>
              </w:rPr>
            </w:pPr>
            <w:r w:rsidRPr="0048390E">
              <w:rPr>
                <w:sz w:val="20"/>
                <w:szCs w:val="20"/>
              </w:rPr>
              <w:t>8.53</w:t>
            </w:r>
          </w:p>
        </w:tc>
      </w:tr>
      <w:tr w:rsidR="00B67FE6" w:rsidRPr="0048390E" w:rsidTr="00B67FE6">
        <w:trPr>
          <w:trHeight w:val="483"/>
          <w:jc w:val="center"/>
        </w:trPr>
        <w:tc>
          <w:tcPr>
            <w:tcW w:w="400" w:type="dxa"/>
            <w:vAlign w:val="center"/>
            <w:hideMark/>
          </w:tcPr>
          <w:p w:rsidR="00B67FE6" w:rsidRPr="0048390E" w:rsidRDefault="00B67FE6" w:rsidP="00B67FE6">
            <w:pPr>
              <w:spacing w:line="360" w:lineRule="auto"/>
              <w:jc w:val="center"/>
              <w:rPr>
                <w:sz w:val="20"/>
                <w:szCs w:val="20"/>
              </w:rPr>
            </w:pPr>
            <w:r w:rsidRPr="0048390E">
              <w:rPr>
                <w:sz w:val="20"/>
                <w:szCs w:val="20"/>
              </w:rPr>
              <w:lastRenderedPageBreak/>
              <w:t>F</w:t>
            </w:r>
          </w:p>
        </w:tc>
        <w:tc>
          <w:tcPr>
            <w:tcW w:w="270" w:type="dxa"/>
            <w:vAlign w:val="center"/>
          </w:tcPr>
          <w:p w:rsidR="00B67FE6" w:rsidRDefault="00B67FE6" w:rsidP="00B67FE6">
            <w:pPr>
              <w:jc w:val="center"/>
            </w:pPr>
            <w:r w:rsidRPr="00F32DE6">
              <w:rPr>
                <w:sz w:val="20"/>
                <w:szCs w:val="20"/>
                <w:lang w:eastAsia="en-IN"/>
              </w:rPr>
              <w:t>:</w:t>
            </w:r>
          </w:p>
        </w:tc>
        <w:tc>
          <w:tcPr>
            <w:tcW w:w="2410" w:type="dxa"/>
            <w:vAlign w:val="center"/>
            <w:hideMark/>
          </w:tcPr>
          <w:p w:rsidR="00B67FE6" w:rsidRPr="0048390E" w:rsidRDefault="00B67FE6" w:rsidP="00B67FE6">
            <w:pPr>
              <w:spacing w:line="360" w:lineRule="auto"/>
              <w:jc w:val="center"/>
              <w:rPr>
                <w:sz w:val="20"/>
                <w:szCs w:val="20"/>
              </w:rPr>
            </w:pPr>
            <w:r w:rsidRPr="0048390E">
              <w:rPr>
                <w:sz w:val="20"/>
                <w:szCs w:val="20"/>
              </w:rPr>
              <w:t>Concentration of SLS</w:t>
            </w:r>
            <w:r w:rsidRPr="0048390E">
              <w:rPr>
                <w:sz w:val="20"/>
                <w:szCs w:val="20"/>
                <w:vertAlign w:val="superscript"/>
              </w:rPr>
              <w:t xml:space="preserve">* </w:t>
            </w:r>
            <w:r w:rsidRPr="0048390E">
              <w:rPr>
                <w:sz w:val="20"/>
                <w:szCs w:val="20"/>
              </w:rPr>
              <w:t>(mg)</w:t>
            </w:r>
          </w:p>
        </w:tc>
        <w:tc>
          <w:tcPr>
            <w:tcW w:w="117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0.5473</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1.54</w:t>
            </w:r>
          </w:p>
        </w:tc>
        <w:tc>
          <w:tcPr>
            <w:tcW w:w="101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0.5495</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2.26</w:t>
            </w:r>
          </w:p>
        </w:tc>
        <w:tc>
          <w:tcPr>
            <w:tcW w:w="90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0.4530</w:t>
            </w:r>
          </w:p>
        </w:tc>
        <w:tc>
          <w:tcPr>
            <w:tcW w:w="1440" w:type="dxa"/>
            <w:vAlign w:val="center"/>
            <w:hideMark/>
          </w:tcPr>
          <w:p w:rsidR="00B67FE6" w:rsidRPr="0048390E" w:rsidRDefault="00B67FE6" w:rsidP="00B67FE6">
            <w:pPr>
              <w:spacing w:line="360" w:lineRule="auto"/>
              <w:jc w:val="center"/>
              <w:rPr>
                <w:sz w:val="20"/>
                <w:szCs w:val="20"/>
              </w:rPr>
            </w:pPr>
            <w:r w:rsidRPr="0048390E">
              <w:rPr>
                <w:sz w:val="20"/>
                <w:szCs w:val="20"/>
              </w:rPr>
              <w:t>0.70</w:t>
            </w:r>
          </w:p>
        </w:tc>
      </w:tr>
      <w:tr w:rsidR="00B67FE6" w:rsidRPr="0048390E" w:rsidTr="00B67FE6">
        <w:trPr>
          <w:trHeight w:val="483"/>
          <w:jc w:val="center"/>
        </w:trPr>
        <w:tc>
          <w:tcPr>
            <w:tcW w:w="400" w:type="dxa"/>
            <w:vAlign w:val="center"/>
            <w:hideMark/>
          </w:tcPr>
          <w:p w:rsidR="00B67FE6" w:rsidRPr="0048390E" w:rsidRDefault="00B67FE6" w:rsidP="00B67FE6">
            <w:pPr>
              <w:spacing w:line="360" w:lineRule="auto"/>
              <w:jc w:val="center"/>
              <w:rPr>
                <w:sz w:val="20"/>
                <w:szCs w:val="20"/>
              </w:rPr>
            </w:pPr>
            <w:r w:rsidRPr="0048390E">
              <w:rPr>
                <w:sz w:val="20"/>
                <w:szCs w:val="20"/>
              </w:rPr>
              <w:t>G</w:t>
            </w:r>
          </w:p>
        </w:tc>
        <w:tc>
          <w:tcPr>
            <w:tcW w:w="270" w:type="dxa"/>
            <w:vAlign w:val="center"/>
          </w:tcPr>
          <w:p w:rsidR="00B67FE6" w:rsidRDefault="00B67FE6" w:rsidP="00B67FE6">
            <w:pPr>
              <w:jc w:val="center"/>
            </w:pPr>
            <w:r w:rsidRPr="00F32DE6">
              <w:rPr>
                <w:sz w:val="20"/>
                <w:szCs w:val="20"/>
                <w:lang w:eastAsia="en-IN"/>
              </w:rPr>
              <w:t>:</w:t>
            </w:r>
          </w:p>
        </w:tc>
        <w:tc>
          <w:tcPr>
            <w:tcW w:w="2410" w:type="dxa"/>
            <w:vAlign w:val="center"/>
            <w:hideMark/>
          </w:tcPr>
          <w:p w:rsidR="00B67FE6" w:rsidRPr="0048390E" w:rsidRDefault="00B67FE6" w:rsidP="00B67FE6">
            <w:pPr>
              <w:spacing w:line="360" w:lineRule="auto"/>
              <w:jc w:val="center"/>
              <w:rPr>
                <w:sz w:val="20"/>
                <w:szCs w:val="20"/>
              </w:rPr>
            </w:pPr>
            <w:r w:rsidRPr="0048390E">
              <w:rPr>
                <w:sz w:val="20"/>
                <w:szCs w:val="20"/>
              </w:rPr>
              <w:t>Concentration of Tween 80</w:t>
            </w:r>
            <w:r w:rsidRPr="0048390E">
              <w:rPr>
                <w:sz w:val="20"/>
                <w:szCs w:val="20"/>
                <w:vertAlign w:val="superscript"/>
              </w:rPr>
              <w:t xml:space="preserve"> </w:t>
            </w:r>
            <w:r w:rsidRPr="0048390E">
              <w:rPr>
                <w:sz w:val="20"/>
                <w:szCs w:val="20"/>
              </w:rPr>
              <w:t>(mg)</w:t>
            </w:r>
          </w:p>
        </w:tc>
        <w:tc>
          <w:tcPr>
            <w:tcW w:w="117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0.0594</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29.56</w:t>
            </w:r>
          </w:p>
        </w:tc>
        <w:tc>
          <w:tcPr>
            <w:tcW w:w="101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0.4109</w:t>
            </w:r>
          </w:p>
        </w:tc>
        <w:tc>
          <w:tcPr>
            <w:tcW w:w="1350" w:type="dxa"/>
            <w:vAlign w:val="center"/>
            <w:hideMark/>
          </w:tcPr>
          <w:p w:rsidR="00B67FE6" w:rsidRPr="0048390E" w:rsidRDefault="00B67FE6" w:rsidP="00B67FE6">
            <w:pPr>
              <w:spacing w:line="360" w:lineRule="auto"/>
              <w:jc w:val="center"/>
              <w:rPr>
                <w:sz w:val="20"/>
                <w:szCs w:val="20"/>
              </w:rPr>
            </w:pPr>
            <w:r w:rsidRPr="0048390E">
              <w:rPr>
                <w:sz w:val="20"/>
                <w:szCs w:val="20"/>
              </w:rPr>
              <w:t>4.53</w:t>
            </w:r>
          </w:p>
        </w:tc>
        <w:tc>
          <w:tcPr>
            <w:tcW w:w="900" w:type="dxa"/>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0.6842</w:t>
            </w:r>
          </w:p>
        </w:tc>
        <w:tc>
          <w:tcPr>
            <w:tcW w:w="1440" w:type="dxa"/>
            <w:vAlign w:val="center"/>
            <w:hideMark/>
          </w:tcPr>
          <w:p w:rsidR="00B67FE6" w:rsidRPr="0048390E" w:rsidRDefault="00B67FE6" w:rsidP="00B67FE6">
            <w:pPr>
              <w:spacing w:line="360" w:lineRule="auto"/>
              <w:jc w:val="center"/>
              <w:rPr>
                <w:sz w:val="20"/>
                <w:szCs w:val="20"/>
              </w:rPr>
            </w:pPr>
            <w:r w:rsidRPr="0048390E">
              <w:rPr>
                <w:sz w:val="20"/>
                <w:szCs w:val="20"/>
              </w:rPr>
              <w:t>8.96</w:t>
            </w:r>
          </w:p>
        </w:tc>
      </w:tr>
      <w:tr w:rsidR="00B67FE6" w:rsidRPr="0048390E" w:rsidTr="00B67FE6">
        <w:trPr>
          <w:trHeight w:val="782"/>
          <w:jc w:val="center"/>
        </w:trPr>
        <w:tc>
          <w:tcPr>
            <w:tcW w:w="400" w:type="dxa"/>
            <w:tcBorders>
              <w:bottom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H</w:t>
            </w:r>
          </w:p>
        </w:tc>
        <w:tc>
          <w:tcPr>
            <w:tcW w:w="270" w:type="dxa"/>
            <w:tcBorders>
              <w:bottom w:val="single" w:sz="4" w:space="0" w:color="auto"/>
            </w:tcBorders>
            <w:vAlign w:val="center"/>
          </w:tcPr>
          <w:p w:rsidR="00B67FE6" w:rsidRDefault="00B67FE6" w:rsidP="00B67FE6">
            <w:pPr>
              <w:jc w:val="center"/>
            </w:pPr>
            <w:r w:rsidRPr="00F32DE6">
              <w:rPr>
                <w:sz w:val="20"/>
                <w:szCs w:val="20"/>
                <w:lang w:eastAsia="en-IN"/>
              </w:rPr>
              <w:t>:</w:t>
            </w:r>
          </w:p>
        </w:tc>
        <w:tc>
          <w:tcPr>
            <w:tcW w:w="2410" w:type="dxa"/>
            <w:tcBorders>
              <w:bottom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Concentration of Methotrexate</w:t>
            </w:r>
            <w:r w:rsidRPr="0048390E">
              <w:rPr>
                <w:sz w:val="20"/>
                <w:szCs w:val="20"/>
                <w:vertAlign w:val="superscript"/>
              </w:rPr>
              <w:t>*</w:t>
            </w:r>
            <w:r w:rsidRPr="0048390E">
              <w:rPr>
                <w:sz w:val="20"/>
                <w:szCs w:val="20"/>
              </w:rPr>
              <w:t xml:space="preserve"> (mg)</w:t>
            </w:r>
          </w:p>
        </w:tc>
        <w:tc>
          <w:tcPr>
            <w:tcW w:w="1170" w:type="dxa"/>
            <w:tcBorders>
              <w:bottom w:val="single" w:sz="4" w:space="0" w:color="auto"/>
            </w:tcBorders>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0.8361</w:t>
            </w:r>
          </w:p>
        </w:tc>
        <w:tc>
          <w:tcPr>
            <w:tcW w:w="1350" w:type="dxa"/>
            <w:tcBorders>
              <w:bottom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0.17</w:t>
            </w:r>
          </w:p>
        </w:tc>
        <w:tc>
          <w:tcPr>
            <w:tcW w:w="1010" w:type="dxa"/>
            <w:tcBorders>
              <w:bottom w:val="single" w:sz="4" w:space="0" w:color="auto"/>
            </w:tcBorders>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0.6175</w:t>
            </w:r>
          </w:p>
        </w:tc>
        <w:tc>
          <w:tcPr>
            <w:tcW w:w="1350" w:type="dxa"/>
            <w:tcBorders>
              <w:bottom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1.54</w:t>
            </w:r>
          </w:p>
        </w:tc>
        <w:tc>
          <w:tcPr>
            <w:tcW w:w="900" w:type="dxa"/>
            <w:tcBorders>
              <w:bottom w:val="single" w:sz="4" w:space="0" w:color="auto"/>
            </w:tcBorders>
            <w:vAlign w:val="center"/>
            <w:hideMark/>
          </w:tcPr>
          <w:p w:rsidR="00B67FE6" w:rsidRPr="0048390E" w:rsidRDefault="00B67FE6" w:rsidP="00B67FE6">
            <w:pPr>
              <w:spacing w:line="360" w:lineRule="auto"/>
              <w:jc w:val="center"/>
              <w:rPr>
                <w:iCs/>
                <w:sz w:val="20"/>
                <w:szCs w:val="20"/>
                <w:lang w:eastAsia="en-IN"/>
              </w:rPr>
            </w:pPr>
            <w:r w:rsidRPr="0048390E">
              <w:rPr>
                <w:iCs/>
                <w:sz w:val="20"/>
                <w:szCs w:val="20"/>
                <w:lang w:eastAsia="en-IN"/>
              </w:rPr>
              <w:t>0.9141</w:t>
            </w:r>
          </w:p>
        </w:tc>
        <w:tc>
          <w:tcPr>
            <w:tcW w:w="1440" w:type="dxa"/>
            <w:tcBorders>
              <w:bottom w:val="single" w:sz="4" w:space="0" w:color="auto"/>
            </w:tcBorders>
            <w:vAlign w:val="center"/>
            <w:hideMark/>
          </w:tcPr>
          <w:p w:rsidR="00B67FE6" w:rsidRPr="0048390E" w:rsidRDefault="00B67FE6" w:rsidP="00B67FE6">
            <w:pPr>
              <w:spacing w:line="360" w:lineRule="auto"/>
              <w:jc w:val="center"/>
              <w:rPr>
                <w:sz w:val="20"/>
                <w:szCs w:val="20"/>
              </w:rPr>
            </w:pPr>
            <w:r w:rsidRPr="0048390E">
              <w:rPr>
                <w:sz w:val="20"/>
                <w:szCs w:val="20"/>
              </w:rPr>
              <w:t>0.16</w:t>
            </w:r>
          </w:p>
        </w:tc>
      </w:tr>
      <w:tr w:rsidR="00B67FE6" w:rsidRPr="0048390E" w:rsidTr="00B67FE6">
        <w:trPr>
          <w:trHeight w:val="422"/>
          <w:jc w:val="center"/>
        </w:trPr>
        <w:tc>
          <w:tcPr>
            <w:tcW w:w="10300" w:type="dxa"/>
            <w:gridSpan w:val="9"/>
            <w:tcBorders>
              <w:top w:val="single" w:sz="4" w:space="0" w:color="auto"/>
            </w:tcBorders>
          </w:tcPr>
          <w:p w:rsidR="00B67FE6" w:rsidRPr="0048390E" w:rsidRDefault="00B67FE6" w:rsidP="00F57FE9">
            <w:pPr>
              <w:spacing w:line="360" w:lineRule="auto"/>
              <w:jc w:val="center"/>
              <w:rPr>
                <w:bCs/>
                <w:iCs/>
                <w:sz w:val="20"/>
                <w:szCs w:val="20"/>
              </w:rPr>
            </w:pPr>
            <w:proofErr w:type="gramStart"/>
            <w:r w:rsidRPr="0048390E">
              <w:rPr>
                <w:bCs/>
                <w:iCs/>
                <w:sz w:val="20"/>
                <w:szCs w:val="20"/>
              </w:rPr>
              <w:t>*Not included in a model of particle size, drug content, and entrapment efficiency.</w:t>
            </w:r>
            <w:proofErr w:type="gramEnd"/>
          </w:p>
        </w:tc>
      </w:tr>
    </w:tbl>
    <w:p w:rsidR="00FD4D29" w:rsidRPr="00F57FE9" w:rsidRDefault="009720C1" w:rsidP="009720C1">
      <w:pPr>
        <w:spacing w:line="360" w:lineRule="auto"/>
        <w:rPr>
          <w:i/>
        </w:rPr>
      </w:pPr>
      <w:r w:rsidRPr="00703DC7">
        <w:rPr>
          <w:i/>
          <w:noProof/>
        </w:rPr>
        <w:drawing>
          <wp:inline distT="0" distB="0" distL="0" distR="0">
            <wp:extent cx="5760720" cy="4689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4689816"/>
                    </a:xfrm>
                    <a:prstGeom prst="rect">
                      <a:avLst/>
                    </a:prstGeom>
                  </pic:spPr>
                </pic:pic>
              </a:graphicData>
            </a:graphic>
          </wp:inline>
        </w:drawing>
      </w:r>
    </w:p>
    <w:p w:rsidR="00505FD5" w:rsidRDefault="003527E6" w:rsidP="00505FD5">
      <w:pPr>
        <w:spacing w:line="360" w:lineRule="auto"/>
        <w:jc w:val="both"/>
      </w:pPr>
      <w:r w:rsidRPr="00ED7E65">
        <w:rPr>
          <w:b/>
          <w:bCs/>
        </w:rPr>
        <w:t>Figure 3:</w:t>
      </w:r>
      <w:r w:rsidRPr="00F57FE9">
        <w:t xml:space="preserve"> </w:t>
      </w:r>
      <w:r w:rsidR="00505FD5" w:rsidRPr="000F5507">
        <w:t xml:space="preserve">The half-normal plot and Pareto charts showing the significant process and formulation variables on </w:t>
      </w:r>
      <w:r w:rsidR="00505FD5">
        <w:t xml:space="preserve">drug content, </w:t>
      </w:r>
      <w:r w:rsidR="00505FD5" w:rsidRPr="000F5507">
        <w:t>entrapment efficiency</w:t>
      </w:r>
      <w:r w:rsidR="00C86857">
        <w:t>,</w:t>
      </w:r>
      <w:r w:rsidR="00505FD5" w:rsidRPr="00F57FE9">
        <w:t xml:space="preserve"> </w:t>
      </w:r>
      <w:r w:rsidR="00505FD5">
        <w:t xml:space="preserve">and </w:t>
      </w:r>
      <w:r w:rsidR="00505FD5" w:rsidRPr="000F5507">
        <w:t xml:space="preserve">particle </w:t>
      </w:r>
      <w:r w:rsidR="00505FD5">
        <w:t>size.</w:t>
      </w:r>
    </w:p>
    <w:p w:rsidR="003527E6" w:rsidRPr="00F57FE9" w:rsidRDefault="00CD00CB" w:rsidP="00505FD5">
      <w:pPr>
        <w:spacing w:line="360" w:lineRule="auto"/>
        <w:jc w:val="both"/>
      </w:pPr>
      <w:r w:rsidRPr="00F57FE9">
        <w:t>Following polynomial equation 7</w:t>
      </w:r>
      <w:r w:rsidR="003527E6" w:rsidRPr="00F57FE9">
        <w:t xml:space="preserve"> can describe Y1, </w:t>
      </w:r>
    </w:p>
    <w:p w:rsidR="003527E6" w:rsidRPr="00F57FE9" w:rsidRDefault="003527E6" w:rsidP="00F57FE9">
      <w:pPr>
        <w:spacing w:line="360" w:lineRule="auto"/>
        <w:rPr>
          <w:lang w:eastAsia="en-IN"/>
        </w:rPr>
      </w:pPr>
      <w:r w:rsidRPr="00F57FE9">
        <w:rPr>
          <w:lang w:eastAsia="en-IN"/>
        </w:rPr>
        <w:t xml:space="preserve">Particle size = +187.17-14.17*A+1.33*B-1.00*C+3.50*D -15.83*E+3.50* F+15.33* G-1.17* H                                                                                 </w:t>
      </w:r>
      <w:r w:rsidRPr="00F57FE9">
        <w:rPr>
          <w:i/>
          <w:lang w:eastAsia="en-IN"/>
        </w:rPr>
        <w:t>Eq</w:t>
      </w:r>
      <w:r w:rsidRPr="00F57FE9">
        <w:rPr>
          <w:lang w:eastAsia="en-IN"/>
        </w:rPr>
        <w:t xml:space="preserve">. </w:t>
      </w:r>
      <w:r w:rsidR="00F426AA" w:rsidRPr="00F57FE9">
        <w:rPr>
          <w:lang w:eastAsia="en-IN"/>
        </w:rPr>
        <w:t>7</w:t>
      </w:r>
      <w:r w:rsidRPr="00F57FE9">
        <w:rPr>
          <w:lang w:eastAsia="en-IN"/>
        </w:rPr>
        <w:t xml:space="preserve">                                                                                                                                                  </w:t>
      </w:r>
    </w:p>
    <w:p w:rsidR="003527E6" w:rsidRPr="00F57FE9" w:rsidRDefault="003527E6" w:rsidP="00F57FE9">
      <w:pPr>
        <w:spacing w:line="360" w:lineRule="auto"/>
        <w:jc w:val="both"/>
      </w:pPr>
      <w:r w:rsidRPr="00F57FE9">
        <w:lastRenderedPageBreak/>
        <w:t xml:space="preserve">The equation represents, with an increase in the concentration of SLS and concentration of tween 80, there is an increase in average particle size, while increasing </w:t>
      </w:r>
      <w:r w:rsidR="00C86857">
        <w:t xml:space="preserve">the </w:t>
      </w:r>
      <w:r w:rsidRPr="00F57FE9">
        <w:t xml:space="preserve">concentration of poloxamer 188, decreases the average particle size (Y1). Particle size also decreases with an increasing speed of homogenizer and pressure of high-pressure homogenizer, with increasing MTX concentration. The decreased size of particles </w:t>
      </w:r>
      <w:proofErr w:type="gramStart"/>
      <w:r w:rsidRPr="00F57FE9">
        <w:t>is also seen</w:t>
      </w:r>
      <w:proofErr w:type="gramEnd"/>
      <w:r w:rsidRPr="00F57FE9">
        <w:t xml:space="preserve"> with the increasing time of homogenizer and the number of cycles of HPH. Thus, from all the process variables, the percentage contribution for average particle size is a concentration of tween 80 (29.56 %), the concentration of poloxamer 188 (31.52 %), and the speed of homogenizer (25.23 %), respectively. The smallest particle of 141 nm could be achi</w:t>
      </w:r>
      <w:r w:rsidR="00F426AA" w:rsidRPr="00F57FE9">
        <w:t>eved by experimenting using 0.5</w:t>
      </w:r>
      <w:r w:rsidRPr="00F57FE9">
        <w:t xml:space="preserve"> mL of tween 80, 75 mg of poloxamer 188 at </w:t>
      </w:r>
      <w:proofErr w:type="gramStart"/>
      <w:r w:rsidRPr="00F57FE9">
        <w:t>8000 rpm</w:t>
      </w:r>
      <w:proofErr w:type="gramEnd"/>
      <w:r w:rsidRPr="00F57FE9">
        <w:t xml:space="preserve"> speed.</w:t>
      </w:r>
    </w:p>
    <w:p w:rsidR="003527E6" w:rsidRPr="00F57FE9" w:rsidRDefault="003527E6" w:rsidP="00F57FE9">
      <w:pPr>
        <w:spacing w:line="360" w:lineRule="auto"/>
        <w:jc w:val="both"/>
      </w:pPr>
      <w:r w:rsidRPr="00F57FE9">
        <w:t xml:space="preserve">For the DC (Y2), the most contributed and significant factors were the time of homogenizer (X2), the number of cycles (X4), and the concentration of poloxamer 188 (X5), </w:t>
      </w:r>
      <w:r w:rsidR="00ED7E65">
        <w:t>respectively (Table 5) (Figure 3</w:t>
      </w:r>
      <w:r w:rsidRPr="00F57FE9">
        <w:t>).  The R</w:t>
      </w:r>
      <w:r w:rsidRPr="00F57FE9">
        <w:rPr>
          <w:vertAlign w:val="superscript"/>
        </w:rPr>
        <w:t>2</w:t>
      </w:r>
      <w:r w:rsidRPr="00F57FE9">
        <w:t xml:space="preserve"> value was </w:t>
      </w:r>
      <w:r w:rsidRPr="00F57FE9">
        <w:rPr>
          <w:lang w:eastAsia="en-IN"/>
        </w:rPr>
        <w:t xml:space="preserve">0.8502 </w:t>
      </w:r>
      <w:r w:rsidRPr="00F57FE9">
        <w:t xml:space="preserve">indicating a significant ﬁt for the model </w:t>
      </w:r>
      <w:proofErr w:type="gramStart"/>
      <w:r w:rsidRPr="00F57FE9">
        <w:t>being tested</w:t>
      </w:r>
      <w:proofErr w:type="gramEnd"/>
      <w:r w:rsidRPr="00F57FE9">
        <w:t xml:space="preserve">. From ANOVA the </w:t>
      </w:r>
      <w:r w:rsidRPr="00F57FE9">
        <w:rPr>
          <w:i/>
        </w:rPr>
        <w:t>p</w:t>
      </w:r>
      <w:r w:rsidRPr="00F57FE9">
        <w:t xml:space="preserve">-value for main effects obtained was </w:t>
      </w:r>
      <w:r w:rsidRPr="00F57FE9">
        <w:rPr>
          <w:lang w:eastAsia="en-IN"/>
        </w:rPr>
        <w:t>0.2884</w:t>
      </w:r>
      <w:r w:rsidRPr="00F57FE9">
        <w:t xml:space="preserve">, which was not statistically signiﬁcant. Hence, CCD </w:t>
      </w:r>
      <w:proofErr w:type="gramStart"/>
      <w:r w:rsidRPr="00F57FE9">
        <w:t>was used</w:t>
      </w:r>
      <w:proofErr w:type="gramEnd"/>
      <w:r w:rsidRPr="00F57FE9">
        <w:t xml:space="preserve"> for further signiﬁcant factors evaluation. DC has a chief part in a therapeutic activity at a given dose of MTX in NS.</w:t>
      </w:r>
    </w:p>
    <w:p w:rsidR="003527E6" w:rsidRPr="00F57FE9" w:rsidRDefault="00F426AA" w:rsidP="00F57FE9">
      <w:pPr>
        <w:spacing w:line="360" w:lineRule="auto"/>
        <w:jc w:val="both"/>
      </w:pPr>
      <w:r w:rsidRPr="00F57FE9">
        <w:t>Following polynomial equation 8</w:t>
      </w:r>
      <w:r w:rsidR="003527E6" w:rsidRPr="00F57FE9">
        <w:t xml:space="preserve"> describes Y2, </w:t>
      </w:r>
    </w:p>
    <w:p w:rsidR="003527E6" w:rsidRPr="00F57FE9" w:rsidRDefault="003527E6" w:rsidP="00F57FE9">
      <w:pPr>
        <w:shd w:val="clear" w:color="auto" w:fill="FFFFFF"/>
        <w:spacing w:line="360" w:lineRule="auto"/>
        <w:rPr>
          <w:lang w:eastAsia="en-IN"/>
        </w:rPr>
      </w:pPr>
      <w:r w:rsidRPr="00F57FE9">
        <w:t>DC</w:t>
      </w:r>
      <w:r w:rsidRPr="00F57FE9">
        <w:rPr>
          <w:lang w:eastAsia="en-IN"/>
        </w:rPr>
        <w:t xml:space="preserve"> = +86.58+ 2.18*A+2.31*B-1.30*C +2.74*D-2.67*E -0.88*F-1.25*G+ 0.73*H              </w:t>
      </w:r>
      <w:r w:rsidR="00F426AA" w:rsidRPr="00F57FE9">
        <w:rPr>
          <w:i/>
          <w:iCs/>
          <w:lang w:eastAsia="en-IN"/>
        </w:rPr>
        <w:t>Eq. 8</w:t>
      </w:r>
      <w:r w:rsidRPr="00F57FE9">
        <w:rPr>
          <w:lang w:eastAsia="en-IN"/>
        </w:rPr>
        <w:t xml:space="preserve">                               </w:t>
      </w:r>
    </w:p>
    <w:p w:rsidR="003527E6" w:rsidRPr="00F57FE9" w:rsidRDefault="003527E6" w:rsidP="00F57FE9">
      <w:pPr>
        <w:shd w:val="clear" w:color="auto" w:fill="FFFFFF"/>
        <w:spacing w:line="360" w:lineRule="auto"/>
        <w:jc w:val="both"/>
      </w:pPr>
      <w:r w:rsidRPr="00F57FE9">
        <w:t xml:space="preserve">Polynomial equation </w:t>
      </w:r>
      <w:r w:rsidR="000247D6" w:rsidRPr="00F57FE9">
        <w:t>8</w:t>
      </w:r>
      <w:r w:rsidRPr="00F57FE9">
        <w:t xml:space="preserve"> represents that, DC (Y2) </w:t>
      </w:r>
      <w:proofErr w:type="gramStart"/>
      <w:r w:rsidRPr="00F57FE9">
        <w:t>was increased</w:t>
      </w:r>
      <w:proofErr w:type="gramEnd"/>
      <w:r w:rsidRPr="00F57FE9">
        <w:t xml:space="preserve"> with increasing concentration of MTX and speed of homogenizer, while it decreases with an increasing concentratio</w:t>
      </w:r>
      <w:r w:rsidR="000247D6" w:rsidRPr="00F57FE9">
        <w:t>n of p</w:t>
      </w:r>
      <w:r w:rsidRPr="00F57FE9">
        <w:t>oloxamer 188, SLS, and tween 80, respectively. It also increases with an increasing number of HPH</w:t>
      </w:r>
      <w:r w:rsidR="000247D6" w:rsidRPr="00F57FE9">
        <w:t xml:space="preserve"> </w:t>
      </w:r>
      <w:r w:rsidR="00ED7E65" w:rsidRPr="00F57FE9">
        <w:t>cycles and</w:t>
      </w:r>
      <w:r w:rsidRPr="00F57FE9">
        <w:t xml:space="preserve"> time of homogenizer. DC also decreases with the increasing pressure of HPH. From all the process variables, the % contribution of a time of homogenizer (15.52 %), number of cycles (</w:t>
      </w:r>
      <w:r w:rsidR="000247D6" w:rsidRPr="00F57FE9">
        <w:t>21.72 %), and concentration of p</w:t>
      </w:r>
      <w:r w:rsidRPr="00F57FE9">
        <w:t>oloxamer 188 (20.80 %) influence</w:t>
      </w:r>
      <w:r w:rsidR="000247D6" w:rsidRPr="00F57FE9">
        <w:t>s</w:t>
      </w:r>
      <w:r w:rsidRPr="00F57FE9">
        <w:t xml:space="preserve"> DC, respectively. Thus, to achieve 97.50 % of DC in MTX-NS </w:t>
      </w:r>
      <w:proofErr w:type="gramStart"/>
      <w:r w:rsidRPr="00F57FE9">
        <w:t>could be achieved</w:t>
      </w:r>
      <w:proofErr w:type="gramEnd"/>
      <w:r w:rsidRPr="00F57FE9">
        <w:t xml:space="preserve"> b</w:t>
      </w:r>
      <w:r w:rsidR="000247D6" w:rsidRPr="00F57FE9">
        <w:t>y experimenting using 50 mg of p</w:t>
      </w:r>
      <w:r w:rsidRPr="00F57FE9">
        <w:t>oloxamer 188 for 45 min homogenization at 25 cycles of HPH.</w:t>
      </w:r>
    </w:p>
    <w:p w:rsidR="003527E6" w:rsidRPr="00F57FE9" w:rsidRDefault="003527E6" w:rsidP="00F57FE9">
      <w:pPr>
        <w:shd w:val="clear" w:color="auto" w:fill="FFFFFF"/>
        <w:spacing w:line="360" w:lineRule="auto"/>
        <w:jc w:val="both"/>
      </w:pPr>
      <w:r w:rsidRPr="00F57FE9">
        <w:t>For the EE (Y3), the most contributed and significant factors were the number of cycles of HPH (X4), the concentration of tween 80 (X7), and the concentration of poloxamer 188 (X5),</w:t>
      </w:r>
      <w:r w:rsidR="00ED7E65">
        <w:t xml:space="preserve"> respectively (Table 5, Figure 3</w:t>
      </w:r>
      <w:r w:rsidRPr="00F57FE9">
        <w:t>). The R</w:t>
      </w:r>
      <w:r w:rsidRPr="00F57FE9">
        <w:rPr>
          <w:vertAlign w:val="superscript"/>
        </w:rPr>
        <w:t>2</w:t>
      </w:r>
      <w:r w:rsidRPr="00F57FE9">
        <w:t xml:space="preserve"> value was </w:t>
      </w:r>
      <w:r w:rsidRPr="00F57FE9">
        <w:rPr>
          <w:lang w:eastAsia="en-IN"/>
        </w:rPr>
        <w:t xml:space="preserve">0.6540 </w:t>
      </w:r>
      <w:r w:rsidRPr="00F57FE9">
        <w:t xml:space="preserve">indicating a significant ﬁt for the model </w:t>
      </w:r>
      <w:proofErr w:type="gramStart"/>
      <w:r w:rsidRPr="00F57FE9">
        <w:t>being tested</w:t>
      </w:r>
      <w:proofErr w:type="gramEnd"/>
      <w:r w:rsidRPr="00F57FE9">
        <w:t xml:space="preserve">. From ANOVA the p-value for main effects obtained was </w:t>
      </w:r>
      <w:r w:rsidRPr="00F57FE9">
        <w:rPr>
          <w:lang w:eastAsia="en-IN"/>
        </w:rPr>
        <w:t>0.6909</w:t>
      </w:r>
      <w:r w:rsidRPr="00F57FE9">
        <w:t xml:space="preserve">, which was </w:t>
      </w:r>
      <w:r w:rsidRPr="00F57FE9">
        <w:lastRenderedPageBreak/>
        <w:t xml:space="preserve">statistically not signiﬁcant. Hence, CCD </w:t>
      </w:r>
      <w:proofErr w:type="gramStart"/>
      <w:r w:rsidRPr="00F57FE9">
        <w:t>was used</w:t>
      </w:r>
      <w:proofErr w:type="gramEnd"/>
      <w:r w:rsidRPr="00F57FE9">
        <w:t xml:space="preserve"> for further evaluation of signiﬁcant factors. Percent EE has a chief part in </w:t>
      </w:r>
      <w:r w:rsidR="00A7040A" w:rsidRPr="00F57FE9">
        <w:t xml:space="preserve">the </w:t>
      </w:r>
      <w:r w:rsidRPr="00F57FE9">
        <w:t>entrapment of MTX in stabilizer vesicles to stabilize NS.</w:t>
      </w:r>
    </w:p>
    <w:p w:rsidR="003527E6" w:rsidRPr="00F57FE9" w:rsidRDefault="000247D6" w:rsidP="00F57FE9">
      <w:pPr>
        <w:spacing w:line="360" w:lineRule="auto"/>
        <w:jc w:val="both"/>
      </w:pPr>
      <w:r w:rsidRPr="00F57FE9">
        <w:t>Following polynomial equation 9</w:t>
      </w:r>
      <w:r w:rsidR="003527E6" w:rsidRPr="00F57FE9">
        <w:t xml:space="preserve"> can describe Y3, </w:t>
      </w:r>
    </w:p>
    <w:p w:rsidR="003527E6" w:rsidRPr="00F57FE9" w:rsidRDefault="003527E6" w:rsidP="00F57FE9">
      <w:pPr>
        <w:spacing w:line="360" w:lineRule="auto"/>
        <w:rPr>
          <w:lang w:eastAsia="en-IN"/>
        </w:rPr>
      </w:pPr>
      <w:r w:rsidRPr="00F57FE9">
        <w:rPr>
          <w:lang w:eastAsia="en-IN"/>
        </w:rPr>
        <w:t xml:space="preserve"> Percent EE=   +79.72-1.92*A-0.42*B+0.90*C + 0.38*D-0.25*E-0.87*F +0.45 *G-0.12*H </w:t>
      </w:r>
    </w:p>
    <w:p w:rsidR="003527E6" w:rsidRPr="00F57FE9" w:rsidRDefault="003527E6" w:rsidP="00F57FE9">
      <w:pPr>
        <w:spacing w:line="360" w:lineRule="auto"/>
        <w:rPr>
          <w:lang w:eastAsia="en-IN"/>
        </w:rPr>
      </w:pPr>
      <w:proofErr w:type="gramStart"/>
      <w:r w:rsidRPr="00F57FE9">
        <w:rPr>
          <w:i/>
          <w:lang w:eastAsia="en-IN"/>
        </w:rPr>
        <w:t>Eq.</w:t>
      </w:r>
      <w:proofErr w:type="gramEnd"/>
      <w:r w:rsidRPr="00F57FE9">
        <w:rPr>
          <w:i/>
          <w:lang w:eastAsia="en-IN"/>
        </w:rPr>
        <w:t xml:space="preserve"> </w:t>
      </w:r>
      <w:r w:rsidR="000247D6" w:rsidRPr="00F57FE9">
        <w:rPr>
          <w:i/>
          <w:iCs/>
          <w:lang w:eastAsia="en-IN"/>
        </w:rPr>
        <w:t xml:space="preserve"> 9</w:t>
      </w:r>
    </w:p>
    <w:p w:rsidR="003527E6" w:rsidRPr="00F57FE9" w:rsidRDefault="00120E04" w:rsidP="00F57FE9">
      <w:pPr>
        <w:spacing w:line="360" w:lineRule="auto"/>
        <w:jc w:val="both"/>
      </w:pPr>
      <w:r w:rsidRPr="00F57FE9">
        <w:t>Polynomial equation 9</w:t>
      </w:r>
      <w:r w:rsidR="003527E6" w:rsidRPr="00F57FE9">
        <w:t xml:space="preserve"> represents that, EE (Y3) </w:t>
      </w:r>
      <w:proofErr w:type="gramStart"/>
      <w:r w:rsidR="003527E6" w:rsidRPr="00F57FE9">
        <w:t>was decreased</w:t>
      </w:r>
      <w:proofErr w:type="gramEnd"/>
      <w:r w:rsidR="003527E6" w:rsidRPr="00F57FE9">
        <w:t xml:space="preserve"> with an increasing speed of homogenizer, followed by increasing concentration of poloxamer 188 and SLS. It also decreases with the increasing time of homogenizer and MTX. It also increases with increasing pressure and the number of cycles of HPH, followed by tween 80 concentrations, respectively. From all the process variables, the </w:t>
      </w:r>
      <w:proofErr w:type="gramStart"/>
      <w:r w:rsidR="003527E6" w:rsidRPr="00F57FE9">
        <w:t>%</w:t>
      </w:r>
      <w:proofErr w:type="gramEnd"/>
      <w:r w:rsidR="003527E6" w:rsidRPr="00F57FE9">
        <w:t xml:space="preserve"> contribution of concentration of tween 80 (8.96 %), poloxamer 188 (8.53 %), and a number</w:t>
      </w:r>
      <w:r w:rsidR="00FA311B" w:rsidRPr="00F57FE9">
        <w:t xml:space="preserve"> of cycles for HPH (41.18 %)</w:t>
      </w:r>
      <w:r w:rsidR="003527E6" w:rsidRPr="00F57FE9">
        <w:t xml:space="preserve"> influenced EE, respectively. Thus, to achieve 85.09 % of EE in MTX-NS, experiments </w:t>
      </w:r>
      <w:proofErr w:type="gramStart"/>
      <w:r w:rsidR="003527E6" w:rsidRPr="00F57FE9">
        <w:t>can be performed</w:t>
      </w:r>
      <w:proofErr w:type="gramEnd"/>
      <w:r w:rsidR="003527E6" w:rsidRPr="00F57FE9">
        <w:t xml:space="preserve"> by using</w:t>
      </w:r>
      <w:r w:rsidR="00FA311B" w:rsidRPr="00F57FE9">
        <w:t xml:space="preserve"> 50 mg of poloxamer 188 and 0.5</w:t>
      </w:r>
      <w:r w:rsidR="003527E6" w:rsidRPr="00F57FE9">
        <w:t xml:space="preserve"> ml of tween 80 at 25 cycles of HPH.</w:t>
      </w:r>
    </w:p>
    <w:p w:rsidR="003527E6" w:rsidRPr="00F57FE9" w:rsidRDefault="003527E6" w:rsidP="00F57FE9">
      <w:pPr>
        <w:spacing w:line="360" w:lineRule="auto"/>
        <w:jc w:val="both"/>
        <w:rPr>
          <w:b/>
        </w:rPr>
      </w:pPr>
      <w:r w:rsidRPr="00F57FE9">
        <w:rPr>
          <w:b/>
        </w:rPr>
        <w:t xml:space="preserve">3.3.3. Optimization of MTX-NS by </w:t>
      </w:r>
      <w:r w:rsidR="009579C7" w:rsidRPr="00F57FE9">
        <w:rPr>
          <w:b/>
        </w:rPr>
        <w:t>central composite design</w:t>
      </w:r>
    </w:p>
    <w:p w:rsidR="003527E6" w:rsidRPr="00F57FE9" w:rsidRDefault="003527E6" w:rsidP="00F57FE9">
      <w:pPr>
        <w:spacing w:line="360" w:lineRule="auto"/>
        <w:jc w:val="both"/>
        <w:rPr>
          <w:b/>
        </w:rPr>
      </w:pPr>
      <w:r w:rsidRPr="00F57FE9">
        <w:rPr>
          <w:b/>
        </w:rPr>
        <w:t xml:space="preserve">3.3.3.1. Model fitting </w:t>
      </w:r>
    </w:p>
    <w:p w:rsidR="003527E6" w:rsidRPr="00F57FE9" w:rsidRDefault="003527E6" w:rsidP="00F57FE9">
      <w:pPr>
        <w:tabs>
          <w:tab w:val="left" w:pos="180"/>
          <w:tab w:val="left" w:pos="1722"/>
          <w:tab w:val="left" w:pos="3265"/>
          <w:tab w:val="left" w:pos="4808"/>
          <w:tab w:val="left" w:pos="6351"/>
          <w:tab w:val="left" w:pos="7894"/>
          <w:tab w:val="left" w:pos="9437"/>
        </w:tabs>
        <w:autoSpaceDE w:val="0"/>
        <w:autoSpaceDN w:val="0"/>
        <w:adjustRightInd w:val="0"/>
        <w:spacing w:line="360" w:lineRule="auto"/>
        <w:jc w:val="both"/>
      </w:pPr>
      <w:r w:rsidRPr="00F57FE9">
        <w:t xml:space="preserve">By design of expert (DOE), 20 runs were proposed and the input of predicted and observed values for Y1, Y2, and Y3 responses range from 229.3 to 300.6 nm, </w:t>
      </w:r>
      <w:r w:rsidRPr="00F57FE9">
        <w:rPr>
          <w:lang w:eastAsia="en-IN"/>
        </w:rPr>
        <w:t xml:space="preserve">85.56 to 89.43 % and 99.02 to 99.96 </w:t>
      </w:r>
      <w:r w:rsidRPr="00F57FE9">
        <w:t>% respectively (Table 7). Using DOE software, the obtained responses were fitted to cubic, 2FI, quadratic and linear models. As the R</w:t>
      </w:r>
      <w:r w:rsidRPr="00F57FE9">
        <w:rPr>
          <w:vertAlign w:val="superscript"/>
        </w:rPr>
        <w:t xml:space="preserve">2 </w:t>
      </w:r>
      <w:r w:rsidRPr="00F57FE9">
        <w:t>values</w:t>
      </w:r>
      <w:r w:rsidR="00C1442E" w:rsidRPr="00F57FE9">
        <w:t xml:space="preserve"> </w:t>
      </w:r>
      <w:r w:rsidRPr="00F57FE9">
        <w:t>were greater than 0.9, and both the predicted and observed</w:t>
      </w:r>
      <w:r w:rsidR="00C1442E" w:rsidRPr="00F57FE9">
        <w:t xml:space="preserve"> values</w:t>
      </w:r>
      <w:r w:rsidRPr="00F57FE9">
        <w:t xml:space="preserve"> were less comparable with standard deviations (SD) (&lt; 1.0 %) and precision</w:t>
      </w:r>
      <w:r w:rsidR="00C1442E" w:rsidRPr="00F57FE9">
        <w:t xml:space="preserve"> values</w:t>
      </w:r>
      <w:r w:rsidRPr="00F57FE9">
        <w:t xml:space="preserve">, the best-fitted model for Y1, Y2 and Y3 were quadratic </w:t>
      </w:r>
      <w:r w:rsidR="007163F6" w:rsidRPr="00F57FE9">
        <w:fldChar w:fldCharType="begin"/>
      </w:r>
      <w:r w:rsidR="00F57FE9" w:rsidRPr="00F57FE9">
        <w:instrText xml:space="preserve"> ADDIN EN.CITE &lt;EndNote&gt;&lt;Cite&gt;&lt;Author&gt;Yue&lt;/Author&gt;&lt;Year&gt;2012&lt;/Year&gt;&lt;RecNum&gt;38&lt;/RecNum&gt;&lt;DisplayText&gt;&lt;style face="superscript"&gt;25&lt;/style&gt;&lt;/DisplayText&gt;&lt;record&gt;&lt;rec-number&gt;38&lt;/rec-number&gt;&lt;foreign-keys&gt;&lt;key app="EN" db-id="sv2ef2t2hvz5asez0dnprs50e22was0afref" timestamp="1588934350"&gt;38&lt;/key&gt;&lt;/foreign-keys&gt;&lt;ref-type name="Journal Article"&gt;17&lt;/ref-type&gt;&lt;contributors&gt;&lt;authors&gt;&lt;author&gt;Yue, Peng-Fei&lt;/author&gt;&lt;author&gt;Zheng, Qin&lt;/author&gt;&lt;author&gt;Wu, Bin&lt;/author&gt;&lt;author&gt;Hu, Peng-Yi&lt;/author&gt;&lt;author&gt;Wu, Zhen-Feng&lt;/author&gt;&lt;author&gt;Yang, Ming&lt;/author&gt;&lt;/authors&gt;&lt;/contributors&gt;&lt;titles&gt;&lt;title&gt;Application of Plackett-Burman design and Box-Behnken design to achieve process optimization for Geniposide submicron emulsion&lt;/title&gt;&lt;secondary-title&gt;Journal of dispersion science and technology&lt;/secondary-title&gt;&lt;/titles&gt;&lt;periodical&gt;&lt;full-title&gt;Journal of dispersion science and technology&lt;/full-title&gt;&lt;/periodical&gt;&lt;pages&gt;213-222&lt;/pages&gt;&lt;volume&gt;33&lt;/volume&gt;&lt;number&gt;2&lt;/number&gt;&lt;dates&gt;&lt;year&gt;2012&lt;/year&gt;&lt;/dates&gt;&lt;isbn&gt;0193-2691&lt;/isbn&gt;&lt;urls&gt;&lt;/urls&gt;&lt;/record&gt;&lt;/Cite&gt;&lt;/EndNote&gt;</w:instrText>
      </w:r>
      <w:r w:rsidR="007163F6" w:rsidRPr="00F57FE9">
        <w:fldChar w:fldCharType="separate"/>
      </w:r>
      <w:r w:rsidR="00F57FE9" w:rsidRPr="00F57FE9">
        <w:rPr>
          <w:noProof/>
          <w:vertAlign w:val="superscript"/>
        </w:rPr>
        <w:t>25</w:t>
      </w:r>
      <w:r w:rsidR="007163F6" w:rsidRPr="00F57FE9">
        <w:fldChar w:fldCharType="end"/>
      </w:r>
      <w:r w:rsidRPr="00F57FE9">
        <w:t xml:space="preserve">. For each response, inputs for linear model parameters </w:t>
      </w:r>
      <w:proofErr w:type="gramStart"/>
      <w:r w:rsidRPr="00F57FE9">
        <w:t>are reported</w:t>
      </w:r>
      <w:proofErr w:type="gramEnd"/>
      <w:r w:rsidRPr="00F57FE9">
        <w:t xml:space="preserve"> in Table 8. As the ratios of maximum to minimum responses values were less than 10, transformation is not necessary (Y1 =</w:t>
      </w:r>
      <w:r w:rsidRPr="00F57FE9">
        <w:rPr>
          <w:lang w:eastAsia="en-IN"/>
        </w:rPr>
        <w:t>5.61</w:t>
      </w:r>
      <w:r w:rsidRPr="00F57FE9">
        <w:t xml:space="preserve">; Y2 = </w:t>
      </w:r>
      <w:r w:rsidRPr="00F57FE9">
        <w:rPr>
          <w:lang w:eastAsia="en-IN"/>
        </w:rPr>
        <w:t>2.46</w:t>
      </w:r>
      <w:r w:rsidRPr="00F57FE9">
        <w:t xml:space="preserve">; Y3 = </w:t>
      </w:r>
      <w:r w:rsidRPr="00F57FE9">
        <w:rPr>
          <w:lang w:eastAsia="en-IN"/>
        </w:rPr>
        <w:t>8.22</w:t>
      </w:r>
      <w:r w:rsidRPr="00F57FE9">
        <w:t xml:space="preserve">). </w:t>
      </w:r>
    </w:p>
    <w:p w:rsidR="00FD4D29" w:rsidRPr="00F57FE9" w:rsidRDefault="003527E6" w:rsidP="00C4364D">
      <w:pPr>
        <w:tabs>
          <w:tab w:val="left" w:pos="180"/>
          <w:tab w:val="left" w:pos="1722"/>
          <w:tab w:val="left" w:pos="3265"/>
          <w:tab w:val="left" w:pos="4808"/>
          <w:tab w:val="left" w:pos="6351"/>
          <w:tab w:val="left" w:pos="7894"/>
          <w:tab w:val="left" w:pos="9437"/>
        </w:tabs>
        <w:autoSpaceDE w:val="0"/>
        <w:autoSpaceDN w:val="0"/>
        <w:adjustRightInd w:val="0"/>
        <w:spacing w:line="360" w:lineRule="auto"/>
      </w:pPr>
      <w:proofErr w:type="gramStart"/>
      <w:r w:rsidRPr="00C4364D">
        <w:rPr>
          <w:b/>
          <w:bCs/>
        </w:rPr>
        <w:t>Table 7</w:t>
      </w:r>
      <w:r w:rsidR="00C4364D">
        <w:t>.</w:t>
      </w:r>
      <w:proofErr w:type="gramEnd"/>
      <w:r w:rsidRPr="00F57FE9">
        <w:t xml:space="preserve"> CCD matrix with predicted and observed values of responses</w:t>
      </w:r>
    </w:p>
    <w:tbl>
      <w:tblPr>
        <w:tblW w:w="9450" w:type="dxa"/>
        <w:jc w:val="center"/>
        <w:tblLayout w:type="fixed"/>
        <w:tblLook w:val="04A0"/>
      </w:tblPr>
      <w:tblGrid>
        <w:gridCol w:w="765"/>
        <w:gridCol w:w="990"/>
        <w:gridCol w:w="990"/>
        <w:gridCol w:w="900"/>
        <w:gridCol w:w="810"/>
        <w:gridCol w:w="900"/>
        <w:gridCol w:w="900"/>
        <w:gridCol w:w="990"/>
        <w:gridCol w:w="990"/>
        <w:gridCol w:w="1215"/>
      </w:tblGrid>
      <w:tr w:rsidR="00FD4D29" w:rsidRPr="00352F99" w:rsidTr="00352F99">
        <w:trPr>
          <w:jc w:val="center"/>
        </w:trPr>
        <w:tc>
          <w:tcPr>
            <w:tcW w:w="3645" w:type="dxa"/>
            <w:gridSpan w:val="4"/>
            <w:vMerge w:val="restart"/>
            <w:tcBorders>
              <w:top w:val="single" w:sz="4" w:space="0" w:color="auto"/>
            </w:tcBorders>
            <w:vAlign w:val="center"/>
            <w:hideMark/>
          </w:tcPr>
          <w:p w:rsidR="00FD4D29" w:rsidRPr="00352F99" w:rsidRDefault="00FD4D29" w:rsidP="00F57FE9">
            <w:pPr>
              <w:spacing w:line="360" w:lineRule="auto"/>
              <w:jc w:val="center"/>
              <w:rPr>
                <w:b/>
                <w:sz w:val="20"/>
                <w:szCs w:val="20"/>
              </w:rPr>
            </w:pPr>
            <w:r w:rsidRPr="00352F99">
              <w:rPr>
                <w:b/>
                <w:sz w:val="20"/>
                <w:szCs w:val="20"/>
              </w:rPr>
              <w:t>Independent variables</w:t>
            </w:r>
          </w:p>
        </w:tc>
        <w:tc>
          <w:tcPr>
            <w:tcW w:w="5805" w:type="dxa"/>
            <w:gridSpan w:val="6"/>
            <w:tcBorders>
              <w:top w:val="single" w:sz="4" w:space="0" w:color="auto"/>
              <w:bottom w:val="single" w:sz="4" w:space="0" w:color="auto"/>
            </w:tcBorders>
            <w:hideMark/>
          </w:tcPr>
          <w:p w:rsidR="00FD4D29" w:rsidRPr="00352F99" w:rsidRDefault="00FD4D29" w:rsidP="00F57FE9">
            <w:pPr>
              <w:spacing w:line="360" w:lineRule="auto"/>
              <w:jc w:val="center"/>
              <w:rPr>
                <w:b/>
                <w:sz w:val="20"/>
                <w:szCs w:val="20"/>
              </w:rPr>
            </w:pPr>
            <w:r w:rsidRPr="00352F99">
              <w:rPr>
                <w:b/>
                <w:sz w:val="20"/>
                <w:szCs w:val="20"/>
              </w:rPr>
              <w:t>Dependent variables</w:t>
            </w:r>
          </w:p>
        </w:tc>
      </w:tr>
      <w:tr w:rsidR="00FD4D29" w:rsidRPr="00352F99" w:rsidTr="00352F99">
        <w:trPr>
          <w:jc w:val="center"/>
        </w:trPr>
        <w:tc>
          <w:tcPr>
            <w:tcW w:w="3645" w:type="dxa"/>
            <w:gridSpan w:val="4"/>
            <w:vMerge/>
            <w:tcBorders>
              <w:bottom w:val="single" w:sz="4" w:space="0" w:color="auto"/>
            </w:tcBorders>
            <w:vAlign w:val="center"/>
            <w:hideMark/>
          </w:tcPr>
          <w:p w:rsidR="00FD4D29" w:rsidRPr="00352F99" w:rsidRDefault="00FD4D29" w:rsidP="00F57FE9">
            <w:pPr>
              <w:spacing w:line="360" w:lineRule="auto"/>
              <w:rPr>
                <w:b/>
                <w:sz w:val="20"/>
                <w:szCs w:val="20"/>
              </w:rPr>
            </w:pPr>
          </w:p>
        </w:tc>
        <w:tc>
          <w:tcPr>
            <w:tcW w:w="2610" w:type="dxa"/>
            <w:gridSpan w:val="3"/>
            <w:tcBorders>
              <w:top w:val="single" w:sz="4" w:space="0" w:color="auto"/>
              <w:bottom w:val="single" w:sz="4" w:space="0" w:color="auto"/>
            </w:tcBorders>
            <w:vAlign w:val="center"/>
            <w:hideMark/>
          </w:tcPr>
          <w:p w:rsidR="00FD4D29" w:rsidRPr="00352F99" w:rsidRDefault="00FD4D29" w:rsidP="00F57FE9">
            <w:pPr>
              <w:spacing w:line="360" w:lineRule="auto"/>
              <w:jc w:val="center"/>
              <w:rPr>
                <w:b/>
                <w:sz w:val="20"/>
                <w:szCs w:val="20"/>
              </w:rPr>
            </w:pPr>
            <w:r w:rsidRPr="00352F99">
              <w:rPr>
                <w:b/>
                <w:sz w:val="20"/>
                <w:szCs w:val="20"/>
              </w:rPr>
              <w:t>Observed values</w:t>
            </w:r>
          </w:p>
        </w:tc>
        <w:tc>
          <w:tcPr>
            <w:tcW w:w="3195" w:type="dxa"/>
            <w:gridSpan w:val="3"/>
            <w:tcBorders>
              <w:top w:val="single" w:sz="4" w:space="0" w:color="auto"/>
              <w:bottom w:val="single" w:sz="4" w:space="0" w:color="auto"/>
            </w:tcBorders>
            <w:vAlign w:val="center"/>
            <w:hideMark/>
          </w:tcPr>
          <w:p w:rsidR="00FD4D29" w:rsidRPr="00352F99" w:rsidRDefault="00FD4D29" w:rsidP="00F57FE9">
            <w:pPr>
              <w:spacing w:line="360" w:lineRule="auto"/>
              <w:jc w:val="center"/>
              <w:rPr>
                <w:b/>
                <w:sz w:val="20"/>
                <w:szCs w:val="20"/>
              </w:rPr>
            </w:pPr>
            <w:r w:rsidRPr="00352F99">
              <w:rPr>
                <w:b/>
                <w:sz w:val="20"/>
                <w:szCs w:val="20"/>
              </w:rPr>
              <w:t>Predicted values</w:t>
            </w:r>
          </w:p>
        </w:tc>
      </w:tr>
      <w:tr w:rsidR="00FD4D29" w:rsidRPr="00352F99" w:rsidTr="00352F99">
        <w:trPr>
          <w:jc w:val="center"/>
        </w:trPr>
        <w:tc>
          <w:tcPr>
            <w:tcW w:w="765" w:type="dxa"/>
            <w:tcBorders>
              <w:top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Batch</w:t>
            </w:r>
          </w:p>
        </w:tc>
        <w:tc>
          <w:tcPr>
            <w:tcW w:w="990" w:type="dxa"/>
            <w:tcBorders>
              <w:top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A</w:t>
            </w:r>
          </w:p>
          <w:p w:rsidR="00FD4D29" w:rsidRPr="00352F99" w:rsidRDefault="00FD4D29" w:rsidP="00F57FE9">
            <w:pPr>
              <w:spacing w:line="360" w:lineRule="auto"/>
              <w:jc w:val="center"/>
              <w:rPr>
                <w:sz w:val="20"/>
                <w:szCs w:val="20"/>
              </w:rPr>
            </w:pPr>
            <w:r w:rsidRPr="00352F99">
              <w:rPr>
                <w:sz w:val="20"/>
                <w:szCs w:val="20"/>
              </w:rPr>
              <w:t>(mg)</w:t>
            </w:r>
          </w:p>
        </w:tc>
        <w:tc>
          <w:tcPr>
            <w:tcW w:w="990" w:type="dxa"/>
            <w:tcBorders>
              <w:top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B</w:t>
            </w:r>
          </w:p>
          <w:p w:rsidR="00FD4D29" w:rsidRPr="00352F99" w:rsidRDefault="00FD4D29" w:rsidP="00F57FE9">
            <w:pPr>
              <w:spacing w:line="360" w:lineRule="auto"/>
              <w:jc w:val="center"/>
              <w:rPr>
                <w:sz w:val="20"/>
                <w:szCs w:val="20"/>
              </w:rPr>
            </w:pPr>
            <w:r w:rsidRPr="00352F99">
              <w:rPr>
                <w:sz w:val="20"/>
                <w:szCs w:val="20"/>
              </w:rPr>
              <w:t>(mg)</w:t>
            </w:r>
          </w:p>
        </w:tc>
        <w:tc>
          <w:tcPr>
            <w:tcW w:w="900" w:type="dxa"/>
            <w:tcBorders>
              <w:top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C</w:t>
            </w:r>
          </w:p>
        </w:tc>
        <w:tc>
          <w:tcPr>
            <w:tcW w:w="810" w:type="dxa"/>
            <w:tcBorders>
              <w:top w:val="single" w:sz="4" w:space="0" w:color="auto"/>
            </w:tcBorders>
            <w:vAlign w:val="center"/>
            <w:hideMark/>
          </w:tcPr>
          <w:p w:rsidR="00FD4D29" w:rsidRPr="00352F99" w:rsidRDefault="00FD4D29" w:rsidP="00F57FE9">
            <w:pPr>
              <w:spacing w:line="360" w:lineRule="auto"/>
              <w:jc w:val="center"/>
              <w:rPr>
                <w:sz w:val="20"/>
                <w:szCs w:val="20"/>
                <w:vertAlign w:val="superscript"/>
              </w:rPr>
            </w:pPr>
            <w:r w:rsidRPr="00352F99">
              <w:rPr>
                <w:sz w:val="20"/>
                <w:szCs w:val="20"/>
              </w:rPr>
              <w:t>Y1</w:t>
            </w:r>
            <w:r w:rsidRPr="00352F99">
              <w:rPr>
                <w:sz w:val="20"/>
                <w:szCs w:val="20"/>
                <w:vertAlign w:val="superscript"/>
              </w:rPr>
              <w:t>*</w:t>
            </w:r>
          </w:p>
          <w:p w:rsidR="00FD4D29" w:rsidRPr="00352F99" w:rsidRDefault="00FD4D29" w:rsidP="00F57FE9">
            <w:pPr>
              <w:spacing w:line="360" w:lineRule="auto"/>
              <w:jc w:val="center"/>
              <w:rPr>
                <w:sz w:val="20"/>
                <w:szCs w:val="20"/>
              </w:rPr>
            </w:pPr>
            <w:r w:rsidRPr="00352F99">
              <w:rPr>
                <w:sz w:val="20"/>
                <w:szCs w:val="20"/>
              </w:rPr>
              <w:t>(nm)</w:t>
            </w:r>
          </w:p>
        </w:tc>
        <w:tc>
          <w:tcPr>
            <w:tcW w:w="900" w:type="dxa"/>
            <w:tcBorders>
              <w:top w:val="single" w:sz="4" w:space="0" w:color="auto"/>
            </w:tcBorders>
            <w:vAlign w:val="center"/>
            <w:hideMark/>
          </w:tcPr>
          <w:p w:rsidR="00FD4D29" w:rsidRPr="00352F99" w:rsidRDefault="00FD4D29" w:rsidP="00F57FE9">
            <w:pPr>
              <w:spacing w:line="360" w:lineRule="auto"/>
              <w:jc w:val="center"/>
              <w:rPr>
                <w:sz w:val="20"/>
                <w:szCs w:val="20"/>
                <w:vertAlign w:val="superscript"/>
              </w:rPr>
            </w:pPr>
            <w:r w:rsidRPr="00352F99">
              <w:rPr>
                <w:sz w:val="20"/>
                <w:szCs w:val="20"/>
              </w:rPr>
              <w:t>Y2</w:t>
            </w:r>
            <w:r w:rsidRPr="00352F99">
              <w:rPr>
                <w:sz w:val="20"/>
                <w:szCs w:val="20"/>
                <w:vertAlign w:val="superscript"/>
              </w:rPr>
              <w:t>*</w:t>
            </w:r>
          </w:p>
          <w:p w:rsidR="00FD4D29" w:rsidRPr="00352F99" w:rsidRDefault="00FD4D29" w:rsidP="00F57FE9">
            <w:pPr>
              <w:spacing w:line="360" w:lineRule="auto"/>
              <w:jc w:val="center"/>
              <w:rPr>
                <w:sz w:val="20"/>
                <w:szCs w:val="20"/>
              </w:rPr>
            </w:pPr>
            <w:r w:rsidRPr="00352F99">
              <w:rPr>
                <w:sz w:val="20"/>
                <w:szCs w:val="20"/>
              </w:rPr>
              <w:t>(%)</w:t>
            </w:r>
          </w:p>
        </w:tc>
        <w:tc>
          <w:tcPr>
            <w:tcW w:w="900" w:type="dxa"/>
            <w:tcBorders>
              <w:top w:val="single" w:sz="4" w:space="0" w:color="auto"/>
            </w:tcBorders>
            <w:vAlign w:val="center"/>
            <w:hideMark/>
          </w:tcPr>
          <w:p w:rsidR="00FD4D29" w:rsidRPr="00352F99" w:rsidRDefault="00FD4D29" w:rsidP="00F57FE9">
            <w:pPr>
              <w:spacing w:line="360" w:lineRule="auto"/>
              <w:jc w:val="center"/>
              <w:rPr>
                <w:sz w:val="20"/>
                <w:szCs w:val="20"/>
                <w:vertAlign w:val="superscript"/>
              </w:rPr>
            </w:pPr>
            <w:r w:rsidRPr="00352F99">
              <w:rPr>
                <w:sz w:val="20"/>
                <w:szCs w:val="20"/>
              </w:rPr>
              <w:t>Y3</w:t>
            </w:r>
            <w:r w:rsidRPr="00352F99">
              <w:rPr>
                <w:sz w:val="20"/>
                <w:szCs w:val="20"/>
                <w:vertAlign w:val="superscript"/>
              </w:rPr>
              <w:t>*</w:t>
            </w:r>
          </w:p>
          <w:p w:rsidR="00FD4D29" w:rsidRPr="00352F99" w:rsidRDefault="00FD4D29" w:rsidP="00F57FE9">
            <w:pPr>
              <w:spacing w:line="360" w:lineRule="auto"/>
              <w:jc w:val="center"/>
              <w:rPr>
                <w:sz w:val="20"/>
                <w:szCs w:val="20"/>
              </w:rPr>
            </w:pPr>
            <w:r w:rsidRPr="00352F99">
              <w:rPr>
                <w:sz w:val="20"/>
                <w:szCs w:val="20"/>
              </w:rPr>
              <w:t>(%)</w:t>
            </w:r>
          </w:p>
        </w:tc>
        <w:tc>
          <w:tcPr>
            <w:tcW w:w="990" w:type="dxa"/>
            <w:tcBorders>
              <w:top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Y1</w:t>
            </w:r>
          </w:p>
          <w:p w:rsidR="00FD4D29" w:rsidRPr="00352F99" w:rsidRDefault="00FD4D29" w:rsidP="00F57FE9">
            <w:pPr>
              <w:spacing w:line="360" w:lineRule="auto"/>
              <w:jc w:val="center"/>
              <w:rPr>
                <w:sz w:val="20"/>
                <w:szCs w:val="20"/>
              </w:rPr>
            </w:pPr>
            <w:r w:rsidRPr="00352F99">
              <w:rPr>
                <w:sz w:val="20"/>
                <w:szCs w:val="20"/>
              </w:rPr>
              <w:t>(nm)</w:t>
            </w:r>
          </w:p>
        </w:tc>
        <w:tc>
          <w:tcPr>
            <w:tcW w:w="990" w:type="dxa"/>
            <w:tcBorders>
              <w:top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Y2</w:t>
            </w:r>
          </w:p>
          <w:p w:rsidR="00FD4D29" w:rsidRPr="00352F99" w:rsidRDefault="00FD4D29" w:rsidP="00F57FE9">
            <w:pPr>
              <w:spacing w:line="360" w:lineRule="auto"/>
              <w:jc w:val="center"/>
              <w:rPr>
                <w:sz w:val="20"/>
                <w:szCs w:val="20"/>
              </w:rPr>
            </w:pPr>
            <w:r w:rsidRPr="00352F99">
              <w:rPr>
                <w:sz w:val="20"/>
                <w:szCs w:val="20"/>
              </w:rPr>
              <w:t>(%)</w:t>
            </w:r>
          </w:p>
        </w:tc>
        <w:tc>
          <w:tcPr>
            <w:tcW w:w="1215" w:type="dxa"/>
            <w:tcBorders>
              <w:top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Y3</w:t>
            </w:r>
          </w:p>
          <w:p w:rsidR="00FD4D29" w:rsidRPr="00352F99" w:rsidRDefault="00FD4D29" w:rsidP="00F57FE9">
            <w:pPr>
              <w:spacing w:line="360" w:lineRule="auto"/>
              <w:jc w:val="center"/>
              <w:rPr>
                <w:sz w:val="20"/>
                <w:szCs w:val="20"/>
              </w:rPr>
            </w:pPr>
            <w:r w:rsidRPr="00352F99">
              <w:rPr>
                <w:sz w:val="20"/>
                <w:szCs w:val="20"/>
              </w:rPr>
              <w:t>(%)</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280.60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87.67</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99.92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280.09</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86.85</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99.77</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272.80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88.64</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99.20</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268.92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88.43</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99.13</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3</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270.30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88.58</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99.19</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268.92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88.43</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99.13</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lastRenderedPageBreak/>
              <w:t>4</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269.40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88.13</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99.13</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268.92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88.43</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99.13</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5</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1.68179</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260.40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86.80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99.68</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274.21</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86.96</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99.64</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6</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-1.68179</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289.40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85.89</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99.55</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289.51</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86.56</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99.78</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7</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278.20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88.39</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99.67</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281.22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86.85</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99.52</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268.50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88.12</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99.06</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268.92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88.43</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99.13</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-1.68179</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250.00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86.32</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99.65</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244.69</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86.95</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99.61</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300.60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87.32</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99.56</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294.22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86.95</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99.57</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273.20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89.43</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99.45</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277.25</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88.64</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99.54</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12</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275.40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86.74</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99.66</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252.95</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86.76</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99.68</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13</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263.80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88.96</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99.02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268.92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88.43</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99.13</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14</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-1.68179</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292.20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85.26</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99.43</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288.12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86.78</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99.66</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15</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270.40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88.44</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99.23</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268.92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88.43</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99.13</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16</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277.40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85.62</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99.64</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267.50</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85.96</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99.65</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17</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240.20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86.84</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99.99</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255.77</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85.63</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99.84</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18</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-1</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290.60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88.73</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100.0</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279.66</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88.32</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99.78</w:t>
            </w:r>
          </w:p>
        </w:tc>
      </w:tr>
      <w:tr w:rsidR="00FD4D29" w:rsidRPr="00352F99" w:rsidTr="00352F99">
        <w:trPr>
          <w:jc w:val="center"/>
        </w:trPr>
        <w:tc>
          <w:tcPr>
            <w:tcW w:w="76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19</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1.68179</w:t>
            </w:r>
          </w:p>
        </w:tc>
        <w:tc>
          <w:tcPr>
            <w:tcW w:w="99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00" w:type="dxa"/>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289.40</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86.57</w:t>
            </w:r>
          </w:p>
        </w:tc>
        <w:tc>
          <w:tcPr>
            <w:tcW w:w="90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99.52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299.02</w:t>
            </w:r>
          </w:p>
        </w:tc>
        <w:tc>
          <w:tcPr>
            <w:tcW w:w="990"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87.59</w:t>
            </w:r>
          </w:p>
        </w:tc>
        <w:tc>
          <w:tcPr>
            <w:tcW w:w="1215" w:type="dxa"/>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99.47</w:t>
            </w:r>
          </w:p>
        </w:tc>
      </w:tr>
      <w:tr w:rsidR="00FD4D29" w:rsidRPr="00352F99" w:rsidTr="00352F99">
        <w:trPr>
          <w:jc w:val="center"/>
        </w:trPr>
        <w:tc>
          <w:tcPr>
            <w:tcW w:w="765" w:type="dxa"/>
            <w:tcBorders>
              <w:bottom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20</w:t>
            </w:r>
          </w:p>
        </w:tc>
        <w:tc>
          <w:tcPr>
            <w:tcW w:w="990" w:type="dxa"/>
            <w:tcBorders>
              <w:bottom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990" w:type="dxa"/>
            <w:tcBorders>
              <w:bottom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1.68179</w:t>
            </w:r>
          </w:p>
        </w:tc>
        <w:tc>
          <w:tcPr>
            <w:tcW w:w="900" w:type="dxa"/>
            <w:tcBorders>
              <w:bottom w:val="single" w:sz="4" w:space="0" w:color="auto"/>
            </w:tcBorders>
            <w:vAlign w:val="center"/>
            <w:hideMark/>
          </w:tcPr>
          <w:p w:rsidR="00FD4D29" w:rsidRPr="00352F99" w:rsidRDefault="00FD4D29" w:rsidP="00F57FE9">
            <w:pPr>
              <w:spacing w:line="360" w:lineRule="auto"/>
              <w:jc w:val="center"/>
              <w:rPr>
                <w:sz w:val="20"/>
                <w:szCs w:val="20"/>
              </w:rPr>
            </w:pPr>
            <w:r w:rsidRPr="00352F99">
              <w:rPr>
                <w:sz w:val="20"/>
                <w:szCs w:val="20"/>
              </w:rPr>
              <w:t>0</w:t>
            </w:r>
          </w:p>
        </w:tc>
        <w:tc>
          <w:tcPr>
            <w:tcW w:w="810" w:type="dxa"/>
            <w:tcBorders>
              <w:bottom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229.30</w:t>
            </w:r>
          </w:p>
        </w:tc>
        <w:tc>
          <w:tcPr>
            <w:tcW w:w="900" w:type="dxa"/>
            <w:tcBorders>
              <w:bottom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86.56</w:t>
            </w:r>
          </w:p>
        </w:tc>
        <w:tc>
          <w:tcPr>
            <w:tcW w:w="900" w:type="dxa"/>
            <w:tcBorders>
              <w:bottom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99.43</w:t>
            </w:r>
          </w:p>
        </w:tc>
        <w:tc>
          <w:tcPr>
            <w:tcW w:w="990" w:type="dxa"/>
            <w:tcBorders>
              <w:bottom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244.34</w:t>
            </w:r>
          </w:p>
        </w:tc>
        <w:tc>
          <w:tcPr>
            <w:tcW w:w="990" w:type="dxa"/>
            <w:tcBorders>
              <w:bottom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87.62</w:t>
            </w:r>
          </w:p>
        </w:tc>
        <w:tc>
          <w:tcPr>
            <w:tcW w:w="1215" w:type="dxa"/>
            <w:tcBorders>
              <w:bottom w:val="single" w:sz="4" w:space="0" w:color="auto"/>
            </w:tcBorders>
            <w:vAlign w:val="center"/>
            <w:hideMark/>
          </w:tcPr>
          <w:p w:rsidR="00FD4D29" w:rsidRPr="00352F99" w:rsidRDefault="00FD4D29" w:rsidP="00F57FE9">
            <w:pPr>
              <w:spacing w:line="360" w:lineRule="auto"/>
              <w:jc w:val="center"/>
              <w:rPr>
                <w:sz w:val="20"/>
                <w:szCs w:val="20"/>
                <w:lang w:eastAsia="en-IN"/>
              </w:rPr>
            </w:pPr>
            <w:r w:rsidRPr="00352F99">
              <w:rPr>
                <w:sz w:val="20"/>
                <w:szCs w:val="20"/>
                <w:lang w:eastAsia="en-IN"/>
              </w:rPr>
              <w:t>99.67</w:t>
            </w:r>
          </w:p>
        </w:tc>
      </w:tr>
      <w:tr w:rsidR="00FD4D29" w:rsidRPr="00352F99" w:rsidTr="00352F99">
        <w:trPr>
          <w:jc w:val="center"/>
        </w:trPr>
        <w:tc>
          <w:tcPr>
            <w:tcW w:w="9450" w:type="dxa"/>
            <w:gridSpan w:val="10"/>
            <w:tcBorders>
              <w:top w:val="single" w:sz="4" w:space="0" w:color="auto"/>
            </w:tcBorders>
            <w:vAlign w:val="center"/>
          </w:tcPr>
          <w:p w:rsidR="00FD4D29" w:rsidRPr="00352F99" w:rsidRDefault="00FD4D29" w:rsidP="00F57FE9">
            <w:pPr>
              <w:spacing w:line="360" w:lineRule="auto"/>
              <w:jc w:val="center"/>
              <w:rPr>
                <w:bCs/>
                <w:i/>
                <w:iCs/>
                <w:sz w:val="20"/>
                <w:szCs w:val="20"/>
                <w:lang w:eastAsia="en-IN"/>
              </w:rPr>
            </w:pPr>
            <w:r w:rsidRPr="00352F99">
              <w:rPr>
                <w:bCs/>
                <w:i/>
                <w:iCs/>
                <w:sz w:val="20"/>
                <w:szCs w:val="20"/>
                <w:vertAlign w:val="superscript"/>
              </w:rPr>
              <w:t xml:space="preserve">* </w:t>
            </w:r>
            <w:r w:rsidRPr="00352F99">
              <w:rPr>
                <w:bCs/>
                <w:i/>
                <w:iCs/>
                <w:sz w:val="20"/>
                <w:szCs w:val="20"/>
              </w:rPr>
              <w:t xml:space="preserve">Y1= Particle size; </w:t>
            </w:r>
            <w:r w:rsidRPr="00352F99">
              <w:rPr>
                <w:bCs/>
                <w:i/>
                <w:iCs/>
                <w:sz w:val="20"/>
                <w:szCs w:val="20"/>
                <w:vertAlign w:val="superscript"/>
              </w:rPr>
              <w:t>*</w:t>
            </w:r>
            <w:r w:rsidRPr="00352F99">
              <w:rPr>
                <w:bCs/>
                <w:i/>
                <w:iCs/>
                <w:sz w:val="20"/>
                <w:szCs w:val="20"/>
              </w:rPr>
              <w:t xml:space="preserve">Y2=Drug content; </w:t>
            </w:r>
            <w:r w:rsidRPr="00352F99">
              <w:rPr>
                <w:bCs/>
                <w:i/>
                <w:iCs/>
                <w:sz w:val="20"/>
                <w:szCs w:val="20"/>
                <w:vertAlign w:val="superscript"/>
              </w:rPr>
              <w:t>*</w:t>
            </w:r>
            <w:r w:rsidRPr="00352F99">
              <w:rPr>
                <w:bCs/>
                <w:i/>
                <w:iCs/>
                <w:sz w:val="20"/>
                <w:szCs w:val="20"/>
              </w:rPr>
              <w:t>Y3=Entrapment efficiency.</w:t>
            </w:r>
          </w:p>
        </w:tc>
      </w:tr>
    </w:tbl>
    <w:p w:rsidR="00FD4D29" w:rsidRPr="00F57FE9" w:rsidRDefault="00FD4D29" w:rsidP="00F57FE9">
      <w:pPr>
        <w:tabs>
          <w:tab w:val="left" w:pos="180"/>
          <w:tab w:val="left" w:pos="1722"/>
          <w:tab w:val="left" w:pos="3265"/>
          <w:tab w:val="left" w:pos="4808"/>
          <w:tab w:val="left" w:pos="6351"/>
          <w:tab w:val="left" w:pos="7894"/>
          <w:tab w:val="left" w:pos="9437"/>
        </w:tabs>
        <w:autoSpaceDE w:val="0"/>
        <w:autoSpaceDN w:val="0"/>
        <w:adjustRightInd w:val="0"/>
        <w:spacing w:line="360" w:lineRule="auto"/>
        <w:jc w:val="center"/>
        <w:rPr>
          <w:i/>
        </w:rPr>
      </w:pPr>
    </w:p>
    <w:p w:rsidR="003527E6" w:rsidRPr="00F57FE9" w:rsidRDefault="003527E6" w:rsidP="00F57FE9">
      <w:pPr>
        <w:tabs>
          <w:tab w:val="left" w:pos="180"/>
          <w:tab w:val="left" w:pos="1722"/>
          <w:tab w:val="left" w:pos="3265"/>
          <w:tab w:val="left" w:pos="4808"/>
          <w:tab w:val="left" w:pos="6351"/>
          <w:tab w:val="left" w:pos="7894"/>
          <w:tab w:val="left" w:pos="9437"/>
        </w:tabs>
        <w:autoSpaceDE w:val="0"/>
        <w:autoSpaceDN w:val="0"/>
        <w:adjustRightInd w:val="0"/>
        <w:spacing w:line="360" w:lineRule="auto"/>
        <w:jc w:val="center"/>
      </w:pPr>
      <w:proofErr w:type="gramStart"/>
      <w:r w:rsidRPr="00352F99">
        <w:rPr>
          <w:b/>
          <w:bCs/>
        </w:rPr>
        <w:t>Table 8</w:t>
      </w:r>
      <w:r w:rsidR="00352F99">
        <w:t>.</w:t>
      </w:r>
      <w:proofErr w:type="gramEnd"/>
      <w:r w:rsidRPr="00F57FE9">
        <w:t xml:space="preserve"> Results of Quadratic model for regression analysis of r</w:t>
      </w:r>
      <w:r w:rsidR="00F10E50" w:rsidRPr="00F57FE9">
        <w:t xml:space="preserve">esponse variables Y1, Y2 and </w:t>
      </w:r>
      <w:proofErr w:type="gramStart"/>
      <w:r w:rsidR="00F10E50" w:rsidRPr="00F57FE9">
        <w:t>3</w:t>
      </w:r>
      <w:proofErr w:type="gramEnd"/>
    </w:p>
    <w:tbl>
      <w:tblPr>
        <w:tblW w:w="8545" w:type="dxa"/>
        <w:jc w:val="center"/>
        <w:tblLook w:val="04A0"/>
      </w:tblPr>
      <w:tblGrid>
        <w:gridCol w:w="1730"/>
        <w:gridCol w:w="979"/>
        <w:gridCol w:w="1536"/>
        <w:gridCol w:w="1584"/>
        <w:gridCol w:w="1303"/>
        <w:gridCol w:w="1413"/>
      </w:tblGrid>
      <w:tr w:rsidR="00FD4D29" w:rsidRPr="00F57FE9" w:rsidTr="00204231">
        <w:trPr>
          <w:jc w:val="center"/>
        </w:trPr>
        <w:tc>
          <w:tcPr>
            <w:tcW w:w="1730"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Quadratic  model</w:t>
            </w:r>
          </w:p>
        </w:tc>
        <w:tc>
          <w:tcPr>
            <w:tcW w:w="979" w:type="dxa"/>
            <w:tcBorders>
              <w:top w:val="single" w:sz="4" w:space="0" w:color="auto"/>
              <w:bottom w:val="single" w:sz="4" w:space="0" w:color="auto"/>
            </w:tcBorders>
            <w:vAlign w:val="center"/>
          </w:tcPr>
          <w:p w:rsidR="00FD4D29" w:rsidRPr="00F57FE9" w:rsidRDefault="00FD4D29" w:rsidP="00F57FE9">
            <w:pPr>
              <w:spacing w:line="360" w:lineRule="auto"/>
              <w:jc w:val="center"/>
              <w:rPr>
                <w:b/>
                <w:vertAlign w:val="superscript"/>
              </w:rPr>
            </w:pPr>
            <w:r w:rsidRPr="00F57FE9">
              <w:rPr>
                <w:b/>
              </w:rPr>
              <w:t>R</w:t>
            </w:r>
            <w:r w:rsidRPr="00F57FE9">
              <w:rPr>
                <w:b/>
                <w:vertAlign w:val="superscript"/>
              </w:rPr>
              <w:t>2</w:t>
            </w:r>
          </w:p>
        </w:tc>
        <w:tc>
          <w:tcPr>
            <w:tcW w:w="1536"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Adjusted R</w:t>
            </w:r>
            <w:r w:rsidRPr="00F57FE9">
              <w:rPr>
                <w:b/>
                <w:vertAlign w:val="superscript"/>
              </w:rPr>
              <w:t>2</w:t>
            </w:r>
          </w:p>
        </w:tc>
        <w:tc>
          <w:tcPr>
            <w:tcW w:w="1584"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Predicted R</w:t>
            </w:r>
            <w:r w:rsidRPr="00F57FE9">
              <w:rPr>
                <w:b/>
                <w:vertAlign w:val="superscript"/>
              </w:rPr>
              <w:t>2</w:t>
            </w:r>
          </w:p>
        </w:tc>
        <w:tc>
          <w:tcPr>
            <w:tcW w:w="1303"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SD</w:t>
            </w:r>
          </w:p>
        </w:tc>
        <w:tc>
          <w:tcPr>
            <w:tcW w:w="1413" w:type="dxa"/>
            <w:tcBorders>
              <w:top w:val="single" w:sz="4" w:space="0" w:color="auto"/>
              <w:bottom w:val="single" w:sz="4" w:space="0" w:color="auto"/>
            </w:tcBorders>
            <w:vAlign w:val="center"/>
          </w:tcPr>
          <w:p w:rsidR="00FD4D29" w:rsidRPr="00F57FE9" w:rsidRDefault="00FD4D29" w:rsidP="00F57FE9">
            <w:pPr>
              <w:spacing w:line="360" w:lineRule="auto"/>
              <w:jc w:val="center"/>
              <w:rPr>
                <w:b/>
              </w:rPr>
            </w:pPr>
            <w:r w:rsidRPr="00F57FE9">
              <w:rPr>
                <w:b/>
              </w:rPr>
              <w:t>% CV</w:t>
            </w:r>
          </w:p>
        </w:tc>
      </w:tr>
      <w:tr w:rsidR="00FD4D29" w:rsidRPr="00F57FE9" w:rsidTr="00204231">
        <w:trPr>
          <w:jc w:val="center"/>
        </w:trPr>
        <w:tc>
          <w:tcPr>
            <w:tcW w:w="1730" w:type="dxa"/>
            <w:tcBorders>
              <w:top w:val="single" w:sz="4" w:space="0" w:color="auto"/>
            </w:tcBorders>
            <w:vAlign w:val="center"/>
          </w:tcPr>
          <w:p w:rsidR="00FD4D29" w:rsidRPr="00F57FE9" w:rsidRDefault="00FD4D29" w:rsidP="00F57FE9">
            <w:pPr>
              <w:spacing w:line="360" w:lineRule="auto"/>
              <w:jc w:val="center"/>
            </w:pPr>
            <w:r w:rsidRPr="00F57FE9">
              <w:t>Y1</w:t>
            </w:r>
          </w:p>
        </w:tc>
        <w:tc>
          <w:tcPr>
            <w:tcW w:w="979" w:type="dxa"/>
            <w:tcBorders>
              <w:top w:val="single" w:sz="4" w:space="0" w:color="auto"/>
            </w:tcBorders>
          </w:tcPr>
          <w:p w:rsidR="00FD4D29" w:rsidRPr="00F57FE9" w:rsidRDefault="00FD4D29" w:rsidP="00F57FE9">
            <w:pPr>
              <w:spacing w:line="360" w:lineRule="auto"/>
              <w:jc w:val="center"/>
            </w:pPr>
            <w:r w:rsidRPr="00F57FE9">
              <w:t>0.7225</w:t>
            </w:r>
          </w:p>
        </w:tc>
        <w:tc>
          <w:tcPr>
            <w:tcW w:w="1536" w:type="dxa"/>
            <w:tcBorders>
              <w:top w:val="single" w:sz="4" w:space="0" w:color="auto"/>
            </w:tcBorders>
          </w:tcPr>
          <w:p w:rsidR="00FD4D29" w:rsidRPr="00F57FE9" w:rsidRDefault="00FD4D29" w:rsidP="00F57FE9">
            <w:pPr>
              <w:spacing w:line="360" w:lineRule="auto"/>
              <w:jc w:val="center"/>
            </w:pPr>
            <w:r w:rsidRPr="00F57FE9">
              <w:t>0.4728</w:t>
            </w:r>
          </w:p>
        </w:tc>
        <w:tc>
          <w:tcPr>
            <w:tcW w:w="1584" w:type="dxa"/>
            <w:tcBorders>
              <w:top w:val="single" w:sz="4" w:space="0" w:color="auto"/>
            </w:tcBorders>
          </w:tcPr>
          <w:p w:rsidR="00FD4D29" w:rsidRPr="00F57FE9" w:rsidRDefault="00FD4D29" w:rsidP="00F57FE9">
            <w:pPr>
              <w:spacing w:line="360" w:lineRule="auto"/>
              <w:jc w:val="center"/>
            </w:pPr>
            <w:r w:rsidRPr="00F57FE9">
              <w:t>-1.2310</w:t>
            </w:r>
          </w:p>
        </w:tc>
        <w:tc>
          <w:tcPr>
            <w:tcW w:w="1303" w:type="dxa"/>
            <w:tcBorders>
              <w:top w:val="single" w:sz="4" w:space="0" w:color="auto"/>
            </w:tcBorders>
            <w:vAlign w:val="center"/>
          </w:tcPr>
          <w:p w:rsidR="00FD4D29" w:rsidRPr="00F57FE9" w:rsidRDefault="00FD4D29" w:rsidP="00F57FE9">
            <w:pPr>
              <w:spacing w:line="360" w:lineRule="auto"/>
              <w:jc w:val="center"/>
            </w:pPr>
            <w:r w:rsidRPr="00F57FE9">
              <w:rPr>
                <w:bCs/>
              </w:rPr>
              <w:t>12.77</w:t>
            </w:r>
          </w:p>
        </w:tc>
        <w:tc>
          <w:tcPr>
            <w:tcW w:w="1413" w:type="dxa"/>
            <w:tcBorders>
              <w:top w:val="single" w:sz="4" w:space="0" w:color="auto"/>
            </w:tcBorders>
            <w:vAlign w:val="center"/>
          </w:tcPr>
          <w:p w:rsidR="00FD4D29" w:rsidRPr="00F57FE9" w:rsidRDefault="00FD4D29" w:rsidP="00F57FE9">
            <w:pPr>
              <w:spacing w:line="360" w:lineRule="auto"/>
              <w:jc w:val="center"/>
            </w:pPr>
            <w:r w:rsidRPr="00F57FE9">
              <w:rPr>
                <w:lang w:eastAsia="en-IN"/>
              </w:rPr>
              <w:t>4.69</w:t>
            </w:r>
          </w:p>
        </w:tc>
      </w:tr>
      <w:tr w:rsidR="00FD4D29" w:rsidRPr="00F57FE9" w:rsidTr="00204231">
        <w:trPr>
          <w:jc w:val="center"/>
        </w:trPr>
        <w:tc>
          <w:tcPr>
            <w:tcW w:w="1730" w:type="dxa"/>
            <w:vAlign w:val="center"/>
          </w:tcPr>
          <w:p w:rsidR="00FD4D29" w:rsidRPr="00F57FE9" w:rsidRDefault="00FD4D29" w:rsidP="00F57FE9">
            <w:pPr>
              <w:spacing w:line="360" w:lineRule="auto"/>
              <w:jc w:val="center"/>
            </w:pPr>
            <w:r w:rsidRPr="00F57FE9">
              <w:t>Y2</w:t>
            </w:r>
          </w:p>
        </w:tc>
        <w:tc>
          <w:tcPr>
            <w:tcW w:w="979" w:type="dxa"/>
            <w:vAlign w:val="center"/>
          </w:tcPr>
          <w:p w:rsidR="00FD4D29" w:rsidRPr="00F57FE9" w:rsidRDefault="00FD4D29" w:rsidP="00F57FE9">
            <w:pPr>
              <w:spacing w:line="360" w:lineRule="auto"/>
              <w:jc w:val="center"/>
              <w:rPr>
                <w:bCs/>
              </w:rPr>
            </w:pPr>
            <w:r w:rsidRPr="00F57FE9">
              <w:rPr>
                <w:bCs/>
              </w:rPr>
              <w:t>0.5943</w:t>
            </w:r>
          </w:p>
        </w:tc>
        <w:tc>
          <w:tcPr>
            <w:tcW w:w="1536" w:type="dxa"/>
            <w:vAlign w:val="center"/>
          </w:tcPr>
          <w:p w:rsidR="00FD4D29" w:rsidRPr="00F57FE9" w:rsidRDefault="00FD4D29" w:rsidP="00F57FE9">
            <w:pPr>
              <w:spacing w:line="360" w:lineRule="auto"/>
              <w:jc w:val="center"/>
              <w:rPr>
                <w:bCs/>
              </w:rPr>
            </w:pPr>
            <w:r w:rsidRPr="00F57FE9">
              <w:rPr>
                <w:bCs/>
              </w:rPr>
              <w:t>0.2292</w:t>
            </w:r>
          </w:p>
        </w:tc>
        <w:tc>
          <w:tcPr>
            <w:tcW w:w="1584" w:type="dxa"/>
            <w:vAlign w:val="center"/>
          </w:tcPr>
          <w:p w:rsidR="00FD4D29" w:rsidRPr="00F57FE9" w:rsidRDefault="00FD4D29" w:rsidP="00F57FE9">
            <w:pPr>
              <w:spacing w:line="360" w:lineRule="auto"/>
              <w:jc w:val="center"/>
              <w:rPr>
                <w:bCs/>
              </w:rPr>
            </w:pPr>
            <w:r w:rsidRPr="00F57FE9">
              <w:rPr>
                <w:bCs/>
              </w:rPr>
              <w:t>-2.0628</w:t>
            </w:r>
          </w:p>
        </w:tc>
        <w:tc>
          <w:tcPr>
            <w:tcW w:w="1303" w:type="dxa"/>
            <w:vAlign w:val="center"/>
          </w:tcPr>
          <w:p w:rsidR="00FD4D29" w:rsidRPr="00F57FE9" w:rsidRDefault="00FD4D29" w:rsidP="00F57FE9">
            <w:pPr>
              <w:spacing w:line="360" w:lineRule="auto"/>
              <w:jc w:val="center"/>
            </w:pPr>
            <w:r w:rsidRPr="00F57FE9">
              <w:rPr>
                <w:bCs/>
              </w:rPr>
              <w:t>1.07</w:t>
            </w:r>
          </w:p>
        </w:tc>
        <w:tc>
          <w:tcPr>
            <w:tcW w:w="1413" w:type="dxa"/>
            <w:vAlign w:val="center"/>
          </w:tcPr>
          <w:p w:rsidR="00FD4D29" w:rsidRPr="00F57FE9" w:rsidRDefault="00FD4D29" w:rsidP="00F57FE9">
            <w:pPr>
              <w:spacing w:line="360" w:lineRule="auto"/>
              <w:jc w:val="center"/>
            </w:pPr>
            <w:r w:rsidRPr="00F57FE9">
              <w:rPr>
                <w:lang w:eastAsia="en-IN"/>
              </w:rPr>
              <w:t>1.22</w:t>
            </w:r>
          </w:p>
        </w:tc>
      </w:tr>
      <w:tr w:rsidR="00FD4D29" w:rsidRPr="00F57FE9" w:rsidTr="00204231">
        <w:trPr>
          <w:trHeight w:val="550"/>
          <w:jc w:val="center"/>
        </w:trPr>
        <w:tc>
          <w:tcPr>
            <w:tcW w:w="1730" w:type="dxa"/>
            <w:tcBorders>
              <w:bottom w:val="single" w:sz="4" w:space="0" w:color="auto"/>
            </w:tcBorders>
            <w:vAlign w:val="center"/>
          </w:tcPr>
          <w:p w:rsidR="00FD4D29" w:rsidRPr="00F57FE9" w:rsidRDefault="00FD4D29" w:rsidP="00F57FE9">
            <w:pPr>
              <w:spacing w:line="360" w:lineRule="auto"/>
              <w:jc w:val="center"/>
            </w:pPr>
            <w:r w:rsidRPr="00F57FE9">
              <w:t>Y3</w:t>
            </w:r>
          </w:p>
        </w:tc>
        <w:tc>
          <w:tcPr>
            <w:tcW w:w="979" w:type="dxa"/>
            <w:tcBorders>
              <w:bottom w:val="single" w:sz="4" w:space="0" w:color="auto"/>
            </w:tcBorders>
            <w:vAlign w:val="center"/>
          </w:tcPr>
          <w:p w:rsidR="00FD4D29" w:rsidRPr="00F57FE9" w:rsidRDefault="00FD4D29" w:rsidP="00F57FE9">
            <w:pPr>
              <w:spacing w:line="360" w:lineRule="auto"/>
              <w:jc w:val="center"/>
              <w:rPr>
                <w:bCs/>
              </w:rPr>
            </w:pPr>
            <w:r w:rsidRPr="00F57FE9">
              <w:rPr>
                <w:bCs/>
              </w:rPr>
              <w:t>0.7979</w:t>
            </w:r>
          </w:p>
        </w:tc>
        <w:tc>
          <w:tcPr>
            <w:tcW w:w="1536" w:type="dxa"/>
            <w:tcBorders>
              <w:bottom w:val="single" w:sz="4" w:space="0" w:color="auto"/>
            </w:tcBorders>
            <w:vAlign w:val="center"/>
          </w:tcPr>
          <w:p w:rsidR="00FD4D29" w:rsidRPr="00F57FE9" w:rsidRDefault="00FD4D29" w:rsidP="00F57FE9">
            <w:pPr>
              <w:spacing w:line="360" w:lineRule="auto"/>
              <w:jc w:val="center"/>
              <w:rPr>
                <w:bCs/>
              </w:rPr>
            </w:pPr>
            <w:r w:rsidRPr="00F57FE9">
              <w:rPr>
                <w:bCs/>
              </w:rPr>
              <w:t>0.6160</w:t>
            </w:r>
          </w:p>
        </w:tc>
        <w:tc>
          <w:tcPr>
            <w:tcW w:w="1584" w:type="dxa"/>
            <w:tcBorders>
              <w:bottom w:val="single" w:sz="4" w:space="0" w:color="auto"/>
            </w:tcBorders>
            <w:vAlign w:val="center"/>
          </w:tcPr>
          <w:p w:rsidR="00FD4D29" w:rsidRPr="00F57FE9" w:rsidRDefault="00FD4D29" w:rsidP="00F57FE9">
            <w:pPr>
              <w:spacing w:line="360" w:lineRule="auto"/>
              <w:jc w:val="center"/>
              <w:rPr>
                <w:bCs/>
              </w:rPr>
            </w:pPr>
            <w:r w:rsidRPr="00F57FE9">
              <w:rPr>
                <w:bCs/>
              </w:rPr>
              <w:t>-0.4017</w:t>
            </w:r>
          </w:p>
        </w:tc>
        <w:tc>
          <w:tcPr>
            <w:tcW w:w="1303" w:type="dxa"/>
            <w:tcBorders>
              <w:bottom w:val="single" w:sz="4" w:space="0" w:color="auto"/>
            </w:tcBorders>
            <w:vAlign w:val="center"/>
          </w:tcPr>
          <w:p w:rsidR="00FD4D29" w:rsidRPr="00F57FE9" w:rsidRDefault="00FD4D29" w:rsidP="00F57FE9">
            <w:pPr>
              <w:spacing w:line="360" w:lineRule="auto"/>
              <w:jc w:val="center"/>
            </w:pPr>
            <w:r w:rsidRPr="00F57FE9">
              <w:rPr>
                <w:bCs/>
              </w:rPr>
              <w:t>0.1818</w:t>
            </w:r>
          </w:p>
        </w:tc>
        <w:tc>
          <w:tcPr>
            <w:tcW w:w="1413" w:type="dxa"/>
            <w:tcBorders>
              <w:bottom w:val="single" w:sz="4" w:space="0" w:color="auto"/>
            </w:tcBorders>
            <w:vAlign w:val="center"/>
          </w:tcPr>
          <w:p w:rsidR="00FD4D29" w:rsidRPr="00F57FE9" w:rsidRDefault="00FD4D29" w:rsidP="00F57FE9">
            <w:pPr>
              <w:spacing w:line="360" w:lineRule="auto"/>
              <w:jc w:val="center"/>
            </w:pPr>
            <w:r w:rsidRPr="00F57FE9">
              <w:rPr>
                <w:lang w:eastAsia="en-IN"/>
              </w:rPr>
              <w:t>0.1828</w:t>
            </w:r>
          </w:p>
        </w:tc>
      </w:tr>
    </w:tbl>
    <w:p w:rsidR="00FD4D29" w:rsidRPr="00F57FE9" w:rsidRDefault="00FD4D29" w:rsidP="00F57FE9">
      <w:pPr>
        <w:tabs>
          <w:tab w:val="left" w:pos="180"/>
          <w:tab w:val="left" w:pos="1722"/>
          <w:tab w:val="left" w:pos="3265"/>
          <w:tab w:val="left" w:pos="4808"/>
          <w:tab w:val="left" w:pos="6351"/>
          <w:tab w:val="left" w:pos="7894"/>
          <w:tab w:val="left" w:pos="9437"/>
        </w:tabs>
        <w:autoSpaceDE w:val="0"/>
        <w:autoSpaceDN w:val="0"/>
        <w:adjustRightInd w:val="0"/>
        <w:spacing w:line="360" w:lineRule="auto"/>
        <w:jc w:val="center"/>
        <w:rPr>
          <w:i/>
        </w:rPr>
      </w:pPr>
    </w:p>
    <w:p w:rsidR="003527E6" w:rsidRPr="00F57FE9" w:rsidRDefault="003527E6" w:rsidP="00F57FE9">
      <w:pPr>
        <w:spacing w:line="360" w:lineRule="auto"/>
        <w:jc w:val="both"/>
        <w:rPr>
          <w:b/>
        </w:rPr>
      </w:pPr>
      <w:r w:rsidRPr="00F57FE9">
        <w:rPr>
          <w:b/>
        </w:rPr>
        <w:t xml:space="preserve">3.3.3.2. Analysis of </w:t>
      </w:r>
      <w:r w:rsidR="009579C7" w:rsidRPr="00F57FE9">
        <w:rPr>
          <w:b/>
        </w:rPr>
        <w:t xml:space="preserve">response surface plots </w:t>
      </w:r>
    </w:p>
    <w:p w:rsidR="003527E6" w:rsidRPr="00F57FE9" w:rsidRDefault="003527E6" w:rsidP="00F57FE9">
      <w:pPr>
        <w:spacing w:line="360" w:lineRule="auto"/>
        <w:jc w:val="both"/>
      </w:pPr>
      <w:r w:rsidRPr="00F57FE9">
        <w:t xml:space="preserve">Response surface plots </w:t>
      </w:r>
      <w:proofErr w:type="gramStart"/>
      <w:r w:rsidRPr="00F57FE9">
        <w:t>were extensively employed</w:t>
      </w:r>
      <w:proofErr w:type="gramEnd"/>
      <w:r w:rsidRPr="00F57FE9">
        <w:t xml:space="preserve"> for the study of interaction effects of selected factors on their responses and relationships. Thus, we have constructed a surface response plot for three responses (</w:t>
      </w:r>
      <w:r w:rsidRPr="00F57FE9">
        <w:rPr>
          <w:rFonts w:eastAsia="MinionPro-Regular"/>
        </w:rPr>
        <w:t>Y1, Y2, and Y3), which</w:t>
      </w:r>
      <w:r w:rsidR="00CB5193">
        <w:rPr>
          <w:rFonts w:eastAsia="MinionPro-Regular"/>
        </w:rPr>
        <w:t xml:space="preserve"> are depicted in Figure 4</w:t>
      </w:r>
      <w:r w:rsidRPr="00F57FE9">
        <w:rPr>
          <w:rFonts w:eastAsia="MinionPro-Regular"/>
        </w:rPr>
        <w:t>.</w:t>
      </w:r>
    </w:p>
    <w:p w:rsidR="003527E6" w:rsidRPr="00F57FE9" w:rsidRDefault="003527E6" w:rsidP="00F57FE9">
      <w:pPr>
        <w:spacing w:line="360" w:lineRule="auto"/>
        <w:jc w:val="both"/>
        <w:rPr>
          <w:b/>
        </w:rPr>
      </w:pPr>
      <w:r w:rsidRPr="00F57FE9">
        <w:rPr>
          <w:b/>
        </w:rPr>
        <w:t>Effect on Size of Particle (Y1)</w:t>
      </w:r>
    </w:p>
    <w:p w:rsidR="003527E6" w:rsidRPr="00F57FE9" w:rsidRDefault="003527E6" w:rsidP="00F57FE9">
      <w:pPr>
        <w:spacing w:line="360" w:lineRule="auto"/>
        <w:jc w:val="both"/>
      </w:pPr>
      <w:r w:rsidRPr="00F57FE9">
        <w:t>Th</w:t>
      </w:r>
      <w:r w:rsidR="009B54A6" w:rsidRPr="00F57FE9">
        <w:t>e proposed polynomial equation 10</w:t>
      </w:r>
      <w:r w:rsidRPr="00F57FE9">
        <w:t xml:space="preserve"> for particle size is as follows,</w:t>
      </w:r>
    </w:p>
    <w:p w:rsidR="003527E6" w:rsidRPr="00F57FE9" w:rsidRDefault="003527E6" w:rsidP="00F57FE9">
      <w:pPr>
        <w:spacing w:line="360" w:lineRule="auto"/>
        <w:jc w:val="both"/>
        <w:rPr>
          <w:lang w:eastAsia="en-IN"/>
        </w:rPr>
      </w:pPr>
      <w:r w:rsidRPr="00F57FE9">
        <w:t>Y1 =+268.92+2.83 (A) -0.10 (B) -4.14 (C)</w:t>
      </w:r>
      <w:r w:rsidR="00C1442E" w:rsidRPr="00F57FE9">
        <w:t xml:space="preserve"> </w:t>
      </w:r>
      <w:r w:rsidRPr="00F57FE9">
        <w:rPr>
          <w:i/>
          <w:lang w:eastAsia="en-IN"/>
        </w:rPr>
        <w:t>Eq.</w:t>
      </w:r>
      <w:r w:rsidRPr="00F57FE9">
        <w:rPr>
          <w:i/>
          <w:iCs/>
          <w:lang w:eastAsia="en-IN"/>
        </w:rPr>
        <w:t xml:space="preserve"> </w:t>
      </w:r>
      <w:r w:rsidR="00C1442E" w:rsidRPr="00F57FE9">
        <w:rPr>
          <w:i/>
          <w:iCs/>
          <w:lang w:eastAsia="en-IN"/>
        </w:rPr>
        <w:t>10</w:t>
      </w:r>
    </w:p>
    <w:p w:rsidR="003527E6" w:rsidRPr="00F57FE9" w:rsidRDefault="003527E6" w:rsidP="00F57FE9">
      <w:pPr>
        <w:spacing w:line="360" w:lineRule="auto"/>
        <w:jc w:val="both"/>
      </w:pPr>
      <w:r w:rsidRPr="00F57FE9">
        <w:lastRenderedPageBreak/>
        <w:t xml:space="preserve">Where, Y1 is particle size, (A) concentration of tween 80, (B) concentration of poloxamer 188, (C) number of cycles for MTX-NS formulation by HPH. </w:t>
      </w:r>
    </w:p>
    <w:p w:rsidR="003527E6" w:rsidRDefault="003527E6" w:rsidP="00F57FE9">
      <w:pPr>
        <w:spacing w:line="360" w:lineRule="auto"/>
        <w:jc w:val="both"/>
      </w:pPr>
      <w:r w:rsidRPr="00F57FE9">
        <w:t xml:space="preserve">The F value was </w:t>
      </w:r>
      <w:r w:rsidRPr="00F57FE9">
        <w:rPr>
          <w:lang w:eastAsia="en-IN"/>
        </w:rPr>
        <w:t xml:space="preserve">2.89, which demonstrated that the used model was </w:t>
      </w:r>
      <w:r w:rsidRPr="00F57FE9">
        <w:t xml:space="preserve">significant. While their model terms were not significant as the </w:t>
      </w:r>
      <w:proofErr w:type="spellStart"/>
      <w:r w:rsidRPr="00F57FE9">
        <w:t>Prob</w:t>
      </w:r>
      <w:proofErr w:type="spellEnd"/>
      <w:r w:rsidRPr="00F57FE9">
        <w:t>&gt;F p-value is &lt;</w:t>
      </w:r>
      <w:r w:rsidRPr="00F57FE9">
        <w:rPr>
          <w:lang w:eastAsia="en-IN"/>
        </w:rPr>
        <w:t>0.0567</w:t>
      </w:r>
      <w:r w:rsidRPr="00F57FE9">
        <w:t xml:space="preserve">, hence these models are used to develop the design space. The impact of independent factors on particle size </w:t>
      </w:r>
      <w:proofErr w:type="gramStart"/>
      <w:r w:rsidRPr="00F57FE9">
        <w:t>was studied</w:t>
      </w:r>
      <w:proofErr w:type="gramEnd"/>
      <w:r w:rsidRPr="00F57FE9">
        <w:t xml:space="preserve"> using 3D response surface plots. The Y1 responses predicted values range from </w:t>
      </w:r>
      <w:r w:rsidRPr="00F57FE9">
        <w:rPr>
          <w:lang w:eastAsia="en-IN"/>
        </w:rPr>
        <w:t xml:space="preserve">244.34 </w:t>
      </w:r>
      <w:r w:rsidRPr="00F57FE9">
        <w:t xml:space="preserve">to </w:t>
      </w:r>
      <w:r w:rsidRPr="00F57FE9">
        <w:rPr>
          <w:lang w:eastAsia="en-IN"/>
        </w:rPr>
        <w:t xml:space="preserve">299.02 </w:t>
      </w:r>
      <w:r w:rsidRPr="00F57FE9">
        <w:t>nm. The positive value of the coefficient represents an in</w:t>
      </w:r>
      <w:r w:rsidR="00CB5193">
        <w:t>creasing particle size. Figure 4a</w:t>
      </w:r>
      <w:r w:rsidRPr="00F57FE9">
        <w:t>, predict</w:t>
      </w:r>
      <w:r w:rsidR="00C1442E" w:rsidRPr="00F57FE9">
        <w:t>s that as the concentration of t</w:t>
      </w:r>
      <w:r w:rsidRPr="00F57FE9">
        <w:t xml:space="preserve">ween 80 (A) increases from 0.05 to 0.45 ml, </w:t>
      </w:r>
      <w:r w:rsidR="00C86857">
        <w:t xml:space="preserve">the </w:t>
      </w:r>
      <w:r w:rsidRPr="00F57FE9">
        <w:t>particle</w:t>
      </w:r>
      <w:r w:rsidR="00C1442E" w:rsidRPr="00F57FE9">
        <w:t xml:space="preserve"> starts to aggregate</w:t>
      </w:r>
      <w:r w:rsidRPr="00F57FE9">
        <w:t xml:space="preserve">. It may because of the saturation of surfactant in NS, as formed particles </w:t>
      </w:r>
      <w:proofErr w:type="gramStart"/>
      <w:r w:rsidRPr="00F57FE9">
        <w:t xml:space="preserve">are </w:t>
      </w:r>
      <w:proofErr w:type="spellStart"/>
      <w:r w:rsidRPr="00F57FE9">
        <w:t>adsorbed</w:t>
      </w:r>
      <w:proofErr w:type="spellEnd"/>
      <w:proofErr w:type="gramEnd"/>
      <w:r w:rsidRPr="00F57FE9">
        <w:t xml:space="preserve"> by an excess concentration of surfactant present in NS. When the concentration of poloxamer (B) increases from 25 to 105 mg respectively, it prohibits the re-aggregation of dispersed particles leading to the existence of smaller bodies in NS. Further, it resulted in the decreased particle size </w:t>
      </w:r>
      <w:r w:rsidR="00997A62" w:rsidRPr="00F57FE9">
        <w:t>of NS</w:t>
      </w:r>
      <w:r w:rsidRPr="00F57FE9">
        <w:t xml:space="preserve">. The number of cycles (C) for HPH shows a direct relationship with particle size, with increased C the size of particle decreases. Effectively, the coefficient with a negative value </w:t>
      </w:r>
      <w:proofErr w:type="gramStart"/>
      <w:r w:rsidRPr="00F57FE9">
        <w:t>is represented</w:t>
      </w:r>
      <w:proofErr w:type="gramEnd"/>
      <w:r w:rsidRPr="00F57FE9">
        <w:t xml:space="preserve"> by decreasing particle size. An increase in the number of cycles leads to a reduction in the size of the particle of NS by increasing the viscosity of the system, which inhibits the Ostwald ripening. This is the reason for particle size reduction. Thus, it is a CQA and the factors i.e. concentration of poloxamer 188 and number of the cycle that affects particle size </w:t>
      </w:r>
      <w:proofErr w:type="gramStart"/>
      <w:r w:rsidRPr="00F57FE9">
        <w:t>was optimized</w:t>
      </w:r>
      <w:proofErr w:type="gramEnd"/>
      <w:r w:rsidRPr="00F57FE9">
        <w:t xml:space="preserve"> by CCD.</w:t>
      </w:r>
    </w:p>
    <w:p w:rsidR="009720C1" w:rsidRPr="00F57FE9" w:rsidRDefault="009720C1" w:rsidP="009720C1">
      <w:pPr>
        <w:spacing w:line="360" w:lineRule="auto"/>
        <w:rPr>
          <w:b/>
        </w:rPr>
      </w:pPr>
      <w:r w:rsidRPr="00F57FE9">
        <w:rPr>
          <w:b/>
        </w:rPr>
        <w:t>Effect on DC (Y2)</w:t>
      </w:r>
    </w:p>
    <w:p w:rsidR="009720C1" w:rsidRPr="00F57FE9" w:rsidRDefault="009720C1" w:rsidP="009720C1">
      <w:pPr>
        <w:spacing w:line="360" w:lineRule="auto"/>
        <w:jc w:val="both"/>
      </w:pPr>
      <w:r w:rsidRPr="00F57FE9">
        <w:t>The proposed polynomial equation 11 for DC is as follows,</w:t>
      </w:r>
    </w:p>
    <w:p w:rsidR="009720C1" w:rsidRPr="00F57FE9" w:rsidRDefault="009720C1" w:rsidP="009720C1">
      <w:pPr>
        <w:spacing w:line="360" w:lineRule="auto"/>
        <w:jc w:val="both"/>
        <w:rPr>
          <w:lang w:eastAsia="en-IN"/>
        </w:rPr>
      </w:pPr>
      <w:r w:rsidRPr="00F57FE9">
        <w:t>Y2=</w:t>
      </w:r>
      <w:r w:rsidRPr="00F57FE9">
        <w:rPr>
          <w:lang w:eastAsia="en-IN"/>
        </w:rPr>
        <w:t xml:space="preserve">+88.42+ 0.3055(A) + 0.1995(B) + 0.0560(C)                                              </w:t>
      </w:r>
      <w:r>
        <w:rPr>
          <w:lang w:eastAsia="en-IN"/>
        </w:rPr>
        <w:t xml:space="preserve">                </w:t>
      </w:r>
      <w:r w:rsidRPr="00F57FE9">
        <w:rPr>
          <w:lang w:eastAsia="en-IN"/>
        </w:rPr>
        <w:t xml:space="preserve">   </w:t>
      </w:r>
      <w:r w:rsidRPr="00F57FE9">
        <w:rPr>
          <w:i/>
          <w:lang w:eastAsia="en-IN"/>
        </w:rPr>
        <w:t>Eq.</w:t>
      </w:r>
      <w:r w:rsidRPr="00F57FE9">
        <w:rPr>
          <w:lang w:eastAsia="en-IN"/>
        </w:rPr>
        <w:t xml:space="preserve"> </w:t>
      </w:r>
      <w:r w:rsidRPr="00F57FE9">
        <w:rPr>
          <w:i/>
          <w:iCs/>
          <w:lang w:eastAsia="en-IN"/>
        </w:rPr>
        <w:t>11</w:t>
      </w:r>
    </w:p>
    <w:p w:rsidR="009720C1" w:rsidRDefault="009720C1" w:rsidP="009720C1">
      <w:pPr>
        <w:spacing w:line="360" w:lineRule="auto"/>
        <w:jc w:val="both"/>
      </w:pPr>
      <w:r w:rsidRPr="00F57FE9">
        <w:t xml:space="preserve">The predicted Y2 response values range from </w:t>
      </w:r>
      <w:r w:rsidRPr="00F57FE9">
        <w:rPr>
          <w:lang w:eastAsia="en-IN"/>
        </w:rPr>
        <w:t xml:space="preserve">85.63 to 88.78 %. </w:t>
      </w:r>
      <w:r w:rsidRPr="00F57FE9">
        <w:t xml:space="preserve">The design was not significant as the F value was </w:t>
      </w:r>
      <w:r w:rsidRPr="00F57FE9">
        <w:rPr>
          <w:lang w:eastAsia="en-IN"/>
        </w:rPr>
        <w:t>1.63</w:t>
      </w:r>
      <w:r w:rsidRPr="00F57FE9">
        <w:t xml:space="preserve">, while model terms were not significant as the </w:t>
      </w:r>
      <w:proofErr w:type="spellStart"/>
      <w:r w:rsidRPr="00F57FE9">
        <w:t>Prob</w:t>
      </w:r>
      <w:proofErr w:type="spellEnd"/>
      <w:r w:rsidRPr="00F57FE9">
        <w:t xml:space="preserve">&gt;F, a </w:t>
      </w:r>
      <w:r w:rsidRPr="00F57FE9">
        <w:rPr>
          <w:i/>
        </w:rPr>
        <w:t>p</w:t>
      </w:r>
      <w:r w:rsidRPr="00F57FE9">
        <w:t>-value is &lt;</w:t>
      </w:r>
      <w:r w:rsidRPr="00F57FE9">
        <w:rPr>
          <w:lang w:eastAsia="en-IN"/>
        </w:rPr>
        <w:t>0.2292</w:t>
      </w:r>
      <w:r w:rsidRPr="00F57FE9">
        <w:t xml:space="preserve">, hence these models </w:t>
      </w:r>
      <w:proofErr w:type="gramStart"/>
      <w:r w:rsidRPr="00F57FE9">
        <w:t>were not used</w:t>
      </w:r>
      <w:proofErr w:type="gramEnd"/>
      <w:r w:rsidRPr="00F57FE9">
        <w:t xml:space="preserve"> to develop the design space. Here as ‘</w:t>
      </w:r>
      <w:proofErr w:type="gramStart"/>
      <w:r w:rsidRPr="00F57FE9">
        <w:t>A</w:t>
      </w:r>
      <w:proofErr w:type="gramEnd"/>
      <w:r w:rsidRPr="00F57FE9">
        <w:t>’ increases, there is an increase in DC. While the concentration of ‘B’ shows an i</w:t>
      </w:r>
      <w:r>
        <w:t>ncreasing effect on DC (Figure 4</w:t>
      </w:r>
      <w:r w:rsidR="00C86857">
        <w:t>B</w:t>
      </w:r>
      <w:r w:rsidRPr="00F57FE9">
        <w:t>). DC also increases with increasing ‘C’. The amount of drug i.e. dose present in nanoparticles is significant to study for the dissolution and pharmacokinetic parameters. However, DC had the most important effect on drug dissolution, which directly affects drug absorption and thus bioavailability.</w:t>
      </w:r>
    </w:p>
    <w:p w:rsidR="009720C1" w:rsidRDefault="009720C1" w:rsidP="009720C1">
      <w:pPr>
        <w:spacing w:line="360" w:lineRule="auto"/>
        <w:jc w:val="both"/>
      </w:pPr>
    </w:p>
    <w:p w:rsidR="009720C1" w:rsidRPr="00F57FE9" w:rsidRDefault="009720C1" w:rsidP="009720C1">
      <w:pPr>
        <w:spacing w:line="360" w:lineRule="auto"/>
        <w:jc w:val="both"/>
      </w:pPr>
      <w:r w:rsidRPr="0031242C">
        <w:rPr>
          <w:noProof/>
        </w:rPr>
        <w:lastRenderedPageBreak/>
        <w:drawing>
          <wp:inline distT="0" distB="0" distL="0" distR="0">
            <wp:extent cx="5943600" cy="5793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5793105"/>
                    </a:xfrm>
                    <a:prstGeom prst="rect">
                      <a:avLst/>
                    </a:prstGeom>
                  </pic:spPr>
                </pic:pic>
              </a:graphicData>
            </a:graphic>
          </wp:inline>
        </w:drawing>
      </w:r>
    </w:p>
    <w:p w:rsidR="001D39E8" w:rsidRPr="000F5507" w:rsidRDefault="001D39E8" w:rsidP="001D39E8">
      <w:pPr>
        <w:spacing w:line="360" w:lineRule="auto"/>
        <w:jc w:val="both"/>
      </w:pPr>
      <w:proofErr w:type="gramStart"/>
      <w:r>
        <w:rPr>
          <w:b/>
          <w:bCs/>
        </w:rPr>
        <w:t>Figure 4</w:t>
      </w:r>
      <w:r w:rsidR="00204231">
        <w:t>.</w:t>
      </w:r>
      <w:proofErr w:type="gramEnd"/>
      <w:r w:rsidR="003527E6" w:rsidRPr="00F57FE9">
        <w:t xml:space="preserve"> </w:t>
      </w:r>
      <w:proofErr w:type="gramStart"/>
      <w:r w:rsidR="00F33906">
        <w:t>A)</w:t>
      </w:r>
      <w:r w:rsidRPr="000F5507">
        <w:t>3D</w:t>
      </w:r>
      <w:proofErr w:type="gramEnd"/>
      <w:r w:rsidRPr="000F5507">
        <w:t xml:space="preserve"> surface response plot sho</w:t>
      </w:r>
      <w:r w:rsidR="0031242C">
        <w:t>wing:  a) The effect of factor A</w:t>
      </w:r>
      <w:r w:rsidRPr="000F5507">
        <w:t xml:space="preserve"> (</w:t>
      </w:r>
      <w:r w:rsidR="0031242C">
        <w:t>Concentration of tween 80</w:t>
      </w:r>
      <w:r w:rsidRPr="000F5507">
        <w:t xml:space="preserve">) and factor B (concentration of </w:t>
      </w:r>
      <w:r w:rsidR="0031242C">
        <w:t>poloxamer 188</w:t>
      </w:r>
      <w:r w:rsidRPr="000F5507">
        <w:t xml:space="preserve">) on response Y1 (particle size). </w:t>
      </w:r>
    </w:p>
    <w:p w:rsidR="001D39E8" w:rsidRPr="000F5507" w:rsidRDefault="001D39E8" w:rsidP="001D39E8">
      <w:pPr>
        <w:spacing w:line="360" w:lineRule="auto"/>
        <w:jc w:val="both"/>
      </w:pPr>
      <w:r w:rsidRPr="000F5507">
        <w:t xml:space="preserve">B) The effect of </w:t>
      </w:r>
      <w:r w:rsidR="00542D7D">
        <w:t>factor A</w:t>
      </w:r>
      <w:r w:rsidR="00542D7D" w:rsidRPr="000F5507">
        <w:t xml:space="preserve"> (</w:t>
      </w:r>
      <w:r w:rsidR="00542D7D">
        <w:t>Concentration of tween 80</w:t>
      </w:r>
      <w:r w:rsidR="00542D7D" w:rsidRPr="000F5507">
        <w:t xml:space="preserve">) and factor B (concentration of </w:t>
      </w:r>
      <w:r w:rsidR="00542D7D">
        <w:t>poloxamer 188</w:t>
      </w:r>
      <w:r w:rsidR="00542D7D" w:rsidRPr="000F5507">
        <w:t>)</w:t>
      </w:r>
      <w:r w:rsidRPr="000F5507">
        <w:t xml:space="preserve"> on response Y2 (drug content). </w:t>
      </w:r>
    </w:p>
    <w:p w:rsidR="001D39E8" w:rsidRDefault="001D39E8" w:rsidP="001D39E8">
      <w:pPr>
        <w:spacing w:line="360" w:lineRule="auto"/>
        <w:jc w:val="both"/>
      </w:pPr>
      <w:r w:rsidRPr="000F5507">
        <w:t xml:space="preserve">C) The effect of </w:t>
      </w:r>
      <w:r w:rsidR="00542D7D">
        <w:t>factor A</w:t>
      </w:r>
      <w:r w:rsidR="00542D7D" w:rsidRPr="000F5507">
        <w:t xml:space="preserve"> (</w:t>
      </w:r>
      <w:r w:rsidR="00542D7D">
        <w:t>Concentration of tween 80</w:t>
      </w:r>
      <w:r w:rsidR="00542D7D" w:rsidRPr="000F5507">
        <w:t xml:space="preserve">) and factor B (concentration of </w:t>
      </w:r>
      <w:r w:rsidR="00542D7D">
        <w:t>poloxamer 188</w:t>
      </w:r>
      <w:r w:rsidR="00542D7D" w:rsidRPr="000F5507">
        <w:t>)</w:t>
      </w:r>
      <w:r w:rsidRPr="000F5507">
        <w:t xml:space="preserve"> on response Y2 (drug content).</w:t>
      </w:r>
    </w:p>
    <w:p w:rsidR="009720C1" w:rsidRPr="00F57FE9" w:rsidRDefault="009720C1" w:rsidP="009720C1">
      <w:pPr>
        <w:spacing w:line="360" w:lineRule="auto"/>
        <w:jc w:val="both"/>
        <w:rPr>
          <w:b/>
        </w:rPr>
      </w:pPr>
      <w:r w:rsidRPr="00F57FE9">
        <w:rPr>
          <w:b/>
        </w:rPr>
        <w:t>Effect on EE (Y3)</w:t>
      </w:r>
    </w:p>
    <w:p w:rsidR="009720C1" w:rsidRPr="00F57FE9" w:rsidRDefault="009720C1" w:rsidP="009720C1">
      <w:pPr>
        <w:spacing w:line="360" w:lineRule="auto"/>
        <w:jc w:val="both"/>
      </w:pPr>
      <w:r w:rsidRPr="00F57FE9">
        <w:t xml:space="preserve">The proposed polynomial equation 12 for </w:t>
      </w:r>
      <w:proofErr w:type="gramStart"/>
      <w:r w:rsidRPr="00F57FE9">
        <w:t>%</w:t>
      </w:r>
      <w:proofErr w:type="gramEnd"/>
      <w:r w:rsidRPr="00F57FE9">
        <w:t xml:space="preserve"> EE is as follows,</w:t>
      </w:r>
    </w:p>
    <w:p w:rsidR="009720C1" w:rsidRPr="00F57FE9" w:rsidRDefault="009720C1" w:rsidP="009720C1">
      <w:pPr>
        <w:spacing w:line="360" w:lineRule="auto"/>
        <w:jc w:val="both"/>
        <w:rPr>
          <w:lang w:eastAsia="en-IN"/>
        </w:rPr>
      </w:pPr>
      <w:r w:rsidRPr="00F57FE9">
        <w:t>Y3=</w:t>
      </w:r>
      <w:r w:rsidRPr="00F57FE9">
        <w:rPr>
          <w:lang w:eastAsia="en-IN"/>
        </w:rPr>
        <w:t xml:space="preserve">+99.13-0.092 (A) +0.018(B) -0.078 (C)                                                   </w:t>
      </w:r>
      <w:r>
        <w:rPr>
          <w:lang w:eastAsia="en-IN"/>
        </w:rPr>
        <w:t xml:space="preserve">                      </w:t>
      </w:r>
      <w:r w:rsidRPr="00F57FE9">
        <w:rPr>
          <w:i/>
          <w:lang w:eastAsia="en-IN"/>
        </w:rPr>
        <w:t xml:space="preserve"> Eq.</w:t>
      </w:r>
      <w:r w:rsidRPr="00F57FE9">
        <w:rPr>
          <w:lang w:eastAsia="en-IN"/>
        </w:rPr>
        <w:t xml:space="preserve"> 12</w:t>
      </w:r>
    </w:p>
    <w:p w:rsidR="003527E6" w:rsidRPr="00F57FE9" w:rsidRDefault="009720C1" w:rsidP="00F57FE9">
      <w:pPr>
        <w:spacing w:line="360" w:lineRule="auto"/>
        <w:jc w:val="both"/>
      </w:pPr>
      <w:r w:rsidRPr="00F57FE9">
        <w:lastRenderedPageBreak/>
        <w:t xml:space="preserve">The predicted values of Y3 are displayed in Table 7 and ranges from </w:t>
      </w:r>
      <w:r w:rsidRPr="00F57FE9">
        <w:rPr>
          <w:lang w:eastAsia="en-IN"/>
        </w:rPr>
        <w:t>99.13</w:t>
      </w:r>
      <w:r w:rsidRPr="00F57FE9">
        <w:t>- 99.78%. The design</w:t>
      </w:r>
      <w:r>
        <w:t xml:space="preserve"> </w:t>
      </w:r>
      <w:proofErr w:type="gramStart"/>
      <w:r w:rsidR="003527E6" w:rsidRPr="00F57FE9">
        <w:t>was observed</w:t>
      </w:r>
      <w:proofErr w:type="gramEnd"/>
      <w:r w:rsidR="003527E6" w:rsidRPr="00F57FE9">
        <w:t xml:space="preserve"> as significant as the p-value was </w:t>
      </w:r>
      <w:r w:rsidR="003527E6" w:rsidRPr="00F57FE9">
        <w:rPr>
          <w:lang w:eastAsia="en-IN"/>
        </w:rPr>
        <w:t>0.0152</w:t>
      </w:r>
      <w:r w:rsidR="003527E6" w:rsidRPr="00F57FE9">
        <w:t>. As p-values are &lt; 0.05 indicating significant terms of the model. The 3D surface response</w:t>
      </w:r>
      <w:r w:rsidR="00CB5193">
        <w:t xml:space="preserve"> plots are displayed in Figure 4</w:t>
      </w:r>
      <w:r w:rsidR="00C86857">
        <w:t>C</w:t>
      </w:r>
      <w:r w:rsidR="003527E6" w:rsidRPr="00F57FE9">
        <w:t xml:space="preserve">, which predicts the </w:t>
      </w:r>
      <w:proofErr w:type="gramStart"/>
      <w:r w:rsidR="003527E6" w:rsidRPr="00F57FE9">
        <w:t>%</w:t>
      </w:r>
      <w:proofErr w:type="gramEnd"/>
      <w:r w:rsidR="003527E6" w:rsidRPr="00F57FE9">
        <w:t xml:space="preserve"> EE with the effect of factor and their responses. The significant interaction of poloxamer 188 with MTX in NS resulted in the directly proportional relationship in factor ‘B’ and the EE. While the increase in the concentration of tween 80 and the number of cycles of HPH, consequently decreases the </w:t>
      </w:r>
      <w:proofErr w:type="gramStart"/>
      <w:r w:rsidR="003527E6" w:rsidRPr="00F57FE9">
        <w:t>%</w:t>
      </w:r>
      <w:proofErr w:type="gramEnd"/>
      <w:r w:rsidR="003527E6" w:rsidRPr="00F57FE9">
        <w:t xml:space="preserve"> EE of NS. Optimum EE allows the controlled release of MTX from NS. EE increases the drug loading capacity of NS with increased dosing intervals, less toxicity because of the excipients and residual solvents, and more appropriate dosing. </w:t>
      </w:r>
    </w:p>
    <w:p w:rsidR="003527E6" w:rsidRPr="00F57FE9" w:rsidRDefault="003527E6" w:rsidP="00F57FE9">
      <w:pPr>
        <w:spacing w:line="360" w:lineRule="auto"/>
        <w:jc w:val="both"/>
        <w:rPr>
          <w:b/>
        </w:rPr>
      </w:pPr>
      <w:r w:rsidRPr="00F57FE9">
        <w:rPr>
          <w:b/>
        </w:rPr>
        <w:t xml:space="preserve">3.3.4. Optimization Model Validation  </w:t>
      </w:r>
    </w:p>
    <w:p w:rsidR="003527E6" w:rsidRPr="00F57FE9" w:rsidRDefault="003527E6" w:rsidP="00F57FE9">
      <w:pPr>
        <w:spacing w:line="360" w:lineRule="auto"/>
        <w:jc w:val="both"/>
      </w:pPr>
      <w:r w:rsidRPr="00F57FE9">
        <w:t xml:space="preserve">To achieve the predicted (software suggestions) composition, targeted criteria were fed into the software. The software-suggested values </w:t>
      </w:r>
      <w:proofErr w:type="gramStart"/>
      <w:r w:rsidRPr="00F57FE9">
        <w:t>were selected</w:t>
      </w:r>
      <w:proofErr w:type="gramEnd"/>
      <w:r w:rsidRPr="00F57FE9">
        <w:t xml:space="preserve"> as a region of interest based on desirability values and were practically used for their verification. The design expert software </w:t>
      </w:r>
      <w:proofErr w:type="gramStart"/>
      <w:r w:rsidRPr="00F57FE9">
        <w:t>was used</w:t>
      </w:r>
      <w:proofErr w:type="gramEnd"/>
      <w:r w:rsidRPr="00F57FE9">
        <w:t xml:space="preserve"> to statistically validate the obtained polynomials by ANOVA. The design space </w:t>
      </w:r>
      <w:proofErr w:type="gramStart"/>
      <w:r w:rsidRPr="00F57FE9">
        <w:t>was constructed</w:t>
      </w:r>
      <w:proofErr w:type="gramEnd"/>
      <w:r w:rsidRPr="00F57FE9">
        <w:t xml:space="preserve"> using a graphical method for this study. The desirability values based on selected software suggestions were observed as </w:t>
      </w:r>
      <w:proofErr w:type="gramStart"/>
      <w:r w:rsidRPr="00F57FE9">
        <w:t>1</w:t>
      </w:r>
      <w:proofErr w:type="gramEnd"/>
      <w:r w:rsidRPr="00F57FE9">
        <w:t>, providing 100 % assurances to achieve the targeted product with efficient CPPs and CMAs. Thus greater desirability value more possibility to g</w:t>
      </w:r>
      <w:r w:rsidR="0040488A">
        <w:t>ain the target product (Figure 5</w:t>
      </w:r>
      <w:r w:rsidRPr="00F57FE9">
        <w:t xml:space="preserve">). The final formulation was prepared with optimized CPPs and CMAs, and its CQAs </w:t>
      </w:r>
      <w:proofErr w:type="gramStart"/>
      <w:r w:rsidRPr="00F57FE9">
        <w:t>were analyzed</w:t>
      </w:r>
      <w:proofErr w:type="gramEnd"/>
      <w:r w:rsidRPr="00F57FE9">
        <w:t xml:space="preserve">. The predicted and actual results of CQAs </w:t>
      </w:r>
      <w:proofErr w:type="gramStart"/>
      <w:r w:rsidRPr="00F57FE9">
        <w:t>were used</w:t>
      </w:r>
      <w:proofErr w:type="gramEnd"/>
      <w:r w:rsidRPr="00F57FE9">
        <w:t xml:space="preserve"> to calculate the values of residuals to ensure the attainment of the design space. The calculation of residual values is also a verification/validation of the model and CQAs. The values of residuals </w:t>
      </w:r>
      <w:proofErr w:type="gramStart"/>
      <w:r w:rsidRPr="00F57FE9">
        <w:t>were calculated</w:t>
      </w:r>
      <w:proofErr w:type="gramEnd"/>
      <w:r w:rsidRPr="00F57FE9">
        <w:t xml:space="preserve"> as percent residual using the following formula:</w:t>
      </w:r>
    </w:p>
    <w:p w:rsidR="003527E6" w:rsidRPr="00F57FE9" w:rsidRDefault="003527E6" w:rsidP="00F57FE9">
      <w:pPr>
        <w:spacing w:line="360" w:lineRule="auto"/>
        <w:jc w:val="both"/>
      </w:pPr>
      <m:oMath>
        <m:r>
          <m:rPr>
            <m:sty m:val="p"/>
          </m:rPr>
          <w:rPr>
            <w:rFonts w:ascii="Cambria Math"/>
          </w:rPr>
          <m:t>Percent residual=</m:t>
        </m:r>
        <m:f>
          <m:fPr>
            <m:ctrlPr>
              <w:rPr>
                <w:rFonts w:ascii="Cambria Math" w:hAnsi="Cambria Math"/>
                <w:lang w:bidi="mr-IN"/>
              </w:rPr>
            </m:ctrlPr>
          </m:fPr>
          <m:num>
            <m:r>
              <m:rPr>
                <m:sty m:val="p"/>
              </m:rPr>
              <w:rPr>
                <w:rFonts w:ascii="Cambria Math"/>
              </w:rPr>
              <m:t>Software suggested results</m:t>
            </m:r>
            <m:r>
              <m:rPr>
                <m:sty m:val="p"/>
              </m:rPr>
              <w:rPr>
                <w:rFonts w:ascii="Cambria Math"/>
              </w:rPr>
              <m:t>-</m:t>
            </m:r>
            <m:r>
              <m:rPr>
                <m:sty m:val="p"/>
              </m:rPr>
              <w:rPr>
                <w:rFonts w:ascii="Cambria Math"/>
              </w:rPr>
              <m:t xml:space="preserve"> Actual obtained results </m:t>
            </m:r>
          </m:num>
          <m:den>
            <m:r>
              <m:rPr>
                <m:sty m:val="p"/>
              </m:rPr>
              <w:rPr>
                <w:rFonts w:ascii="Cambria Math"/>
              </w:rPr>
              <m:t>Software suggested results</m:t>
            </m:r>
          </m:den>
        </m:f>
        <m:r>
          <w:rPr>
            <w:rFonts w:ascii="Cambria Math"/>
          </w:rPr>
          <m:t>×</m:t>
        </m:r>
        <m:r>
          <w:rPr>
            <w:rFonts w:ascii="Cambria Math"/>
          </w:rPr>
          <m:t>100</m:t>
        </m:r>
      </m:oMath>
      <w:r w:rsidR="002D0920" w:rsidRPr="00F57FE9">
        <w:rPr>
          <w:i/>
        </w:rPr>
        <w:t xml:space="preserve"> </w:t>
      </w:r>
      <w:r w:rsidRPr="00F57FE9">
        <w:rPr>
          <w:i/>
          <w:iCs/>
        </w:rPr>
        <w:t>Eq.</w:t>
      </w:r>
      <w:r w:rsidR="002D0920" w:rsidRPr="00F57FE9">
        <w:t xml:space="preserve"> 13</w:t>
      </w:r>
    </w:p>
    <w:p w:rsidR="003527E6" w:rsidRPr="00F57FE9" w:rsidRDefault="003527E6" w:rsidP="00F57FE9">
      <w:pPr>
        <w:spacing w:line="360" w:lineRule="auto"/>
        <w:jc w:val="both"/>
      </w:pPr>
      <w:r w:rsidRPr="00F57FE9">
        <w:t xml:space="preserve">The optimized CPPs and CMAs with residual values of CQAs </w:t>
      </w:r>
      <w:proofErr w:type="gramStart"/>
      <w:r w:rsidRPr="00F57FE9">
        <w:t>are summarized</w:t>
      </w:r>
      <w:proofErr w:type="gramEnd"/>
      <w:r w:rsidRPr="00F57FE9">
        <w:t xml:space="preserve"> in Table 9. </w:t>
      </w:r>
    </w:p>
    <w:p w:rsidR="009720C1" w:rsidRPr="00F57FE9" w:rsidRDefault="003527E6" w:rsidP="00D541E4">
      <w:pPr>
        <w:spacing w:line="360" w:lineRule="auto"/>
      </w:pPr>
      <w:proofErr w:type="gramStart"/>
      <w:r w:rsidRPr="003F0FB6">
        <w:rPr>
          <w:b/>
          <w:bCs/>
        </w:rPr>
        <w:t>Table 9</w:t>
      </w:r>
      <w:r w:rsidR="003F0FB6">
        <w:t>.</w:t>
      </w:r>
      <w:proofErr w:type="gramEnd"/>
      <w:r w:rsidRPr="00F57FE9">
        <w:t xml:space="preserve"> Residual values of </w:t>
      </w:r>
      <w:r w:rsidR="0089063E" w:rsidRPr="00F57FE9">
        <w:t>CQAs of optimized formulations</w:t>
      </w:r>
    </w:p>
    <w:tbl>
      <w:tblPr>
        <w:tblW w:w="9499" w:type="dxa"/>
        <w:jc w:val="center"/>
        <w:tblLayout w:type="fixed"/>
        <w:tblLook w:val="04A0"/>
      </w:tblPr>
      <w:tblGrid>
        <w:gridCol w:w="1870"/>
        <w:gridCol w:w="1530"/>
        <w:gridCol w:w="1350"/>
        <w:gridCol w:w="900"/>
        <w:gridCol w:w="1170"/>
        <w:gridCol w:w="1440"/>
        <w:gridCol w:w="1239"/>
      </w:tblGrid>
      <w:tr w:rsidR="0057780D" w:rsidRPr="009720C1" w:rsidTr="009720C1">
        <w:trPr>
          <w:trHeight w:val="800"/>
          <w:jc w:val="center"/>
        </w:trPr>
        <w:tc>
          <w:tcPr>
            <w:tcW w:w="1870" w:type="dxa"/>
            <w:vMerge w:val="restart"/>
            <w:tcBorders>
              <w:top w:val="single" w:sz="4" w:space="0" w:color="auto"/>
              <w:bottom w:val="single" w:sz="4" w:space="0" w:color="auto"/>
            </w:tcBorders>
            <w:vAlign w:val="center"/>
          </w:tcPr>
          <w:p w:rsidR="0057780D" w:rsidRPr="009720C1" w:rsidRDefault="0057780D" w:rsidP="003F0FB6">
            <w:pPr>
              <w:spacing w:line="360" w:lineRule="auto"/>
              <w:contextualSpacing/>
              <w:jc w:val="center"/>
              <w:rPr>
                <w:b/>
                <w:bCs/>
                <w:sz w:val="20"/>
                <w:szCs w:val="20"/>
              </w:rPr>
            </w:pPr>
            <w:r w:rsidRPr="009720C1">
              <w:rPr>
                <w:b/>
                <w:bCs/>
                <w:sz w:val="20"/>
                <w:szCs w:val="20"/>
              </w:rPr>
              <w:t>Response parameters</w:t>
            </w:r>
          </w:p>
        </w:tc>
        <w:tc>
          <w:tcPr>
            <w:tcW w:w="3780" w:type="dxa"/>
            <w:gridSpan w:val="3"/>
            <w:tcBorders>
              <w:top w:val="single" w:sz="4" w:space="0" w:color="auto"/>
              <w:bottom w:val="single" w:sz="4" w:space="0" w:color="auto"/>
            </w:tcBorders>
            <w:vAlign w:val="center"/>
          </w:tcPr>
          <w:p w:rsidR="0057780D" w:rsidRPr="009720C1" w:rsidRDefault="0057780D" w:rsidP="003F0FB6">
            <w:pPr>
              <w:spacing w:line="360" w:lineRule="auto"/>
              <w:contextualSpacing/>
              <w:jc w:val="center"/>
              <w:rPr>
                <w:b/>
                <w:bCs/>
                <w:sz w:val="20"/>
                <w:szCs w:val="20"/>
              </w:rPr>
            </w:pPr>
            <w:r w:rsidRPr="009720C1">
              <w:rPr>
                <w:b/>
                <w:bCs/>
                <w:sz w:val="20"/>
                <w:szCs w:val="20"/>
              </w:rPr>
              <w:t>CMAs/CPPs</w:t>
            </w:r>
          </w:p>
        </w:tc>
        <w:tc>
          <w:tcPr>
            <w:tcW w:w="3849" w:type="dxa"/>
            <w:gridSpan w:val="3"/>
            <w:tcBorders>
              <w:top w:val="single" w:sz="4" w:space="0" w:color="auto"/>
              <w:bottom w:val="single" w:sz="4" w:space="0" w:color="auto"/>
            </w:tcBorders>
            <w:vAlign w:val="center"/>
          </w:tcPr>
          <w:p w:rsidR="0057780D" w:rsidRPr="009720C1" w:rsidRDefault="0057780D" w:rsidP="003F0FB6">
            <w:pPr>
              <w:spacing w:line="360" w:lineRule="auto"/>
              <w:contextualSpacing/>
              <w:jc w:val="center"/>
              <w:rPr>
                <w:b/>
                <w:bCs/>
                <w:sz w:val="20"/>
                <w:szCs w:val="20"/>
              </w:rPr>
            </w:pPr>
            <w:r w:rsidRPr="009720C1">
              <w:rPr>
                <w:b/>
                <w:bCs/>
                <w:sz w:val="20"/>
                <w:szCs w:val="20"/>
              </w:rPr>
              <w:t>CQAs</w:t>
            </w:r>
          </w:p>
        </w:tc>
      </w:tr>
      <w:tr w:rsidR="0057780D" w:rsidRPr="009720C1" w:rsidTr="009720C1">
        <w:trPr>
          <w:cantSplit/>
          <w:trHeight w:val="1070"/>
          <w:jc w:val="center"/>
        </w:trPr>
        <w:tc>
          <w:tcPr>
            <w:tcW w:w="1870" w:type="dxa"/>
            <w:vMerge/>
            <w:tcBorders>
              <w:top w:val="single" w:sz="4" w:space="0" w:color="auto"/>
              <w:bottom w:val="single" w:sz="4" w:space="0" w:color="auto"/>
            </w:tcBorders>
            <w:vAlign w:val="center"/>
          </w:tcPr>
          <w:p w:rsidR="0057780D" w:rsidRPr="009720C1" w:rsidRDefault="0057780D" w:rsidP="003F0FB6">
            <w:pPr>
              <w:spacing w:line="360" w:lineRule="auto"/>
              <w:contextualSpacing/>
              <w:jc w:val="center"/>
              <w:rPr>
                <w:b/>
                <w:bCs/>
                <w:sz w:val="20"/>
                <w:szCs w:val="20"/>
              </w:rPr>
            </w:pPr>
          </w:p>
        </w:tc>
        <w:tc>
          <w:tcPr>
            <w:tcW w:w="1530" w:type="dxa"/>
            <w:tcBorders>
              <w:top w:val="single" w:sz="4" w:space="0" w:color="auto"/>
              <w:bottom w:val="single" w:sz="4" w:space="0" w:color="auto"/>
            </w:tcBorders>
            <w:vAlign w:val="center"/>
          </w:tcPr>
          <w:p w:rsidR="0057780D" w:rsidRPr="009720C1" w:rsidRDefault="0057780D" w:rsidP="009720C1">
            <w:pPr>
              <w:spacing w:line="360" w:lineRule="auto"/>
              <w:contextualSpacing/>
              <w:jc w:val="center"/>
              <w:rPr>
                <w:b/>
                <w:bCs/>
                <w:sz w:val="18"/>
                <w:szCs w:val="18"/>
              </w:rPr>
            </w:pPr>
            <w:r w:rsidRPr="009720C1">
              <w:rPr>
                <w:b/>
                <w:bCs/>
                <w:sz w:val="18"/>
                <w:szCs w:val="18"/>
              </w:rPr>
              <w:t>Concentration of Tween 80</w:t>
            </w:r>
          </w:p>
          <w:p w:rsidR="0057780D" w:rsidRPr="009720C1" w:rsidRDefault="0057780D" w:rsidP="009720C1">
            <w:pPr>
              <w:spacing w:line="360" w:lineRule="auto"/>
              <w:contextualSpacing/>
              <w:jc w:val="center"/>
              <w:rPr>
                <w:b/>
                <w:bCs/>
                <w:sz w:val="18"/>
                <w:szCs w:val="18"/>
              </w:rPr>
            </w:pPr>
            <w:r w:rsidRPr="009720C1">
              <w:rPr>
                <w:b/>
                <w:bCs/>
                <w:sz w:val="18"/>
                <w:szCs w:val="18"/>
              </w:rPr>
              <w:t>(% v/v)</w:t>
            </w:r>
          </w:p>
        </w:tc>
        <w:tc>
          <w:tcPr>
            <w:tcW w:w="1350" w:type="dxa"/>
            <w:tcBorders>
              <w:top w:val="single" w:sz="4" w:space="0" w:color="auto"/>
              <w:bottom w:val="single" w:sz="4" w:space="0" w:color="auto"/>
            </w:tcBorders>
            <w:vAlign w:val="center"/>
          </w:tcPr>
          <w:p w:rsidR="0057780D" w:rsidRPr="009720C1" w:rsidRDefault="0057780D" w:rsidP="009720C1">
            <w:pPr>
              <w:spacing w:line="360" w:lineRule="auto"/>
              <w:contextualSpacing/>
              <w:jc w:val="center"/>
              <w:rPr>
                <w:b/>
                <w:bCs/>
                <w:sz w:val="18"/>
                <w:szCs w:val="18"/>
              </w:rPr>
            </w:pPr>
            <w:r w:rsidRPr="009720C1">
              <w:rPr>
                <w:b/>
                <w:bCs/>
                <w:sz w:val="18"/>
                <w:szCs w:val="18"/>
              </w:rPr>
              <w:t>Concentration of Poloxamer 188</w:t>
            </w:r>
          </w:p>
          <w:p w:rsidR="0057780D" w:rsidRPr="009720C1" w:rsidRDefault="003F0FB6" w:rsidP="009720C1">
            <w:pPr>
              <w:spacing w:line="360" w:lineRule="auto"/>
              <w:contextualSpacing/>
              <w:jc w:val="center"/>
              <w:rPr>
                <w:b/>
                <w:bCs/>
                <w:sz w:val="18"/>
                <w:szCs w:val="18"/>
              </w:rPr>
            </w:pPr>
            <w:r w:rsidRPr="009720C1">
              <w:rPr>
                <w:b/>
                <w:bCs/>
                <w:sz w:val="18"/>
                <w:szCs w:val="18"/>
              </w:rPr>
              <w:t>(mg)</w:t>
            </w:r>
          </w:p>
        </w:tc>
        <w:tc>
          <w:tcPr>
            <w:tcW w:w="900" w:type="dxa"/>
            <w:tcBorders>
              <w:top w:val="single" w:sz="4" w:space="0" w:color="auto"/>
              <w:bottom w:val="single" w:sz="4" w:space="0" w:color="auto"/>
            </w:tcBorders>
            <w:vAlign w:val="center"/>
          </w:tcPr>
          <w:p w:rsidR="0057780D" w:rsidRPr="009720C1" w:rsidRDefault="0057780D" w:rsidP="009720C1">
            <w:pPr>
              <w:spacing w:line="360" w:lineRule="auto"/>
              <w:contextualSpacing/>
              <w:jc w:val="center"/>
              <w:rPr>
                <w:b/>
                <w:bCs/>
                <w:sz w:val="18"/>
                <w:szCs w:val="18"/>
              </w:rPr>
            </w:pPr>
            <w:r w:rsidRPr="009720C1">
              <w:rPr>
                <w:b/>
                <w:bCs/>
                <w:sz w:val="18"/>
                <w:szCs w:val="18"/>
              </w:rPr>
              <w:t>Number of cycles</w:t>
            </w:r>
          </w:p>
        </w:tc>
        <w:tc>
          <w:tcPr>
            <w:tcW w:w="1170" w:type="dxa"/>
            <w:tcBorders>
              <w:top w:val="single" w:sz="4" w:space="0" w:color="auto"/>
              <w:bottom w:val="single" w:sz="4" w:space="0" w:color="auto"/>
            </w:tcBorders>
            <w:vAlign w:val="center"/>
          </w:tcPr>
          <w:p w:rsidR="0057780D" w:rsidRPr="009720C1" w:rsidRDefault="0057780D" w:rsidP="009720C1">
            <w:pPr>
              <w:spacing w:line="360" w:lineRule="auto"/>
              <w:contextualSpacing/>
              <w:jc w:val="center"/>
              <w:rPr>
                <w:b/>
                <w:bCs/>
                <w:sz w:val="18"/>
                <w:szCs w:val="18"/>
              </w:rPr>
            </w:pPr>
            <w:r w:rsidRPr="009720C1">
              <w:rPr>
                <w:b/>
                <w:bCs/>
                <w:sz w:val="18"/>
                <w:szCs w:val="18"/>
              </w:rPr>
              <w:t>Particle size</w:t>
            </w:r>
          </w:p>
          <w:p w:rsidR="0057780D" w:rsidRPr="009720C1" w:rsidRDefault="0057780D" w:rsidP="009720C1">
            <w:pPr>
              <w:spacing w:line="360" w:lineRule="auto"/>
              <w:contextualSpacing/>
              <w:jc w:val="center"/>
              <w:rPr>
                <w:b/>
                <w:bCs/>
                <w:sz w:val="18"/>
                <w:szCs w:val="18"/>
              </w:rPr>
            </w:pPr>
            <w:r w:rsidRPr="009720C1">
              <w:rPr>
                <w:b/>
                <w:bCs/>
                <w:sz w:val="18"/>
                <w:szCs w:val="18"/>
              </w:rPr>
              <w:t>(nm)</w:t>
            </w:r>
          </w:p>
        </w:tc>
        <w:tc>
          <w:tcPr>
            <w:tcW w:w="1440" w:type="dxa"/>
            <w:tcBorders>
              <w:top w:val="single" w:sz="4" w:space="0" w:color="auto"/>
              <w:bottom w:val="single" w:sz="4" w:space="0" w:color="auto"/>
            </w:tcBorders>
            <w:vAlign w:val="center"/>
          </w:tcPr>
          <w:p w:rsidR="0057780D" w:rsidRPr="009720C1" w:rsidRDefault="0057780D" w:rsidP="009720C1">
            <w:pPr>
              <w:spacing w:line="360" w:lineRule="auto"/>
              <w:contextualSpacing/>
              <w:jc w:val="center"/>
              <w:rPr>
                <w:b/>
                <w:bCs/>
                <w:sz w:val="18"/>
                <w:szCs w:val="18"/>
              </w:rPr>
            </w:pPr>
            <w:r w:rsidRPr="009720C1">
              <w:rPr>
                <w:b/>
                <w:bCs/>
                <w:sz w:val="18"/>
                <w:szCs w:val="18"/>
              </w:rPr>
              <w:t>Drug content</w:t>
            </w:r>
          </w:p>
          <w:p w:rsidR="0057780D" w:rsidRPr="009720C1" w:rsidRDefault="003F0FB6" w:rsidP="009720C1">
            <w:pPr>
              <w:spacing w:line="360" w:lineRule="auto"/>
              <w:contextualSpacing/>
              <w:jc w:val="center"/>
              <w:rPr>
                <w:b/>
                <w:bCs/>
                <w:sz w:val="18"/>
                <w:szCs w:val="18"/>
              </w:rPr>
            </w:pPr>
            <w:r w:rsidRPr="009720C1">
              <w:rPr>
                <w:b/>
                <w:bCs/>
                <w:sz w:val="18"/>
                <w:szCs w:val="18"/>
              </w:rPr>
              <w:t>(%)</w:t>
            </w:r>
          </w:p>
        </w:tc>
        <w:tc>
          <w:tcPr>
            <w:tcW w:w="1239" w:type="dxa"/>
            <w:tcBorders>
              <w:top w:val="single" w:sz="4" w:space="0" w:color="auto"/>
              <w:bottom w:val="single" w:sz="4" w:space="0" w:color="auto"/>
            </w:tcBorders>
            <w:vAlign w:val="center"/>
          </w:tcPr>
          <w:p w:rsidR="0057780D" w:rsidRPr="009720C1" w:rsidRDefault="0057780D" w:rsidP="009720C1">
            <w:pPr>
              <w:spacing w:line="360" w:lineRule="auto"/>
              <w:contextualSpacing/>
              <w:jc w:val="center"/>
              <w:rPr>
                <w:b/>
                <w:bCs/>
                <w:sz w:val="18"/>
                <w:szCs w:val="18"/>
              </w:rPr>
            </w:pPr>
            <w:r w:rsidRPr="009720C1">
              <w:rPr>
                <w:b/>
                <w:bCs/>
                <w:sz w:val="18"/>
                <w:szCs w:val="18"/>
              </w:rPr>
              <w:t>% EE</w:t>
            </w:r>
          </w:p>
        </w:tc>
      </w:tr>
      <w:tr w:rsidR="0057780D" w:rsidRPr="009720C1" w:rsidTr="009720C1">
        <w:trPr>
          <w:trHeight w:val="324"/>
          <w:jc w:val="center"/>
        </w:trPr>
        <w:tc>
          <w:tcPr>
            <w:tcW w:w="1870" w:type="dxa"/>
            <w:tcBorders>
              <w:top w:val="single" w:sz="4" w:space="0" w:color="auto"/>
            </w:tcBorders>
            <w:vAlign w:val="center"/>
          </w:tcPr>
          <w:p w:rsidR="0057780D" w:rsidRPr="009720C1" w:rsidRDefault="0057780D" w:rsidP="003F0FB6">
            <w:pPr>
              <w:spacing w:line="360" w:lineRule="auto"/>
              <w:contextualSpacing/>
              <w:jc w:val="center"/>
              <w:rPr>
                <w:sz w:val="20"/>
                <w:szCs w:val="20"/>
              </w:rPr>
            </w:pPr>
            <w:r w:rsidRPr="009720C1">
              <w:rPr>
                <w:sz w:val="20"/>
                <w:szCs w:val="20"/>
              </w:rPr>
              <w:t xml:space="preserve">Software-predicted </w:t>
            </w:r>
            <w:r w:rsidRPr="009720C1">
              <w:rPr>
                <w:sz w:val="20"/>
                <w:szCs w:val="20"/>
              </w:rPr>
              <w:lastRenderedPageBreak/>
              <w:t>results</w:t>
            </w:r>
          </w:p>
        </w:tc>
        <w:tc>
          <w:tcPr>
            <w:tcW w:w="1530" w:type="dxa"/>
            <w:tcBorders>
              <w:top w:val="single" w:sz="4" w:space="0" w:color="auto"/>
            </w:tcBorders>
            <w:vAlign w:val="center"/>
          </w:tcPr>
          <w:p w:rsidR="0057780D" w:rsidRPr="009720C1" w:rsidRDefault="0057780D" w:rsidP="003F0FB6">
            <w:pPr>
              <w:spacing w:line="360" w:lineRule="auto"/>
              <w:jc w:val="center"/>
              <w:rPr>
                <w:sz w:val="20"/>
                <w:szCs w:val="20"/>
              </w:rPr>
            </w:pPr>
            <w:r w:rsidRPr="009720C1">
              <w:rPr>
                <w:sz w:val="20"/>
                <w:szCs w:val="20"/>
              </w:rPr>
              <w:lastRenderedPageBreak/>
              <w:t>0.10</w:t>
            </w:r>
          </w:p>
        </w:tc>
        <w:tc>
          <w:tcPr>
            <w:tcW w:w="1350" w:type="dxa"/>
            <w:tcBorders>
              <w:top w:val="single" w:sz="4" w:space="0" w:color="auto"/>
            </w:tcBorders>
            <w:vAlign w:val="center"/>
          </w:tcPr>
          <w:p w:rsidR="0057780D" w:rsidRPr="009720C1" w:rsidRDefault="0057780D" w:rsidP="003F0FB6">
            <w:pPr>
              <w:spacing w:line="360" w:lineRule="auto"/>
              <w:jc w:val="center"/>
              <w:rPr>
                <w:sz w:val="20"/>
                <w:szCs w:val="20"/>
              </w:rPr>
            </w:pPr>
            <w:r w:rsidRPr="009720C1">
              <w:rPr>
                <w:sz w:val="20"/>
                <w:szCs w:val="20"/>
              </w:rPr>
              <w:t>75</w:t>
            </w:r>
          </w:p>
        </w:tc>
        <w:tc>
          <w:tcPr>
            <w:tcW w:w="900" w:type="dxa"/>
            <w:tcBorders>
              <w:top w:val="single" w:sz="4" w:space="0" w:color="auto"/>
            </w:tcBorders>
            <w:vAlign w:val="center"/>
          </w:tcPr>
          <w:p w:rsidR="0057780D" w:rsidRPr="009720C1" w:rsidRDefault="0057780D" w:rsidP="003F0FB6">
            <w:pPr>
              <w:spacing w:line="360" w:lineRule="auto"/>
              <w:jc w:val="center"/>
              <w:rPr>
                <w:sz w:val="20"/>
                <w:szCs w:val="20"/>
              </w:rPr>
            </w:pPr>
            <w:r w:rsidRPr="009720C1">
              <w:rPr>
                <w:sz w:val="20"/>
                <w:szCs w:val="20"/>
              </w:rPr>
              <w:t>25</w:t>
            </w:r>
          </w:p>
        </w:tc>
        <w:tc>
          <w:tcPr>
            <w:tcW w:w="1170" w:type="dxa"/>
            <w:tcBorders>
              <w:top w:val="single" w:sz="4" w:space="0" w:color="auto"/>
            </w:tcBorders>
            <w:vAlign w:val="center"/>
          </w:tcPr>
          <w:p w:rsidR="0057780D" w:rsidRPr="009720C1" w:rsidRDefault="0057780D" w:rsidP="003F0FB6">
            <w:pPr>
              <w:spacing w:line="360" w:lineRule="auto"/>
              <w:jc w:val="center"/>
              <w:rPr>
                <w:sz w:val="20"/>
                <w:szCs w:val="20"/>
              </w:rPr>
            </w:pPr>
            <w:r w:rsidRPr="009720C1">
              <w:rPr>
                <w:sz w:val="20"/>
                <w:szCs w:val="20"/>
              </w:rPr>
              <w:t>259.71</w:t>
            </w:r>
          </w:p>
        </w:tc>
        <w:tc>
          <w:tcPr>
            <w:tcW w:w="1440" w:type="dxa"/>
            <w:tcBorders>
              <w:top w:val="single" w:sz="4" w:space="0" w:color="auto"/>
            </w:tcBorders>
            <w:vAlign w:val="center"/>
          </w:tcPr>
          <w:p w:rsidR="0057780D" w:rsidRPr="009720C1" w:rsidRDefault="0057780D" w:rsidP="003F0FB6">
            <w:pPr>
              <w:spacing w:line="360" w:lineRule="auto"/>
              <w:jc w:val="center"/>
              <w:rPr>
                <w:sz w:val="20"/>
                <w:szCs w:val="20"/>
              </w:rPr>
            </w:pPr>
            <w:r w:rsidRPr="009720C1">
              <w:rPr>
                <w:sz w:val="20"/>
                <w:szCs w:val="20"/>
              </w:rPr>
              <w:t>87.35</w:t>
            </w:r>
          </w:p>
        </w:tc>
        <w:tc>
          <w:tcPr>
            <w:tcW w:w="1239" w:type="dxa"/>
            <w:tcBorders>
              <w:top w:val="single" w:sz="4" w:space="0" w:color="auto"/>
            </w:tcBorders>
            <w:vAlign w:val="center"/>
          </w:tcPr>
          <w:p w:rsidR="0057780D" w:rsidRPr="009720C1" w:rsidRDefault="0057780D" w:rsidP="003F0FB6">
            <w:pPr>
              <w:spacing w:line="360" w:lineRule="auto"/>
              <w:jc w:val="center"/>
              <w:rPr>
                <w:sz w:val="20"/>
                <w:szCs w:val="20"/>
              </w:rPr>
            </w:pPr>
            <w:r w:rsidRPr="009720C1">
              <w:rPr>
                <w:sz w:val="20"/>
                <w:szCs w:val="20"/>
              </w:rPr>
              <w:t>99.35</w:t>
            </w:r>
          </w:p>
        </w:tc>
      </w:tr>
      <w:tr w:rsidR="0057780D" w:rsidRPr="009720C1" w:rsidTr="009720C1">
        <w:trPr>
          <w:trHeight w:val="324"/>
          <w:jc w:val="center"/>
        </w:trPr>
        <w:tc>
          <w:tcPr>
            <w:tcW w:w="1870" w:type="dxa"/>
            <w:vAlign w:val="center"/>
          </w:tcPr>
          <w:p w:rsidR="0057780D" w:rsidRPr="009720C1" w:rsidRDefault="0057780D" w:rsidP="003F0FB6">
            <w:pPr>
              <w:spacing w:line="360" w:lineRule="auto"/>
              <w:contextualSpacing/>
              <w:jc w:val="center"/>
              <w:rPr>
                <w:sz w:val="20"/>
                <w:szCs w:val="20"/>
              </w:rPr>
            </w:pPr>
            <w:r w:rsidRPr="009720C1">
              <w:rPr>
                <w:sz w:val="20"/>
                <w:szCs w:val="20"/>
              </w:rPr>
              <w:lastRenderedPageBreak/>
              <w:t>Actual obtained results</w:t>
            </w:r>
          </w:p>
        </w:tc>
        <w:tc>
          <w:tcPr>
            <w:tcW w:w="1530" w:type="dxa"/>
            <w:vAlign w:val="center"/>
          </w:tcPr>
          <w:p w:rsidR="0057780D" w:rsidRPr="009720C1" w:rsidRDefault="0057780D" w:rsidP="003F0FB6">
            <w:pPr>
              <w:spacing w:line="360" w:lineRule="auto"/>
              <w:contextualSpacing/>
              <w:jc w:val="center"/>
              <w:rPr>
                <w:sz w:val="20"/>
                <w:szCs w:val="20"/>
              </w:rPr>
            </w:pPr>
            <w:r w:rsidRPr="009720C1">
              <w:rPr>
                <w:sz w:val="20"/>
                <w:szCs w:val="20"/>
              </w:rPr>
              <w:t>0.10</w:t>
            </w:r>
          </w:p>
        </w:tc>
        <w:tc>
          <w:tcPr>
            <w:tcW w:w="1350" w:type="dxa"/>
            <w:vAlign w:val="center"/>
          </w:tcPr>
          <w:p w:rsidR="0057780D" w:rsidRPr="009720C1" w:rsidRDefault="0057780D" w:rsidP="003F0FB6">
            <w:pPr>
              <w:spacing w:line="360" w:lineRule="auto"/>
              <w:contextualSpacing/>
              <w:jc w:val="center"/>
              <w:rPr>
                <w:sz w:val="20"/>
                <w:szCs w:val="20"/>
              </w:rPr>
            </w:pPr>
            <w:r w:rsidRPr="009720C1">
              <w:rPr>
                <w:sz w:val="20"/>
                <w:szCs w:val="20"/>
              </w:rPr>
              <w:t>76</w:t>
            </w:r>
          </w:p>
        </w:tc>
        <w:tc>
          <w:tcPr>
            <w:tcW w:w="900" w:type="dxa"/>
            <w:vAlign w:val="center"/>
          </w:tcPr>
          <w:p w:rsidR="0057780D" w:rsidRPr="009720C1" w:rsidRDefault="0057780D" w:rsidP="003F0FB6">
            <w:pPr>
              <w:spacing w:line="360" w:lineRule="auto"/>
              <w:contextualSpacing/>
              <w:jc w:val="center"/>
              <w:rPr>
                <w:sz w:val="20"/>
                <w:szCs w:val="20"/>
              </w:rPr>
            </w:pPr>
            <w:r w:rsidRPr="009720C1">
              <w:rPr>
                <w:sz w:val="20"/>
                <w:szCs w:val="20"/>
              </w:rPr>
              <w:t>25</w:t>
            </w:r>
          </w:p>
        </w:tc>
        <w:tc>
          <w:tcPr>
            <w:tcW w:w="1170" w:type="dxa"/>
            <w:vAlign w:val="center"/>
          </w:tcPr>
          <w:p w:rsidR="0057780D" w:rsidRPr="009720C1" w:rsidRDefault="0057780D" w:rsidP="003F0FB6">
            <w:pPr>
              <w:spacing w:line="360" w:lineRule="auto"/>
              <w:jc w:val="center"/>
              <w:rPr>
                <w:sz w:val="20"/>
                <w:szCs w:val="20"/>
              </w:rPr>
            </w:pPr>
            <w:r w:rsidRPr="009720C1">
              <w:rPr>
                <w:sz w:val="20"/>
                <w:szCs w:val="20"/>
              </w:rPr>
              <w:t>260±0.25</w:t>
            </w:r>
          </w:p>
        </w:tc>
        <w:tc>
          <w:tcPr>
            <w:tcW w:w="1440" w:type="dxa"/>
            <w:vAlign w:val="center"/>
          </w:tcPr>
          <w:p w:rsidR="0057780D" w:rsidRPr="009720C1" w:rsidRDefault="0057780D" w:rsidP="003F0FB6">
            <w:pPr>
              <w:spacing w:line="360" w:lineRule="auto"/>
              <w:jc w:val="center"/>
              <w:rPr>
                <w:sz w:val="20"/>
                <w:szCs w:val="20"/>
              </w:rPr>
            </w:pPr>
            <w:r w:rsidRPr="009720C1">
              <w:rPr>
                <w:sz w:val="20"/>
                <w:szCs w:val="20"/>
              </w:rPr>
              <w:t>88.65±0.24</w:t>
            </w:r>
          </w:p>
        </w:tc>
        <w:tc>
          <w:tcPr>
            <w:tcW w:w="1239" w:type="dxa"/>
            <w:vAlign w:val="center"/>
          </w:tcPr>
          <w:p w:rsidR="0057780D" w:rsidRPr="009720C1" w:rsidRDefault="0057780D" w:rsidP="003F0FB6">
            <w:pPr>
              <w:spacing w:line="360" w:lineRule="auto"/>
              <w:jc w:val="center"/>
              <w:rPr>
                <w:sz w:val="20"/>
                <w:szCs w:val="20"/>
              </w:rPr>
            </w:pPr>
            <w:r w:rsidRPr="009720C1">
              <w:rPr>
                <w:sz w:val="20"/>
                <w:szCs w:val="20"/>
              </w:rPr>
              <w:t>99.42±0.24</w:t>
            </w:r>
          </w:p>
        </w:tc>
      </w:tr>
      <w:tr w:rsidR="0057780D" w:rsidRPr="009720C1" w:rsidTr="009720C1">
        <w:trPr>
          <w:trHeight w:val="324"/>
          <w:jc w:val="center"/>
        </w:trPr>
        <w:tc>
          <w:tcPr>
            <w:tcW w:w="1870" w:type="dxa"/>
            <w:tcBorders>
              <w:bottom w:val="single" w:sz="4" w:space="0" w:color="auto"/>
            </w:tcBorders>
            <w:vAlign w:val="center"/>
          </w:tcPr>
          <w:p w:rsidR="0057780D" w:rsidRPr="009720C1" w:rsidRDefault="0057780D" w:rsidP="003F0FB6">
            <w:pPr>
              <w:spacing w:line="360" w:lineRule="auto"/>
              <w:contextualSpacing/>
              <w:jc w:val="center"/>
              <w:rPr>
                <w:sz w:val="20"/>
                <w:szCs w:val="20"/>
              </w:rPr>
            </w:pPr>
            <w:r w:rsidRPr="009720C1">
              <w:rPr>
                <w:sz w:val="20"/>
                <w:szCs w:val="20"/>
              </w:rPr>
              <w:t>Residual values (%)</w:t>
            </w:r>
          </w:p>
        </w:tc>
        <w:tc>
          <w:tcPr>
            <w:tcW w:w="1530" w:type="dxa"/>
            <w:tcBorders>
              <w:bottom w:val="single" w:sz="4" w:space="0" w:color="auto"/>
            </w:tcBorders>
            <w:vAlign w:val="center"/>
          </w:tcPr>
          <w:p w:rsidR="0057780D" w:rsidRPr="009720C1" w:rsidRDefault="0057780D" w:rsidP="003F0FB6">
            <w:pPr>
              <w:spacing w:line="360" w:lineRule="auto"/>
              <w:contextualSpacing/>
              <w:jc w:val="center"/>
              <w:rPr>
                <w:sz w:val="20"/>
                <w:szCs w:val="20"/>
              </w:rPr>
            </w:pPr>
            <w:r w:rsidRPr="009720C1">
              <w:rPr>
                <w:sz w:val="20"/>
                <w:szCs w:val="20"/>
              </w:rPr>
              <w:t>-</w:t>
            </w:r>
          </w:p>
        </w:tc>
        <w:tc>
          <w:tcPr>
            <w:tcW w:w="1350" w:type="dxa"/>
            <w:tcBorders>
              <w:bottom w:val="single" w:sz="4" w:space="0" w:color="auto"/>
            </w:tcBorders>
            <w:vAlign w:val="center"/>
          </w:tcPr>
          <w:p w:rsidR="0057780D" w:rsidRPr="009720C1" w:rsidRDefault="0057780D" w:rsidP="003F0FB6">
            <w:pPr>
              <w:spacing w:line="360" w:lineRule="auto"/>
              <w:contextualSpacing/>
              <w:jc w:val="center"/>
              <w:rPr>
                <w:sz w:val="20"/>
                <w:szCs w:val="20"/>
              </w:rPr>
            </w:pPr>
            <w:r w:rsidRPr="009720C1">
              <w:rPr>
                <w:sz w:val="20"/>
                <w:szCs w:val="20"/>
              </w:rPr>
              <w:t>-</w:t>
            </w:r>
          </w:p>
        </w:tc>
        <w:tc>
          <w:tcPr>
            <w:tcW w:w="900" w:type="dxa"/>
            <w:tcBorders>
              <w:bottom w:val="single" w:sz="4" w:space="0" w:color="auto"/>
            </w:tcBorders>
            <w:vAlign w:val="center"/>
          </w:tcPr>
          <w:p w:rsidR="0057780D" w:rsidRPr="009720C1" w:rsidRDefault="0057780D" w:rsidP="003F0FB6">
            <w:pPr>
              <w:spacing w:line="360" w:lineRule="auto"/>
              <w:contextualSpacing/>
              <w:jc w:val="center"/>
              <w:rPr>
                <w:sz w:val="20"/>
                <w:szCs w:val="20"/>
              </w:rPr>
            </w:pPr>
            <w:r w:rsidRPr="009720C1">
              <w:rPr>
                <w:sz w:val="20"/>
                <w:szCs w:val="20"/>
              </w:rPr>
              <w:t>-</w:t>
            </w:r>
          </w:p>
        </w:tc>
        <w:tc>
          <w:tcPr>
            <w:tcW w:w="1170" w:type="dxa"/>
            <w:tcBorders>
              <w:bottom w:val="single" w:sz="4" w:space="0" w:color="auto"/>
            </w:tcBorders>
            <w:vAlign w:val="center"/>
          </w:tcPr>
          <w:p w:rsidR="0057780D" w:rsidRPr="009720C1" w:rsidRDefault="0057780D" w:rsidP="003F0FB6">
            <w:pPr>
              <w:spacing w:line="360" w:lineRule="auto"/>
              <w:contextualSpacing/>
              <w:jc w:val="center"/>
              <w:rPr>
                <w:bCs/>
                <w:sz w:val="20"/>
                <w:szCs w:val="20"/>
              </w:rPr>
            </w:pPr>
            <w:r w:rsidRPr="009720C1">
              <w:rPr>
                <w:bCs/>
                <w:sz w:val="20"/>
                <w:szCs w:val="20"/>
              </w:rPr>
              <w:t>-1.27</w:t>
            </w:r>
          </w:p>
        </w:tc>
        <w:tc>
          <w:tcPr>
            <w:tcW w:w="1440" w:type="dxa"/>
            <w:tcBorders>
              <w:bottom w:val="single" w:sz="4" w:space="0" w:color="auto"/>
            </w:tcBorders>
            <w:vAlign w:val="center"/>
          </w:tcPr>
          <w:p w:rsidR="0057780D" w:rsidRPr="009720C1" w:rsidRDefault="0057780D" w:rsidP="003F0FB6">
            <w:pPr>
              <w:spacing w:line="360" w:lineRule="auto"/>
              <w:contextualSpacing/>
              <w:jc w:val="center"/>
              <w:rPr>
                <w:bCs/>
                <w:sz w:val="20"/>
                <w:szCs w:val="20"/>
              </w:rPr>
            </w:pPr>
            <w:r w:rsidRPr="009720C1">
              <w:rPr>
                <w:sz w:val="20"/>
                <w:szCs w:val="20"/>
              </w:rPr>
              <w:t>-1.47</w:t>
            </w:r>
          </w:p>
        </w:tc>
        <w:tc>
          <w:tcPr>
            <w:tcW w:w="1239" w:type="dxa"/>
            <w:tcBorders>
              <w:bottom w:val="single" w:sz="4" w:space="0" w:color="auto"/>
            </w:tcBorders>
            <w:vAlign w:val="center"/>
          </w:tcPr>
          <w:p w:rsidR="0057780D" w:rsidRPr="009720C1" w:rsidRDefault="0057780D" w:rsidP="003F0FB6">
            <w:pPr>
              <w:spacing w:line="360" w:lineRule="auto"/>
              <w:contextualSpacing/>
              <w:jc w:val="center"/>
              <w:rPr>
                <w:bCs/>
                <w:sz w:val="20"/>
                <w:szCs w:val="20"/>
              </w:rPr>
            </w:pPr>
            <w:r w:rsidRPr="009720C1">
              <w:rPr>
                <w:bCs/>
                <w:sz w:val="20"/>
                <w:szCs w:val="20"/>
              </w:rPr>
              <w:t>-0.07</w:t>
            </w:r>
          </w:p>
        </w:tc>
      </w:tr>
    </w:tbl>
    <w:p w:rsidR="0057780D" w:rsidRPr="00F57FE9" w:rsidRDefault="0057780D" w:rsidP="00F57FE9">
      <w:pPr>
        <w:spacing w:line="360" w:lineRule="auto"/>
        <w:jc w:val="center"/>
        <w:rPr>
          <w:i/>
        </w:rPr>
      </w:pPr>
    </w:p>
    <w:p w:rsidR="003527E6" w:rsidRPr="00F57FE9" w:rsidRDefault="003527E6" w:rsidP="00F57FE9">
      <w:pPr>
        <w:spacing w:line="360" w:lineRule="auto"/>
        <w:jc w:val="both"/>
      </w:pPr>
      <w:r w:rsidRPr="00F57FE9">
        <w:t>The residuals were observed with very low value (-1.27 to -0.07) which indicates that the obtained results with software predicted one has a very strong correlation. Residuals with lower value have more reproducibility and lesser variation of CQAs with the optimized CPPs and CMAs. The impact of concentration of tween 80 and concentration of poloxamer 188 (independent variables) was observed as more predominant from DOE results. The number of cycles favors the size of particles and the DC of MTX-NS. Thus to enhance the adaptability of the method, the number of cycles was fixed to 25 cycles and by using the remaining two factors the design space was developed. The overlay plot obtained from DOE softw</w:t>
      </w:r>
      <w:r w:rsidR="00366F04">
        <w:t>are (Figure 6</w:t>
      </w:r>
      <w:r w:rsidRPr="00F57FE9">
        <w:t xml:space="preserve">) shows the design space to select the optimum tween 80 and poloxamer 188 concentrations to prepare highly stable NS with higher EE and lower size of particles. The three points that are located in the design space predicts good responses. By changing the composition of factors ‘A’ and ‘B’ as per design space and keeping the number of cycles fix, three formulations, MTX-NS1, MTX-NS2, MTX-NS3 were developed and then characterized for three dependent variables. The plots constructed between observed and predicted responses showed a better relationship between the observed (actual) and theoretical (predicted) values for particle size (Y1), DC (Y2), and EE (Y3) </w:t>
      </w:r>
      <w:r w:rsidR="00A36EFC">
        <w:t>responses (Table 10 and Figure 6</w:t>
      </w:r>
      <w:r w:rsidRPr="00F57FE9">
        <w:t xml:space="preserve">). Negligible changes </w:t>
      </w:r>
      <w:proofErr w:type="gramStart"/>
      <w:r w:rsidRPr="00F57FE9">
        <w:t>were seen</w:t>
      </w:r>
      <w:proofErr w:type="gramEnd"/>
      <w:r w:rsidRPr="00F57FE9">
        <w:t xml:space="preserve"> in DC, EE, and particle size of MTX-NS1, MTX-NS2, and MTX-NS3 as compared to the above formulations. The MTX-NS3 </w:t>
      </w:r>
      <w:proofErr w:type="gramStart"/>
      <w:r w:rsidRPr="00F57FE9">
        <w:t>was selected</w:t>
      </w:r>
      <w:proofErr w:type="gramEnd"/>
      <w:r w:rsidRPr="00F57FE9">
        <w:t xml:space="preserve"> as an optimized MTX-NS formulation based on the data obtained from the three responses. Further, they </w:t>
      </w:r>
      <w:proofErr w:type="gramStart"/>
      <w:r w:rsidRPr="00F57FE9">
        <w:t>were dried</w:t>
      </w:r>
      <w:proofErr w:type="gramEnd"/>
      <w:r w:rsidRPr="00F57FE9">
        <w:t xml:space="preserve"> using Lyophilizer with 6% of mannitol as an optimized cryoprotectant to stabilize the system.  </w:t>
      </w:r>
    </w:p>
    <w:p w:rsidR="003527E6" w:rsidRPr="00F57FE9" w:rsidRDefault="003F0FB6" w:rsidP="003F0FB6">
      <w:pPr>
        <w:spacing w:line="360" w:lineRule="auto"/>
      </w:pPr>
      <w:proofErr w:type="gramStart"/>
      <w:r>
        <w:rPr>
          <w:b/>
          <w:bCs/>
        </w:rPr>
        <w:t>Table 10.</w:t>
      </w:r>
      <w:proofErr w:type="gramEnd"/>
      <w:r w:rsidR="003527E6" w:rsidRPr="00F57FE9">
        <w:t xml:space="preserve"> Results of optimized batches obtained from an overlay </w:t>
      </w:r>
      <w:r w:rsidR="0089063E" w:rsidRPr="00F57FE9">
        <w:t>plot of Design expert software</w:t>
      </w:r>
    </w:p>
    <w:tbl>
      <w:tblPr>
        <w:tblW w:w="0" w:type="auto"/>
        <w:tblLook w:val="04A0"/>
      </w:tblPr>
      <w:tblGrid>
        <w:gridCol w:w="1296"/>
        <w:gridCol w:w="724"/>
        <w:gridCol w:w="723"/>
        <w:gridCol w:w="595"/>
        <w:gridCol w:w="1128"/>
        <w:gridCol w:w="1308"/>
        <w:gridCol w:w="1308"/>
        <w:gridCol w:w="888"/>
        <w:gridCol w:w="803"/>
        <w:gridCol w:w="803"/>
      </w:tblGrid>
      <w:tr w:rsidR="0057780D" w:rsidRPr="00F57FE9" w:rsidTr="003F0FB6">
        <w:tc>
          <w:tcPr>
            <w:tcW w:w="1296" w:type="dxa"/>
            <w:vMerge w:val="restart"/>
            <w:tcBorders>
              <w:top w:val="single" w:sz="4" w:space="0" w:color="auto"/>
            </w:tcBorders>
          </w:tcPr>
          <w:p w:rsidR="0057780D" w:rsidRPr="00F57FE9" w:rsidRDefault="0057780D" w:rsidP="00F57FE9">
            <w:pPr>
              <w:spacing w:line="360" w:lineRule="auto"/>
              <w:jc w:val="center"/>
              <w:rPr>
                <w:b/>
                <w:i/>
              </w:rPr>
            </w:pPr>
            <w:r w:rsidRPr="00F57FE9">
              <w:rPr>
                <w:b/>
              </w:rPr>
              <w:t>Optimized batch</w:t>
            </w:r>
          </w:p>
        </w:tc>
        <w:tc>
          <w:tcPr>
            <w:tcW w:w="2042" w:type="dxa"/>
            <w:gridSpan w:val="3"/>
            <w:vMerge w:val="restart"/>
            <w:tcBorders>
              <w:top w:val="single" w:sz="4" w:space="0" w:color="auto"/>
            </w:tcBorders>
          </w:tcPr>
          <w:p w:rsidR="0057780D" w:rsidRPr="00F57FE9" w:rsidRDefault="0057780D" w:rsidP="00F57FE9">
            <w:pPr>
              <w:spacing w:line="360" w:lineRule="auto"/>
              <w:jc w:val="center"/>
              <w:rPr>
                <w:b/>
                <w:i/>
              </w:rPr>
            </w:pPr>
            <w:r w:rsidRPr="00F57FE9">
              <w:rPr>
                <w:b/>
              </w:rPr>
              <w:t>Independent variables</w:t>
            </w:r>
          </w:p>
        </w:tc>
        <w:tc>
          <w:tcPr>
            <w:tcW w:w="6238" w:type="dxa"/>
            <w:gridSpan w:val="6"/>
            <w:tcBorders>
              <w:top w:val="single" w:sz="4" w:space="0" w:color="auto"/>
              <w:bottom w:val="single" w:sz="4" w:space="0" w:color="auto"/>
            </w:tcBorders>
          </w:tcPr>
          <w:p w:rsidR="0057780D" w:rsidRPr="00F57FE9" w:rsidRDefault="0057780D" w:rsidP="00F57FE9">
            <w:pPr>
              <w:spacing w:line="360" w:lineRule="auto"/>
              <w:jc w:val="center"/>
              <w:rPr>
                <w:b/>
                <w:i/>
              </w:rPr>
            </w:pPr>
            <w:r w:rsidRPr="00F57FE9">
              <w:rPr>
                <w:b/>
              </w:rPr>
              <w:t>Dependent variables</w:t>
            </w:r>
          </w:p>
        </w:tc>
      </w:tr>
      <w:tr w:rsidR="0057780D" w:rsidRPr="00F57FE9" w:rsidTr="003F0FB6">
        <w:tc>
          <w:tcPr>
            <w:tcW w:w="1296" w:type="dxa"/>
            <w:vMerge/>
          </w:tcPr>
          <w:p w:rsidR="0057780D" w:rsidRPr="00F57FE9" w:rsidRDefault="0057780D" w:rsidP="00F57FE9">
            <w:pPr>
              <w:spacing w:line="360" w:lineRule="auto"/>
              <w:jc w:val="center"/>
              <w:rPr>
                <w:b/>
                <w:i/>
              </w:rPr>
            </w:pPr>
          </w:p>
        </w:tc>
        <w:tc>
          <w:tcPr>
            <w:tcW w:w="2042" w:type="dxa"/>
            <w:gridSpan w:val="3"/>
            <w:vMerge/>
          </w:tcPr>
          <w:p w:rsidR="0057780D" w:rsidRPr="00F57FE9" w:rsidRDefault="0057780D" w:rsidP="00F57FE9">
            <w:pPr>
              <w:spacing w:line="360" w:lineRule="auto"/>
              <w:jc w:val="center"/>
              <w:rPr>
                <w:b/>
                <w:i/>
              </w:rPr>
            </w:pPr>
          </w:p>
        </w:tc>
        <w:tc>
          <w:tcPr>
            <w:tcW w:w="3744" w:type="dxa"/>
            <w:gridSpan w:val="3"/>
            <w:tcBorders>
              <w:top w:val="single" w:sz="4" w:space="0" w:color="auto"/>
            </w:tcBorders>
            <w:vAlign w:val="center"/>
          </w:tcPr>
          <w:p w:rsidR="0057780D" w:rsidRPr="00F57FE9" w:rsidRDefault="0057780D" w:rsidP="00F57FE9">
            <w:pPr>
              <w:spacing w:line="360" w:lineRule="auto"/>
              <w:jc w:val="center"/>
              <w:rPr>
                <w:b/>
              </w:rPr>
            </w:pPr>
            <w:r w:rsidRPr="00F57FE9">
              <w:rPr>
                <w:b/>
              </w:rPr>
              <w:t>Observed value</w:t>
            </w:r>
          </w:p>
        </w:tc>
        <w:tc>
          <w:tcPr>
            <w:tcW w:w="2494" w:type="dxa"/>
            <w:gridSpan w:val="3"/>
            <w:tcBorders>
              <w:top w:val="single" w:sz="4" w:space="0" w:color="auto"/>
            </w:tcBorders>
            <w:vAlign w:val="center"/>
          </w:tcPr>
          <w:p w:rsidR="0057780D" w:rsidRPr="00F57FE9" w:rsidRDefault="0057780D" w:rsidP="00F57FE9">
            <w:pPr>
              <w:spacing w:line="360" w:lineRule="auto"/>
              <w:jc w:val="center"/>
              <w:rPr>
                <w:b/>
              </w:rPr>
            </w:pPr>
            <w:r w:rsidRPr="00F57FE9">
              <w:rPr>
                <w:b/>
              </w:rPr>
              <w:t>Predicted value</w:t>
            </w:r>
          </w:p>
        </w:tc>
      </w:tr>
      <w:tr w:rsidR="0057780D" w:rsidRPr="00F57FE9" w:rsidTr="003F0FB6">
        <w:tc>
          <w:tcPr>
            <w:tcW w:w="1296" w:type="dxa"/>
            <w:vMerge/>
            <w:tcBorders>
              <w:bottom w:val="single" w:sz="4" w:space="0" w:color="auto"/>
            </w:tcBorders>
          </w:tcPr>
          <w:p w:rsidR="0057780D" w:rsidRPr="00F57FE9" w:rsidRDefault="0057780D" w:rsidP="00F57FE9">
            <w:pPr>
              <w:spacing w:line="360" w:lineRule="auto"/>
              <w:jc w:val="center"/>
              <w:rPr>
                <w:i/>
              </w:rPr>
            </w:pPr>
          </w:p>
        </w:tc>
        <w:tc>
          <w:tcPr>
            <w:tcW w:w="724" w:type="dxa"/>
            <w:tcBorders>
              <w:bottom w:val="single" w:sz="4" w:space="0" w:color="auto"/>
            </w:tcBorders>
          </w:tcPr>
          <w:p w:rsidR="0057780D" w:rsidRPr="00F57FE9" w:rsidRDefault="0057780D" w:rsidP="00F57FE9">
            <w:pPr>
              <w:spacing w:line="360" w:lineRule="auto"/>
              <w:jc w:val="center"/>
              <w:rPr>
                <w:b/>
              </w:rPr>
            </w:pPr>
            <w:r w:rsidRPr="00F57FE9">
              <w:rPr>
                <w:b/>
              </w:rPr>
              <w:t>A</w:t>
            </w:r>
          </w:p>
        </w:tc>
        <w:tc>
          <w:tcPr>
            <w:tcW w:w="723" w:type="dxa"/>
            <w:tcBorders>
              <w:bottom w:val="single" w:sz="4" w:space="0" w:color="auto"/>
            </w:tcBorders>
          </w:tcPr>
          <w:p w:rsidR="0057780D" w:rsidRPr="00F57FE9" w:rsidRDefault="0057780D" w:rsidP="00F57FE9">
            <w:pPr>
              <w:spacing w:line="360" w:lineRule="auto"/>
              <w:jc w:val="center"/>
              <w:rPr>
                <w:b/>
              </w:rPr>
            </w:pPr>
            <w:r w:rsidRPr="00F57FE9">
              <w:rPr>
                <w:b/>
              </w:rPr>
              <w:t>B</w:t>
            </w:r>
          </w:p>
        </w:tc>
        <w:tc>
          <w:tcPr>
            <w:tcW w:w="595" w:type="dxa"/>
            <w:tcBorders>
              <w:bottom w:val="single" w:sz="4" w:space="0" w:color="auto"/>
            </w:tcBorders>
          </w:tcPr>
          <w:p w:rsidR="0057780D" w:rsidRPr="00F57FE9" w:rsidRDefault="0057780D" w:rsidP="00F57FE9">
            <w:pPr>
              <w:spacing w:line="360" w:lineRule="auto"/>
              <w:jc w:val="center"/>
              <w:rPr>
                <w:b/>
              </w:rPr>
            </w:pPr>
            <w:r w:rsidRPr="00F57FE9">
              <w:rPr>
                <w:b/>
              </w:rPr>
              <w:t>C</w:t>
            </w:r>
          </w:p>
        </w:tc>
        <w:tc>
          <w:tcPr>
            <w:tcW w:w="1128" w:type="dxa"/>
            <w:tcBorders>
              <w:bottom w:val="single" w:sz="4" w:space="0" w:color="auto"/>
            </w:tcBorders>
            <w:vAlign w:val="center"/>
          </w:tcPr>
          <w:p w:rsidR="0057780D" w:rsidRPr="00F57FE9" w:rsidRDefault="0057780D" w:rsidP="00F57FE9">
            <w:pPr>
              <w:spacing w:line="360" w:lineRule="auto"/>
              <w:jc w:val="center"/>
              <w:rPr>
                <w:b/>
              </w:rPr>
            </w:pPr>
            <w:r w:rsidRPr="00F57FE9">
              <w:rPr>
                <w:b/>
              </w:rPr>
              <w:t>Y1</w:t>
            </w:r>
          </w:p>
        </w:tc>
        <w:tc>
          <w:tcPr>
            <w:tcW w:w="1308" w:type="dxa"/>
            <w:tcBorders>
              <w:bottom w:val="single" w:sz="4" w:space="0" w:color="auto"/>
            </w:tcBorders>
            <w:vAlign w:val="center"/>
          </w:tcPr>
          <w:p w:rsidR="0057780D" w:rsidRPr="00F57FE9" w:rsidRDefault="0057780D" w:rsidP="00F57FE9">
            <w:pPr>
              <w:spacing w:line="360" w:lineRule="auto"/>
              <w:jc w:val="center"/>
              <w:rPr>
                <w:b/>
              </w:rPr>
            </w:pPr>
            <w:r w:rsidRPr="00F57FE9">
              <w:rPr>
                <w:b/>
              </w:rPr>
              <w:t>Y2</w:t>
            </w:r>
          </w:p>
        </w:tc>
        <w:tc>
          <w:tcPr>
            <w:tcW w:w="1308" w:type="dxa"/>
            <w:tcBorders>
              <w:bottom w:val="single" w:sz="4" w:space="0" w:color="auto"/>
            </w:tcBorders>
            <w:vAlign w:val="center"/>
          </w:tcPr>
          <w:p w:rsidR="0057780D" w:rsidRPr="00F57FE9" w:rsidRDefault="0057780D" w:rsidP="00F57FE9">
            <w:pPr>
              <w:spacing w:line="360" w:lineRule="auto"/>
              <w:jc w:val="center"/>
              <w:rPr>
                <w:b/>
              </w:rPr>
            </w:pPr>
            <w:r w:rsidRPr="00F57FE9">
              <w:rPr>
                <w:b/>
              </w:rPr>
              <w:t>Y3</w:t>
            </w:r>
          </w:p>
        </w:tc>
        <w:tc>
          <w:tcPr>
            <w:tcW w:w="888" w:type="dxa"/>
            <w:tcBorders>
              <w:bottom w:val="single" w:sz="4" w:space="0" w:color="auto"/>
            </w:tcBorders>
            <w:vAlign w:val="center"/>
          </w:tcPr>
          <w:p w:rsidR="0057780D" w:rsidRPr="00F57FE9" w:rsidRDefault="0057780D" w:rsidP="00F57FE9">
            <w:pPr>
              <w:spacing w:line="360" w:lineRule="auto"/>
              <w:jc w:val="center"/>
              <w:rPr>
                <w:b/>
              </w:rPr>
            </w:pPr>
            <w:r w:rsidRPr="00F57FE9">
              <w:rPr>
                <w:b/>
              </w:rPr>
              <w:t>Y1</w:t>
            </w:r>
          </w:p>
        </w:tc>
        <w:tc>
          <w:tcPr>
            <w:tcW w:w="803" w:type="dxa"/>
            <w:tcBorders>
              <w:bottom w:val="single" w:sz="4" w:space="0" w:color="auto"/>
            </w:tcBorders>
            <w:vAlign w:val="center"/>
          </w:tcPr>
          <w:p w:rsidR="0057780D" w:rsidRPr="00F57FE9" w:rsidRDefault="0057780D" w:rsidP="00F57FE9">
            <w:pPr>
              <w:spacing w:line="360" w:lineRule="auto"/>
              <w:jc w:val="center"/>
              <w:rPr>
                <w:b/>
              </w:rPr>
            </w:pPr>
            <w:r w:rsidRPr="00F57FE9">
              <w:rPr>
                <w:b/>
              </w:rPr>
              <w:t>Y2</w:t>
            </w:r>
          </w:p>
        </w:tc>
        <w:tc>
          <w:tcPr>
            <w:tcW w:w="803" w:type="dxa"/>
            <w:tcBorders>
              <w:bottom w:val="single" w:sz="4" w:space="0" w:color="auto"/>
            </w:tcBorders>
            <w:vAlign w:val="center"/>
          </w:tcPr>
          <w:p w:rsidR="0057780D" w:rsidRPr="00F57FE9" w:rsidRDefault="0057780D" w:rsidP="00F57FE9">
            <w:pPr>
              <w:spacing w:line="360" w:lineRule="auto"/>
              <w:jc w:val="center"/>
              <w:rPr>
                <w:b/>
              </w:rPr>
            </w:pPr>
            <w:r w:rsidRPr="00F57FE9">
              <w:rPr>
                <w:b/>
              </w:rPr>
              <w:t>Y3</w:t>
            </w:r>
          </w:p>
        </w:tc>
      </w:tr>
      <w:tr w:rsidR="0057780D" w:rsidRPr="00F57FE9" w:rsidTr="003F0FB6">
        <w:tc>
          <w:tcPr>
            <w:tcW w:w="1296" w:type="dxa"/>
            <w:tcBorders>
              <w:top w:val="single" w:sz="4" w:space="0" w:color="auto"/>
            </w:tcBorders>
          </w:tcPr>
          <w:p w:rsidR="0057780D" w:rsidRPr="00F57FE9" w:rsidRDefault="0057780D" w:rsidP="00F57FE9">
            <w:pPr>
              <w:spacing w:line="360" w:lineRule="auto"/>
              <w:jc w:val="center"/>
            </w:pPr>
            <w:r w:rsidRPr="00F57FE9">
              <w:t>MTX-NS1</w:t>
            </w:r>
          </w:p>
        </w:tc>
        <w:tc>
          <w:tcPr>
            <w:tcW w:w="724" w:type="dxa"/>
            <w:tcBorders>
              <w:top w:val="single" w:sz="4" w:space="0" w:color="auto"/>
            </w:tcBorders>
            <w:vAlign w:val="center"/>
          </w:tcPr>
          <w:p w:rsidR="0057780D" w:rsidRPr="00F57FE9" w:rsidRDefault="0057780D" w:rsidP="00F57FE9">
            <w:pPr>
              <w:spacing w:line="360" w:lineRule="auto"/>
              <w:jc w:val="center"/>
            </w:pPr>
            <w:r w:rsidRPr="00F57FE9">
              <w:t>0.12</w:t>
            </w:r>
          </w:p>
        </w:tc>
        <w:tc>
          <w:tcPr>
            <w:tcW w:w="723" w:type="dxa"/>
            <w:tcBorders>
              <w:top w:val="single" w:sz="4" w:space="0" w:color="auto"/>
            </w:tcBorders>
            <w:vAlign w:val="center"/>
          </w:tcPr>
          <w:p w:rsidR="0057780D" w:rsidRPr="00F57FE9" w:rsidRDefault="0057780D" w:rsidP="00F57FE9">
            <w:pPr>
              <w:spacing w:line="360" w:lineRule="auto"/>
              <w:jc w:val="center"/>
            </w:pPr>
            <w:r w:rsidRPr="00F57FE9">
              <w:t>75.8</w:t>
            </w:r>
          </w:p>
        </w:tc>
        <w:tc>
          <w:tcPr>
            <w:tcW w:w="595" w:type="dxa"/>
            <w:tcBorders>
              <w:top w:val="single" w:sz="4" w:space="0" w:color="auto"/>
            </w:tcBorders>
            <w:vAlign w:val="center"/>
          </w:tcPr>
          <w:p w:rsidR="0057780D" w:rsidRPr="00F57FE9" w:rsidRDefault="0057780D" w:rsidP="00F57FE9">
            <w:pPr>
              <w:spacing w:line="360" w:lineRule="auto"/>
            </w:pPr>
            <w:r w:rsidRPr="00F57FE9">
              <w:t>25</w:t>
            </w:r>
          </w:p>
        </w:tc>
        <w:tc>
          <w:tcPr>
            <w:tcW w:w="1128" w:type="dxa"/>
            <w:tcBorders>
              <w:top w:val="single" w:sz="4" w:space="0" w:color="auto"/>
            </w:tcBorders>
            <w:vAlign w:val="center"/>
          </w:tcPr>
          <w:p w:rsidR="0057780D" w:rsidRPr="00F57FE9" w:rsidRDefault="0057780D" w:rsidP="00F57FE9">
            <w:pPr>
              <w:spacing w:line="360" w:lineRule="auto"/>
              <w:jc w:val="center"/>
            </w:pPr>
            <w:r w:rsidRPr="00F57FE9">
              <w:t>271±0.32</w:t>
            </w:r>
          </w:p>
        </w:tc>
        <w:tc>
          <w:tcPr>
            <w:tcW w:w="1308" w:type="dxa"/>
            <w:tcBorders>
              <w:top w:val="single" w:sz="4" w:space="0" w:color="auto"/>
            </w:tcBorders>
            <w:vAlign w:val="center"/>
          </w:tcPr>
          <w:p w:rsidR="0057780D" w:rsidRPr="00F57FE9" w:rsidRDefault="0057780D" w:rsidP="00F57FE9">
            <w:pPr>
              <w:spacing w:line="360" w:lineRule="auto"/>
              <w:jc w:val="center"/>
            </w:pPr>
            <w:r w:rsidRPr="00F57FE9">
              <w:t>88.45±0.33</w:t>
            </w:r>
          </w:p>
        </w:tc>
        <w:tc>
          <w:tcPr>
            <w:tcW w:w="1308" w:type="dxa"/>
            <w:tcBorders>
              <w:top w:val="single" w:sz="4" w:space="0" w:color="auto"/>
            </w:tcBorders>
            <w:vAlign w:val="center"/>
          </w:tcPr>
          <w:p w:rsidR="0057780D" w:rsidRPr="00F57FE9" w:rsidRDefault="0057780D" w:rsidP="00F57FE9">
            <w:pPr>
              <w:spacing w:line="360" w:lineRule="auto"/>
              <w:jc w:val="center"/>
            </w:pPr>
            <w:r w:rsidRPr="00F57FE9">
              <w:t>99.32±0.36</w:t>
            </w:r>
          </w:p>
        </w:tc>
        <w:tc>
          <w:tcPr>
            <w:tcW w:w="888" w:type="dxa"/>
            <w:tcBorders>
              <w:top w:val="single" w:sz="4" w:space="0" w:color="auto"/>
            </w:tcBorders>
            <w:vAlign w:val="center"/>
          </w:tcPr>
          <w:p w:rsidR="0057780D" w:rsidRPr="00F57FE9" w:rsidRDefault="0057780D" w:rsidP="00F57FE9">
            <w:pPr>
              <w:spacing w:line="360" w:lineRule="auto"/>
              <w:jc w:val="center"/>
            </w:pPr>
            <w:r w:rsidRPr="00F57FE9">
              <w:t>272.43</w:t>
            </w:r>
          </w:p>
        </w:tc>
        <w:tc>
          <w:tcPr>
            <w:tcW w:w="803" w:type="dxa"/>
            <w:tcBorders>
              <w:top w:val="single" w:sz="4" w:space="0" w:color="auto"/>
            </w:tcBorders>
            <w:vAlign w:val="center"/>
          </w:tcPr>
          <w:p w:rsidR="0057780D" w:rsidRPr="00F57FE9" w:rsidRDefault="0057780D" w:rsidP="00F57FE9">
            <w:pPr>
              <w:spacing w:line="360" w:lineRule="auto"/>
              <w:jc w:val="center"/>
            </w:pPr>
            <w:r w:rsidRPr="00F57FE9">
              <w:t>88.23</w:t>
            </w:r>
          </w:p>
        </w:tc>
        <w:tc>
          <w:tcPr>
            <w:tcW w:w="803" w:type="dxa"/>
            <w:tcBorders>
              <w:top w:val="single" w:sz="4" w:space="0" w:color="auto"/>
            </w:tcBorders>
            <w:vAlign w:val="center"/>
          </w:tcPr>
          <w:p w:rsidR="0057780D" w:rsidRPr="00F57FE9" w:rsidRDefault="0057780D" w:rsidP="00F57FE9">
            <w:pPr>
              <w:spacing w:line="360" w:lineRule="auto"/>
              <w:jc w:val="center"/>
            </w:pPr>
            <w:r w:rsidRPr="00F57FE9">
              <w:t>99.45</w:t>
            </w:r>
          </w:p>
        </w:tc>
      </w:tr>
      <w:tr w:rsidR="0057780D" w:rsidRPr="00F57FE9" w:rsidTr="003F0FB6">
        <w:tc>
          <w:tcPr>
            <w:tcW w:w="1296" w:type="dxa"/>
          </w:tcPr>
          <w:p w:rsidR="0057780D" w:rsidRPr="00F57FE9" w:rsidRDefault="0057780D" w:rsidP="00F57FE9">
            <w:pPr>
              <w:spacing w:line="360" w:lineRule="auto"/>
              <w:jc w:val="center"/>
              <w:rPr>
                <w:i/>
              </w:rPr>
            </w:pPr>
            <w:r w:rsidRPr="00F57FE9">
              <w:t>MTX-NS2</w:t>
            </w:r>
          </w:p>
        </w:tc>
        <w:tc>
          <w:tcPr>
            <w:tcW w:w="724" w:type="dxa"/>
            <w:vAlign w:val="center"/>
          </w:tcPr>
          <w:p w:rsidR="0057780D" w:rsidRPr="00F57FE9" w:rsidRDefault="0057780D" w:rsidP="00F57FE9">
            <w:pPr>
              <w:spacing w:line="360" w:lineRule="auto"/>
              <w:jc w:val="center"/>
            </w:pPr>
            <w:r w:rsidRPr="00F57FE9">
              <w:t>0.13</w:t>
            </w:r>
          </w:p>
        </w:tc>
        <w:tc>
          <w:tcPr>
            <w:tcW w:w="723" w:type="dxa"/>
            <w:vAlign w:val="center"/>
          </w:tcPr>
          <w:p w:rsidR="0057780D" w:rsidRPr="00F57FE9" w:rsidRDefault="0057780D" w:rsidP="00F57FE9">
            <w:pPr>
              <w:spacing w:line="360" w:lineRule="auto"/>
              <w:jc w:val="center"/>
            </w:pPr>
            <w:r w:rsidRPr="00F57FE9">
              <w:t>74.2</w:t>
            </w:r>
          </w:p>
        </w:tc>
        <w:tc>
          <w:tcPr>
            <w:tcW w:w="595" w:type="dxa"/>
          </w:tcPr>
          <w:p w:rsidR="0057780D" w:rsidRPr="00F57FE9" w:rsidRDefault="0057780D" w:rsidP="00F57FE9">
            <w:pPr>
              <w:spacing w:line="360" w:lineRule="auto"/>
            </w:pPr>
            <w:r w:rsidRPr="00F57FE9">
              <w:t>25</w:t>
            </w:r>
          </w:p>
        </w:tc>
        <w:tc>
          <w:tcPr>
            <w:tcW w:w="1128" w:type="dxa"/>
            <w:vAlign w:val="center"/>
          </w:tcPr>
          <w:p w:rsidR="0057780D" w:rsidRPr="00F57FE9" w:rsidRDefault="0057780D" w:rsidP="00F57FE9">
            <w:pPr>
              <w:spacing w:line="360" w:lineRule="auto"/>
              <w:jc w:val="center"/>
            </w:pPr>
            <w:r w:rsidRPr="00F57FE9">
              <w:t>267±0.24</w:t>
            </w:r>
          </w:p>
        </w:tc>
        <w:tc>
          <w:tcPr>
            <w:tcW w:w="1308" w:type="dxa"/>
            <w:vAlign w:val="center"/>
          </w:tcPr>
          <w:p w:rsidR="0057780D" w:rsidRPr="00F57FE9" w:rsidRDefault="0057780D" w:rsidP="00F57FE9">
            <w:pPr>
              <w:spacing w:line="360" w:lineRule="auto"/>
              <w:jc w:val="center"/>
            </w:pPr>
            <w:r w:rsidRPr="00F57FE9">
              <w:t>87.20±0.54</w:t>
            </w:r>
          </w:p>
        </w:tc>
        <w:tc>
          <w:tcPr>
            <w:tcW w:w="1308" w:type="dxa"/>
            <w:vAlign w:val="center"/>
          </w:tcPr>
          <w:p w:rsidR="0057780D" w:rsidRPr="00F57FE9" w:rsidRDefault="0057780D" w:rsidP="00F57FE9">
            <w:pPr>
              <w:spacing w:line="360" w:lineRule="auto"/>
              <w:jc w:val="center"/>
            </w:pPr>
            <w:r w:rsidRPr="00F57FE9">
              <w:t>99.20±0.31</w:t>
            </w:r>
          </w:p>
        </w:tc>
        <w:tc>
          <w:tcPr>
            <w:tcW w:w="888" w:type="dxa"/>
            <w:vAlign w:val="center"/>
          </w:tcPr>
          <w:p w:rsidR="0057780D" w:rsidRPr="00F57FE9" w:rsidRDefault="0057780D" w:rsidP="00F57FE9">
            <w:pPr>
              <w:spacing w:line="360" w:lineRule="auto"/>
              <w:jc w:val="center"/>
            </w:pPr>
            <w:r w:rsidRPr="00F57FE9">
              <w:t>266.16</w:t>
            </w:r>
          </w:p>
        </w:tc>
        <w:tc>
          <w:tcPr>
            <w:tcW w:w="803" w:type="dxa"/>
            <w:vAlign w:val="center"/>
          </w:tcPr>
          <w:p w:rsidR="0057780D" w:rsidRPr="00F57FE9" w:rsidRDefault="0057780D" w:rsidP="00F57FE9">
            <w:pPr>
              <w:spacing w:line="360" w:lineRule="auto"/>
              <w:jc w:val="center"/>
            </w:pPr>
            <w:r w:rsidRPr="00F57FE9">
              <w:t>87.80</w:t>
            </w:r>
          </w:p>
        </w:tc>
        <w:tc>
          <w:tcPr>
            <w:tcW w:w="803" w:type="dxa"/>
            <w:vAlign w:val="center"/>
          </w:tcPr>
          <w:p w:rsidR="0057780D" w:rsidRPr="00F57FE9" w:rsidRDefault="0057780D" w:rsidP="00F57FE9">
            <w:pPr>
              <w:spacing w:line="360" w:lineRule="auto"/>
              <w:jc w:val="center"/>
            </w:pPr>
            <w:r w:rsidRPr="00F57FE9">
              <w:t>99.31</w:t>
            </w:r>
          </w:p>
        </w:tc>
      </w:tr>
      <w:tr w:rsidR="0057780D" w:rsidRPr="00F57FE9" w:rsidTr="003F0FB6">
        <w:tc>
          <w:tcPr>
            <w:tcW w:w="1296" w:type="dxa"/>
            <w:tcBorders>
              <w:bottom w:val="single" w:sz="4" w:space="0" w:color="auto"/>
            </w:tcBorders>
          </w:tcPr>
          <w:p w:rsidR="0057780D" w:rsidRPr="00F57FE9" w:rsidRDefault="0057780D" w:rsidP="00F57FE9">
            <w:pPr>
              <w:spacing w:line="360" w:lineRule="auto"/>
              <w:jc w:val="center"/>
              <w:rPr>
                <w:i/>
              </w:rPr>
            </w:pPr>
            <w:r w:rsidRPr="00F57FE9">
              <w:lastRenderedPageBreak/>
              <w:t>MTX-NS3</w:t>
            </w:r>
          </w:p>
        </w:tc>
        <w:tc>
          <w:tcPr>
            <w:tcW w:w="724" w:type="dxa"/>
            <w:tcBorders>
              <w:bottom w:val="single" w:sz="4" w:space="0" w:color="auto"/>
            </w:tcBorders>
            <w:vAlign w:val="center"/>
          </w:tcPr>
          <w:p w:rsidR="0057780D" w:rsidRPr="00F57FE9" w:rsidRDefault="0057780D" w:rsidP="00F57FE9">
            <w:pPr>
              <w:spacing w:line="360" w:lineRule="auto"/>
              <w:jc w:val="center"/>
            </w:pPr>
            <w:r w:rsidRPr="00F57FE9">
              <w:t>0.10</w:t>
            </w:r>
          </w:p>
        </w:tc>
        <w:tc>
          <w:tcPr>
            <w:tcW w:w="723" w:type="dxa"/>
            <w:tcBorders>
              <w:bottom w:val="single" w:sz="4" w:space="0" w:color="auto"/>
            </w:tcBorders>
            <w:vAlign w:val="center"/>
          </w:tcPr>
          <w:p w:rsidR="0057780D" w:rsidRPr="00F57FE9" w:rsidRDefault="0057780D" w:rsidP="00F57FE9">
            <w:pPr>
              <w:spacing w:line="360" w:lineRule="auto"/>
              <w:jc w:val="center"/>
            </w:pPr>
            <w:r w:rsidRPr="00F57FE9">
              <w:t>76</w:t>
            </w:r>
          </w:p>
        </w:tc>
        <w:tc>
          <w:tcPr>
            <w:tcW w:w="595" w:type="dxa"/>
            <w:tcBorders>
              <w:bottom w:val="single" w:sz="4" w:space="0" w:color="auto"/>
            </w:tcBorders>
          </w:tcPr>
          <w:p w:rsidR="0057780D" w:rsidRPr="00F57FE9" w:rsidRDefault="0057780D" w:rsidP="00F57FE9">
            <w:pPr>
              <w:spacing w:line="360" w:lineRule="auto"/>
            </w:pPr>
            <w:r w:rsidRPr="00F57FE9">
              <w:t>25</w:t>
            </w:r>
          </w:p>
        </w:tc>
        <w:tc>
          <w:tcPr>
            <w:tcW w:w="1128" w:type="dxa"/>
            <w:tcBorders>
              <w:bottom w:val="single" w:sz="4" w:space="0" w:color="auto"/>
            </w:tcBorders>
            <w:vAlign w:val="center"/>
          </w:tcPr>
          <w:p w:rsidR="0057780D" w:rsidRPr="00F57FE9" w:rsidRDefault="0057780D" w:rsidP="00F57FE9">
            <w:pPr>
              <w:spacing w:line="360" w:lineRule="auto"/>
              <w:jc w:val="center"/>
            </w:pPr>
            <w:r w:rsidRPr="00F57FE9">
              <w:t>260±0.25</w:t>
            </w:r>
          </w:p>
        </w:tc>
        <w:tc>
          <w:tcPr>
            <w:tcW w:w="1308" w:type="dxa"/>
            <w:tcBorders>
              <w:bottom w:val="single" w:sz="4" w:space="0" w:color="auto"/>
            </w:tcBorders>
            <w:vAlign w:val="center"/>
          </w:tcPr>
          <w:p w:rsidR="0057780D" w:rsidRPr="00F57FE9" w:rsidRDefault="0057780D" w:rsidP="00F57FE9">
            <w:pPr>
              <w:spacing w:line="360" w:lineRule="auto"/>
              <w:jc w:val="center"/>
            </w:pPr>
            <w:r w:rsidRPr="00F57FE9">
              <w:t>88.65±0.24</w:t>
            </w:r>
          </w:p>
        </w:tc>
        <w:tc>
          <w:tcPr>
            <w:tcW w:w="1308" w:type="dxa"/>
            <w:tcBorders>
              <w:bottom w:val="single" w:sz="4" w:space="0" w:color="auto"/>
            </w:tcBorders>
            <w:vAlign w:val="center"/>
          </w:tcPr>
          <w:p w:rsidR="0057780D" w:rsidRPr="00F57FE9" w:rsidRDefault="0057780D" w:rsidP="00F57FE9">
            <w:pPr>
              <w:spacing w:line="360" w:lineRule="auto"/>
              <w:jc w:val="center"/>
            </w:pPr>
            <w:r w:rsidRPr="00F57FE9">
              <w:t>99.42±0.24</w:t>
            </w:r>
          </w:p>
        </w:tc>
        <w:tc>
          <w:tcPr>
            <w:tcW w:w="888" w:type="dxa"/>
            <w:tcBorders>
              <w:bottom w:val="single" w:sz="4" w:space="0" w:color="auto"/>
            </w:tcBorders>
            <w:vAlign w:val="center"/>
          </w:tcPr>
          <w:p w:rsidR="0057780D" w:rsidRPr="00F57FE9" w:rsidRDefault="0057780D" w:rsidP="00F57FE9">
            <w:pPr>
              <w:spacing w:line="360" w:lineRule="auto"/>
              <w:jc w:val="center"/>
            </w:pPr>
            <w:r w:rsidRPr="00F57FE9">
              <w:t>259.71</w:t>
            </w:r>
          </w:p>
        </w:tc>
        <w:tc>
          <w:tcPr>
            <w:tcW w:w="803" w:type="dxa"/>
            <w:tcBorders>
              <w:bottom w:val="single" w:sz="4" w:space="0" w:color="auto"/>
            </w:tcBorders>
            <w:vAlign w:val="center"/>
          </w:tcPr>
          <w:p w:rsidR="0057780D" w:rsidRPr="00F57FE9" w:rsidRDefault="0057780D" w:rsidP="00F57FE9">
            <w:pPr>
              <w:spacing w:line="360" w:lineRule="auto"/>
              <w:jc w:val="center"/>
            </w:pPr>
            <w:r w:rsidRPr="00F57FE9">
              <w:t>87.35</w:t>
            </w:r>
          </w:p>
        </w:tc>
        <w:tc>
          <w:tcPr>
            <w:tcW w:w="803" w:type="dxa"/>
            <w:tcBorders>
              <w:bottom w:val="single" w:sz="4" w:space="0" w:color="auto"/>
            </w:tcBorders>
            <w:vAlign w:val="center"/>
          </w:tcPr>
          <w:p w:rsidR="0057780D" w:rsidRPr="00F57FE9" w:rsidRDefault="0057780D" w:rsidP="00F57FE9">
            <w:pPr>
              <w:spacing w:line="360" w:lineRule="auto"/>
              <w:jc w:val="center"/>
            </w:pPr>
            <w:r w:rsidRPr="00F57FE9">
              <w:t>99.35</w:t>
            </w:r>
          </w:p>
        </w:tc>
      </w:tr>
    </w:tbl>
    <w:p w:rsidR="0057780D" w:rsidRPr="00F57FE9" w:rsidRDefault="0057780D" w:rsidP="00F57FE9">
      <w:pPr>
        <w:spacing w:line="360" w:lineRule="auto"/>
        <w:jc w:val="center"/>
        <w:rPr>
          <w:i/>
        </w:rPr>
      </w:pPr>
    </w:p>
    <w:p w:rsidR="00EE4E5E" w:rsidRDefault="00A36EFC" w:rsidP="00F57FE9">
      <w:pPr>
        <w:spacing w:line="360" w:lineRule="auto"/>
        <w:jc w:val="center"/>
        <w:rPr>
          <w:i/>
        </w:rPr>
      </w:pPr>
      <w:r w:rsidRPr="00A36EFC">
        <w:rPr>
          <w:i/>
          <w:noProof/>
        </w:rPr>
        <w:drawing>
          <wp:inline distT="0" distB="0" distL="0" distR="0">
            <wp:extent cx="5760176" cy="2990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902" cy="2991227"/>
                    </a:xfrm>
                    <a:prstGeom prst="rect">
                      <a:avLst/>
                    </a:prstGeom>
                  </pic:spPr>
                </pic:pic>
              </a:graphicData>
            </a:graphic>
          </wp:inline>
        </w:drawing>
      </w:r>
    </w:p>
    <w:p w:rsidR="003527E6" w:rsidRPr="00F57FE9" w:rsidRDefault="0040488A" w:rsidP="00A36EFC">
      <w:pPr>
        <w:spacing w:line="360" w:lineRule="auto"/>
        <w:rPr>
          <w:bCs/>
        </w:rPr>
      </w:pPr>
      <w:proofErr w:type="gramStart"/>
      <w:r>
        <w:rPr>
          <w:b/>
          <w:bCs/>
        </w:rPr>
        <w:t>Figure 5</w:t>
      </w:r>
      <w:r w:rsidR="003F0FB6" w:rsidRPr="003F0FB6">
        <w:rPr>
          <w:b/>
          <w:bCs/>
        </w:rPr>
        <w:t>.</w:t>
      </w:r>
      <w:proofErr w:type="gramEnd"/>
      <w:r w:rsidR="003527E6" w:rsidRPr="00F57FE9">
        <w:t xml:space="preserve"> </w:t>
      </w:r>
      <w:r w:rsidR="003527E6" w:rsidRPr="00F57FE9">
        <w:rPr>
          <w:bCs/>
        </w:rPr>
        <w:t>Contour plot showing the desirability value and predicted values o</w:t>
      </w:r>
      <w:r w:rsidR="0089063E" w:rsidRPr="00F57FE9">
        <w:rPr>
          <w:bCs/>
        </w:rPr>
        <w:t>btained from the AB model term.</w:t>
      </w:r>
    </w:p>
    <w:p w:rsidR="00EE4E5E" w:rsidRPr="00F57FE9" w:rsidRDefault="00EE4E5E" w:rsidP="00F57FE9">
      <w:pPr>
        <w:spacing w:line="360" w:lineRule="auto"/>
        <w:jc w:val="center"/>
        <w:rPr>
          <w:bCs/>
          <w:i/>
        </w:rPr>
      </w:pPr>
      <w:r w:rsidRPr="00F57FE9">
        <w:rPr>
          <w:bCs/>
          <w:i/>
          <w:noProof/>
        </w:rPr>
        <w:drawing>
          <wp:inline distT="0" distB="0" distL="0" distR="0">
            <wp:extent cx="4933950" cy="3342998"/>
            <wp:effectExtent l="0" t="0" r="0" b="0"/>
            <wp:docPr id="36" name="Picture 10" descr="D:\My paper=SNN\MTX nanosuspension\Final Figures for CCD\Powar MS Figure JPEG\Powar MS 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paper=SNN\MTX nanosuspension\Final Figures for CCD\Powar MS Figure JPEG\Powar MS Figure 10.jpg"/>
                    <pic:cNvPicPr>
                      <a:picLocks noChangeAspect="1" noChangeArrowheads="1"/>
                    </pic:cNvPicPr>
                  </pic:nvPicPr>
                  <pic:blipFill>
                    <a:blip r:embed="rId14" cstate="print"/>
                    <a:srcRect t="7377"/>
                    <a:stretch>
                      <a:fillRect/>
                    </a:stretch>
                  </pic:blipFill>
                  <pic:spPr bwMode="auto">
                    <a:xfrm>
                      <a:off x="0" y="0"/>
                      <a:ext cx="4953372" cy="3356157"/>
                    </a:xfrm>
                    <a:prstGeom prst="rect">
                      <a:avLst/>
                    </a:prstGeom>
                    <a:noFill/>
                    <a:ln w="9525">
                      <a:noFill/>
                      <a:miter lim="800000"/>
                      <a:headEnd/>
                      <a:tailEnd/>
                    </a:ln>
                  </pic:spPr>
                </pic:pic>
              </a:graphicData>
            </a:graphic>
          </wp:inline>
        </w:drawing>
      </w:r>
    </w:p>
    <w:p w:rsidR="003527E6" w:rsidRPr="00F57FE9" w:rsidRDefault="00A36EFC" w:rsidP="00366F04">
      <w:pPr>
        <w:spacing w:line="360" w:lineRule="auto"/>
        <w:jc w:val="both"/>
      </w:pPr>
      <w:proofErr w:type="gramStart"/>
      <w:r>
        <w:rPr>
          <w:b/>
          <w:bCs/>
        </w:rPr>
        <w:t>Figure 6</w:t>
      </w:r>
      <w:r w:rsidR="003F0FB6" w:rsidRPr="003F0FB6">
        <w:rPr>
          <w:b/>
          <w:bCs/>
        </w:rPr>
        <w:t>.</w:t>
      </w:r>
      <w:proofErr w:type="gramEnd"/>
      <w:r w:rsidR="003F0FB6">
        <w:t xml:space="preserve"> </w:t>
      </w:r>
      <w:r w:rsidR="003527E6" w:rsidRPr="00F57FE9">
        <w:t>Overlay plot proposed by the DOE software displaying design space in yellow color along with the compositions of selected optimized f</w:t>
      </w:r>
      <w:r w:rsidR="0089063E" w:rsidRPr="00F57FE9">
        <w:t>ormulations with the responses</w:t>
      </w:r>
    </w:p>
    <w:p w:rsidR="003527E6" w:rsidRPr="00F57FE9" w:rsidRDefault="003527E6" w:rsidP="00F57FE9">
      <w:pPr>
        <w:spacing w:line="360" w:lineRule="auto"/>
        <w:jc w:val="both"/>
        <w:rPr>
          <w:b/>
        </w:rPr>
      </w:pPr>
      <w:r w:rsidRPr="00F57FE9">
        <w:rPr>
          <w:b/>
        </w:rPr>
        <w:lastRenderedPageBreak/>
        <w:t>3.3.5. Particle size and</w:t>
      </w:r>
      <w:r w:rsidR="00B71357" w:rsidRPr="00F57FE9">
        <w:rPr>
          <w:b/>
        </w:rPr>
        <w:t xml:space="preserve"> zeta</w:t>
      </w:r>
      <w:r w:rsidRPr="00F57FE9">
        <w:rPr>
          <w:b/>
        </w:rPr>
        <w:t xml:space="preserve">-potential analysis  </w:t>
      </w:r>
    </w:p>
    <w:p w:rsidR="003527E6" w:rsidRPr="00F57FE9" w:rsidRDefault="003527E6" w:rsidP="00F57FE9">
      <w:pPr>
        <w:spacing w:line="360" w:lineRule="auto"/>
        <w:jc w:val="both"/>
      </w:pPr>
      <w:r w:rsidRPr="00F57FE9">
        <w:t xml:space="preserve">MTX is a coarse micronized powder with fine texture, poor flow property, and aqueous solubility. The average particle diameter of pure MTX was 16.64 ± 8.55, µm, indicating broad particle size distribution (PI: 0.945). The freshly prepared NS </w:t>
      </w:r>
      <w:proofErr w:type="gramStart"/>
      <w:r w:rsidRPr="00F57FE9">
        <w:t>was lyophilized</w:t>
      </w:r>
      <w:proofErr w:type="gramEnd"/>
      <w:r w:rsidRPr="00F57FE9">
        <w:t xml:space="preserve"> to enhance product stabil</w:t>
      </w:r>
      <w:r w:rsidR="002D0920" w:rsidRPr="00F57FE9">
        <w:t>ity. The lyophilized MTX-NS</w:t>
      </w:r>
      <w:r w:rsidRPr="00F57FE9">
        <w:t xml:space="preserve"> powder was smooth in appearance with the particle size of 260±</w:t>
      </w:r>
      <w:r w:rsidR="001A08F2">
        <w:t>0.25 nm, respectively (Figure 7</w:t>
      </w:r>
      <w:r w:rsidRPr="00F57FE9">
        <w:t xml:space="preserve">A) which </w:t>
      </w:r>
      <w:proofErr w:type="gramStart"/>
      <w:r w:rsidRPr="00F57FE9">
        <w:t>was easily re-dispersed</w:t>
      </w:r>
      <w:proofErr w:type="gramEnd"/>
      <w:r w:rsidRPr="00F57FE9">
        <w:t xml:space="preserve"> upon gentle shaking. The PDI represents size distribution and the potency of the measured average diameter of the drug components determined by the DLS system. Optimized lyophilized MTX-NS, showed, PDI value 0.212 ± 0.33, respectively indicating a narrow distribution of particle size. The lower PDI value indicates better stability of NS. Narrow and uniform particle size distribution favors dissolution enhancement, boosts intestinal absorption, and improves oral bioavailability.</w:t>
      </w:r>
    </w:p>
    <w:p w:rsidR="00366F04" w:rsidRDefault="003527E6" w:rsidP="00F57FE9">
      <w:pPr>
        <w:spacing w:line="360" w:lineRule="auto"/>
        <w:jc w:val="both"/>
      </w:pPr>
      <w:r w:rsidRPr="00F57FE9">
        <w:t xml:space="preserve">Another important significant index is zeta potential, which directly affects the dispersion system stability, as it reflects steric or electrostatic barriers preventing agglomeration and aggregation of </w:t>
      </w:r>
    </w:p>
    <w:p w:rsidR="003527E6" w:rsidRPr="00F57FE9" w:rsidRDefault="00366F04" w:rsidP="00F57FE9">
      <w:pPr>
        <w:spacing w:line="360" w:lineRule="auto"/>
        <w:jc w:val="both"/>
      </w:pPr>
      <w:r w:rsidRPr="00A36EFC">
        <w:rPr>
          <w:noProof/>
        </w:rPr>
        <w:drawing>
          <wp:anchor distT="0" distB="0" distL="114300" distR="114300" simplePos="0" relativeHeight="251657216" behindDoc="1" locked="0" layoutInCell="1" allowOverlap="1">
            <wp:simplePos x="0" y="0"/>
            <wp:positionH relativeFrom="column">
              <wp:posOffset>-133350</wp:posOffset>
            </wp:positionH>
            <wp:positionV relativeFrom="paragraph">
              <wp:posOffset>1085850</wp:posOffset>
            </wp:positionV>
            <wp:extent cx="6492240" cy="1604823"/>
            <wp:effectExtent l="0" t="0" r="0" b="0"/>
            <wp:wrapTight wrapText="bothSides">
              <wp:wrapPolygon edited="0">
                <wp:start x="0" y="0"/>
                <wp:lineTo x="0" y="21284"/>
                <wp:lineTo x="21549" y="21284"/>
                <wp:lineTo x="21549" y="0"/>
                <wp:lineTo x="0" y="0"/>
              </wp:wrapPolygon>
            </wp:wrapTight>
            <wp:docPr id="8" name="Picture 8" descr="C:\Users\Dell\Downloads\zeta and particle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zeta and particle size.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1604823"/>
                    </a:xfrm>
                    <a:prstGeom prst="rect">
                      <a:avLst/>
                    </a:prstGeom>
                    <a:noFill/>
                    <a:ln>
                      <a:noFill/>
                    </a:ln>
                  </pic:spPr>
                </pic:pic>
              </a:graphicData>
            </a:graphic>
          </wp:anchor>
        </w:drawing>
      </w:r>
      <w:proofErr w:type="gramStart"/>
      <w:r w:rsidR="003527E6" w:rsidRPr="00F57FE9">
        <w:t>nanoparticles</w:t>
      </w:r>
      <w:proofErr w:type="gramEnd"/>
      <w:r w:rsidR="003527E6" w:rsidRPr="00F57FE9">
        <w:t xml:space="preserve">. When drug particles possess very low values of zeta it provides appropriate steric or electric repulsion between each other, aggregation of particles is likely to occur. The zeta of reconstituted MTX-NS </w:t>
      </w:r>
      <w:proofErr w:type="gramStart"/>
      <w:r w:rsidR="003527E6" w:rsidRPr="00F57FE9">
        <w:t>was found</w:t>
      </w:r>
      <w:proofErr w:type="gramEnd"/>
      <w:r w:rsidR="003527E6" w:rsidRPr="00F57FE9">
        <w:t xml:space="preserve"> to be -11.6 ± 7.52 mV, which indicates the admirable physical stability of the</w:t>
      </w:r>
      <w:r w:rsidR="001A08F2">
        <w:t xml:space="preserve"> developed nanosystem (Figure 7</w:t>
      </w:r>
      <w:r w:rsidR="003527E6" w:rsidRPr="00F57FE9">
        <w:t xml:space="preserve"> </w:t>
      </w:r>
      <w:r w:rsidR="00997A62" w:rsidRPr="00F57FE9">
        <w:t>B)</w:t>
      </w:r>
      <w:r w:rsidR="003527E6" w:rsidRPr="00F57FE9">
        <w:t>.</w:t>
      </w:r>
    </w:p>
    <w:p w:rsidR="00EE4E5E" w:rsidRPr="00F57FE9" w:rsidRDefault="00366F04" w:rsidP="00366F04">
      <w:pPr>
        <w:spacing w:line="360" w:lineRule="auto"/>
        <w:jc w:val="both"/>
      </w:pPr>
      <w:proofErr w:type="gramStart"/>
      <w:r>
        <w:rPr>
          <w:b/>
          <w:bCs/>
        </w:rPr>
        <w:t>Figure 7</w:t>
      </w:r>
      <w:r>
        <w:t>.</w:t>
      </w:r>
      <w:proofErr w:type="gramEnd"/>
      <w:r w:rsidRPr="00F57FE9">
        <w:t xml:space="preserve"> </w:t>
      </w:r>
      <w:proofErr w:type="gramStart"/>
      <w:r w:rsidRPr="00F57FE9">
        <w:t>A) Average particle size for optimized batch MTX-NS.</w:t>
      </w:r>
      <w:proofErr w:type="gramEnd"/>
      <w:r w:rsidRPr="00F57FE9">
        <w:t xml:space="preserve"> B] Zeta potential for MTX-NS optimized batch</w:t>
      </w:r>
    </w:p>
    <w:p w:rsidR="003527E6" w:rsidRPr="00F57FE9" w:rsidRDefault="003527E6" w:rsidP="00F57FE9">
      <w:pPr>
        <w:spacing w:line="360" w:lineRule="auto"/>
        <w:jc w:val="both"/>
        <w:rPr>
          <w:b/>
        </w:rPr>
      </w:pPr>
      <w:r w:rsidRPr="00F57FE9">
        <w:rPr>
          <w:b/>
        </w:rPr>
        <w:t>3.3.6. Saturation</w:t>
      </w:r>
      <w:r w:rsidR="00B71357" w:rsidRPr="00F57FE9">
        <w:rPr>
          <w:b/>
        </w:rPr>
        <w:t xml:space="preserve"> solubility studies</w:t>
      </w:r>
    </w:p>
    <w:p w:rsidR="003527E6" w:rsidRPr="00F57FE9" w:rsidRDefault="003527E6" w:rsidP="00F57FE9">
      <w:pPr>
        <w:spacing w:line="360" w:lineRule="auto"/>
        <w:jc w:val="both"/>
      </w:pPr>
      <w:r w:rsidRPr="00F57FE9">
        <w:rPr>
          <w:shd w:val="clear" w:color="auto" w:fill="FFFFFF"/>
        </w:rPr>
        <w:t xml:space="preserve">The saturation solubility (SS) studies of pure drug MTX with their optimized lyophilized formulations viz., </w:t>
      </w:r>
      <w:r w:rsidRPr="00F57FE9">
        <w:t>MTX-NS</w:t>
      </w:r>
      <w:r w:rsidR="002E553C" w:rsidRPr="00F57FE9">
        <w:t xml:space="preserve"> </w:t>
      </w:r>
      <w:proofErr w:type="gramStart"/>
      <w:r w:rsidRPr="00F57FE9">
        <w:rPr>
          <w:shd w:val="clear" w:color="auto" w:fill="FFFFFF"/>
        </w:rPr>
        <w:t>was done</w:t>
      </w:r>
      <w:proofErr w:type="gramEnd"/>
      <w:r w:rsidRPr="00F57FE9">
        <w:rPr>
          <w:shd w:val="clear" w:color="auto" w:fill="FFFFFF"/>
        </w:rPr>
        <w:t xml:space="preserve"> using double distilled water. The SS of </w:t>
      </w:r>
      <w:r w:rsidRPr="00F57FE9">
        <w:t>MTX-NS</w:t>
      </w:r>
      <w:r w:rsidR="002E553C" w:rsidRPr="00F57FE9">
        <w:t xml:space="preserve"> </w:t>
      </w:r>
      <w:r w:rsidRPr="00F57FE9">
        <w:rPr>
          <w:shd w:val="clear" w:color="auto" w:fill="FFFFFF"/>
        </w:rPr>
        <w:t>was</w:t>
      </w:r>
      <w:r w:rsidRPr="00F57FE9">
        <w:t xml:space="preserve"> 1487.23± 0.064, µg/ml</w:t>
      </w:r>
      <w:r w:rsidRPr="00F57FE9">
        <w:rPr>
          <w:shd w:val="clear" w:color="auto" w:fill="FFFFFF"/>
        </w:rPr>
        <w:t>, respectively. While for coarse</w:t>
      </w:r>
      <w:r w:rsidR="002E553C" w:rsidRPr="00F57FE9">
        <w:rPr>
          <w:shd w:val="clear" w:color="auto" w:fill="FFFFFF"/>
        </w:rPr>
        <w:t xml:space="preserve"> </w:t>
      </w:r>
      <w:r w:rsidRPr="00F57FE9">
        <w:rPr>
          <w:shd w:val="clear" w:color="auto" w:fill="FFFFFF"/>
        </w:rPr>
        <w:t xml:space="preserve">MTX, the SS </w:t>
      </w:r>
      <w:r w:rsidRPr="00F57FE9">
        <w:t xml:space="preserve">was 178.96±0.02 µg/ml. </w:t>
      </w:r>
      <w:r w:rsidRPr="00F57FE9">
        <w:lastRenderedPageBreak/>
        <w:t xml:space="preserve">Here </w:t>
      </w:r>
      <w:proofErr w:type="gramStart"/>
      <w:r w:rsidRPr="00F57FE9">
        <w:t xml:space="preserve">the </w:t>
      </w:r>
      <w:r w:rsidRPr="00F57FE9">
        <w:rPr>
          <w:shd w:val="clear" w:color="auto" w:fill="FFFFFF"/>
        </w:rPr>
        <w:t xml:space="preserve">SS </w:t>
      </w:r>
      <w:r w:rsidRPr="00F57FE9">
        <w:t xml:space="preserve">of </w:t>
      </w:r>
      <w:r w:rsidRPr="00F57FE9">
        <w:rPr>
          <w:shd w:val="clear" w:color="auto" w:fill="FFFFFF"/>
        </w:rPr>
        <w:t xml:space="preserve">MTX, </w:t>
      </w:r>
      <w:r w:rsidRPr="00F57FE9">
        <w:t xml:space="preserve">in NS form is increased by </w:t>
      </w:r>
      <w:r w:rsidRPr="00F57FE9">
        <w:rPr>
          <w:shd w:val="clear" w:color="auto" w:fill="FFFFFF"/>
        </w:rPr>
        <w:t>8.31</w:t>
      </w:r>
      <w:r w:rsidR="002E553C" w:rsidRPr="00F57FE9">
        <w:rPr>
          <w:shd w:val="clear" w:color="auto" w:fill="FFFFFF"/>
        </w:rPr>
        <w:t xml:space="preserve"> </w:t>
      </w:r>
      <w:r w:rsidRPr="00F57FE9">
        <w:rPr>
          <w:shd w:val="clear" w:color="auto" w:fill="FFFFFF"/>
        </w:rPr>
        <w:t>folds</w:t>
      </w:r>
      <w:proofErr w:type="gramEnd"/>
      <w:r w:rsidRPr="00F57FE9">
        <w:rPr>
          <w:shd w:val="clear" w:color="auto" w:fill="FFFFFF"/>
        </w:rPr>
        <w:t>. This is because of the decreased size of particles and the enhanced surface area of NS as compared to pure drugs.</w:t>
      </w:r>
      <w:r w:rsidRPr="00F57FE9">
        <w:t xml:space="preserve"> Ostwald </w:t>
      </w:r>
      <w:proofErr w:type="spellStart"/>
      <w:r w:rsidRPr="00F57FE9">
        <w:t>Freundlich</w:t>
      </w:r>
      <w:proofErr w:type="spellEnd"/>
      <w:r w:rsidRPr="00F57FE9">
        <w:t xml:space="preserve"> </w:t>
      </w:r>
      <w:r w:rsidR="00E21C65" w:rsidRPr="00F57FE9">
        <w:t>equation states</w:t>
      </w:r>
      <w:r w:rsidRPr="00F57FE9">
        <w:t xml:space="preserve"> that decreasing particle size increases saturation solubility (</w:t>
      </w:r>
      <w:r w:rsidR="00F42E51" w:rsidRPr="00F57FE9">
        <w:t>Cs)</w:t>
      </w:r>
    </w:p>
    <w:p w:rsidR="003527E6" w:rsidRPr="00F57FE9" w:rsidRDefault="007163F6" w:rsidP="008561B6">
      <w:pPr>
        <w:spacing w:line="360" w:lineRule="auto"/>
      </w:pPr>
      <m:oMath>
        <m:f>
          <m:fPr>
            <m:ctrlPr>
              <w:rPr>
                <w:rFonts w:ascii="Cambria Math" w:hAnsi="Cambria Math"/>
                <w:i/>
              </w:rPr>
            </m:ctrlPr>
          </m:fPr>
          <m:num>
            <m:r>
              <m:rPr>
                <m:sty m:val="p"/>
              </m:rPr>
              <w:rPr>
                <w:rFonts w:ascii="Cambria Math"/>
              </w:rPr>
              <m:t>Log Cs</m:t>
            </m:r>
          </m:num>
          <m:den>
            <m:r>
              <m:rPr>
                <m:sty m:val="p"/>
              </m:rPr>
              <w:rPr>
                <w:rFonts w:ascii="Cambria Math"/>
              </w:rPr>
              <m:t>C</m:t>
            </m:r>
          </m:den>
        </m:f>
        <m:r>
          <w:rPr>
            <w:rFonts w:hAnsi="Cambria Math"/>
          </w:rPr>
          <m:t>₌</m:t>
        </m:r>
        <m:f>
          <m:fPr>
            <m:ctrlPr>
              <w:rPr>
                <w:rFonts w:ascii="Cambria Math" w:hAnsi="Cambria Math"/>
                <w:i/>
              </w:rPr>
            </m:ctrlPr>
          </m:fPr>
          <m:num>
            <m:r>
              <m:rPr>
                <m:sty m:val="p"/>
              </m:rPr>
              <w:rPr>
                <w:rFonts w:ascii="Cambria Math"/>
              </w:rPr>
              <m:t>2sV</m:t>
            </m:r>
          </m:num>
          <m:den>
            <m:r>
              <m:rPr>
                <m:sty m:val="p"/>
              </m:rPr>
              <w:rPr>
                <w:rFonts w:ascii="Cambria Math"/>
              </w:rPr>
              <m:t>2.303RT</m:t>
            </m:r>
            <m:sSub>
              <m:sSubPr>
                <m:ctrlPr>
                  <w:rPr>
                    <w:rFonts w:ascii="Cambria Math" w:hAnsi="Cambria Math"/>
                  </w:rPr>
                </m:ctrlPr>
              </m:sSubPr>
              <m:e>
                <m:r>
                  <w:rPr>
                    <w:rFonts w:ascii="Cambria Math" w:hAnsi="Cambria Math"/>
                  </w:rPr>
                  <m:t>r</m:t>
                </m:r>
              </m:e>
              <m:sub>
                <m:r>
                  <w:rPr>
                    <w:rFonts w:ascii="Cambria Math"/>
                  </w:rPr>
                  <m:t>1</m:t>
                </m:r>
              </m:sub>
            </m:sSub>
            <m:r>
              <m:rPr>
                <m:sty m:val="p"/>
              </m:rPr>
              <w:rPr>
                <w:rFonts w:ascii="Cambria Math"/>
              </w:rPr>
              <m:t xml:space="preserve"> r </m:t>
            </m:r>
          </m:den>
        </m:f>
      </m:oMath>
      <w:r w:rsidR="00D82C50" w:rsidRPr="00F57FE9">
        <w:rPr>
          <w:i/>
        </w:rPr>
        <w:t xml:space="preserve">    </w:t>
      </w:r>
      <w:r w:rsidR="008561B6">
        <w:rPr>
          <w:i/>
        </w:rPr>
        <w:t xml:space="preserve">                                                                                                               </w:t>
      </w:r>
      <w:r w:rsidR="00D82C50" w:rsidRPr="00F57FE9">
        <w:rPr>
          <w:i/>
        </w:rPr>
        <w:t xml:space="preserve">  </w:t>
      </w:r>
      <w:r w:rsidR="003527E6" w:rsidRPr="00F57FE9">
        <w:rPr>
          <w:i/>
        </w:rPr>
        <w:t xml:space="preserve">Eq. </w:t>
      </w:r>
      <w:r w:rsidR="009B54A6" w:rsidRPr="00F57FE9">
        <w:t>14</w:t>
      </w:r>
    </w:p>
    <w:p w:rsidR="003527E6" w:rsidRPr="00F57FE9" w:rsidRDefault="003527E6" w:rsidP="00F57FE9">
      <w:pPr>
        <w:spacing w:line="360" w:lineRule="auto"/>
        <w:jc w:val="both"/>
        <w:rPr>
          <w:shd w:val="clear" w:color="auto" w:fill="FFFFFF"/>
        </w:rPr>
      </w:pPr>
      <w:r w:rsidRPr="00F57FE9">
        <w:t>Where, s = substance interfacial tension, R = gas constant, C = solids solubility with large particles, r</w:t>
      </w:r>
      <w:r w:rsidRPr="00F57FE9">
        <w:rPr>
          <w:vertAlign w:val="subscript"/>
        </w:rPr>
        <w:t>1</w:t>
      </w:r>
      <w:r w:rsidRPr="00F57FE9">
        <w:t xml:space="preserve"> = density of the solid, Cs = solubility, r = radius, V = particle molar volume, and T = absolute temperature.</w:t>
      </w:r>
      <w:r w:rsidRPr="00F57FE9">
        <w:rPr>
          <w:shd w:val="clear" w:color="auto" w:fill="FFFFFF"/>
        </w:rPr>
        <w:t xml:space="preserve"> Another reason that increases saturation solubility </w:t>
      </w:r>
      <w:proofErr w:type="gramStart"/>
      <w:r w:rsidRPr="00F57FE9">
        <w:rPr>
          <w:shd w:val="clear" w:color="auto" w:fill="FFFFFF"/>
        </w:rPr>
        <w:t>is explained</w:t>
      </w:r>
      <w:proofErr w:type="gramEnd"/>
      <w:r w:rsidRPr="00F57FE9">
        <w:rPr>
          <w:shd w:val="clear" w:color="auto" w:fill="FFFFFF"/>
        </w:rPr>
        <w:t xml:space="preserve"> by the Kelvin equation, which suggests that with increased curvature the dissolution pressure increases with decreasing particle size.</w:t>
      </w:r>
      <w:r w:rsidR="00997A62" w:rsidRPr="00F57FE9">
        <w:rPr>
          <w:shd w:val="clear" w:color="auto" w:fill="FFFFFF"/>
        </w:rPr>
        <w:t xml:space="preserve"> </w:t>
      </w:r>
      <w:r w:rsidRPr="00F57FE9">
        <w:rPr>
          <w:shd w:val="clear" w:color="auto" w:fill="FFFFFF"/>
        </w:rPr>
        <w:t xml:space="preserve">The particle size when reduced to the </w:t>
      </w:r>
      <w:r w:rsidR="00997A62" w:rsidRPr="00F57FE9">
        <w:rPr>
          <w:shd w:val="clear" w:color="auto" w:fill="FFFFFF"/>
        </w:rPr>
        <w:t>nanometer</w:t>
      </w:r>
      <w:r w:rsidRPr="00F57FE9">
        <w:rPr>
          <w:shd w:val="clear" w:color="auto" w:fill="FFFFFF"/>
        </w:rPr>
        <w:t xml:space="preserve"> range, the curvatures </w:t>
      </w:r>
      <w:r w:rsidR="00831CFE" w:rsidRPr="00F57FE9">
        <w:rPr>
          <w:shd w:val="clear" w:color="auto" w:fill="FFFFFF"/>
        </w:rPr>
        <w:t xml:space="preserve">then </w:t>
      </w:r>
      <w:r w:rsidRPr="00F57FE9">
        <w:rPr>
          <w:shd w:val="clear" w:color="auto" w:fill="FFFFFF"/>
        </w:rPr>
        <w:t>formed are enormous.</w:t>
      </w:r>
    </w:p>
    <w:p w:rsidR="003527E6" w:rsidRPr="00F57FE9" w:rsidRDefault="003527E6" w:rsidP="00F57FE9">
      <w:pPr>
        <w:spacing w:line="360" w:lineRule="auto"/>
        <w:jc w:val="both"/>
        <w:rPr>
          <w:b/>
        </w:rPr>
      </w:pPr>
      <w:r w:rsidRPr="00F57FE9">
        <w:rPr>
          <w:b/>
        </w:rPr>
        <w:t xml:space="preserve">3.3.7. Surface </w:t>
      </w:r>
      <w:r w:rsidR="00B71357" w:rsidRPr="00F57FE9">
        <w:rPr>
          <w:b/>
        </w:rPr>
        <w:t xml:space="preserve">topographical studies </w:t>
      </w:r>
    </w:p>
    <w:p w:rsidR="003527E6" w:rsidRPr="00F57FE9" w:rsidRDefault="003527E6" w:rsidP="00F57FE9">
      <w:pPr>
        <w:spacing w:line="360" w:lineRule="auto"/>
        <w:jc w:val="both"/>
        <w:rPr>
          <w:b/>
        </w:rPr>
      </w:pPr>
      <w:r w:rsidRPr="00F57FE9">
        <w:rPr>
          <w:b/>
        </w:rPr>
        <w:t xml:space="preserve">3.3.7.1. Scanning </w:t>
      </w:r>
      <w:r w:rsidR="00B71357" w:rsidRPr="00F57FE9">
        <w:rPr>
          <w:b/>
        </w:rPr>
        <w:t xml:space="preserve">electron microscopy </w:t>
      </w:r>
      <w:r w:rsidRPr="00F57FE9">
        <w:rPr>
          <w:b/>
        </w:rPr>
        <w:t>(SEM)</w:t>
      </w:r>
    </w:p>
    <w:p w:rsidR="003527E6" w:rsidRPr="00F57FE9" w:rsidRDefault="003527E6" w:rsidP="00F57FE9">
      <w:pPr>
        <w:spacing w:line="360" w:lineRule="auto"/>
        <w:jc w:val="both"/>
      </w:pPr>
      <w:r w:rsidRPr="00F57FE9">
        <w:t>SEM of MTX shown that the coarse MTX particles bear an average size of particle 16.64 – 17.5 μm with broad size distribution and mostly</w:t>
      </w:r>
      <w:r w:rsidRPr="00F57FE9">
        <w:rPr>
          <w:shd w:val="clear" w:color="auto" w:fill="FFFFFF"/>
        </w:rPr>
        <w:t xml:space="preserve"> composed of drug crystal</w:t>
      </w:r>
      <w:r w:rsidR="001A08F2">
        <w:rPr>
          <w:shd w:val="clear" w:color="auto" w:fill="FFFFFF"/>
        </w:rPr>
        <w:t>s that are fragmented (Figure 8</w:t>
      </w:r>
      <w:r w:rsidRPr="00F57FE9">
        <w:rPr>
          <w:shd w:val="clear" w:color="auto" w:fill="FFFFFF"/>
        </w:rPr>
        <w:t xml:space="preserve"> a)</w:t>
      </w:r>
      <w:r w:rsidR="001A08F2">
        <w:t>. The SEM (Figure 8</w:t>
      </w:r>
      <w:r w:rsidRPr="00F57FE9">
        <w:t xml:space="preserve"> b) of optimized lyophilized MTX-NS showed that particles were discrete and aligned in intimate contact as fiber-like structures with an absence of agglomeration that </w:t>
      </w:r>
      <w:proofErr w:type="gramStart"/>
      <w:r w:rsidRPr="00F57FE9">
        <w:t>may be assigned</w:t>
      </w:r>
      <w:proofErr w:type="gramEnd"/>
      <w:r w:rsidRPr="00F57FE9">
        <w:t xml:space="preserve"> by the presence of a stabilizer. Thus, indicated that lyophilization avoids aggregation of particles. The NS had a porous surface and </w:t>
      </w:r>
      <w:proofErr w:type="gramStart"/>
      <w:r w:rsidRPr="00F57FE9">
        <w:t>were found</w:t>
      </w:r>
      <w:proofErr w:type="gramEnd"/>
      <w:r w:rsidRPr="00F57FE9">
        <w:t xml:space="preserve"> slightly elongated but not completely spherical. These pores </w:t>
      </w:r>
      <w:proofErr w:type="gramStart"/>
      <w:r w:rsidRPr="00F57FE9">
        <w:t>may be developed</w:t>
      </w:r>
      <w:proofErr w:type="gramEnd"/>
      <w:r w:rsidRPr="00F57FE9">
        <w:t xml:space="preserve"> because of solvent evaporation from the surface of MTX-NS during lyophilization. </w:t>
      </w:r>
      <w:proofErr w:type="gramStart"/>
      <w:r w:rsidRPr="00F57FE9">
        <w:t>Thus</w:t>
      </w:r>
      <w:proofErr w:type="gramEnd"/>
      <w:r w:rsidRPr="00F57FE9">
        <w:t xml:space="preserve"> SEM confirms that the larger scaly particles of MTX were successfully converted to nearly elongated, smaller sized nanoparticles with a smoother surface on size reduction.</w:t>
      </w:r>
      <w:r w:rsidRPr="00F57FE9">
        <w:rPr>
          <w:shd w:val="clear" w:color="auto" w:fill="FFFFFF"/>
        </w:rPr>
        <w:t xml:space="preserve"> This concludes that the crystalline nature of MTX was lost during the fabrication of the </w:t>
      </w:r>
      <w:r w:rsidRPr="00F57FE9">
        <w:t>MTX-NS</w:t>
      </w:r>
      <w:r w:rsidRPr="00F57FE9">
        <w:rPr>
          <w:shd w:val="clear" w:color="auto" w:fill="FFFFFF"/>
        </w:rPr>
        <w:t>.</w:t>
      </w:r>
      <w:r w:rsidRPr="00F57FE9">
        <w:t xml:space="preserve">  The obtained NS particles were readily </w:t>
      </w:r>
      <w:proofErr w:type="spellStart"/>
      <w:r w:rsidRPr="00F57FE9">
        <w:t>redispersible</w:t>
      </w:r>
      <w:proofErr w:type="spellEnd"/>
      <w:r w:rsidRPr="00F57FE9">
        <w:t>. SEM analysis also revealed that stabilizer-drug interaction leads to a matrix structure that is different from pure drug SEM image</w:t>
      </w:r>
      <w:r w:rsidR="001D3D23" w:rsidRPr="00F57FE9">
        <w:t>s</w:t>
      </w:r>
      <w:r w:rsidRPr="00F57FE9">
        <w:t xml:space="preserve">. This means that drug molecules </w:t>
      </w:r>
      <w:proofErr w:type="gramStart"/>
      <w:r w:rsidRPr="00F57FE9">
        <w:t>are completely dispersed</w:t>
      </w:r>
      <w:proofErr w:type="gramEnd"/>
      <w:r w:rsidRPr="00F57FE9">
        <w:t xml:space="preserve"> in the surfactant structures leading to the formation of nanoparticles. After lyophilization, the size of the MTX-NS particle was increased to a lesser extent but smaller th</w:t>
      </w:r>
      <w:r w:rsidR="001D3D23" w:rsidRPr="00F57FE9">
        <w:t>a</w:t>
      </w:r>
      <w:r w:rsidRPr="00F57FE9">
        <w:t xml:space="preserve">n MTX. SEM images of MTX-NS showed </w:t>
      </w:r>
      <w:proofErr w:type="spellStart"/>
      <w:r w:rsidRPr="00F57FE9">
        <w:t>quasispherical</w:t>
      </w:r>
      <w:proofErr w:type="spellEnd"/>
      <w:r w:rsidRPr="00F57FE9">
        <w:t xml:space="preserve"> spheres and the size of the particle obtained was in correlation with the results of DLS.</w:t>
      </w:r>
    </w:p>
    <w:p w:rsidR="00EE4E5E" w:rsidRPr="00F57FE9" w:rsidRDefault="00EE4E5E" w:rsidP="00F57FE9">
      <w:pPr>
        <w:spacing w:line="360" w:lineRule="auto"/>
        <w:jc w:val="center"/>
      </w:pPr>
    </w:p>
    <w:p w:rsidR="00717B35" w:rsidRDefault="00717B35" w:rsidP="00F57FE9">
      <w:pPr>
        <w:pStyle w:val="NormalWeb"/>
        <w:shd w:val="clear" w:color="auto" w:fill="FFFFFF"/>
        <w:spacing w:before="0" w:beforeAutospacing="0" w:after="0" w:afterAutospacing="0" w:line="360" w:lineRule="auto"/>
        <w:jc w:val="center"/>
        <w:rPr>
          <w:b/>
          <w:bCs/>
        </w:rPr>
      </w:pPr>
    </w:p>
    <w:p w:rsidR="00717B35" w:rsidRDefault="007163F6" w:rsidP="00F57FE9">
      <w:pPr>
        <w:pStyle w:val="NormalWeb"/>
        <w:shd w:val="clear" w:color="auto" w:fill="FFFFFF"/>
        <w:spacing w:before="0" w:beforeAutospacing="0" w:after="0" w:afterAutospacing="0" w:line="360" w:lineRule="auto"/>
        <w:jc w:val="center"/>
        <w:rPr>
          <w:b/>
          <w:bCs/>
        </w:rPr>
      </w:pPr>
      <w:r w:rsidRPr="007163F6">
        <w:lastRenderedPageBreak/>
        <w:pict>
          <v:group id="Group 1" o:spid="_x0000_s1026" style="position:absolute;left:0;text-align:left;margin-left:15.25pt;margin-top:-44pt;width:446.4pt;height:181.3pt;z-index:251660288" coordsize="81665,48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0386;height:447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9YrTFAAAA2wAAAA8AAABkcnMvZG93bnJldi54bWxEj0FrwkAQhe9C/8MyhV5EN1aQNHWVIhYC&#10;PRkLrbchO01Cs7Mhu9X13zuHgrcZ3pv3vllvk+vVmcbQeTawmGegiGtvO24MfB7fZzmoEJEt9p7J&#10;wJUCbDcPkzUW1l/4QOcqNkpCOBRooI1xKLQOdUsOw9wPxKL9+NFhlHVstB3xIuGu189ZttIOO5aG&#10;FgfatVT/Vn/OAOVV+tpNV9+n5SG8TPfLkj9SaczTY3p7BRUpxbv5/7q0gi/08osMo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vWK0xQAAANsAAAAPAAAAAAAAAAAAAAAA&#10;AJ8CAABkcnMvZG93bnJldi54bWxQSwUGAAAAAAQABAD3AAAAkQMAAAAA&#10;" stroked="t" strokecolor="black [3213]" strokeweight="3pt">
              <v:imagedata r:id="rId16" o:title="Powar MS Figure 12a" croptop="3118f" cropbottom="4572f" cropleft="1927f" cropright=".5"/>
            </v:shape>
            <v:shape id="Picture 11" o:spid="_x0000_s1028" type="#_x0000_t75" style="position:absolute;left:41279;width:40386;height:449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RmbCAAAA2wAAAA8AAABkcnMvZG93bnJldi54bWxEj82KAjEQhO8LvkNowdua0YMso1FE1BXZ&#10;i6MP0CQ9PzjpDEnUWZ9+syB466bqq65erHrbijv50DhWMBlnIIi1Mw1XCi7n3ecXiBCRDbaOScEv&#10;BVgtBx8LzI178InuRaxECuGQo4I6xi6XMuiaLIax64iTVjpvMabVV9J4fKRw28ppls2kxYbThRo7&#10;2tSkr8XNphrlty6n/nm9sf7Zn864LY7HTKnRsF/PQUTq49v8og8mcRP4/yUN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nEZmwgAAANsAAAAPAAAAAAAAAAAAAAAAAJ8C&#10;AABkcnMvZG93bnJldi54bWxQSwUGAAAAAAQABAD3AAAAjgMAAAAA&#10;" stroked="t" strokecolor="black [3213]" strokeweight="3pt">
              <v:imagedata r:id="rId17" o:title="Powar MS Figure 12a" croptop="2848f" cropbottom="10334f" cropleft="33347f" cropright="1480f"/>
            </v:shape>
            <v:line id="Straight Connector 12" o:spid="_x0000_s1029" style="position:absolute;visibility:visible" from="67340,41110" to="80985,4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9K8AAAADbAAAADwAAAGRycy9kb3ducmV2LnhtbERPyWrDMBC9F/IPYgK5lFhuDqU4UUJi&#10;Gsi1bg49Tq3xQqyRkRQv+fqqUOhtHm+d3WEynRjI+daygpckBUFcWt1yreD6eV6/gfABWWNnmRTM&#10;5OGwXzztMNN25A8ailCLGMI+QwVNCH0mpS8bMugT2xNHrrLOYIjQ1VI7HGO46eQmTV+lwZZjQ4M9&#10;5Q2Vt+JuFDyP1+H9hEUtv/zjVH07PuYzK7VaTsctiEBT+Bf/uS86zt/A7y/x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L/SvAAAAA2wAAAA8AAAAAAAAAAAAAAAAA&#10;oQIAAGRycy9kb3ducmV2LnhtbFBLBQYAAAAABAAEAPkAAACOAwAAAAA=&#10;" strokecolor="white [3212]" strokeweight="3pt"/>
            <v:shapetype id="_x0000_t202" coordsize="21600,21600" o:spt="202" path="m,l,21600r21600,l21600,xe">
              <v:stroke joinstyle="miter"/>
              <v:path gradientshapeok="t" o:connecttype="rect"/>
            </v:shapetype>
            <v:shape id="TextBox 5" o:spid="_x0000_s1030" type="#_x0000_t202" style="position:absolute;left:71438;top:40499;width:9587;height:77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Lz8MA&#10;AADbAAAADwAAAGRycy9kb3ducmV2LnhtbERP22rCQBB9F/oPyxT6ZjZaaEt0FREEMSDVlOrjkB2T&#10;tNnZkF1z+ftuodC3OZzrLNeDqUVHrassK5hFMQji3OqKCwUf2W76BsJ5ZI21ZVIwkoP16mGyxETb&#10;nk/UnX0hQgi7BBWU3jeJlC4vyaCLbEMcuJttDfoA20LqFvsQbmo5j+MXabDi0FBiQ9uS8u/z3SiY&#10;d/nr53jIju9f+8tV+13K6SlV6ulx2CxAeBr8v/jPvddh/jP8/hI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dLz8MAAADbAAAADwAAAAAAAAAAAAAAAACYAgAAZHJzL2Rv&#10;d25yZXYueG1sUEsFBgAAAAAEAAQA9QAAAIgDAAAAAA==&#10;" filled="f" stroked="f" strokeweight="3pt">
              <v:textbox style="mso-next-textbox:#TextBox 5;mso-fit-shape-to-text:t">
                <w:txbxContent>
                  <w:p w:rsidR="00717B35" w:rsidRDefault="00717B35" w:rsidP="00717B35">
                    <w:pPr>
                      <w:pStyle w:val="NormalWeb"/>
                      <w:spacing w:before="0" w:beforeAutospacing="0" w:after="0" w:afterAutospacing="0"/>
                      <w:jc w:val="center"/>
                    </w:pPr>
                    <w:r w:rsidRPr="00717B35">
                      <w:rPr>
                        <w:rFonts w:asciiTheme="minorHAnsi" w:hAnsi="Calibri" w:cstheme="minorBidi"/>
                        <w:b/>
                        <w:bCs/>
                        <w:color w:val="FFFFFF" w:themeColor="background1"/>
                        <w:kern w:val="24"/>
                        <w:sz w:val="36"/>
                        <w:szCs w:val="36"/>
                      </w:rPr>
                      <w:t xml:space="preserve">1 </w:t>
                    </w:r>
                    <w:r w:rsidRPr="00717B35">
                      <w:rPr>
                        <w:rFonts w:asciiTheme="minorHAnsi" w:hAnsi="Calibri" w:cstheme="minorBidi"/>
                        <w:b/>
                        <w:bCs/>
                        <w:color w:val="FFFFFF" w:themeColor="background1"/>
                        <w:kern w:val="24"/>
                        <w:sz w:val="36"/>
                        <w:szCs w:val="36"/>
                        <w:lang w:val="el-GR"/>
                      </w:rPr>
                      <w:t>μ</w:t>
                    </w:r>
                    <w:r w:rsidRPr="00717B35">
                      <w:rPr>
                        <w:rFonts w:asciiTheme="minorHAnsi" w:hAnsi="Calibri" w:cstheme="minorBidi"/>
                        <w:b/>
                        <w:bCs/>
                        <w:color w:val="FFFFFF" w:themeColor="background1"/>
                        <w:kern w:val="24"/>
                        <w:sz w:val="36"/>
                        <w:szCs w:val="36"/>
                      </w:rPr>
                      <w:t>m</w:t>
                    </w:r>
                  </w:p>
                </w:txbxContent>
              </v:textbox>
            </v:shape>
          </v:group>
        </w:pict>
      </w:r>
    </w:p>
    <w:p w:rsidR="00717B35" w:rsidRDefault="00717B35" w:rsidP="00F57FE9">
      <w:pPr>
        <w:pStyle w:val="NormalWeb"/>
        <w:shd w:val="clear" w:color="auto" w:fill="FFFFFF"/>
        <w:spacing w:before="0" w:beforeAutospacing="0" w:after="0" w:afterAutospacing="0" w:line="360" w:lineRule="auto"/>
        <w:jc w:val="center"/>
        <w:rPr>
          <w:b/>
          <w:bCs/>
        </w:rPr>
      </w:pPr>
    </w:p>
    <w:p w:rsidR="00717B35" w:rsidRDefault="00717B35" w:rsidP="00F57FE9">
      <w:pPr>
        <w:pStyle w:val="NormalWeb"/>
        <w:shd w:val="clear" w:color="auto" w:fill="FFFFFF"/>
        <w:spacing w:before="0" w:beforeAutospacing="0" w:after="0" w:afterAutospacing="0" w:line="360" w:lineRule="auto"/>
        <w:jc w:val="center"/>
        <w:rPr>
          <w:b/>
          <w:bCs/>
        </w:rPr>
      </w:pPr>
    </w:p>
    <w:p w:rsidR="00717B35" w:rsidRDefault="00717B35" w:rsidP="00F57FE9">
      <w:pPr>
        <w:pStyle w:val="NormalWeb"/>
        <w:shd w:val="clear" w:color="auto" w:fill="FFFFFF"/>
        <w:spacing w:before="0" w:beforeAutospacing="0" w:after="0" w:afterAutospacing="0" w:line="360" w:lineRule="auto"/>
        <w:jc w:val="center"/>
        <w:rPr>
          <w:b/>
          <w:bCs/>
        </w:rPr>
      </w:pPr>
    </w:p>
    <w:p w:rsidR="00717B35" w:rsidRDefault="00717B35" w:rsidP="00F57FE9">
      <w:pPr>
        <w:pStyle w:val="NormalWeb"/>
        <w:shd w:val="clear" w:color="auto" w:fill="FFFFFF"/>
        <w:spacing w:before="0" w:beforeAutospacing="0" w:after="0" w:afterAutospacing="0" w:line="360" w:lineRule="auto"/>
        <w:jc w:val="center"/>
        <w:rPr>
          <w:b/>
          <w:bCs/>
        </w:rPr>
      </w:pPr>
    </w:p>
    <w:p w:rsidR="00717B35" w:rsidRDefault="00717B35" w:rsidP="00F57FE9">
      <w:pPr>
        <w:pStyle w:val="NormalWeb"/>
        <w:shd w:val="clear" w:color="auto" w:fill="FFFFFF"/>
        <w:spacing w:before="0" w:beforeAutospacing="0" w:after="0" w:afterAutospacing="0" w:line="360" w:lineRule="auto"/>
        <w:jc w:val="center"/>
        <w:rPr>
          <w:b/>
          <w:bCs/>
        </w:rPr>
      </w:pPr>
    </w:p>
    <w:p w:rsidR="003527E6" w:rsidRPr="00910704" w:rsidRDefault="00366F04" w:rsidP="00717B35">
      <w:pPr>
        <w:pStyle w:val="NormalWeb"/>
        <w:shd w:val="clear" w:color="auto" w:fill="FFFFFF"/>
        <w:spacing w:before="0" w:beforeAutospacing="0" w:after="0" w:afterAutospacing="0" w:line="360" w:lineRule="auto"/>
        <w:rPr>
          <w:b/>
          <w:bCs/>
        </w:rPr>
      </w:pPr>
      <w:r>
        <w:rPr>
          <w:b/>
          <w:bCs/>
        </w:rPr>
        <w:t xml:space="preserve"> </w:t>
      </w:r>
      <w:r w:rsidR="001A08F2">
        <w:rPr>
          <w:b/>
          <w:bCs/>
        </w:rPr>
        <w:t>Figure 8</w:t>
      </w:r>
      <w:r w:rsidR="008561B6">
        <w:t>.</w:t>
      </w:r>
      <w:r w:rsidR="003527E6" w:rsidRPr="00F57FE9">
        <w:t xml:space="preserve"> A) SEM </w:t>
      </w:r>
      <w:proofErr w:type="spellStart"/>
      <w:r w:rsidR="00B71357" w:rsidRPr="00F57FE9">
        <w:t>images</w:t>
      </w:r>
      <w:proofErr w:type="spellEnd"/>
      <w:r w:rsidR="00B71357" w:rsidRPr="00F57FE9">
        <w:t xml:space="preserve"> of </w:t>
      </w:r>
      <w:proofErr w:type="spellStart"/>
      <w:r w:rsidR="00B71357" w:rsidRPr="00F57FE9">
        <w:t>pure</w:t>
      </w:r>
      <w:proofErr w:type="spellEnd"/>
      <w:r w:rsidR="00B71357" w:rsidRPr="00F57FE9">
        <w:t xml:space="preserve"> </w:t>
      </w:r>
      <w:r w:rsidR="0089063E" w:rsidRPr="00F57FE9">
        <w:t xml:space="preserve">MTX (B) </w:t>
      </w:r>
      <w:proofErr w:type="spellStart"/>
      <w:r w:rsidR="0089063E" w:rsidRPr="00F57FE9">
        <w:t>Optimized</w:t>
      </w:r>
      <w:proofErr w:type="spellEnd"/>
      <w:r w:rsidR="0089063E" w:rsidRPr="00F57FE9">
        <w:t xml:space="preserve"> MTX-NS</w:t>
      </w:r>
    </w:p>
    <w:p w:rsidR="003527E6" w:rsidRPr="00F57FE9" w:rsidRDefault="003527E6" w:rsidP="00F57FE9">
      <w:pPr>
        <w:spacing w:line="360" w:lineRule="auto"/>
        <w:jc w:val="both"/>
        <w:rPr>
          <w:b/>
          <w:bCs/>
        </w:rPr>
      </w:pPr>
      <w:r w:rsidRPr="00F57FE9">
        <w:rPr>
          <w:b/>
          <w:bCs/>
        </w:rPr>
        <w:t xml:space="preserve">3.3.8. Crystallographic </w:t>
      </w:r>
      <w:r w:rsidR="00B71357" w:rsidRPr="00F57FE9">
        <w:rPr>
          <w:b/>
          <w:bCs/>
        </w:rPr>
        <w:t>i</w:t>
      </w:r>
      <w:r w:rsidRPr="00F57FE9">
        <w:rPr>
          <w:b/>
          <w:bCs/>
        </w:rPr>
        <w:t xml:space="preserve">nvestigation </w:t>
      </w:r>
    </w:p>
    <w:p w:rsidR="003527E6" w:rsidRDefault="003527E6" w:rsidP="00F57FE9">
      <w:pPr>
        <w:spacing w:line="360" w:lineRule="auto"/>
        <w:jc w:val="both"/>
        <w:rPr>
          <w:b/>
        </w:rPr>
      </w:pPr>
      <w:r w:rsidRPr="00F57FE9">
        <w:rPr>
          <w:b/>
        </w:rPr>
        <w:t xml:space="preserve">3.3.8.1. Differential scanning calorimetry (DSC) </w:t>
      </w:r>
    </w:p>
    <w:p w:rsidR="003527E6" w:rsidRDefault="003527E6" w:rsidP="00F57FE9">
      <w:pPr>
        <w:spacing w:line="360" w:lineRule="auto"/>
        <w:jc w:val="both"/>
      </w:pPr>
      <w:r w:rsidRPr="00F57FE9">
        <w:t xml:space="preserve">The stability and dissolution behavior of compounds </w:t>
      </w:r>
      <w:proofErr w:type="gramStart"/>
      <w:r w:rsidRPr="00F57FE9">
        <w:t>are influenced</w:t>
      </w:r>
      <w:proofErr w:type="gramEnd"/>
      <w:r w:rsidRPr="00F57FE9">
        <w:t xml:space="preserve"> by their crystalline state. During the HPH process, a high-energy input was generated because of </w:t>
      </w:r>
      <w:proofErr w:type="gramStart"/>
      <w:r w:rsidRPr="00F57FE9">
        <w:t>high powered</w:t>
      </w:r>
      <w:proofErr w:type="gramEnd"/>
      <w:r w:rsidRPr="00F57FE9">
        <w:t xml:space="preserve"> density in the piston-gap of the homogenizer. This increases the amorphous portion or complete amorphization of drug particles by changing their crystalline state. These extents of changes depend on applied pressure along with the physical hardness and chemical nature of the drug compound. Thermal analysis of MTX, physical mixtures of MTX, and optimized formulations </w:t>
      </w:r>
      <w:proofErr w:type="gramStart"/>
      <w:r w:rsidRPr="00F57FE9">
        <w:t>were performed</w:t>
      </w:r>
      <w:proofErr w:type="gramEnd"/>
      <w:r w:rsidRPr="00F57FE9">
        <w:t xml:space="preserve"> to study the differences in </w:t>
      </w:r>
      <w:r w:rsidR="001D3D23" w:rsidRPr="00F57FE9">
        <w:t xml:space="preserve">the </w:t>
      </w:r>
      <w:r w:rsidRPr="00F57FE9">
        <w:t xml:space="preserve">solid-state of MTX.  The results of the DSC analysis </w:t>
      </w:r>
      <w:proofErr w:type="gramStart"/>
      <w:r w:rsidRPr="00F57FE9">
        <w:t>a</w:t>
      </w:r>
      <w:r w:rsidR="001A08F2">
        <w:t>re displayed</w:t>
      </w:r>
      <w:proofErr w:type="gramEnd"/>
      <w:r w:rsidR="001A08F2">
        <w:t xml:space="preserve"> in Figure 9</w:t>
      </w:r>
      <w:r w:rsidRPr="00F57FE9">
        <w:t xml:space="preserve">. Coarse MTX powder showed a sharp distinct endothermic peak at 117.45 °C, which was the marked intrinsic melting point peak of MTX, while DSC of the physical mixture </w:t>
      </w:r>
      <w:proofErr w:type="gramStart"/>
      <w:r w:rsidRPr="00F57FE9">
        <w:t>was showed</w:t>
      </w:r>
      <w:proofErr w:type="gramEnd"/>
      <w:r w:rsidRPr="00F57FE9">
        <w:t xml:space="preserve"> two distinct melting endotherm at 48.62 °C and 167.02 °C, respectively. Whereas, the freeze-dried MTX-NS powder were recorded a sharp melting endotherm at 167.54 °C respectively. </w:t>
      </w:r>
    </w:p>
    <w:p w:rsidR="00B2717C" w:rsidRPr="00F57FE9" w:rsidRDefault="00B2717C" w:rsidP="00B2717C">
      <w:pPr>
        <w:spacing w:line="360" w:lineRule="auto"/>
        <w:jc w:val="both"/>
      </w:pPr>
      <w:r w:rsidRPr="00F57FE9">
        <w:t xml:space="preserve">The mannitol showed a sharp endothermic peak at 168.74 °C, </w:t>
      </w:r>
      <w:r w:rsidRPr="00F57FE9">
        <w:rPr>
          <w:shd w:val="clear" w:color="auto" w:fill="FFFFFF"/>
        </w:rPr>
        <w:t xml:space="preserve">which confirms the high crystalline nature of mannitol. The characteristic peak of MTX extinct in the thermogram of lyophilized optimized </w:t>
      </w:r>
      <w:r w:rsidRPr="00F57FE9">
        <w:t>MTX-NS</w:t>
      </w:r>
      <w:r w:rsidRPr="00F57FE9">
        <w:rPr>
          <w:shd w:val="clear" w:color="auto" w:fill="FFFFFF"/>
        </w:rPr>
        <w:t xml:space="preserve">, and physical mixture. These changes </w:t>
      </w:r>
      <w:proofErr w:type="gramStart"/>
      <w:r w:rsidRPr="00F57FE9">
        <w:rPr>
          <w:shd w:val="clear" w:color="auto" w:fill="FFFFFF"/>
        </w:rPr>
        <w:t>are predicted</w:t>
      </w:r>
      <w:proofErr w:type="gramEnd"/>
      <w:r w:rsidRPr="00F57FE9">
        <w:rPr>
          <w:shd w:val="clear" w:color="auto" w:fill="FFFFFF"/>
        </w:rPr>
        <w:t xml:space="preserve"> because of the dilution effect of excipients on MTX, especially at a higher concentration of mannitol that had covered the MTX melting peak. Thus, the crystallinity of MTX disappeared or decreased because of its encapsulation by stabilizers. The state of MTX in NS </w:t>
      </w:r>
      <w:proofErr w:type="gramStart"/>
      <w:r w:rsidRPr="00F57FE9">
        <w:rPr>
          <w:shd w:val="clear" w:color="auto" w:fill="FFFFFF"/>
        </w:rPr>
        <w:t>was not simply physically mixed</w:t>
      </w:r>
      <w:proofErr w:type="gramEnd"/>
      <w:r w:rsidRPr="00F57FE9">
        <w:rPr>
          <w:shd w:val="clear" w:color="auto" w:fill="FFFFFF"/>
        </w:rPr>
        <w:t xml:space="preserve"> but may exist as either amorphous or as molecular dispersion form in NS; these changes are because of the interactions between MTX, poloxamer 188, and </w:t>
      </w:r>
      <w:r w:rsidRPr="00F57FE9">
        <w:rPr>
          <w:rStyle w:val="Strong"/>
          <w:b w:val="0"/>
          <w:shd w:val="clear" w:color="auto" w:fill="FFFFFF"/>
        </w:rPr>
        <w:t>tween 80</w:t>
      </w:r>
      <w:r w:rsidRPr="00F57FE9">
        <w:rPr>
          <w:shd w:val="clear" w:color="auto" w:fill="FFFFFF"/>
        </w:rPr>
        <w:t xml:space="preserve">. Data obtained from DSC fails to explain factual changes that occurred in drug crystals during formulation </w:t>
      </w:r>
      <w:r w:rsidRPr="00F57FE9">
        <w:rPr>
          <w:shd w:val="clear" w:color="auto" w:fill="FFFFFF"/>
        </w:rPr>
        <w:lastRenderedPageBreak/>
        <w:t xml:space="preserve">processing. </w:t>
      </w:r>
      <w:r w:rsidRPr="00F57FE9">
        <w:t xml:space="preserve">The results of XRD analysis </w:t>
      </w:r>
      <w:r w:rsidRPr="00F57FE9">
        <w:rPr>
          <w:shd w:val="clear" w:color="auto" w:fill="FFFFFF"/>
        </w:rPr>
        <w:t xml:space="preserve">further confirmed the existing state of MTX loaded in </w:t>
      </w:r>
      <w:r w:rsidRPr="00F57FE9">
        <w:t>MTX-NS</w:t>
      </w:r>
      <w:r w:rsidRPr="00F57FE9">
        <w:rPr>
          <w:shd w:val="clear" w:color="auto" w:fill="FFFFFF"/>
        </w:rPr>
        <w:t>.</w:t>
      </w:r>
    </w:p>
    <w:p w:rsidR="00B2717C" w:rsidRPr="00F57FE9" w:rsidRDefault="00B2717C" w:rsidP="00F57FE9">
      <w:pPr>
        <w:spacing w:line="360" w:lineRule="auto"/>
        <w:jc w:val="both"/>
      </w:pPr>
      <w:r w:rsidRPr="00A733CF">
        <w:rPr>
          <w:b/>
          <w:bCs/>
          <w:noProof/>
        </w:rPr>
        <w:drawing>
          <wp:anchor distT="0" distB="0" distL="114300" distR="114300" simplePos="0" relativeHeight="251658240" behindDoc="1" locked="0" layoutInCell="1" allowOverlap="1">
            <wp:simplePos x="0" y="0"/>
            <wp:positionH relativeFrom="column">
              <wp:posOffset>1009650</wp:posOffset>
            </wp:positionH>
            <wp:positionV relativeFrom="paragraph">
              <wp:posOffset>17145</wp:posOffset>
            </wp:positionV>
            <wp:extent cx="3931920" cy="4755515"/>
            <wp:effectExtent l="0" t="0" r="0" b="0"/>
            <wp:wrapTight wrapText="bothSides">
              <wp:wrapPolygon edited="0">
                <wp:start x="0" y="0"/>
                <wp:lineTo x="0" y="21545"/>
                <wp:lineTo x="21453" y="21545"/>
                <wp:lineTo x="214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1920" cy="4755515"/>
                    </a:xfrm>
                    <a:prstGeom prst="rect">
                      <a:avLst/>
                    </a:prstGeom>
                  </pic:spPr>
                </pic:pic>
              </a:graphicData>
            </a:graphic>
          </wp:anchor>
        </w:drawing>
      </w:r>
    </w:p>
    <w:p w:rsidR="00EE4E5E" w:rsidRPr="008561B6" w:rsidRDefault="00EE4E5E" w:rsidP="00F57FE9">
      <w:pPr>
        <w:spacing w:line="360" w:lineRule="auto"/>
        <w:jc w:val="center"/>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B2717C" w:rsidRDefault="00B2717C" w:rsidP="00A733CF">
      <w:pPr>
        <w:spacing w:line="360" w:lineRule="auto"/>
        <w:rPr>
          <w:b/>
          <w:bCs/>
        </w:rPr>
      </w:pPr>
    </w:p>
    <w:p w:rsidR="003527E6" w:rsidRPr="00A733CF" w:rsidRDefault="00A733CF" w:rsidP="00B2717C">
      <w:pPr>
        <w:spacing w:line="360" w:lineRule="auto"/>
        <w:jc w:val="both"/>
      </w:pPr>
      <w:proofErr w:type="gramStart"/>
      <w:r>
        <w:rPr>
          <w:b/>
          <w:bCs/>
        </w:rPr>
        <w:t>Figure 9</w:t>
      </w:r>
      <w:r w:rsidR="008561B6" w:rsidRPr="008561B6">
        <w:rPr>
          <w:b/>
          <w:bCs/>
        </w:rPr>
        <w:t>.</w:t>
      </w:r>
      <w:proofErr w:type="gramEnd"/>
      <w:r w:rsidR="003527E6" w:rsidRPr="00F57FE9">
        <w:t xml:space="preserve">  DSC Thermogram of A) Pure MTX B) </w:t>
      </w:r>
      <w:r w:rsidR="003527E6" w:rsidRPr="00A733CF">
        <w:t xml:space="preserve">Optimized MTX-NS </w:t>
      </w:r>
      <w:r w:rsidR="008F53F8" w:rsidRPr="00A733CF">
        <w:t>C) Physical mixture D) Mannitol</w:t>
      </w:r>
    </w:p>
    <w:p w:rsidR="003527E6" w:rsidRPr="00F57FE9" w:rsidRDefault="003527E6" w:rsidP="00F57FE9">
      <w:pPr>
        <w:spacing w:line="360" w:lineRule="auto"/>
        <w:jc w:val="both"/>
        <w:rPr>
          <w:b/>
        </w:rPr>
      </w:pPr>
      <w:r w:rsidRPr="00F57FE9">
        <w:rPr>
          <w:b/>
        </w:rPr>
        <w:t xml:space="preserve">3.3.8.2. X-ray powder diffraction (XRPD) </w:t>
      </w:r>
    </w:p>
    <w:p w:rsidR="00B2717C" w:rsidRDefault="003527E6" w:rsidP="00F57FE9">
      <w:pPr>
        <w:spacing w:line="360" w:lineRule="auto"/>
        <w:jc w:val="both"/>
        <w:rPr>
          <w:shd w:val="clear" w:color="auto" w:fill="FFFFFF"/>
        </w:rPr>
      </w:pPr>
      <w:r w:rsidRPr="00F57FE9">
        <w:t xml:space="preserve">The crystalline state of lyophilized MTX-NS </w:t>
      </w:r>
      <w:proofErr w:type="gramStart"/>
      <w:r w:rsidRPr="00F57FE9">
        <w:t>was confirmed</w:t>
      </w:r>
      <w:proofErr w:type="gramEnd"/>
      <w:r w:rsidRPr="00F57FE9">
        <w:t xml:space="preserve"> by performing </w:t>
      </w:r>
      <w:r w:rsidRPr="00F57FE9">
        <w:rPr>
          <w:bCs/>
        </w:rPr>
        <w:t>XRPD</w:t>
      </w:r>
      <w:r w:rsidRPr="00F57FE9">
        <w:t xml:space="preserve"> of coarse MTX powder, physical mixture, and optimized lyophilized MTX-NS. </w:t>
      </w:r>
      <w:r w:rsidRPr="00F57FE9">
        <w:rPr>
          <w:bCs/>
        </w:rPr>
        <w:t>XRPD</w:t>
      </w:r>
      <w:r w:rsidRPr="00F57FE9">
        <w:t xml:space="preserve"> </w:t>
      </w:r>
      <w:proofErr w:type="gramStart"/>
      <w:r w:rsidRPr="00F57FE9">
        <w:t>was used</w:t>
      </w:r>
      <w:proofErr w:type="gramEnd"/>
      <w:r w:rsidRPr="00F57FE9">
        <w:t xml:space="preserve"> to analyze the probable changes in the physical nature of MTX-NS that occurred because of the development of a </w:t>
      </w:r>
      <w:r w:rsidRPr="00F57FE9">
        <w:rPr>
          <w:shd w:val="clear" w:color="auto" w:fill="FFFFFF"/>
        </w:rPr>
        <w:t>high-energy disintegration process</w:t>
      </w:r>
      <w:r w:rsidRPr="00F57FE9">
        <w:t xml:space="preserve">. The chemical nature and physical hardness of the drug along with applied pressure are responsible for such changes. </w:t>
      </w:r>
      <w:r w:rsidRPr="00F57FE9">
        <w:rPr>
          <w:shd w:val="clear" w:color="auto" w:fill="FFFFFF"/>
        </w:rPr>
        <w:t xml:space="preserve">The </w:t>
      </w:r>
      <w:r w:rsidRPr="00F57FE9">
        <w:rPr>
          <w:bCs/>
        </w:rPr>
        <w:t>XRPD</w:t>
      </w:r>
      <w:r w:rsidRPr="00F57FE9">
        <w:rPr>
          <w:shd w:val="clear" w:color="auto" w:fill="FFFFFF"/>
        </w:rPr>
        <w:t xml:space="preserve"> patterns of powder MTX, physical mixtures, and optimized lyophilized </w:t>
      </w:r>
      <w:r w:rsidRPr="00F57FE9">
        <w:t xml:space="preserve">MTX-NS </w:t>
      </w:r>
      <w:proofErr w:type="gramStart"/>
      <w:r w:rsidR="00273C44">
        <w:rPr>
          <w:shd w:val="clear" w:color="auto" w:fill="FFFFFF"/>
        </w:rPr>
        <w:t>are displayed</w:t>
      </w:r>
      <w:proofErr w:type="gramEnd"/>
      <w:r w:rsidR="00273C44">
        <w:rPr>
          <w:shd w:val="clear" w:color="auto" w:fill="FFFFFF"/>
        </w:rPr>
        <w:t xml:space="preserve"> in Figure 10</w:t>
      </w:r>
      <w:r w:rsidRPr="00F57FE9">
        <w:rPr>
          <w:shd w:val="clear" w:color="auto" w:fill="FFFFFF"/>
        </w:rPr>
        <w:t xml:space="preserve">. Sharp characteristic diffraction peaks were exhibited by MTX at 2θ of 7.58°, 9.2°, 11.42°, </w:t>
      </w:r>
      <w:r w:rsidRPr="00F57FE9">
        <w:rPr>
          <w:shd w:val="clear" w:color="auto" w:fill="FFFFFF"/>
        </w:rPr>
        <w:lastRenderedPageBreak/>
        <w:t xml:space="preserve">11.92°, 12.82°, 14.32°, 15.38°, 15.94°, 17.68°, 19.36°, 19.46°, 21.38°,22.34°,24.18°, 25.34°, 24.16°, 26.06°, 26.01°, 26.96° and 27.82° and several short peaks between 2θ of 30.66° and 80°, indicating its highly </w:t>
      </w:r>
      <w:r w:rsidRPr="00F57FE9">
        <w:t>crystalline nature</w:t>
      </w:r>
      <w:r w:rsidRPr="00F57FE9">
        <w:rPr>
          <w:shd w:val="clear" w:color="auto" w:fill="FFFFFF"/>
        </w:rPr>
        <w:t xml:space="preserve">. The physical mixtures demonstrated reflections at 2θ of 9.44°, 13.4°, 17°, 18.5°, 20.12°, and 21.04° with similar intensities as compared to MTX and higher intensities then MTX-NS. The physical mixture showed additional peaks similar to that of </w:t>
      </w:r>
      <w:r w:rsidR="00B2717C" w:rsidRPr="00AC161E">
        <w:rPr>
          <w:b/>
          <w:bCs/>
          <w:noProof/>
        </w:rPr>
        <w:drawing>
          <wp:anchor distT="0" distB="0" distL="114300" distR="114300" simplePos="0" relativeHeight="251659264" behindDoc="1" locked="0" layoutInCell="1" allowOverlap="1">
            <wp:simplePos x="0" y="0"/>
            <wp:positionH relativeFrom="column">
              <wp:posOffset>685800</wp:posOffset>
            </wp:positionH>
            <wp:positionV relativeFrom="paragraph">
              <wp:posOffset>1581150</wp:posOffset>
            </wp:positionV>
            <wp:extent cx="4206240" cy="4196800"/>
            <wp:effectExtent l="0" t="0" r="0" b="0"/>
            <wp:wrapTight wrapText="bothSides">
              <wp:wrapPolygon edited="0">
                <wp:start x="0" y="0"/>
                <wp:lineTo x="0" y="21473"/>
                <wp:lineTo x="21522" y="21473"/>
                <wp:lineTo x="215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6240" cy="4196800"/>
                    </a:xfrm>
                    <a:prstGeom prst="rect">
                      <a:avLst/>
                    </a:prstGeom>
                  </pic:spPr>
                </pic:pic>
              </a:graphicData>
            </a:graphic>
          </wp:anchor>
        </w:drawing>
      </w:r>
      <w:r w:rsidRPr="00F57FE9">
        <w:rPr>
          <w:shd w:val="clear" w:color="auto" w:fill="FFFFFF"/>
        </w:rPr>
        <w:t xml:space="preserve">the parent crystalline compound. </w:t>
      </w: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Default="00B2717C" w:rsidP="00B2717C">
      <w:pPr>
        <w:spacing w:line="360" w:lineRule="auto"/>
        <w:jc w:val="center"/>
        <w:rPr>
          <w:shd w:val="clear" w:color="auto" w:fill="FFFFFF"/>
        </w:rPr>
      </w:pPr>
    </w:p>
    <w:p w:rsidR="00B2717C" w:rsidRPr="00B2717C" w:rsidRDefault="00B2717C" w:rsidP="00B2717C">
      <w:pPr>
        <w:spacing w:line="360" w:lineRule="auto"/>
        <w:jc w:val="both"/>
      </w:pPr>
      <w:proofErr w:type="gramStart"/>
      <w:r w:rsidRPr="00AC161E">
        <w:rPr>
          <w:b/>
          <w:bCs/>
        </w:rPr>
        <w:t>Figure 10.</w:t>
      </w:r>
      <w:proofErr w:type="gramEnd"/>
      <w:r w:rsidRPr="00AC161E">
        <w:t xml:space="preserve"> PXRD Spectra of A) Pure MTX B) Optimized MTX-NS C) Physical mixture</w:t>
      </w:r>
    </w:p>
    <w:p w:rsidR="00EE4E5E" w:rsidRPr="00E359EF" w:rsidRDefault="003527E6" w:rsidP="00E359EF">
      <w:pPr>
        <w:spacing w:line="360" w:lineRule="auto"/>
        <w:jc w:val="both"/>
      </w:pPr>
      <w:r w:rsidRPr="00F57FE9">
        <w:rPr>
          <w:shd w:val="clear" w:color="auto" w:fill="FFFFFF"/>
        </w:rPr>
        <w:t>Lyophilized MTX-NS showed four diffraction lines but at lesser intensities, as compared to MTX at 2θ of 9.62°, 13.6°, 17.16°,19.8°, 20.32°, 21.26°, 22.02°, 24.62° and 36.16° with</w:t>
      </w:r>
      <w:r w:rsidRPr="00F57FE9">
        <w:t xml:space="preserve"> the additional peaks because of the presence of mannitol.  In the PXRD spectra of lyophilized MTX-NS, the characteristic peaks of </w:t>
      </w:r>
      <w:r w:rsidRPr="00F57FE9">
        <w:rPr>
          <w:shd w:val="clear" w:color="auto" w:fill="FFFFFF"/>
        </w:rPr>
        <w:t xml:space="preserve">MTX </w:t>
      </w:r>
      <w:r w:rsidRPr="00F57FE9">
        <w:t xml:space="preserve">were absent because of the dilution effect influenced by mannitol, without any qualitative variations in the diffractogram of </w:t>
      </w:r>
      <w:r w:rsidRPr="00F57FE9">
        <w:rPr>
          <w:shd w:val="clear" w:color="auto" w:fill="FFFFFF"/>
        </w:rPr>
        <w:t>MTX</w:t>
      </w:r>
      <w:r w:rsidRPr="00F57FE9">
        <w:t xml:space="preserve">. This pattern revealed that the MTX-NS, were not completely amorphous in the state, hence the crystalline state of </w:t>
      </w:r>
      <w:r w:rsidRPr="00F57FE9">
        <w:rPr>
          <w:shd w:val="clear" w:color="auto" w:fill="FFFFFF"/>
        </w:rPr>
        <w:t>MTX</w:t>
      </w:r>
      <w:r w:rsidRPr="00F57FE9">
        <w:t xml:space="preserve"> and optimized lyophilized MTX-NS, were different, indicating the HPH technique, and lyophilization process did induce polymorphic transition or crystalline changes in the drug. Thus, </w:t>
      </w:r>
      <w:r w:rsidRPr="00F57FE9">
        <w:lastRenderedPageBreak/>
        <w:t xml:space="preserve">amorphous form conversion enhances the solubility, thus enhances the rate of dissolution and the bioavailability of MTX. The state of MTX </w:t>
      </w:r>
      <w:r w:rsidRPr="00F57FE9">
        <w:rPr>
          <w:shd w:val="clear" w:color="auto" w:fill="FFFFFF"/>
        </w:rPr>
        <w:t xml:space="preserve">in NS was not simply physically mixed but may exist as either amorphous or as molecular dispersion form in </w:t>
      </w:r>
      <w:proofErr w:type="gramStart"/>
      <w:r w:rsidRPr="00F57FE9">
        <w:rPr>
          <w:shd w:val="clear" w:color="auto" w:fill="FFFFFF"/>
        </w:rPr>
        <w:t>NS,</w:t>
      </w:r>
      <w:proofErr w:type="gramEnd"/>
      <w:r w:rsidRPr="00F57FE9">
        <w:rPr>
          <w:shd w:val="clear" w:color="auto" w:fill="FFFFFF"/>
        </w:rPr>
        <w:t xml:space="preserve"> these changes are because of the interactions between MTX, poloxamer 188, and </w:t>
      </w:r>
      <w:r w:rsidRPr="00F57FE9">
        <w:rPr>
          <w:rStyle w:val="Strong"/>
          <w:b w:val="0"/>
          <w:shd w:val="clear" w:color="auto" w:fill="FFFFFF"/>
        </w:rPr>
        <w:t>tween 80</w:t>
      </w:r>
      <w:r w:rsidRPr="00F57FE9">
        <w:rPr>
          <w:shd w:val="clear" w:color="auto" w:fill="FFFFFF"/>
        </w:rPr>
        <w:t xml:space="preserve">. </w:t>
      </w:r>
      <w:r w:rsidRPr="00F57FE9">
        <w:t xml:space="preserve">Moreover, the same induced properties and results </w:t>
      </w:r>
      <w:proofErr w:type="gramStart"/>
      <w:r w:rsidRPr="00F57FE9">
        <w:t>were confirmed</w:t>
      </w:r>
      <w:proofErr w:type="gramEnd"/>
      <w:r w:rsidRPr="00F57FE9">
        <w:t xml:space="preserve"> by previously mentioned studies.</w:t>
      </w:r>
    </w:p>
    <w:p w:rsidR="003527E6" w:rsidRPr="00F57FE9" w:rsidRDefault="003527E6" w:rsidP="00F57FE9">
      <w:pPr>
        <w:spacing w:line="360" w:lineRule="auto"/>
        <w:jc w:val="both"/>
        <w:rPr>
          <w:b/>
        </w:rPr>
      </w:pPr>
      <w:r w:rsidRPr="00F57FE9">
        <w:rPr>
          <w:b/>
        </w:rPr>
        <w:t xml:space="preserve">3.3.9. FTIR </w:t>
      </w:r>
    </w:p>
    <w:p w:rsidR="003527E6" w:rsidRPr="00F57FE9" w:rsidRDefault="003527E6" w:rsidP="00F57FE9">
      <w:pPr>
        <w:spacing w:line="360" w:lineRule="auto"/>
        <w:jc w:val="both"/>
      </w:pPr>
      <w:r w:rsidRPr="00F57FE9">
        <w:t xml:space="preserve">FTIR provides information about the feasible molecular interactions between MTX and excipients used for the development of formulation.  The FTIR spectra of MTX coarse powder, physical mixture, and optimized lyophilized MTX-NS </w:t>
      </w:r>
      <w:proofErr w:type="gramStart"/>
      <w:r w:rsidRPr="00F57FE9">
        <w:t>are disclos</w:t>
      </w:r>
      <w:r w:rsidR="00857CE5">
        <w:t>ed</w:t>
      </w:r>
      <w:proofErr w:type="gramEnd"/>
      <w:r w:rsidR="00857CE5">
        <w:t xml:space="preserve"> in Figure 11</w:t>
      </w:r>
      <w:r w:rsidRPr="00F57FE9">
        <w:t>.  The FTIR spectra of MTX coarse powder revealed that the characteristic peaks at 1638.723 cm</w:t>
      </w:r>
      <w:r w:rsidRPr="00F57FE9">
        <w:rPr>
          <w:vertAlign w:val="superscript"/>
        </w:rPr>
        <w:t>-1</w:t>
      </w:r>
      <w:r w:rsidRPr="00F57FE9">
        <w:t>, 1596.460 cm</w:t>
      </w:r>
      <w:r w:rsidRPr="00F57FE9">
        <w:rPr>
          <w:vertAlign w:val="superscript"/>
        </w:rPr>
        <w:t>-1</w:t>
      </w:r>
      <w:r w:rsidRPr="00F57FE9">
        <w:t>, 1539.795 cm</w:t>
      </w:r>
      <w:r w:rsidRPr="00F57FE9">
        <w:rPr>
          <w:vertAlign w:val="superscript"/>
        </w:rPr>
        <w:t>-1</w:t>
      </w:r>
      <w:r w:rsidRPr="00F57FE9">
        <w:t>, 1203.513 cm</w:t>
      </w:r>
      <w:r w:rsidRPr="00F57FE9">
        <w:rPr>
          <w:vertAlign w:val="superscript"/>
        </w:rPr>
        <w:t>-1</w:t>
      </w:r>
      <w:r w:rsidRPr="00F57FE9">
        <w:t>, 1489.028 cm</w:t>
      </w:r>
      <w:r w:rsidRPr="00F57FE9">
        <w:rPr>
          <w:vertAlign w:val="superscript"/>
        </w:rPr>
        <w:t>-1,</w:t>
      </w:r>
      <w:r w:rsidRPr="00F57FE9">
        <w:t xml:space="preserve"> and 1305 cm</w:t>
      </w:r>
      <w:r w:rsidRPr="00F57FE9">
        <w:rPr>
          <w:vertAlign w:val="superscript"/>
        </w:rPr>
        <w:t>-1</w:t>
      </w:r>
      <w:r w:rsidRPr="00F57FE9">
        <w:t xml:space="preserve"> had attributed to C=C stretching and O-H stretching and deformation. The FTIR spectra of MTX-NS shows broadening of peaks at 3268.52 cm</w:t>
      </w:r>
      <w:r w:rsidRPr="00F57FE9">
        <w:rPr>
          <w:vertAlign w:val="superscript"/>
        </w:rPr>
        <w:t>-1</w:t>
      </w:r>
      <w:r w:rsidRPr="00F57FE9">
        <w:t xml:space="preserve"> of OH bonding and C-H stretching at 2936.308 cm-</w:t>
      </w:r>
      <w:r w:rsidRPr="00F57FE9">
        <w:rPr>
          <w:vertAlign w:val="superscript"/>
        </w:rPr>
        <w:t xml:space="preserve">1 </w:t>
      </w:r>
      <w:r w:rsidRPr="00F57FE9">
        <w:t xml:space="preserve">because of the diluting effect of mannitol or by H- bond formation between the poloxamer 188 and tween 80. An extra peak </w:t>
      </w:r>
      <w:proofErr w:type="gramStart"/>
      <w:r w:rsidRPr="00F57FE9">
        <w:t>was observed</w:t>
      </w:r>
      <w:proofErr w:type="gramEnd"/>
      <w:r w:rsidRPr="00F57FE9">
        <w:t xml:space="preserve"> in MTX-NS at 1456.77 cm</w:t>
      </w:r>
      <w:r w:rsidRPr="00F57FE9">
        <w:rPr>
          <w:vertAlign w:val="superscript"/>
        </w:rPr>
        <w:t>-1</w:t>
      </w:r>
      <w:r w:rsidRPr="00F57FE9">
        <w:t xml:space="preserve"> that imputable because of the interaction between mannitol and excipients used for the development of MTX-NS. This showed that MTX </w:t>
      </w:r>
      <w:proofErr w:type="gramStart"/>
      <w:r w:rsidRPr="00F57FE9">
        <w:t>was adsorbed</w:t>
      </w:r>
      <w:proofErr w:type="gramEnd"/>
      <w:r w:rsidRPr="00F57FE9">
        <w:t xml:space="preserve"> onto the nanoparticle surface either by weak H-bonding between the </w:t>
      </w:r>
      <w:r w:rsidR="00E359EF" w:rsidRPr="00F57FE9">
        <w:t>COO-groups of MTX and the OH-groups of poloxamer 188 or by ionic bonds formed between the NH</w:t>
      </w:r>
      <w:r w:rsidR="00E359EF" w:rsidRPr="00F57FE9">
        <w:rPr>
          <w:vertAlign w:val="subscript"/>
        </w:rPr>
        <w:t>2</w:t>
      </w:r>
      <w:r w:rsidR="00E359EF" w:rsidRPr="00F57FE9">
        <w:t xml:space="preserve"> groups of MTX and the COO-groups present in mannitol and tween 80. MTX has dispersed in the tween 80 and poloxamer 188 matrices in the microcrystalline form without polymorphic changes or transition into an amorphous form. Broadening </w:t>
      </w:r>
      <w:proofErr w:type="gramStart"/>
      <w:r w:rsidR="00E359EF" w:rsidRPr="00F57FE9">
        <w:t>at 708.421 cm</w:t>
      </w:r>
      <w:r w:rsidR="00E359EF" w:rsidRPr="00F57FE9">
        <w:rPr>
          <w:vertAlign w:val="superscript"/>
        </w:rPr>
        <w:t>-1</w:t>
      </w:r>
      <w:proofErr w:type="gramEnd"/>
      <w:r w:rsidR="00E359EF" w:rsidRPr="00F57FE9">
        <w:t xml:space="preserve"> is because of the H- bond formation between the MTX and tween 80. The absence of characteristics peaks of MTX at 1638.723 cm</w:t>
      </w:r>
      <w:r w:rsidR="00E359EF" w:rsidRPr="00F57FE9">
        <w:rPr>
          <w:vertAlign w:val="superscript"/>
        </w:rPr>
        <w:t>-1</w:t>
      </w:r>
      <w:r w:rsidR="00E359EF" w:rsidRPr="00F57FE9">
        <w:t>, 1596.460 cm</w:t>
      </w:r>
      <w:r w:rsidR="00E359EF" w:rsidRPr="00F57FE9">
        <w:rPr>
          <w:vertAlign w:val="superscript"/>
        </w:rPr>
        <w:t>-1,</w:t>
      </w:r>
      <w:r w:rsidR="00E359EF" w:rsidRPr="00F57FE9">
        <w:t xml:space="preserve"> and 1489.028 cm</w:t>
      </w:r>
      <w:r w:rsidR="00E359EF" w:rsidRPr="00F57FE9">
        <w:rPr>
          <w:vertAlign w:val="superscript"/>
        </w:rPr>
        <w:t>-1</w:t>
      </w:r>
      <w:r w:rsidR="00E359EF" w:rsidRPr="00F57FE9">
        <w:t xml:space="preserve"> in MTX-NS is because of overlapping peaks of mannitol and tween 80. Furthermore, the shifting of peaks to its lower wave number and broadening of characteristic peaks of MTX </w:t>
      </w:r>
      <w:proofErr w:type="gramStart"/>
      <w:r w:rsidR="00E359EF" w:rsidRPr="00F57FE9">
        <w:t>is seen</w:t>
      </w:r>
      <w:proofErr w:type="gramEnd"/>
      <w:r w:rsidR="00E359EF" w:rsidRPr="00F57FE9">
        <w:t xml:space="preserve"> in FTIR of MTX-NS, which is because of intermolecular H- bonding. While in the physical mixture all characteristic peaks of MTX </w:t>
      </w:r>
      <w:proofErr w:type="gramStart"/>
      <w:r w:rsidR="00E359EF" w:rsidRPr="00F57FE9">
        <w:t>were retained</w:t>
      </w:r>
      <w:proofErr w:type="gramEnd"/>
      <w:r w:rsidR="00E359EF" w:rsidRPr="00F57FE9">
        <w:t xml:space="preserve"> with the slight shifting of wavenumber. Because of physical interactions between different functional groups of the excipients and drugs, a weak hydrogen bond </w:t>
      </w:r>
      <w:proofErr w:type="gramStart"/>
      <w:r w:rsidR="00E359EF" w:rsidRPr="00F57FE9">
        <w:t>was formed</w:t>
      </w:r>
      <w:proofErr w:type="gramEnd"/>
      <w:r w:rsidR="00E359EF" w:rsidRPr="00F57FE9">
        <w:t>. The physical interactions found here could be beneficial for the size and shape of the NS a</w:t>
      </w:r>
      <w:r w:rsidR="00E359EF">
        <w:t>nd their drug release pattern.</w:t>
      </w:r>
    </w:p>
    <w:p w:rsidR="00EE4E5E" w:rsidRPr="00F57FE9" w:rsidRDefault="00857CE5" w:rsidP="00857CE5">
      <w:pPr>
        <w:spacing w:line="360" w:lineRule="auto"/>
        <w:jc w:val="center"/>
      </w:pPr>
      <w:r w:rsidRPr="00857CE5">
        <w:rPr>
          <w:noProof/>
        </w:rPr>
        <w:lastRenderedPageBreak/>
        <w:drawing>
          <wp:inline distT="0" distB="0" distL="0" distR="0">
            <wp:extent cx="4389120" cy="5378974"/>
            <wp:effectExtent l="0" t="0" r="0" b="0"/>
            <wp:docPr id="16" name="Picture 16" descr="C:\Users\Dell\Downloads\F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FTIR.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120" cy="5378974"/>
                    </a:xfrm>
                    <a:prstGeom prst="rect">
                      <a:avLst/>
                    </a:prstGeom>
                    <a:noFill/>
                    <a:ln>
                      <a:noFill/>
                    </a:ln>
                  </pic:spPr>
                </pic:pic>
              </a:graphicData>
            </a:graphic>
          </wp:inline>
        </w:drawing>
      </w:r>
    </w:p>
    <w:p w:rsidR="00857CE5" w:rsidRPr="00F57FE9" w:rsidRDefault="00857CE5" w:rsidP="00857CE5">
      <w:pPr>
        <w:spacing w:line="360" w:lineRule="auto"/>
        <w:jc w:val="both"/>
      </w:pPr>
      <w:proofErr w:type="gramStart"/>
      <w:r>
        <w:rPr>
          <w:b/>
          <w:bCs/>
        </w:rPr>
        <w:t>Figure 11</w:t>
      </w:r>
      <w:r w:rsidR="008561B6" w:rsidRPr="008561B6">
        <w:rPr>
          <w:b/>
          <w:bCs/>
        </w:rPr>
        <w:t>.</w:t>
      </w:r>
      <w:proofErr w:type="gramEnd"/>
      <w:r w:rsidR="003527E6" w:rsidRPr="00F57FE9">
        <w:t xml:space="preserve"> FTIR Spectrum of A) Pure </w:t>
      </w:r>
      <w:proofErr w:type="gramStart"/>
      <w:r w:rsidR="003527E6" w:rsidRPr="00F57FE9">
        <w:t>MTX  B</w:t>
      </w:r>
      <w:proofErr w:type="gramEnd"/>
      <w:r w:rsidR="003527E6" w:rsidRPr="00F57FE9">
        <w:t xml:space="preserve">) Optimized </w:t>
      </w:r>
      <w:r w:rsidR="008F53F8" w:rsidRPr="00F57FE9">
        <w:t>NS(MTX-NS) C) Physical Mixture</w:t>
      </w:r>
    </w:p>
    <w:p w:rsidR="003527E6" w:rsidRPr="00F57FE9" w:rsidRDefault="003527E6" w:rsidP="00F57FE9">
      <w:pPr>
        <w:spacing w:line="360" w:lineRule="auto"/>
        <w:jc w:val="both"/>
        <w:rPr>
          <w:b/>
          <w:noProof/>
          <w:lang w:bidi="mr-IN"/>
        </w:rPr>
      </w:pPr>
      <w:r w:rsidRPr="00F57FE9">
        <w:rPr>
          <w:b/>
          <w:iCs/>
        </w:rPr>
        <w:t>3.3.10. In-</w:t>
      </w:r>
      <w:r w:rsidR="001D3D23" w:rsidRPr="00F57FE9">
        <w:rPr>
          <w:b/>
          <w:iCs/>
        </w:rPr>
        <w:t>vitro</w:t>
      </w:r>
      <w:r w:rsidR="001D3D23" w:rsidRPr="00F57FE9">
        <w:rPr>
          <w:b/>
        </w:rPr>
        <w:t xml:space="preserve"> drug release</w:t>
      </w:r>
    </w:p>
    <w:p w:rsidR="003527E6" w:rsidRPr="00F57FE9" w:rsidRDefault="003527E6" w:rsidP="00F57FE9">
      <w:pPr>
        <w:spacing w:line="360" w:lineRule="auto"/>
        <w:jc w:val="both"/>
      </w:pPr>
      <w:r w:rsidRPr="00F57FE9">
        <w:t>The dissolution behaviors of pure drug MTX, along with their optimized lyophilized formulations viz., MTX-NS in SIF pH</w:t>
      </w:r>
      <w:r w:rsidR="00857CE5">
        <w:t xml:space="preserve"> 6.8 </w:t>
      </w:r>
      <w:proofErr w:type="gramStart"/>
      <w:r w:rsidR="00857CE5">
        <w:t>is represented</w:t>
      </w:r>
      <w:proofErr w:type="gramEnd"/>
      <w:r w:rsidR="00857CE5">
        <w:t xml:space="preserve"> in Figure 12</w:t>
      </w:r>
      <w:r w:rsidRPr="00F57FE9">
        <w:t>. The rate of MTX and MTX-NS</w:t>
      </w:r>
      <w:r w:rsidR="00CE1D8A" w:rsidRPr="00F57FE9">
        <w:t xml:space="preserve"> </w:t>
      </w:r>
      <w:r w:rsidRPr="00F57FE9">
        <w:t xml:space="preserve">dissolution was </w:t>
      </w:r>
      <w:r w:rsidRPr="00F57FE9">
        <w:rPr>
          <w:lang w:eastAsia="en-IN"/>
        </w:rPr>
        <w:t>28.575</w:t>
      </w:r>
      <w:r w:rsidRPr="00F57FE9">
        <w:t xml:space="preserve">± 0.021% and 99.27±0.04 </w:t>
      </w:r>
      <w:proofErr w:type="gramStart"/>
      <w:r w:rsidRPr="00F57FE9">
        <w:t>%</w:t>
      </w:r>
      <w:proofErr w:type="gramEnd"/>
      <w:r w:rsidRPr="00F57FE9">
        <w:t xml:space="preserve"> within 60 min in SIF pH 6.8 respectively. The MTX-NS showed a dramatically enhanced rate of dissolution as compared to MTX coarse powder by 3.45 folds. Moreover, the MTX-NS displayed a marked increase in dissolution velocities, more than 70% as compared to MTX coarse powder (2.5%) within 10 min. These suggested that the profile of the dissolution of lyophilized MTX-NS</w:t>
      </w:r>
      <w:r w:rsidR="00DB0AB6" w:rsidRPr="00F57FE9">
        <w:t xml:space="preserve"> </w:t>
      </w:r>
      <w:r w:rsidRPr="00F57FE9">
        <w:t xml:space="preserve">was distinctly superior as compared to MTX. As the size of MTX-NS particles were much smaller than that of </w:t>
      </w:r>
      <w:r w:rsidRPr="00F57FE9">
        <w:lastRenderedPageBreak/>
        <w:t xml:space="preserve">MTX, it has a much larger surface area, hence a higher dissolution rate. Besides the particle size, the shape also plays a crucial role that may affect the dissolution of the drug. A particle that is irregular, flaky, and long may increase its average hydrodynamic thickness (h) at the boundary layer. Thus, the value of ‘h’ </w:t>
      </w:r>
      <w:proofErr w:type="gramStart"/>
      <w:r w:rsidRPr="00F57FE9">
        <w:t>would be increased</w:t>
      </w:r>
      <w:proofErr w:type="gramEnd"/>
      <w:r w:rsidRPr="00F57FE9">
        <w:t xml:space="preserve"> with decreased dissolution rate. The SEM image of MTX showed rod-shaped particles in different sizes. Thus, concluded that enhancement in dissolution was because of the reduction in the size of the particle rather than shape alteration.</w:t>
      </w:r>
    </w:p>
    <w:p w:rsidR="00857CE5" w:rsidRDefault="00857CE5" w:rsidP="00857CE5">
      <w:pPr>
        <w:spacing w:line="360" w:lineRule="auto"/>
        <w:jc w:val="center"/>
      </w:pPr>
      <w:r w:rsidRPr="00857CE5">
        <w:rPr>
          <w:noProof/>
        </w:rPr>
        <w:drawing>
          <wp:inline distT="0" distB="0" distL="0" distR="0">
            <wp:extent cx="4161728" cy="2651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161728" cy="2651760"/>
                    </a:xfrm>
                    <a:prstGeom prst="rect">
                      <a:avLst/>
                    </a:prstGeom>
                  </pic:spPr>
                </pic:pic>
              </a:graphicData>
            </a:graphic>
          </wp:inline>
        </w:drawing>
      </w:r>
    </w:p>
    <w:p w:rsidR="003527E6" w:rsidRPr="00F57FE9" w:rsidRDefault="00857CE5" w:rsidP="00857CE5">
      <w:pPr>
        <w:spacing w:line="360" w:lineRule="auto"/>
      </w:pPr>
      <w:proofErr w:type="gramStart"/>
      <w:r>
        <w:rPr>
          <w:b/>
          <w:bCs/>
        </w:rPr>
        <w:t>Figure 12</w:t>
      </w:r>
      <w:r w:rsidR="008561B6" w:rsidRPr="008561B6">
        <w:rPr>
          <w:b/>
          <w:bCs/>
        </w:rPr>
        <w:t>.</w:t>
      </w:r>
      <w:proofErr w:type="gramEnd"/>
      <w:r w:rsidR="003527E6" w:rsidRPr="00F57FE9">
        <w:t xml:space="preserve"> Dissolution </w:t>
      </w:r>
      <w:r w:rsidR="00C56474" w:rsidRPr="00F57FE9">
        <w:t xml:space="preserve">profiles of optimized </w:t>
      </w:r>
      <w:r w:rsidR="003527E6" w:rsidRPr="00F57FE9">
        <w:t>NS</w:t>
      </w:r>
      <w:r w:rsidR="00C56474">
        <w:t xml:space="preserve"> </w:t>
      </w:r>
      <w:r w:rsidR="003527E6" w:rsidRPr="00F57FE9">
        <w:t>(MTX-NS</w:t>
      </w:r>
      <w:r>
        <w:t xml:space="preserve">) with a </w:t>
      </w:r>
      <w:r w:rsidR="00C56474">
        <w:t xml:space="preserve">pure drug in </w:t>
      </w:r>
      <w:r w:rsidR="00C56474" w:rsidRPr="00F57FE9">
        <w:t>simulated intestinal fluid</w:t>
      </w:r>
      <w:r w:rsidR="003527E6" w:rsidRPr="00F57FE9">
        <w:t xml:space="preserve"> (SIF) with pH 6.8  </w:t>
      </w:r>
    </w:p>
    <w:p w:rsidR="003527E6" w:rsidRPr="00F57FE9" w:rsidRDefault="00282C8F" w:rsidP="00F57FE9">
      <w:pPr>
        <w:spacing w:line="360" w:lineRule="auto"/>
        <w:jc w:val="both"/>
        <w:rPr>
          <w:b/>
        </w:rPr>
      </w:pPr>
      <w:r w:rsidRPr="00F57FE9">
        <w:rPr>
          <w:b/>
        </w:rPr>
        <w:t>3.3.11</w:t>
      </w:r>
      <w:r w:rsidR="003527E6" w:rsidRPr="00F57FE9">
        <w:rPr>
          <w:b/>
        </w:rPr>
        <w:t xml:space="preserve">. Cytotoxicity activity </w:t>
      </w:r>
    </w:p>
    <w:p w:rsidR="003527E6" w:rsidRPr="00F57FE9" w:rsidRDefault="003527E6" w:rsidP="00F57FE9">
      <w:pPr>
        <w:spacing w:line="360" w:lineRule="auto"/>
        <w:jc w:val="both"/>
      </w:pPr>
      <w:r w:rsidRPr="00F57FE9">
        <w:t xml:space="preserve">The MCF-7 breast cancer cells </w:t>
      </w:r>
      <w:proofErr w:type="gramStart"/>
      <w:r w:rsidRPr="00F57FE9">
        <w:t>were cultured</w:t>
      </w:r>
      <w:proofErr w:type="gramEnd"/>
      <w:r w:rsidRPr="00F57FE9">
        <w:t xml:space="preserve"> with MTX-NS, along with their aqueous dispersions (MTX-AQD) to study the impact of drugs on cell proliferation of MCF-7. By MTT assay, the cell inhibition ratio </w:t>
      </w:r>
      <w:proofErr w:type="gramStart"/>
      <w:r w:rsidRPr="00F57FE9">
        <w:t>was evaluated</w:t>
      </w:r>
      <w:proofErr w:type="gramEnd"/>
      <w:r w:rsidRPr="00F57FE9">
        <w:t>. The IC</w:t>
      </w:r>
      <w:r w:rsidRPr="00F57FE9">
        <w:rPr>
          <w:vertAlign w:val="subscript"/>
        </w:rPr>
        <w:t>50</w:t>
      </w:r>
      <w:r w:rsidRPr="00F57FE9">
        <w:t xml:space="preserve"> values </w:t>
      </w:r>
      <w:proofErr w:type="gramStart"/>
      <w:r w:rsidRPr="00F57FE9">
        <w:t>were obtained</w:t>
      </w:r>
      <w:proofErr w:type="gramEnd"/>
      <w:r w:rsidRPr="00F57FE9">
        <w:t xml:space="preserve"> by calculating non-linear regression values of the cytotoxicity data by using the </w:t>
      </w:r>
      <w:r w:rsidRPr="00F57FE9">
        <w:rPr>
          <w:rStyle w:val="word"/>
          <w:shd w:val="clear" w:color="auto" w:fill="FFFFFF"/>
        </w:rPr>
        <w:t>sigmoidal dose-response equation</w:t>
      </w:r>
      <w:r w:rsidR="00857CE5">
        <w:rPr>
          <w:rStyle w:val="word"/>
          <w:shd w:val="clear" w:color="auto" w:fill="FFFFFF"/>
        </w:rPr>
        <w:t xml:space="preserve"> </w:t>
      </w:r>
      <w:r w:rsidRPr="00F57FE9">
        <w:rPr>
          <w:rStyle w:val="word"/>
          <w:shd w:val="clear" w:color="auto" w:fill="FFFFFF"/>
        </w:rPr>
        <w:t>with the help of </w:t>
      </w:r>
      <w:r w:rsidRPr="00F57FE9">
        <w:t xml:space="preserve">Graph Pad Prism software 7. The obtained results show that the inhibition of MCF-7 cell growth by optimized MTX-NS was dose and time-dependent. However, significant inhibition of MCF-7 cell proliferation </w:t>
      </w:r>
      <w:proofErr w:type="gramStart"/>
      <w:r w:rsidRPr="00F57FE9">
        <w:t>was observed</w:t>
      </w:r>
      <w:proofErr w:type="gramEnd"/>
      <w:r w:rsidRPr="00F57FE9">
        <w:t xml:space="preserve"> when treated with the previously mentioned MTX-NS with a concentration above or at 6.25 µg/mL. MTX-NS treated cells had a notable enhancement in growth inhibition rates as compared to </w:t>
      </w:r>
      <w:r w:rsidR="00857CE5">
        <w:t>MTX-AQD treated cells (Figure 13</w:t>
      </w:r>
      <w:r w:rsidRPr="00F57FE9">
        <w:t xml:space="preserve">). These </w:t>
      </w:r>
      <w:r w:rsidRPr="00F57FE9">
        <w:rPr>
          <w:bCs/>
        </w:rPr>
        <w:t>findings</w:t>
      </w:r>
      <w:r w:rsidRPr="00F57FE9">
        <w:t xml:space="preserve"> might be because of three possible aspects. First, the ability of MTX-NS to incarnate into cells by endocytosis or phagocytosis mechanism. Second, by increasing contact time and the area between drug and cells, as the smaller size NS initiates its adhesion to MCF-7 </w:t>
      </w:r>
      <w:r w:rsidRPr="00F57FE9">
        <w:lastRenderedPageBreak/>
        <w:t>cells. As NS enhanced solubility and dissolution rates, it helps to induce sufficient molecular concentration of drugs around the cells. Thus, the MTX-NS</w:t>
      </w:r>
      <w:r w:rsidR="001D3D23" w:rsidRPr="00F57FE9">
        <w:t xml:space="preserve"> </w:t>
      </w:r>
      <w:r w:rsidRPr="00F57FE9">
        <w:t>was highly toxic to MCF-7 cells compared to free drugs. The values of IC</w:t>
      </w:r>
      <w:r w:rsidRPr="00F57FE9">
        <w:rPr>
          <w:vertAlign w:val="subscript"/>
        </w:rPr>
        <w:t>50</w:t>
      </w:r>
      <w:r w:rsidRPr="00F57FE9">
        <w:t xml:space="preserve"> of the MTX-NS</w:t>
      </w:r>
      <w:r w:rsidR="00857CE5">
        <w:t xml:space="preserve"> </w:t>
      </w:r>
      <w:r w:rsidRPr="00F57FE9">
        <w:t xml:space="preserve">solution were </w:t>
      </w:r>
      <w:proofErr w:type="gramStart"/>
      <w:r w:rsidRPr="00F57FE9">
        <w:t>27.73 µg/mL</w:t>
      </w:r>
      <w:proofErr w:type="gramEnd"/>
      <w:r w:rsidRPr="00F57FE9">
        <w:t xml:space="preserve">. </w:t>
      </w:r>
      <w:proofErr w:type="gramStart"/>
      <w:r w:rsidRPr="00F57FE9">
        <w:t>Whereas, the MTX-AQD was showed an IC</w:t>
      </w:r>
      <w:r w:rsidRPr="00F57FE9">
        <w:rPr>
          <w:vertAlign w:val="subscript"/>
        </w:rPr>
        <w:t>50</w:t>
      </w:r>
      <w:r w:rsidRPr="00F57FE9">
        <w:t xml:space="preserve"> value of about 59.56µg/mL.</w:t>
      </w:r>
      <w:proofErr w:type="gramEnd"/>
      <w:r w:rsidRPr="00F57FE9">
        <w:t xml:space="preserve"> The outcomes of this study indicated that the values of IC</w:t>
      </w:r>
      <w:r w:rsidRPr="00F57FE9">
        <w:rPr>
          <w:vertAlign w:val="subscript"/>
        </w:rPr>
        <w:t>50</w:t>
      </w:r>
      <w:r w:rsidRPr="00F57FE9">
        <w:t xml:space="preserve"> of NS are lower than MTX-AQD at the same incubation </w:t>
      </w:r>
      <w:r w:rsidR="004C09E8" w:rsidRPr="00B61F9E">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1514475</wp:posOffset>
            </wp:positionV>
            <wp:extent cx="5943600" cy="2179955"/>
            <wp:effectExtent l="0" t="0" r="0" b="0"/>
            <wp:wrapTight wrapText="bothSides">
              <wp:wrapPolygon edited="0">
                <wp:start x="0" y="0"/>
                <wp:lineTo x="0" y="21329"/>
                <wp:lineTo x="21531" y="21329"/>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179955"/>
                    </a:xfrm>
                    <a:prstGeom prst="rect">
                      <a:avLst/>
                    </a:prstGeom>
                  </pic:spPr>
                </pic:pic>
              </a:graphicData>
            </a:graphic>
          </wp:anchor>
        </w:drawing>
      </w:r>
      <w:r w:rsidRPr="00F57FE9">
        <w:t>time (48 h).</w:t>
      </w:r>
    </w:p>
    <w:p w:rsidR="003527E6" w:rsidRPr="00F57FE9" w:rsidRDefault="00B61F9E" w:rsidP="004C09E8">
      <w:pPr>
        <w:spacing w:line="360" w:lineRule="auto"/>
        <w:jc w:val="both"/>
      </w:pPr>
      <w:proofErr w:type="gramStart"/>
      <w:r>
        <w:rPr>
          <w:b/>
          <w:bCs/>
        </w:rPr>
        <w:t>Figure 13</w:t>
      </w:r>
      <w:r w:rsidR="008561B6" w:rsidRPr="008561B6">
        <w:rPr>
          <w:b/>
          <w:bCs/>
        </w:rPr>
        <w:t>.</w:t>
      </w:r>
      <w:proofErr w:type="gramEnd"/>
      <w:r w:rsidR="003527E6" w:rsidRPr="00F57FE9">
        <w:t xml:space="preserve"> Cytotoxicity of MTX-NS and MTX-AQD </w:t>
      </w:r>
      <w:r w:rsidRPr="00F57FE9">
        <w:t>after</w:t>
      </w:r>
      <w:r w:rsidR="00C56474">
        <w:t xml:space="preserve"> 48 h of i</w:t>
      </w:r>
      <w:r w:rsidR="003527E6" w:rsidRPr="00F57FE9">
        <w:t>ncubation (</w:t>
      </w:r>
      <w:r w:rsidR="008F53F8" w:rsidRPr="00F57FE9">
        <w:t>n=3, mean± standard deviation)</w:t>
      </w:r>
    </w:p>
    <w:p w:rsidR="004C09E8" w:rsidRDefault="004C09E8" w:rsidP="00DA0CF4">
      <w:pPr>
        <w:spacing w:line="360" w:lineRule="auto"/>
        <w:jc w:val="both"/>
      </w:pPr>
      <w:r w:rsidRPr="00B61F9E">
        <w:rPr>
          <w:noProof/>
        </w:rPr>
        <w:drawing>
          <wp:anchor distT="0" distB="0" distL="114300" distR="114300" simplePos="0" relativeHeight="251663360" behindDoc="1" locked="0" layoutInCell="1" allowOverlap="1">
            <wp:simplePos x="0" y="0"/>
            <wp:positionH relativeFrom="column">
              <wp:posOffset>-542290</wp:posOffset>
            </wp:positionH>
            <wp:positionV relativeFrom="paragraph">
              <wp:posOffset>1261745</wp:posOffset>
            </wp:positionV>
            <wp:extent cx="6777252" cy="3017520"/>
            <wp:effectExtent l="0" t="0" r="0" b="0"/>
            <wp:wrapTight wrapText="bothSides">
              <wp:wrapPolygon edited="0">
                <wp:start x="0" y="0"/>
                <wp:lineTo x="0" y="21409"/>
                <wp:lineTo x="21555" y="21409"/>
                <wp:lineTo x="2155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7252" cy="3017520"/>
                    </a:xfrm>
                    <a:prstGeom prst="rect">
                      <a:avLst/>
                    </a:prstGeom>
                  </pic:spPr>
                </pic:pic>
              </a:graphicData>
            </a:graphic>
          </wp:anchor>
        </w:drawing>
      </w:r>
      <w:r w:rsidR="003527E6" w:rsidRPr="00F57FE9">
        <w:t xml:space="preserve">Noticeable morphological changes </w:t>
      </w:r>
      <w:proofErr w:type="gramStart"/>
      <w:r w:rsidR="003527E6" w:rsidRPr="00F57FE9">
        <w:t>were seen</w:t>
      </w:r>
      <w:proofErr w:type="gramEnd"/>
      <w:r w:rsidR="003527E6" w:rsidRPr="00F57FE9">
        <w:t xml:space="preserve"> in cells, which include membrane blebbing, nuclear fragmentation, and shrinkage of cells after exposure to MTX-NS</w:t>
      </w:r>
      <w:r w:rsidR="001D3D23" w:rsidRPr="00F57FE9">
        <w:t xml:space="preserve"> </w:t>
      </w:r>
      <w:r w:rsidR="003527E6" w:rsidRPr="00F57FE9">
        <w:t>and MTX-AQD for 48 h.  Further, more changes that are obvious were observed in NS treated cells as compared to untr</w:t>
      </w:r>
      <w:r w:rsidR="00B61F9E">
        <w:t>eated cells (control), Figure 14</w:t>
      </w:r>
      <w:r w:rsidR="003527E6" w:rsidRPr="00F57FE9">
        <w:t>. [Control cells (C), Membrane blebbing (B), Condensed nuclei (N), Cell shrinkage (C), Apoptotic bodies (A), Echinoid spikes (S &amp; E)]</w:t>
      </w:r>
    </w:p>
    <w:p w:rsidR="003527E6" w:rsidRPr="00F57FE9" w:rsidRDefault="00B61F9E" w:rsidP="00DA0CF4">
      <w:pPr>
        <w:spacing w:line="360" w:lineRule="auto"/>
        <w:jc w:val="both"/>
      </w:pPr>
      <w:proofErr w:type="gramStart"/>
      <w:r>
        <w:rPr>
          <w:b/>
          <w:bCs/>
          <w:lang w:eastAsia="en-IN"/>
        </w:rPr>
        <w:lastRenderedPageBreak/>
        <w:t>Figure 14</w:t>
      </w:r>
      <w:r w:rsidR="008561B6" w:rsidRPr="008561B6">
        <w:rPr>
          <w:b/>
          <w:bCs/>
          <w:lang w:eastAsia="en-IN"/>
        </w:rPr>
        <w:t>.</w:t>
      </w:r>
      <w:proofErr w:type="gramEnd"/>
      <w:r w:rsidR="003527E6" w:rsidRPr="00F57FE9">
        <w:rPr>
          <w:lang w:eastAsia="en-IN"/>
        </w:rPr>
        <w:t xml:space="preserve"> Photomicrographs (light microscopy; magnification, ×200) </w:t>
      </w:r>
      <w:r w:rsidR="004C09E8" w:rsidRPr="00F57FE9">
        <w:rPr>
          <w:lang w:eastAsia="en-IN"/>
        </w:rPr>
        <w:t>showing morphological and growth inhibitory changes</w:t>
      </w:r>
      <w:r w:rsidR="003527E6" w:rsidRPr="00F57FE9">
        <w:rPr>
          <w:lang w:eastAsia="en-IN"/>
        </w:rPr>
        <w:t xml:space="preserve"> of MCF-7 </w:t>
      </w:r>
      <w:r w:rsidR="004C09E8" w:rsidRPr="00F57FE9">
        <w:rPr>
          <w:lang w:eastAsia="en-IN"/>
        </w:rPr>
        <w:t>cells following exposure</w:t>
      </w:r>
      <w:r w:rsidR="003527E6" w:rsidRPr="00F57FE9">
        <w:rPr>
          <w:lang w:eastAsia="en-IN"/>
        </w:rPr>
        <w:t xml:space="preserve"> to, </w:t>
      </w:r>
      <w:r w:rsidR="003527E6" w:rsidRPr="00F57FE9">
        <w:t>MTX-NS</w:t>
      </w:r>
      <w:r w:rsidR="00FA582C">
        <w:rPr>
          <w:lang w:eastAsia="en-IN"/>
        </w:rPr>
        <w:t xml:space="preserve"> for 48</w:t>
      </w:r>
      <w:r w:rsidR="008F53F8" w:rsidRPr="00F57FE9">
        <w:rPr>
          <w:lang w:eastAsia="en-IN"/>
        </w:rPr>
        <w:t xml:space="preserve"> h</w:t>
      </w:r>
    </w:p>
    <w:p w:rsidR="003527E6" w:rsidRPr="00F57FE9" w:rsidRDefault="00282C8F" w:rsidP="00F57FE9">
      <w:pPr>
        <w:spacing w:line="360" w:lineRule="auto"/>
        <w:jc w:val="both"/>
        <w:rPr>
          <w:b/>
        </w:rPr>
      </w:pPr>
      <w:r w:rsidRPr="00F57FE9">
        <w:rPr>
          <w:b/>
        </w:rPr>
        <w:t>3.3.12</w:t>
      </w:r>
      <w:r w:rsidR="003527E6" w:rsidRPr="00F57FE9">
        <w:rPr>
          <w:b/>
        </w:rPr>
        <w:t>. Apoptosis study on MCF-7 cells</w:t>
      </w:r>
    </w:p>
    <w:p w:rsidR="003527E6" w:rsidRPr="00F57FE9" w:rsidRDefault="003527E6" w:rsidP="00F57FE9">
      <w:pPr>
        <w:spacing w:line="360" w:lineRule="auto"/>
        <w:jc w:val="both"/>
      </w:pPr>
      <w:r w:rsidRPr="00F57FE9">
        <w:rPr>
          <w:shd w:val="clear" w:color="auto" w:fill="FFFFFF"/>
        </w:rPr>
        <w:t>Apoptosis study of MTX-NS by double staining method reveals the ability of drugs and especially the MTX to induce apop</w:t>
      </w:r>
      <w:r w:rsidR="00050715">
        <w:rPr>
          <w:shd w:val="clear" w:color="auto" w:fill="FFFFFF"/>
        </w:rPr>
        <w:t>tosis. As displayed in Figure 15</w:t>
      </w:r>
      <w:r w:rsidR="00282C8F" w:rsidRPr="00F57FE9">
        <w:rPr>
          <w:shd w:val="clear" w:color="auto" w:fill="FFFFFF"/>
        </w:rPr>
        <w:t xml:space="preserve"> </w:t>
      </w:r>
      <w:r w:rsidRPr="00F57FE9">
        <w:rPr>
          <w:shd w:val="clear" w:color="auto" w:fill="FFFFFF"/>
        </w:rPr>
        <w:t xml:space="preserve">A, </w:t>
      </w:r>
      <w:r w:rsidR="001D3D23" w:rsidRPr="00F57FE9">
        <w:rPr>
          <w:shd w:val="clear" w:color="auto" w:fill="FFFFFF"/>
        </w:rPr>
        <w:t xml:space="preserve">the </w:t>
      </w:r>
      <w:r w:rsidRPr="00F57FE9">
        <w:rPr>
          <w:shd w:val="clear" w:color="auto" w:fill="FFFFFF"/>
        </w:rPr>
        <w:t>green-colored nucleus indicates living cells in the control group, whic</w:t>
      </w:r>
      <w:r w:rsidR="00050715">
        <w:rPr>
          <w:shd w:val="clear" w:color="auto" w:fill="FFFFFF"/>
        </w:rPr>
        <w:t>h are untreated. While Figure 15 B and 15</w:t>
      </w:r>
      <w:r w:rsidR="00282C8F" w:rsidRPr="00F57FE9">
        <w:rPr>
          <w:shd w:val="clear" w:color="auto" w:fill="FFFFFF"/>
        </w:rPr>
        <w:t xml:space="preserve"> </w:t>
      </w:r>
      <w:r w:rsidRPr="00F57FE9">
        <w:rPr>
          <w:shd w:val="clear" w:color="auto" w:fill="FFFFFF"/>
        </w:rPr>
        <w:t xml:space="preserve">C showed a decreasing ratio of living cells with increased concentration of AQD and NS. Herein, </w:t>
      </w:r>
      <w:r w:rsidRPr="00F57FE9">
        <w:t>of AQD and NS</w:t>
      </w:r>
      <w:r w:rsidRPr="00F57FE9">
        <w:rPr>
          <w:shd w:val="clear" w:color="auto" w:fill="FFFFFF"/>
        </w:rPr>
        <w:t xml:space="preserve"> (12.5 </w:t>
      </w:r>
      <w:r w:rsidRPr="00F57FE9">
        <w:t xml:space="preserve">µg/mL) </w:t>
      </w:r>
      <w:r w:rsidRPr="00F57FE9">
        <w:rPr>
          <w:shd w:val="clear" w:color="auto" w:fill="FFFFFF"/>
        </w:rPr>
        <w:t xml:space="preserve">treated cells showed </w:t>
      </w:r>
      <w:r w:rsidRPr="00F57FE9">
        <w:t xml:space="preserve">uniformly orange-stained fluorescent nuclei but at </w:t>
      </w:r>
      <w:r w:rsidR="001D3D23" w:rsidRPr="00F57FE9">
        <w:t>a</w:t>
      </w:r>
      <w:r w:rsidRPr="00F57FE9">
        <w:t xml:space="preserve"> lesser amount as compared to NS treated cells, indicating necrosis of cells followed by the death of cells. The changed morphological of apoptosis cells, when treated with NS, include </w:t>
      </w:r>
      <w:r w:rsidRPr="00F57FE9">
        <w:rPr>
          <w:shd w:val="clear" w:color="auto" w:fill="FFFFFF"/>
        </w:rPr>
        <w:t xml:space="preserve">shrinkage of cells, followed by fragmentation and irregular shape. </w:t>
      </w:r>
      <w:r w:rsidRPr="00F57FE9">
        <w:t xml:space="preserve">Such changes in morphology </w:t>
      </w:r>
      <w:proofErr w:type="gramStart"/>
      <w:r w:rsidRPr="00F57FE9">
        <w:t>were observed</w:t>
      </w:r>
      <w:proofErr w:type="gramEnd"/>
      <w:r w:rsidRPr="00F57FE9">
        <w:t xml:space="preserve"> in larger amounts with cells treated by NS as compared to AQD. Thus, the reduction in living cells of MCF-7 indicates an increase in </w:t>
      </w:r>
      <w:r w:rsidR="001D3D23" w:rsidRPr="00F57FE9">
        <w:t xml:space="preserve">the </w:t>
      </w:r>
      <w:r w:rsidRPr="00F57FE9">
        <w:t xml:space="preserve">ratio </w:t>
      </w:r>
      <w:r w:rsidR="001D3D23" w:rsidRPr="00F57FE9">
        <w:t xml:space="preserve">of </w:t>
      </w:r>
      <w:r w:rsidRPr="00F57FE9">
        <w:t xml:space="preserve">apoptotic cells. </w:t>
      </w:r>
    </w:p>
    <w:p w:rsidR="00EE4E5E" w:rsidRPr="00F57FE9" w:rsidRDefault="00050715" w:rsidP="00F57FE9">
      <w:pPr>
        <w:spacing w:line="360" w:lineRule="auto"/>
        <w:jc w:val="center"/>
      </w:pPr>
      <w:r w:rsidRPr="00050715">
        <w:rPr>
          <w:noProof/>
        </w:rPr>
        <w:drawing>
          <wp:inline distT="0" distB="0" distL="0" distR="0">
            <wp:extent cx="5943600" cy="195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3600" cy="1955800"/>
                    </a:xfrm>
                    <a:prstGeom prst="rect">
                      <a:avLst/>
                    </a:prstGeom>
                  </pic:spPr>
                </pic:pic>
              </a:graphicData>
            </a:graphic>
          </wp:inline>
        </w:drawing>
      </w:r>
    </w:p>
    <w:p w:rsidR="003527E6" w:rsidRPr="00F57FE9" w:rsidRDefault="00050715" w:rsidP="00DA0CF4">
      <w:pPr>
        <w:spacing w:line="360" w:lineRule="auto"/>
        <w:jc w:val="both"/>
      </w:pPr>
      <w:proofErr w:type="gramStart"/>
      <w:r>
        <w:rPr>
          <w:b/>
          <w:bCs/>
          <w:lang w:eastAsia="en-IN"/>
        </w:rPr>
        <w:t>Figure 15</w:t>
      </w:r>
      <w:r w:rsidR="00E7510D" w:rsidRPr="00E7510D">
        <w:rPr>
          <w:b/>
          <w:bCs/>
          <w:lang w:eastAsia="en-IN"/>
        </w:rPr>
        <w:t>.</w:t>
      </w:r>
      <w:proofErr w:type="gramEnd"/>
      <w:r w:rsidR="00C56474">
        <w:rPr>
          <w:lang w:eastAsia="en-IN"/>
        </w:rPr>
        <w:t xml:space="preserve"> Apoptosis s</w:t>
      </w:r>
      <w:r w:rsidR="003527E6" w:rsidRPr="00F57FE9">
        <w:rPr>
          <w:lang w:eastAsia="en-IN"/>
        </w:rPr>
        <w:t xml:space="preserve">tudy of MST-NS on MCF-&amp; cells. A) </w:t>
      </w:r>
      <w:r w:rsidR="003527E6" w:rsidRPr="00F57FE9">
        <w:t xml:space="preserve">Untreated </w:t>
      </w:r>
      <w:r w:rsidR="00C56474" w:rsidRPr="00F57FE9">
        <w:t>cell lines that are intact and with green nucleus</w:t>
      </w:r>
      <w:r w:rsidR="00C56474">
        <w:t xml:space="preserve"> B) Cells t</w:t>
      </w:r>
      <w:r w:rsidR="003527E6" w:rsidRPr="00F57FE9">
        <w:t>reated with 25 μg/ml of AQD</w:t>
      </w:r>
      <w:r w:rsidR="00C56474">
        <w:t xml:space="preserve"> C) Cells t</w:t>
      </w:r>
      <w:r w:rsidR="00DA0CF4">
        <w:t xml:space="preserve">reated with 25 μg/ml </w:t>
      </w:r>
      <w:r w:rsidR="003527E6" w:rsidRPr="00F57FE9">
        <w:t xml:space="preserve">of NS; N-necrotic Cells, A- </w:t>
      </w:r>
      <w:proofErr w:type="spellStart"/>
      <w:r w:rsidR="003527E6" w:rsidRPr="00F57FE9">
        <w:t>Apo</w:t>
      </w:r>
      <w:r w:rsidR="00C56474">
        <w:t>ptic</w:t>
      </w:r>
      <w:proofErr w:type="spellEnd"/>
      <w:r w:rsidR="00C56474">
        <w:t xml:space="preserve"> cells and V- Viable c</w:t>
      </w:r>
      <w:r w:rsidR="008F53F8" w:rsidRPr="00F57FE9">
        <w:t>ells.</w:t>
      </w:r>
    </w:p>
    <w:p w:rsidR="003527E6" w:rsidRPr="00F57FE9" w:rsidRDefault="00282C8F" w:rsidP="00F57FE9">
      <w:pPr>
        <w:spacing w:line="360" w:lineRule="auto"/>
        <w:rPr>
          <w:b/>
        </w:rPr>
      </w:pPr>
      <w:r w:rsidRPr="00F57FE9">
        <w:rPr>
          <w:b/>
        </w:rPr>
        <w:t>3.3.13</w:t>
      </w:r>
      <w:r w:rsidR="003527E6" w:rsidRPr="00F57FE9">
        <w:rPr>
          <w:b/>
        </w:rPr>
        <w:t xml:space="preserve">. Pharmacokinetic and </w:t>
      </w:r>
      <w:r w:rsidR="001D3D23" w:rsidRPr="00F57FE9">
        <w:rPr>
          <w:b/>
        </w:rPr>
        <w:t xml:space="preserve">biodistribution study in wistar and </w:t>
      </w:r>
      <w:r w:rsidR="00244CDA">
        <w:rPr>
          <w:b/>
        </w:rPr>
        <w:t>S</w:t>
      </w:r>
      <w:r w:rsidR="001D3D23" w:rsidRPr="00F57FE9">
        <w:rPr>
          <w:b/>
        </w:rPr>
        <w:t xml:space="preserve">prague- </w:t>
      </w:r>
      <w:proofErr w:type="spellStart"/>
      <w:r w:rsidR="001D3D23" w:rsidRPr="00F57FE9">
        <w:rPr>
          <w:b/>
        </w:rPr>
        <w:t>dawley</w:t>
      </w:r>
      <w:proofErr w:type="spellEnd"/>
      <w:r w:rsidR="001D3D23" w:rsidRPr="00F57FE9">
        <w:rPr>
          <w:b/>
        </w:rPr>
        <w:t xml:space="preserve"> </w:t>
      </w:r>
      <w:r w:rsidR="003527E6" w:rsidRPr="00F57FE9">
        <w:rPr>
          <w:b/>
        </w:rPr>
        <w:t>Rats</w:t>
      </w:r>
    </w:p>
    <w:p w:rsidR="003527E6" w:rsidRPr="00F57FE9" w:rsidRDefault="003527E6" w:rsidP="00F57FE9">
      <w:pPr>
        <w:spacing w:line="360" w:lineRule="auto"/>
        <w:jc w:val="both"/>
      </w:pPr>
      <w:r w:rsidRPr="00F57FE9">
        <w:t xml:space="preserve">To confirm the positive impact of NS on oral bioavailability enhancement of MTX </w:t>
      </w:r>
      <w:r w:rsidRPr="00F57FE9">
        <w:rPr>
          <w:i/>
          <w:iCs/>
        </w:rPr>
        <w:t>in-vivo</w:t>
      </w:r>
      <w:r w:rsidRPr="00F57FE9">
        <w:t xml:space="preserve"> PK studies of NS and their AQD in rats </w:t>
      </w:r>
      <w:proofErr w:type="gramStart"/>
      <w:r w:rsidRPr="00F57FE9">
        <w:t>were carried out</w:t>
      </w:r>
      <w:proofErr w:type="gramEnd"/>
      <w:r w:rsidRPr="00F57FE9">
        <w:t xml:space="preserve"> and obtained results were correlated with each other. The mean concentration-time profile in the rat plasma for MTX </w:t>
      </w:r>
      <w:proofErr w:type="gramStart"/>
      <w:r w:rsidRPr="00F57FE9">
        <w:t>is displayed</w:t>
      </w:r>
      <w:proofErr w:type="gramEnd"/>
      <w:r w:rsidRPr="00F57FE9">
        <w:t xml:space="preserve"> in Figu</w:t>
      </w:r>
      <w:r w:rsidR="00244CDA">
        <w:t>re 16</w:t>
      </w:r>
      <w:r w:rsidRPr="00F57FE9">
        <w:t xml:space="preserve">, obtained when the single dose of 40 mg/kg of MTX was administered orally from NS and AQD and their PK parameters obtained are reported in Table 11 respectively. Following the oral administration of MTX-NS and MTX-AQD, the plasma concentration of MTX from MTX-NS in </w:t>
      </w:r>
      <w:r w:rsidRPr="00F57FE9">
        <w:lastRenderedPageBreak/>
        <w:t xml:space="preserve">rats </w:t>
      </w:r>
      <w:proofErr w:type="gramStart"/>
      <w:r w:rsidRPr="00F57FE9">
        <w:t>was significantly reached</w:t>
      </w:r>
      <w:proofErr w:type="gramEnd"/>
      <w:r w:rsidRPr="00F57FE9">
        <w:t xml:space="preserve"> to a higher level than that of MTX-AQD at every time interval. The MTX-NS exhibited higher C</w:t>
      </w:r>
      <w:r w:rsidRPr="00F57FE9">
        <w:rPr>
          <w:vertAlign w:val="subscript"/>
        </w:rPr>
        <w:t>max</w:t>
      </w:r>
      <w:r w:rsidRPr="00F57FE9">
        <w:t xml:space="preserve"> and </w:t>
      </w:r>
      <w:proofErr w:type="spellStart"/>
      <w:r w:rsidRPr="00F57FE9">
        <w:t>T</w:t>
      </w:r>
      <w:r w:rsidRPr="00F57FE9">
        <w:rPr>
          <w:vertAlign w:val="subscript"/>
        </w:rPr>
        <w:t>max</w:t>
      </w:r>
      <w:proofErr w:type="spellEnd"/>
      <w:r w:rsidRPr="00F57FE9">
        <w:t>, which indicates greater drug absorption but at a slower rate. The C</w:t>
      </w:r>
      <w:r w:rsidRPr="00F57FE9">
        <w:rPr>
          <w:vertAlign w:val="subscript"/>
        </w:rPr>
        <w:t>max</w:t>
      </w:r>
      <w:r w:rsidRPr="00F57FE9">
        <w:t xml:space="preserve"> of MTX-NS increased by 2.53 folds. The reduced C</w:t>
      </w:r>
      <w:r w:rsidRPr="00F57FE9">
        <w:rPr>
          <w:vertAlign w:val="subscript"/>
        </w:rPr>
        <w:t>max</w:t>
      </w:r>
      <w:r w:rsidRPr="00F57FE9">
        <w:t xml:space="preserve"> of MTX-AQD is because of the rapid distribution and metabolism of MTX. The coating of tween 80 and poloxamer 188 helps the circulation of formulation in the body for a prolonged period, thus </w:t>
      </w:r>
      <w:proofErr w:type="spellStart"/>
      <w:r w:rsidRPr="00F57FE9">
        <w:t>T</w:t>
      </w:r>
      <w:r w:rsidRPr="00F57FE9">
        <w:rPr>
          <w:vertAlign w:val="subscript"/>
        </w:rPr>
        <w:t>max</w:t>
      </w:r>
      <w:proofErr w:type="spellEnd"/>
      <w:r w:rsidRPr="00F57FE9">
        <w:t xml:space="preserve"> of MTX-NS is higher than free MTX. The mean residence time (MRT) of MTX-NS and MTX-AQD was 27.61± 2.10 and 38.62±2.03 hours, respectively.   Thus, the t</w:t>
      </w:r>
      <w:r w:rsidRPr="00F57FE9">
        <w:rPr>
          <w:vertAlign w:val="subscript"/>
        </w:rPr>
        <w:t xml:space="preserve">1/2 </w:t>
      </w:r>
      <w:r w:rsidRPr="00F57FE9">
        <w:t xml:space="preserve">of MTX from MTX-NS reduced to ~8 h, </w:t>
      </w:r>
      <w:proofErr w:type="gramStart"/>
      <w:r w:rsidRPr="00F57FE9">
        <w:t>then</w:t>
      </w:r>
      <w:proofErr w:type="gramEnd"/>
      <w:r w:rsidRPr="00F57FE9">
        <w:t xml:space="preserve"> free MTX, with t</w:t>
      </w:r>
      <w:r w:rsidRPr="00F57FE9">
        <w:rPr>
          <w:vertAlign w:val="subscript"/>
        </w:rPr>
        <w:t xml:space="preserve">1/2 </w:t>
      </w:r>
      <w:r w:rsidRPr="00F57FE9">
        <w:t xml:space="preserve">of 18.78 h. This drug is available in the body for a longer period in NS form for absorption. The relative </w:t>
      </w:r>
      <w:r w:rsidR="005B38C7" w:rsidRPr="00F57FE9">
        <w:t xml:space="preserve">and absolute </w:t>
      </w:r>
      <w:r w:rsidRPr="00F57FE9">
        <w:t>bioavailability of MTX-NS was 8.83 fold high as compared to MTX-AQD. The area under the curve (AUC) is a vital PK parameter that explains the circulation and exposure time of the drug in bloodstreams. The AUC</w:t>
      </w:r>
      <w:r w:rsidRPr="00F57FE9">
        <w:rPr>
          <w:vertAlign w:val="subscript"/>
        </w:rPr>
        <w:t xml:space="preserve">0-t </w:t>
      </w:r>
      <w:r w:rsidRPr="00F57FE9">
        <w:t xml:space="preserve">of MTX-NS and MTX-AQD were 3932.79 μg/ml *h and 445.39 μg/ml *h, respectively. This increase in AUC indicated that the MTX oral absorption in rats </w:t>
      </w:r>
      <w:proofErr w:type="gramStart"/>
      <w:r w:rsidRPr="00F57FE9">
        <w:t>was enhanced</w:t>
      </w:r>
      <w:proofErr w:type="gramEnd"/>
      <w:r w:rsidRPr="00F57FE9">
        <w:t xml:space="preserve"> notably in lyophilized NS form.</w:t>
      </w:r>
    </w:p>
    <w:p w:rsidR="003527E6" w:rsidRPr="00F57FE9" w:rsidRDefault="003527E6" w:rsidP="00F57FE9">
      <w:pPr>
        <w:spacing w:line="360" w:lineRule="auto"/>
        <w:jc w:val="both"/>
      </w:pPr>
      <w:r w:rsidRPr="00F57FE9">
        <w:t xml:space="preserve">Thus, the oral bioavailability of MTX </w:t>
      </w:r>
      <w:proofErr w:type="gramStart"/>
      <w:r w:rsidRPr="00F57FE9">
        <w:t>was improved</w:t>
      </w:r>
      <w:proofErr w:type="gramEnd"/>
      <w:r w:rsidRPr="00F57FE9">
        <w:t xml:space="preserve"> by decreased particle size, increased dissolution rate</w:t>
      </w:r>
      <w:r w:rsidR="00997A62" w:rsidRPr="00F57FE9">
        <w:t xml:space="preserve"> and thus enhances membrane permeation</w:t>
      </w:r>
      <w:r w:rsidR="00BB2E4D" w:rsidRPr="00F57FE9">
        <w:t xml:space="preserve"> of drug</w:t>
      </w:r>
      <w:r w:rsidR="00997A62" w:rsidRPr="00F57FE9">
        <w:t>.</w:t>
      </w:r>
      <w:r w:rsidRPr="00F57FE9">
        <w:t xml:space="preserve"> Here the size of MTX particle </w:t>
      </w:r>
      <w:proofErr w:type="gramStart"/>
      <w:r w:rsidRPr="00F57FE9">
        <w:t>was reduced</w:t>
      </w:r>
      <w:proofErr w:type="gramEnd"/>
      <w:r w:rsidRPr="00F57FE9">
        <w:t xml:space="preserve"> to nanometers from microscale. This significant reduction in the size of particles leads to tremendous enhancement in surface </w:t>
      </w:r>
      <w:proofErr w:type="gramStart"/>
      <w:r w:rsidRPr="00F57FE9">
        <w:t>area which</w:t>
      </w:r>
      <w:proofErr w:type="gramEnd"/>
      <w:r w:rsidRPr="00F57FE9">
        <w:t xml:space="preserve"> fastens the drug dissolution velocity as per Noyes–Whitney equation. Moreover, reduction in the size of the particle improved the uptake of drugs not only by dissolution enhancement but also by other mechanisms like increased mucosal adhesion to GI surfaces that helps to prolong GI transit time and leads to efficient oral bioavailability. Thus, reduction in the size of the particle and increased rates of drug dissolutions were the reason for higher C</w:t>
      </w:r>
      <w:r w:rsidRPr="00F57FE9">
        <w:rPr>
          <w:vertAlign w:val="subscript"/>
        </w:rPr>
        <w:t>max</w:t>
      </w:r>
      <w:r w:rsidRPr="00F57FE9">
        <w:t xml:space="preserve"> and AUC</w:t>
      </w:r>
      <w:r w:rsidRPr="00F57FE9">
        <w:rPr>
          <w:vertAlign w:val="subscript"/>
        </w:rPr>
        <w:t xml:space="preserve">0–t </w:t>
      </w:r>
      <w:r w:rsidRPr="00F57FE9">
        <w:t>of MTX after oral administration. As a stabilizer moreover, poloxamer 188 has a thick coat on the surface of MTX-NS, which plays a chief role in bioavailability enhancement. It is an amphiphilic surfactant, that may enhance the MTX penetration ability and thus promote rapid permeation of the MTX nanoparticles through the intestinal epithelium, and finally into blood i.e. systemic circulation.</w:t>
      </w:r>
    </w:p>
    <w:p w:rsidR="00EE4E5E" w:rsidRPr="00F57FE9" w:rsidRDefault="00244CDA" w:rsidP="00244CDA">
      <w:pPr>
        <w:spacing w:line="360" w:lineRule="auto"/>
        <w:jc w:val="center"/>
      </w:pPr>
      <w:r w:rsidRPr="00244CDA">
        <w:rPr>
          <w:noProof/>
        </w:rPr>
        <w:lastRenderedPageBreak/>
        <w:drawing>
          <wp:inline distT="0" distB="0" distL="0" distR="0">
            <wp:extent cx="5048955" cy="27816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48955" cy="2781688"/>
                    </a:xfrm>
                    <a:prstGeom prst="rect">
                      <a:avLst/>
                    </a:prstGeom>
                  </pic:spPr>
                </pic:pic>
              </a:graphicData>
            </a:graphic>
          </wp:inline>
        </w:drawing>
      </w:r>
    </w:p>
    <w:p w:rsidR="00D43B56" w:rsidRPr="00F57FE9" w:rsidRDefault="00244CDA" w:rsidP="00244CDA">
      <w:pPr>
        <w:spacing w:line="360" w:lineRule="auto"/>
      </w:pPr>
      <w:proofErr w:type="gramStart"/>
      <w:r>
        <w:rPr>
          <w:b/>
          <w:bCs/>
          <w:lang w:eastAsia="en-IN"/>
        </w:rPr>
        <w:t>Figure 16</w:t>
      </w:r>
      <w:r w:rsidR="00E7510D" w:rsidRPr="00E7510D">
        <w:rPr>
          <w:b/>
          <w:bCs/>
          <w:lang w:eastAsia="en-IN"/>
        </w:rPr>
        <w:t>.</w:t>
      </w:r>
      <w:proofErr w:type="gramEnd"/>
      <w:r w:rsidR="003527E6" w:rsidRPr="00F57FE9">
        <w:rPr>
          <w:lang w:eastAsia="en-IN"/>
        </w:rPr>
        <w:t xml:space="preserve"> </w:t>
      </w:r>
      <w:r w:rsidR="006D368E">
        <w:t>Plasma concentration-time p</w:t>
      </w:r>
      <w:r w:rsidR="003527E6" w:rsidRPr="00F57FE9">
        <w:t xml:space="preserve">rofiles of MTX </w:t>
      </w:r>
      <w:r w:rsidR="006D368E" w:rsidRPr="00F57FE9">
        <w:t>after oral in</w:t>
      </w:r>
      <w:r w:rsidR="006D368E">
        <w:t xml:space="preserve">take </w:t>
      </w:r>
      <w:r>
        <w:t>of MTX-NS and the MTX-AQD f</w:t>
      </w:r>
      <w:r w:rsidR="003527E6" w:rsidRPr="00F57FE9">
        <w:t>ormul</w:t>
      </w:r>
      <w:r w:rsidR="006D368E">
        <w:t>ation in r</w:t>
      </w:r>
      <w:r w:rsidR="003527E6" w:rsidRPr="00F57FE9">
        <w:t xml:space="preserve">ats. Each </w:t>
      </w:r>
      <w:r w:rsidR="006D368E" w:rsidRPr="00F57FE9">
        <w:t xml:space="preserve">value represents the mean </w:t>
      </w:r>
      <w:r w:rsidR="00D43B56" w:rsidRPr="00F57FE9">
        <w:t>± S.D. (n=3)</w:t>
      </w:r>
    </w:p>
    <w:p w:rsidR="003527E6" w:rsidRPr="00F57FE9" w:rsidRDefault="00214224" w:rsidP="00DA0CF4">
      <w:pPr>
        <w:spacing w:line="360" w:lineRule="auto"/>
        <w:jc w:val="both"/>
      </w:pPr>
      <w:proofErr w:type="gramStart"/>
      <w:r>
        <w:rPr>
          <w:b/>
          <w:bCs/>
        </w:rPr>
        <w:t>Table 11.</w:t>
      </w:r>
      <w:proofErr w:type="gramEnd"/>
      <w:r w:rsidR="003527E6" w:rsidRPr="00F57FE9">
        <w:t xml:space="preserve"> Plasma pharmacokinetic parameters of MTX-AQD and </w:t>
      </w:r>
      <w:r w:rsidR="00244CDA">
        <w:t xml:space="preserve">Lyophilized MTX-NS in </w:t>
      </w:r>
      <w:proofErr w:type="spellStart"/>
      <w:r w:rsidR="00244CDA">
        <w:t>Sprauge</w:t>
      </w:r>
      <w:proofErr w:type="spellEnd"/>
      <w:r w:rsidR="00244CDA">
        <w:t xml:space="preserve"> </w:t>
      </w:r>
      <w:proofErr w:type="spellStart"/>
      <w:r w:rsidR="00244CDA">
        <w:t>Da</w:t>
      </w:r>
      <w:r w:rsidR="003527E6" w:rsidRPr="00F57FE9">
        <w:t>wely</w:t>
      </w:r>
      <w:proofErr w:type="spellEnd"/>
      <w:r w:rsidR="003527E6" w:rsidRPr="00F57FE9">
        <w:t xml:space="preserve"> rats after oral administration</w:t>
      </w:r>
    </w:p>
    <w:tbl>
      <w:tblPr>
        <w:tblW w:w="0" w:type="auto"/>
        <w:jc w:val="center"/>
        <w:tblLook w:val="04A0"/>
      </w:tblPr>
      <w:tblGrid>
        <w:gridCol w:w="2138"/>
        <w:gridCol w:w="1620"/>
        <w:gridCol w:w="1890"/>
      </w:tblGrid>
      <w:tr w:rsidR="0057780D" w:rsidRPr="00F57FE9" w:rsidTr="00E7510D">
        <w:trPr>
          <w:jc w:val="center"/>
        </w:trPr>
        <w:tc>
          <w:tcPr>
            <w:tcW w:w="2138" w:type="dxa"/>
            <w:tcBorders>
              <w:top w:val="single" w:sz="4" w:space="0" w:color="auto"/>
              <w:bottom w:val="single" w:sz="4" w:space="0" w:color="auto"/>
            </w:tcBorders>
            <w:vAlign w:val="center"/>
          </w:tcPr>
          <w:p w:rsidR="0057780D" w:rsidRPr="00F57FE9" w:rsidRDefault="0057780D" w:rsidP="00F57FE9">
            <w:pPr>
              <w:spacing w:line="360" w:lineRule="auto"/>
              <w:jc w:val="center"/>
              <w:rPr>
                <w:b/>
              </w:rPr>
            </w:pPr>
            <w:r w:rsidRPr="00F57FE9">
              <w:rPr>
                <w:b/>
              </w:rPr>
              <w:t>Pharmacokinetic parameter</w:t>
            </w:r>
          </w:p>
        </w:tc>
        <w:tc>
          <w:tcPr>
            <w:tcW w:w="1620" w:type="dxa"/>
            <w:tcBorders>
              <w:top w:val="single" w:sz="4" w:space="0" w:color="auto"/>
              <w:bottom w:val="single" w:sz="4" w:space="0" w:color="auto"/>
            </w:tcBorders>
            <w:vAlign w:val="center"/>
          </w:tcPr>
          <w:p w:rsidR="0057780D" w:rsidRPr="00F57FE9" w:rsidRDefault="0057780D" w:rsidP="00F57FE9">
            <w:pPr>
              <w:spacing w:line="360" w:lineRule="auto"/>
              <w:jc w:val="center"/>
              <w:rPr>
                <w:b/>
              </w:rPr>
            </w:pPr>
            <w:r w:rsidRPr="00F57FE9">
              <w:rPr>
                <w:b/>
              </w:rPr>
              <w:t>MTX-AQD</w:t>
            </w:r>
          </w:p>
        </w:tc>
        <w:tc>
          <w:tcPr>
            <w:tcW w:w="1890" w:type="dxa"/>
            <w:tcBorders>
              <w:top w:val="single" w:sz="4" w:space="0" w:color="auto"/>
              <w:bottom w:val="single" w:sz="4" w:space="0" w:color="auto"/>
            </w:tcBorders>
            <w:vAlign w:val="center"/>
          </w:tcPr>
          <w:p w:rsidR="0057780D" w:rsidRPr="00F57FE9" w:rsidRDefault="0057780D" w:rsidP="00F57FE9">
            <w:pPr>
              <w:spacing w:line="360" w:lineRule="auto"/>
              <w:jc w:val="center"/>
              <w:rPr>
                <w:b/>
              </w:rPr>
            </w:pPr>
            <w:r w:rsidRPr="00F57FE9">
              <w:rPr>
                <w:b/>
              </w:rPr>
              <w:t>Lyophilized MTX-NS</w:t>
            </w:r>
          </w:p>
        </w:tc>
      </w:tr>
      <w:tr w:rsidR="0057780D" w:rsidRPr="00F57FE9" w:rsidTr="00E7510D">
        <w:trPr>
          <w:jc w:val="center"/>
        </w:trPr>
        <w:tc>
          <w:tcPr>
            <w:tcW w:w="2138" w:type="dxa"/>
            <w:tcBorders>
              <w:top w:val="single" w:sz="4" w:space="0" w:color="auto"/>
            </w:tcBorders>
            <w:vAlign w:val="center"/>
          </w:tcPr>
          <w:p w:rsidR="0057780D" w:rsidRPr="00F57FE9" w:rsidRDefault="0057780D" w:rsidP="00F57FE9">
            <w:pPr>
              <w:spacing w:line="360" w:lineRule="auto"/>
            </w:pPr>
            <w:r w:rsidRPr="00F57FE9">
              <w:t>C</w:t>
            </w:r>
            <w:r w:rsidRPr="00F57FE9">
              <w:rPr>
                <w:vertAlign w:val="subscript"/>
              </w:rPr>
              <w:t xml:space="preserve">max </w:t>
            </w:r>
            <w:r w:rsidRPr="00F57FE9">
              <w:t>(μg/ml)</w:t>
            </w:r>
          </w:p>
        </w:tc>
        <w:tc>
          <w:tcPr>
            <w:tcW w:w="1620" w:type="dxa"/>
            <w:tcBorders>
              <w:top w:val="single" w:sz="4" w:space="0" w:color="auto"/>
            </w:tcBorders>
            <w:vAlign w:val="center"/>
          </w:tcPr>
          <w:p w:rsidR="0057780D" w:rsidRPr="00F57FE9" w:rsidRDefault="0057780D" w:rsidP="00F57FE9">
            <w:pPr>
              <w:spacing w:line="360" w:lineRule="auto"/>
              <w:jc w:val="center"/>
            </w:pPr>
            <w:r w:rsidRPr="00F57FE9">
              <w:t>15.7 ±1.12</w:t>
            </w:r>
          </w:p>
        </w:tc>
        <w:tc>
          <w:tcPr>
            <w:tcW w:w="1890" w:type="dxa"/>
            <w:tcBorders>
              <w:top w:val="single" w:sz="4" w:space="0" w:color="auto"/>
            </w:tcBorders>
            <w:vAlign w:val="center"/>
          </w:tcPr>
          <w:p w:rsidR="0057780D" w:rsidRPr="00F57FE9" w:rsidRDefault="0057780D" w:rsidP="00F57FE9">
            <w:pPr>
              <w:spacing w:line="360" w:lineRule="auto"/>
              <w:jc w:val="center"/>
            </w:pPr>
            <w:r w:rsidRPr="00F57FE9">
              <w:t>39.70±1.32**</w:t>
            </w:r>
          </w:p>
        </w:tc>
      </w:tr>
      <w:tr w:rsidR="0057780D" w:rsidRPr="00F57FE9" w:rsidTr="00E7510D">
        <w:trPr>
          <w:jc w:val="center"/>
        </w:trPr>
        <w:tc>
          <w:tcPr>
            <w:tcW w:w="2138" w:type="dxa"/>
            <w:vAlign w:val="center"/>
          </w:tcPr>
          <w:p w:rsidR="0057780D" w:rsidRPr="00F57FE9" w:rsidRDefault="0057780D" w:rsidP="00F57FE9">
            <w:pPr>
              <w:spacing w:line="360" w:lineRule="auto"/>
            </w:pPr>
            <w:proofErr w:type="spellStart"/>
            <w:r w:rsidRPr="00F57FE9">
              <w:t>T</w:t>
            </w:r>
            <w:r w:rsidRPr="00F57FE9">
              <w:rPr>
                <w:vertAlign w:val="subscript"/>
              </w:rPr>
              <w:t>max</w:t>
            </w:r>
            <w:proofErr w:type="spellEnd"/>
            <w:r w:rsidRPr="00F57FE9">
              <w:rPr>
                <w:vertAlign w:val="subscript"/>
              </w:rPr>
              <w:t xml:space="preserve">  </w:t>
            </w:r>
            <w:r w:rsidRPr="00F57FE9">
              <w:t>(h</w:t>
            </w:r>
            <w:r w:rsidRPr="00F57FE9">
              <w:rPr>
                <w:vertAlign w:val="superscript"/>
              </w:rPr>
              <w:t xml:space="preserve"> </w:t>
            </w:r>
            <w:r w:rsidRPr="00F57FE9">
              <w:t>)</w:t>
            </w:r>
          </w:p>
        </w:tc>
        <w:tc>
          <w:tcPr>
            <w:tcW w:w="1620" w:type="dxa"/>
            <w:vAlign w:val="center"/>
          </w:tcPr>
          <w:p w:rsidR="0057780D" w:rsidRPr="00F57FE9" w:rsidRDefault="0057780D" w:rsidP="00F57FE9">
            <w:pPr>
              <w:spacing w:line="360" w:lineRule="auto"/>
              <w:jc w:val="center"/>
            </w:pPr>
            <w:r w:rsidRPr="00F57FE9">
              <w:t>5.00±1.59</w:t>
            </w:r>
          </w:p>
        </w:tc>
        <w:tc>
          <w:tcPr>
            <w:tcW w:w="1890" w:type="dxa"/>
            <w:vAlign w:val="center"/>
          </w:tcPr>
          <w:p w:rsidR="0057780D" w:rsidRPr="00F57FE9" w:rsidRDefault="0057780D" w:rsidP="00F57FE9">
            <w:pPr>
              <w:spacing w:line="360" w:lineRule="auto"/>
              <w:jc w:val="center"/>
            </w:pPr>
            <w:r w:rsidRPr="00F57FE9">
              <w:t>6.00±1.41**</w:t>
            </w:r>
          </w:p>
        </w:tc>
      </w:tr>
      <w:tr w:rsidR="0057780D" w:rsidRPr="00F57FE9" w:rsidTr="00E7510D">
        <w:trPr>
          <w:jc w:val="center"/>
        </w:trPr>
        <w:tc>
          <w:tcPr>
            <w:tcW w:w="2138" w:type="dxa"/>
            <w:vAlign w:val="center"/>
          </w:tcPr>
          <w:p w:rsidR="0057780D" w:rsidRPr="00F57FE9" w:rsidRDefault="0057780D" w:rsidP="00F57FE9">
            <w:pPr>
              <w:spacing w:line="360" w:lineRule="auto"/>
              <w:rPr>
                <w:vertAlign w:val="subscript"/>
              </w:rPr>
            </w:pPr>
            <w:r w:rsidRPr="00F57FE9">
              <w:t>t</w:t>
            </w:r>
            <w:r w:rsidRPr="00F57FE9">
              <w:rPr>
                <w:vertAlign w:val="subscript"/>
              </w:rPr>
              <w:t xml:space="preserve">1/2 </w:t>
            </w:r>
            <w:r w:rsidRPr="00F57FE9">
              <w:t>(h</w:t>
            </w:r>
            <w:r w:rsidRPr="00F57FE9">
              <w:rPr>
                <w:vertAlign w:val="superscript"/>
              </w:rPr>
              <w:t xml:space="preserve"> </w:t>
            </w:r>
            <w:r w:rsidRPr="00F57FE9">
              <w:t>)</w:t>
            </w:r>
          </w:p>
        </w:tc>
        <w:tc>
          <w:tcPr>
            <w:tcW w:w="1620" w:type="dxa"/>
            <w:vAlign w:val="center"/>
          </w:tcPr>
          <w:p w:rsidR="0057780D" w:rsidRPr="00F57FE9" w:rsidRDefault="0057780D" w:rsidP="00F57FE9">
            <w:pPr>
              <w:spacing w:line="360" w:lineRule="auto"/>
              <w:jc w:val="center"/>
            </w:pPr>
            <w:r w:rsidRPr="00F57FE9">
              <w:t>26.76±1.68</w:t>
            </w:r>
          </w:p>
        </w:tc>
        <w:tc>
          <w:tcPr>
            <w:tcW w:w="1890" w:type="dxa"/>
            <w:vAlign w:val="center"/>
          </w:tcPr>
          <w:p w:rsidR="0057780D" w:rsidRPr="00F57FE9" w:rsidRDefault="0057780D" w:rsidP="00F57FE9">
            <w:pPr>
              <w:spacing w:line="360" w:lineRule="auto"/>
              <w:jc w:val="center"/>
            </w:pPr>
            <w:r w:rsidRPr="00F57FE9">
              <w:t>18.78±1.36**</w:t>
            </w:r>
          </w:p>
        </w:tc>
      </w:tr>
      <w:tr w:rsidR="0057780D" w:rsidRPr="00F57FE9" w:rsidTr="00E7510D">
        <w:trPr>
          <w:jc w:val="center"/>
        </w:trPr>
        <w:tc>
          <w:tcPr>
            <w:tcW w:w="2138" w:type="dxa"/>
            <w:vAlign w:val="center"/>
          </w:tcPr>
          <w:p w:rsidR="0057780D" w:rsidRPr="00F57FE9" w:rsidRDefault="0057780D" w:rsidP="00F57FE9">
            <w:pPr>
              <w:spacing w:line="360" w:lineRule="auto"/>
            </w:pPr>
            <w:r w:rsidRPr="00F57FE9">
              <w:t>MRT (h</w:t>
            </w:r>
            <w:r w:rsidRPr="00F57FE9">
              <w:rPr>
                <w:vertAlign w:val="superscript"/>
              </w:rPr>
              <w:t xml:space="preserve"> </w:t>
            </w:r>
            <w:r w:rsidRPr="00F57FE9">
              <w:t>)</w:t>
            </w:r>
          </w:p>
        </w:tc>
        <w:tc>
          <w:tcPr>
            <w:tcW w:w="1620" w:type="dxa"/>
            <w:vAlign w:val="center"/>
          </w:tcPr>
          <w:p w:rsidR="0057780D" w:rsidRPr="00F57FE9" w:rsidRDefault="0057780D" w:rsidP="00F57FE9">
            <w:pPr>
              <w:spacing w:line="360" w:lineRule="auto"/>
              <w:jc w:val="center"/>
            </w:pPr>
            <w:r w:rsidRPr="00F57FE9">
              <w:t>38.62±2.03</w:t>
            </w:r>
          </w:p>
        </w:tc>
        <w:tc>
          <w:tcPr>
            <w:tcW w:w="1890" w:type="dxa"/>
            <w:vAlign w:val="center"/>
          </w:tcPr>
          <w:p w:rsidR="0057780D" w:rsidRPr="00F57FE9" w:rsidRDefault="0057780D" w:rsidP="00F57FE9">
            <w:pPr>
              <w:spacing w:line="360" w:lineRule="auto"/>
              <w:jc w:val="center"/>
            </w:pPr>
            <w:r w:rsidRPr="00F57FE9">
              <w:t>27.61± 2.10**</w:t>
            </w:r>
          </w:p>
        </w:tc>
      </w:tr>
      <w:tr w:rsidR="0057780D" w:rsidRPr="00F57FE9" w:rsidTr="00E7510D">
        <w:trPr>
          <w:jc w:val="center"/>
        </w:trPr>
        <w:tc>
          <w:tcPr>
            <w:tcW w:w="2138" w:type="dxa"/>
            <w:vAlign w:val="center"/>
          </w:tcPr>
          <w:p w:rsidR="0057780D" w:rsidRPr="00F57FE9" w:rsidRDefault="0057780D" w:rsidP="00F57FE9">
            <w:pPr>
              <w:spacing w:line="360" w:lineRule="auto"/>
              <w:rPr>
                <w:vertAlign w:val="subscript"/>
              </w:rPr>
            </w:pPr>
            <w:r w:rsidRPr="00F57FE9">
              <w:t>AUC</w:t>
            </w:r>
            <w:r w:rsidRPr="00F57FE9">
              <w:rPr>
                <w:vertAlign w:val="subscript"/>
              </w:rPr>
              <w:t xml:space="preserve">0-t  </w:t>
            </w:r>
            <w:r w:rsidRPr="00F57FE9">
              <w:t>(μg/ml *h)</w:t>
            </w:r>
          </w:p>
        </w:tc>
        <w:tc>
          <w:tcPr>
            <w:tcW w:w="1620" w:type="dxa"/>
            <w:vAlign w:val="center"/>
          </w:tcPr>
          <w:p w:rsidR="0057780D" w:rsidRPr="00F57FE9" w:rsidRDefault="0057780D" w:rsidP="00F57FE9">
            <w:pPr>
              <w:spacing w:line="360" w:lineRule="auto"/>
              <w:jc w:val="center"/>
            </w:pPr>
            <w:r w:rsidRPr="00F57FE9">
              <w:t>445.39±3.99</w:t>
            </w:r>
          </w:p>
        </w:tc>
        <w:tc>
          <w:tcPr>
            <w:tcW w:w="1890" w:type="dxa"/>
            <w:vAlign w:val="center"/>
          </w:tcPr>
          <w:p w:rsidR="0057780D" w:rsidRPr="00F57FE9" w:rsidRDefault="0057780D" w:rsidP="00F57FE9">
            <w:pPr>
              <w:spacing w:line="360" w:lineRule="auto"/>
              <w:jc w:val="center"/>
            </w:pPr>
            <w:r w:rsidRPr="00F57FE9">
              <w:t>3932.79±3.09**</w:t>
            </w:r>
          </w:p>
        </w:tc>
      </w:tr>
      <w:tr w:rsidR="0057780D" w:rsidRPr="00F57FE9" w:rsidTr="00E7510D">
        <w:trPr>
          <w:jc w:val="center"/>
        </w:trPr>
        <w:tc>
          <w:tcPr>
            <w:tcW w:w="2138" w:type="dxa"/>
            <w:vAlign w:val="center"/>
          </w:tcPr>
          <w:p w:rsidR="0057780D" w:rsidRPr="00F57FE9" w:rsidRDefault="0057780D" w:rsidP="00F57FE9">
            <w:pPr>
              <w:spacing w:line="360" w:lineRule="auto"/>
            </w:pPr>
            <w:r w:rsidRPr="00F57FE9">
              <w:t>AUC</w:t>
            </w:r>
            <w:r w:rsidRPr="00F57FE9">
              <w:rPr>
                <w:vertAlign w:val="subscript"/>
              </w:rPr>
              <w:t>0-</w:t>
            </w:r>
            <w:r w:rsidRPr="00F57FE9">
              <w:t xml:space="preserve"> </w:t>
            </w:r>
            <w:r w:rsidRPr="00F57FE9">
              <w:rPr>
                <w:vertAlign w:val="subscript"/>
              </w:rPr>
              <w:t xml:space="preserve">∞ </w:t>
            </w:r>
            <w:r w:rsidRPr="00F57FE9">
              <w:t>(μg/ml *h)</w:t>
            </w:r>
          </w:p>
        </w:tc>
        <w:tc>
          <w:tcPr>
            <w:tcW w:w="1620" w:type="dxa"/>
            <w:vAlign w:val="center"/>
          </w:tcPr>
          <w:p w:rsidR="0057780D" w:rsidRPr="00F57FE9" w:rsidRDefault="0057780D" w:rsidP="00F57FE9">
            <w:pPr>
              <w:spacing w:line="360" w:lineRule="auto"/>
              <w:jc w:val="center"/>
            </w:pPr>
            <w:r w:rsidRPr="00F57FE9">
              <w:t>485.16±3.25</w:t>
            </w:r>
          </w:p>
        </w:tc>
        <w:tc>
          <w:tcPr>
            <w:tcW w:w="1890" w:type="dxa"/>
            <w:vAlign w:val="center"/>
          </w:tcPr>
          <w:p w:rsidR="0057780D" w:rsidRPr="00F57FE9" w:rsidRDefault="0057780D" w:rsidP="00F57FE9">
            <w:pPr>
              <w:spacing w:line="360" w:lineRule="auto"/>
              <w:jc w:val="center"/>
            </w:pPr>
            <w:r w:rsidRPr="00F57FE9">
              <w:t>6788.86±3.33**</w:t>
            </w:r>
          </w:p>
        </w:tc>
      </w:tr>
      <w:tr w:rsidR="0057780D" w:rsidRPr="00F57FE9" w:rsidTr="00E7510D">
        <w:trPr>
          <w:jc w:val="center"/>
        </w:trPr>
        <w:tc>
          <w:tcPr>
            <w:tcW w:w="2138" w:type="dxa"/>
            <w:vAlign w:val="center"/>
          </w:tcPr>
          <w:p w:rsidR="0057780D" w:rsidRPr="00F57FE9" w:rsidRDefault="0057780D" w:rsidP="00F57FE9">
            <w:pPr>
              <w:spacing w:line="360" w:lineRule="auto"/>
            </w:pPr>
            <w:r w:rsidRPr="00F57FE9">
              <w:t>VD (mL</w:t>
            </w:r>
            <w:r w:rsidRPr="00F57FE9">
              <w:rPr>
                <w:vertAlign w:val="superscript"/>
              </w:rPr>
              <w:t xml:space="preserve"> </w:t>
            </w:r>
            <w:r w:rsidRPr="00F57FE9">
              <w:t>)</w:t>
            </w:r>
          </w:p>
        </w:tc>
        <w:tc>
          <w:tcPr>
            <w:tcW w:w="1620" w:type="dxa"/>
            <w:vAlign w:val="center"/>
          </w:tcPr>
          <w:p w:rsidR="0057780D" w:rsidRPr="00F57FE9" w:rsidRDefault="0057780D" w:rsidP="00F57FE9">
            <w:pPr>
              <w:spacing w:line="360" w:lineRule="auto"/>
              <w:jc w:val="center"/>
            </w:pPr>
            <w:r w:rsidRPr="00F57FE9">
              <w:t>109.24±2.22</w:t>
            </w:r>
          </w:p>
        </w:tc>
        <w:tc>
          <w:tcPr>
            <w:tcW w:w="1890" w:type="dxa"/>
            <w:vAlign w:val="center"/>
          </w:tcPr>
          <w:p w:rsidR="0057780D" w:rsidRPr="00F57FE9" w:rsidRDefault="0057780D" w:rsidP="00F57FE9">
            <w:pPr>
              <w:spacing w:line="360" w:lineRule="auto"/>
              <w:jc w:val="center"/>
            </w:pPr>
            <w:r w:rsidRPr="00F57FE9">
              <w:t>16.10±2.45**</w:t>
            </w:r>
          </w:p>
        </w:tc>
      </w:tr>
      <w:tr w:rsidR="0057780D" w:rsidRPr="00F57FE9" w:rsidTr="00E7510D">
        <w:trPr>
          <w:jc w:val="center"/>
        </w:trPr>
        <w:tc>
          <w:tcPr>
            <w:tcW w:w="2138" w:type="dxa"/>
            <w:vAlign w:val="center"/>
          </w:tcPr>
          <w:p w:rsidR="0057780D" w:rsidRPr="00F57FE9" w:rsidRDefault="0057780D" w:rsidP="00F57FE9">
            <w:pPr>
              <w:spacing w:line="360" w:lineRule="auto"/>
            </w:pPr>
            <w:proofErr w:type="spellStart"/>
            <w:r w:rsidRPr="00F57FE9">
              <w:t>Cl</w:t>
            </w:r>
            <w:proofErr w:type="spellEnd"/>
            <w:r w:rsidRPr="00F57FE9">
              <w:t xml:space="preserve"> (mL h</w:t>
            </w:r>
            <w:r w:rsidRPr="00F57FE9">
              <w:rPr>
                <w:vertAlign w:val="superscript"/>
              </w:rPr>
              <w:t xml:space="preserve">−1 </w:t>
            </w:r>
            <w:r w:rsidRPr="00F57FE9">
              <w:t>)</w:t>
            </w:r>
          </w:p>
        </w:tc>
        <w:tc>
          <w:tcPr>
            <w:tcW w:w="1620" w:type="dxa"/>
            <w:vAlign w:val="center"/>
          </w:tcPr>
          <w:p w:rsidR="0057780D" w:rsidRPr="00F57FE9" w:rsidRDefault="0057780D" w:rsidP="00F57FE9">
            <w:pPr>
              <w:spacing w:line="360" w:lineRule="auto"/>
              <w:jc w:val="center"/>
            </w:pPr>
            <w:r w:rsidRPr="00F57FE9">
              <w:t>2.83±2.24</w:t>
            </w:r>
          </w:p>
        </w:tc>
        <w:tc>
          <w:tcPr>
            <w:tcW w:w="1890" w:type="dxa"/>
            <w:vAlign w:val="center"/>
          </w:tcPr>
          <w:p w:rsidR="0057780D" w:rsidRPr="00F57FE9" w:rsidRDefault="0057780D" w:rsidP="00F57FE9">
            <w:pPr>
              <w:spacing w:line="360" w:lineRule="auto"/>
              <w:jc w:val="center"/>
            </w:pPr>
            <w:r w:rsidRPr="00F57FE9">
              <w:t>0.059± 2.55**</w:t>
            </w:r>
          </w:p>
        </w:tc>
      </w:tr>
      <w:tr w:rsidR="0057780D" w:rsidRPr="00F57FE9" w:rsidTr="00E7510D">
        <w:trPr>
          <w:jc w:val="center"/>
        </w:trPr>
        <w:tc>
          <w:tcPr>
            <w:tcW w:w="2138" w:type="dxa"/>
            <w:vAlign w:val="center"/>
          </w:tcPr>
          <w:p w:rsidR="0057780D" w:rsidRPr="00F57FE9" w:rsidRDefault="0057780D" w:rsidP="00F57FE9">
            <w:pPr>
              <w:spacing w:line="360" w:lineRule="auto"/>
            </w:pPr>
            <w:r w:rsidRPr="00F57FE9">
              <w:t>KE(h</w:t>
            </w:r>
            <w:r w:rsidRPr="00F57FE9">
              <w:rPr>
                <w:vertAlign w:val="superscript"/>
              </w:rPr>
              <w:t>−1</w:t>
            </w:r>
            <w:r w:rsidRPr="00F57FE9">
              <w:t>)</w:t>
            </w:r>
          </w:p>
        </w:tc>
        <w:tc>
          <w:tcPr>
            <w:tcW w:w="1620" w:type="dxa"/>
            <w:vAlign w:val="center"/>
          </w:tcPr>
          <w:p w:rsidR="0057780D" w:rsidRPr="00F57FE9" w:rsidRDefault="0057780D" w:rsidP="00F57FE9">
            <w:pPr>
              <w:spacing w:line="360" w:lineRule="auto"/>
              <w:jc w:val="center"/>
            </w:pPr>
            <w:r w:rsidRPr="00F57FE9">
              <w:t>0.026± 2.15</w:t>
            </w:r>
          </w:p>
        </w:tc>
        <w:tc>
          <w:tcPr>
            <w:tcW w:w="1890" w:type="dxa"/>
            <w:vAlign w:val="center"/>
          </w:tcPr>
          <w:p w:rsidR="0057780D" w:rsidRPr="00F57FE9" w:rsidRDefault="0057780D" w:rsidP="00F57FE9">
            <w:pPr>
              <w:spacing w:line="360" w:lineRule="auto"/>
              <w:jc w:val="center"/>
            </w:pPr>
            <w:r w:rsidRPr="00F57FE9">
              <w:t>0.0037 ±2.35**</w:t>
            </w:r>
          </w:p>
        </w:tc>
      </w:tr>
      <w:tr w:rsidR="0057780D" w:rsidRPr="00F57FE9" w:rsidTr="00E7510D">
        <w:trPr>
          <w:jc w:val="center"/>
        </w:trPr>
        <w:tc>
          <w:tcPr>
            <w:tcW w:w="2138" w:type="dxa"/>
            <w:vAlign w:val="center"/>
          </w:tcPr>
          <w:p w:rsidR="0057780D" w:rsidRPr="00F57FE9" w:rsidRDefault="0057780D" w:rsidP="00F57FE9">
            <w:pPr>
              <w:spacing w:line="360" w:lineRule="auto"/>
              <w:rPr>
                <w:vertAlign w:val="subscript"/>
              </w:rPr>
            </w:pPr>
            <w:proofErr w:type="spellStart"/>
            <w:r w:rsidRPr="00F57FE9">
              <w:t>F</w:t>
            </w:r>
            <w:r w:rsidRPr="00F57FE9">
              <w:rPr>
                <w:vertAlign w:val="subscript"/>
              </w:rPr>
              <w:t>rel</w:t>
            </w:r>
            <w:proofErr w:type="spellEnd"/>
          </w:p>
        </w:tc>
        <w:tc>
          <w:tcPr>
            <w:tcW w:w="1620" w:type="dxa"/>
            <w:vAlign w:val="center"/>
          </w:tcPr>
          <w:p w:rsidR="0057780D" w:rsidRPr="00F57FE9" w:rsidRDefault="0057780D" w:rsidP="00F57FE9">
            <w:pPr>
              <w:spacing w:line="360" w:lineRule="auto"/>
              <w:jc w:val="center"/>
            </w:pPr>
            <w:r w:rsidRPr="00F57FE9">
              <w:t>-</w:t>
            </w:r>
          </w:p>
        </w:tc>
        <w:tc>
          <w:tcPr>
            <w:tcW w:w="1890" w:type="dxa"/>
            <w:vAlign w:val="center"/>
          </w:tcPr>
          <w:p w:rsidR="0057780D" w:rsidRPr="00F57FE9" w:rsidRDefault="0057780D" w:rsidP="00F57FE9">
            <w:pPr>
              <w:spacing w:line="360" w:lineRule="auto"/>
              <w:jc w:val="center"/>
            </w:pPr>
            <w:r w:rsidRPr="00F57FE9">
              <w:t>8.83±1.19</w:t>
            </w:r>
          </w:p>
        </w:tc>
      </w:tr>
      <w:tr w:rsidR="0057780D" w:rsidRPr="00F57FE9" w:rsidTr="00E7510D">
        <w:trPr>
          <w:jc w:val="center"/>
        </w:trPr>
        <w:tc>
          <w:tcPr>
            <w:tcW w:w="2138" w:type="dxa"/>
            <w:tcBorders>
              <w:bottom w:val="single" w:sz="4" w:space="0" w:color="auto"/>
            </w:tcBorders>
            <w:vAlign w:val="center"/>
          </w:tcPr>
          <w:p w:rsidR="0057780D" w:rsidRPr="00F57FE9" w:rsidRDefault="0057780D" w:rsidP="00F57FE9">
            <w:pPr>
              <w:spacing w:line="360" w:lineRule="auto"/>
            </w:pPr>
            <w:r w:rsidRPr="00F57FE9">
              <w:t>F%</w:t>
            </w:r>
          </w:p>
        </w:tc>
        <w:tc>
          <w:tcPr>
            <w:tcW w:w="1620" w:type="dxa"/>
            <w:tcBorders>
              <w:bottom w:val="single" w:sz="4" w:space="0" w:color="auto"/>
            </w:tcBorders>
            <w:vAlign w:val="center"/>
          </w:tcPr>
          <w:p w:rsidR="0057780D" w:rsidRPr="00F57FE9" w:rsidRDefault="0057780D" w:rsidP="00F57FE9">
            <w:pPr>
              <w:spacing w:line="360" w:lineRule="auto"/>
              <w:jc w:val="center"/>
            </w:pPr>
            <w:r w:rsidRPr="00F57FE9">
              <w:t>4.45</w:t>
            </w:r>
          </w:p>
        </w:tc>
        <w:tc>
          <w:tcPr>
            <w:tcW w:w="1890" w:type="dxa"/>
            <w:tcBorders>
              <w:bottom w:val="single" w:sz="4" w:space="0" w:color="auto"/>
            </w:tcBorders>
            <w:vAlign w:val="center"/>
          </w:tcPr>
          <w:p w:rsidR="0057780D" w:rsidRPr="00F57FE9" w:rsidRDefault="0057780D" w:rsidP="00F57FE9">
            <w:pPr>
              <w:spacing w:line="360" w:lineRule="auto"/>
              <w:jc w:val="center"/>
            </w:pPr>
            <w:r w:rsidRPr="00F57FE9">
              <w:t>67.88</w:t>
            </w:r>
          </w:p>
        </w:tc>
      </w:tr>
    </w:tbl>
    <w:p w:rsidR="0057780D" w:rsidRPr="00F57FE9" w:rsidRDefault="0057780D" w:rsidP="00F57FE9">
      <w:pPr>
        <w:spacing w:line="360" w:lineRule="auto"/>
        <w:jc w:val="center"/>
        <w:rPr>
          <w:i/>
        </w:rPr>
      </w:pPr>
    </w:p>
    <w:p w:rsidR="003527E6" w:rsidRPr="00F57FE9" w:rsidRDefault="003527E6" w:rsidP="00F57FE9">
      <w:pPr>
        <w:spacing w:line="360" w:lineRule="auto"/>
        <w:jc w:val="both"/>
      </w:pPr>
      <w:r w:rsidRPr="00F57FE9">
        <w:t xml:space="preserve">After oral administration, the biodistribution study of MTX-NS and MTX-AQD showed a higher collection of MTX in </w:t>
      </w:r>
      <w:r w:rsidR="001D3D23" w:rsidRPr="00F57FE9">
        <w:t xml:space="preserve">the </w:t>
      </w:r>
      <w:r w:rsidRPr="00F57FE9">
        <w:t xml:space="preserve">spleen, liver, stomach, and kidney. The liver is the major organ of the </w:t>
      </w:r>
      <w:r w:rsidRPr="00F57FE9">
        <w:lastRenderedPageBreak/>
        <w:t>reticuloendothelial system (RES) that accumulates and metabolizes nanoparticles. The</w:t>
      </w:r>
      <w:r w:rsidR="00214224">
        <w:t xml:space="preserve"> biodistribution data (Figure 17</w:t>
      </w:r>
      <w:r w:rsidRPr="00F57FE9">
        <w:t xml:space="preserve">) revealed the maximum concentration of MTX by liver, spleen, stomach, and kidney were 8.15±4.22, 16.15±5.12, 9.40±4.72 and 4.73± 5.12 µg/g, for MTX-NS, respectively, after 72 h of oral administration. However, the MTX-AQD concentration in </w:t>
      </w:r>
      <w:r w:rsidR="001D3D23" w:rsidRPr="00F57FE9">
        <w:t xml:space="preserve">the </w:t>
      </w:r>
      <w:r w:rsidR="00FC62A3" w:rsidRPr="00F57FE9">
        <w:t>liver, spleen, stomach, and kidney</w:t>
      </w:r>
      <w:r w:rsidRPr="00F57FE9">
        <w:t xml:space="preserve"> were 8.24±2.28, 4.02± 3.36, </w:t>
      </w:r>
      <w:proofErr w:type="gramStart"/>
      <w:r w:rsidRPr="00F57FE9">
        <w:t>3.26</w:t>
      </w:r>
      <w:proofErr w:type="gramEnd"/>
      <w:r w:rsidRPr="00F57FE9">
        <w:t xml:space="preserve">±5.43 and 2.45±3.22 µg/g, respectively. This may be because of the faster elimination of MTX because of higher particle size as compared to MTX-NS. The higher uptake of MTX in </w:t>
      </w:r>
      <w:r w:rsidR="001D3D23" w:rsidRPr="00F57FE9">
        <w:t xml:space="preserve">the </w:t>
      </w:r>
      <w:r w:rsidRPr="00F57FE9">
        <w:t xml:space="preserve">spleen, liver, and stomach is because of enhanced lymphatic uptake. After oral intake of MTX-NS, no weight loss, no systemic toxicity, or fatalities or any other toxic effects </w:t>
      </w:r>
      <w:proofErr w:type="gramStart"/>
      <w:r w:rsidRPr="00F57FE9">
        <w:t>were seen</w:t>
      </w:r>
      <w:proofErr w:type="gramEnd"/>
      <w:r w:rsidRPr="00F57FE9">
        <w:t xml:space="preserve"> during the entire study in rats. The increased biodistribution of MTX-NS in the stomach as compared to MTX-AQD was maybe because of increased intimate contact of MTX with GIT absorptive cells because of increased surface area and adhesion properties of nanoparticles. Before the maceration, the stomach </w:t>
      </w:r>
      <w:proofErr w:type="gramStart"/>
      <w:r w:rsidRPr="00F57FE9">
        <w:t>was cleaned</w:t>
      </w:r>
      <w:proofErr w:type="gramEnd"/>
      <w:r w:rsidRPr="00F57FE9">
        <w:t xml:space="preserve"> for all waste or any food material to measure the levels of the stomach to the actual tissues. The concentration of MTX-NS in the brain was 5.03±4.21 µg/g and MTX-AQD was </w:t>
      </w:r>
      <w:proofErr w:type="gramStart"/>
      <w:r w:rsidRPr="00F57FE9">
        <w:t>1.56 ±4.18</w:t>
      </w:r>
      <w:proofErr w:type="gramEnd"/>
      <w:r w:rsidRPr="00F57FE9">
        <w:t xml:space="preserve"> µg/g, which indicates that the MTX-NS can deliver MTX to the brain. Early studies suggest that the size of NS in a nanometer plays a key role to deliver the drug to the brain and it crosses the blood-brain barrier (BBB). </w:t>
      </w:r>
      <w:proofErr w:type="gramStart"/>
      <w:r w:rsidRPr="00F57FE9">
        <w:t>Thus</w:t>
      </w:r>
      <w:proofErr w:type="gramEnd"/>
      <w:r w:rsidRPr="00F57FE9">
        <w:t xml:space="preserve"> MTX-NS in lesser doses can be used to treat </w:t>
      </w:r>
      <w:r w:rsidRPr="00F57FE9">
        <w:rPr>
          <w:shd w:val="clear" w:color="auto" w:fill="FFFFFF"/>
        </w:rPr>
        <w:t xml:space="preserve">primary central nervous system lymphoma (PCNSL). </w:t>
      </w:r>
      <w:r w:rsidRPr="00F57FE9">
        <w:t>The concentration of MTX in lungs and heart were 6.57±3.45 and 4.05±3.25 µg/gm for MTX-NS, while for MTX-AQD it was 2.00±4.62 and 2.12±3.45 µg/g respectively. A comparison of MTX-AQD with MTX-NS was not statistically significant (p &gt; 0.05). Thus, biodistribution studies conclude the accumulation of MTX-NS in the spleen, liver, stomach, and lungs in larger amounts as compared to the brain, lungs, and heart.</w:t>
      </w:r>
      <w:r w:rsidR="00CE0780" w:rsidRPr="00CE0780">
        <w:rPr>
          <w:vertAlign w:val="superscript"/>
        </w:rPr>
        <w:t>11</w:t>
      </w:r>
    </w:p>
    <w:p w:rsidR="00EE4E5E" w:rsidRPr="00F57FE9" w:rsidRDefault="00214224" w:rsidP="00F57FE9">
      <w:pPr>
        <w:spacing w:line="360" w:lineRule="auto"/>
        <w:jc w:val="both"/>
      </w:pPr>
      <w:r w:rsidRPr="00214224">
        <w:rPr>
          <w:noProof/>
        </w:rPr>
        <w:lastRenderedPageBreak/>
        <w:drawing>
          <wp:inline distT="0" distB="0" distL="0" distR="0">
            <wp:extent cx="5734850" cy="3400900"/>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34850" cy="3400900"/>
                    </a:xfrm>
                    <a:prstGeom prst="rect">
                      <a:avLst/>
                    </a:prstGeom>
                  </pic:spPr>
                </pic:pic>
              </a:graphicData>
            </a:graphic>
          </wp:inline>
        </w:drawing>
      </w:r>
    </w:p>
    <w:p w:rsidR="003527E6" w:rsidRPr="00F57FE9" w:rsidRDefault="005D57B4" w:rsidP="00DA0CF4">
      <w:pPr>
        <w:spacing w:line="360" w:lineRule="auto"/>
        <w:jc w:val="both"/>
      </w:pPr>
      <w:proofErr w:type="gramStart"/>
      <w:r>
        <w:rPr>
          <w:b/>
          <w:bCs/>
        </w:rPr>
        <w:t>Figure 17</w:t>
      </w:r>
      <w:r w:rsidR="00E7510D" w:rsidRPr="00E7510D">
        <w:rPr>
          <w:b/>
          <w:bCs/>
        </w:rPr>
        <w:t>.</w:t>
      </w:r>
      <w:proofErr w:type="gramEnd"/>
      <w:r w:rsidR="003527E6" w:rsidRPr="00F57FE9">
        <w:t xml:space="preserve"> Biodistribution of MTX-NS and MTX-AQD </w:t>
      </w:r>
      <w:r w:rsidR="00FB1DF7" w:rsidRPr="00F57FE9">
        <w:t>after oral administration in rats brain, kidney, liver, spleen, stomach, heart, lungs</w:t>
      </w:r>
    </w:p>
    <w:p w:rsidR="003527E6" w:rsidRPr="00F57FE9" w:rsidRDefault="002E4185" w:rsidP="00F57FE9">
      <w:pPr>
        <w:spacing w:line="360" w:lineRule="auto"/>
        <w:rPr>
          <w:b/>
          <w:lang w:eastAsia="en-IN"/>
        </w:rPr>
      </w:pPr>
      <w:r w:rsidRPr="00F57FE9">
        <w:rPr>
          <w:b/>
          <w:lang w:eastAsia="en-IN"/>
        </w:rPr>
        <w:t>3.3.14</w:t>
      </w:r>
      <w:r w:rsidR="003527E6" w:rsidRPr="00F57FE9">
        <w:rPr>
          <w:b/>
          <w:lang w:eastAsia="en-IN"/>
        </w:rPr>
        <w:t>. Stability</w:t>
      </w:r>
      <w:r w:rsidR="001D3D23" w:rsidRPr="00F57FE9">
        <w:rPr>
          <w:b/>
          <w:lang w:eastAsia="en-IN"/>
        </w:rPr>
        <w:t xml:space="preserve"> studies</w:t>
      </w:r>
    </w:p>
    <w:p w:rsidR="003527E6" w:rsidRPr="00F57FE9" w:rsidRDefault="003527E6" w:rsidP="00F57FE9">
      <w:pPr>
        <w:spacing w:line="360" w:lineRule="auto"/>
        <w:jc w:val="both"/>
        <w:rPr>
          <w:lang w:eastAsia="en-IN"/>
        </w:rPr>
      </w:pPr>
      <w:r w:rsidRPr="00F57FE9">
        <w:rPr>
          <w:lang w:eastAsia="en-IN"/>
        </w:rPr>
        <w:t xml:space="preserve">The six-month stability data for lyophilized </w:t>
      </w:r>
      <w:r w:rsidRPr="00F57FE9">
        <w:t>MTX-NS</w:t>
      </w:r>
      <w:r w:rsidRPr="00F57FE9">
        <w:rPr>
          <w:lang w:eastAsia="en-IN"/>
        </w:rPr>
        <w:t xml:space="preserve"> with liquid </w:t>
      </w:r>
      <w:r w:rsidRPr="00F57FE9">
        <w:t>MTX-NS</w:t>
      </w:r>
      <w:r w:rsidRPr="00F57FE9">
        <w:rPr>
          <w:lang w:eastAsia="en-IN"/>
        </w:rPr>
        <w:t xml:space="preserve"> </w:t>
      </w:r>
      <w:proofErr w:type="gramStart"/>
      <w:r w:rsidRPr="00F57FE9">
        <w:rPr>
          <w:lang w:eastAsia="en-IN"/>
        </w:rPr>
        <w:t>are reported</w:t>
      </w:r>
      <w:proofErr w:type="gramEnd"/>
      <w:r w:rsidRPr="00F57FE9">
        <w:rPr>
          <w:lang w:eastAsia="en-IN"/>
        </w:rPr>
        <w:t xml:space="preserve"> in Table 12. </w:t>
      </w:r>
      <w:r w:rsidRPr="00F57FE9">
        <w:t>MTX-NS</w:t>
      </w:r>
      <w:r w:rsidRPr="00F57FE9">
        <w:rPr>
          <w:lang w:eastAsia="en-IN"/>
        </w:rPr>
        <w:t xml:space="preserve"> stored at room temperature showed an increased particle size from 260 to 365 nm, within six months. While, storage under refrigerated conditions, showed there was a nominal increase from 260 to 300 nm indicating better stability under these conditions. The NS store at 40º±2ºC/75±5 </w:t>
      </w:r>
      <w:proofErr w:type="gramStart"/>
      <w:r w:rsidRPr="00F57FE9">
        <w:rPr>
          <w:lang w:eastAsia="en-IN"/>
        </w:rPr>
        <w:t>%</w:t>
      </w:r>
      <w:proofErr w:type="gramEnd"/>
      <w:r w:rsidRPr="00F57FE9">
        <w:rPr>
          <w:lang w:eastAsia="en-IN"/>
        </w:rPr>
        <w:t xml:space="preserve"> RH showed an increase in the size of particles from 260 to 388 nm. Results conclude, temperature influences the aggregation of nanoparticles, thus the stability and aggregation were higher at </w:t>
      </w:r>
      <w:proofErr w:type="gramStart"/>
      <w:r w:rsidRPr="00F57FE9">
        <w:rPr>
          <w:lang w:eastAsia="en-IN"/>
        </w:rPr>
        <w:t>RT</w:t>
      </w:r>
      <w:proofErr w:type="gramEnd"/>
      <w:r w:rsidRPr="00F57FE9">
        <w:rPr>
          <w:lang w:eastAsia="en-IN"/>
        </w:rPr>
        <w:t xml:space="preserve"> and stability chamber as compared to refrigerator storage conditions for liquid NS. For liquid, </w:t>
      </w:r>
      <w:r w:rsidRPr="00F57FE9">
        <w:t>MTX-NS</w:t>
      </w:r>
      <w:r w:rsidRPr="00F57FE9">
        <w:rPr>
          <w:lang w:eastAsia="en-IN"/>
        </w:rPr>
        <w:t xml:space="preserve"> particle size ranges from 260 to 300 nm for samples stored at the refrigerator that shows better stability of NS then other storage conditions (Table 12).  Aggregation was more likely to occur in liquid </w:t>
      </w:r>
      <w:r w:rsidRPr="00F57FE9">
        <w:t>MTX-NS</w:t>
      </w:r>
      <w:r w:rsidRPr="00F57FE9">
        <w:rPr>
          <w:lang w:eastAsia="en-IN"/>
        </w:rPr>
        <w:t xml:space="preserve"> as compared to lyophilized </w:t>
      </w:r>
      <w:r w:rsidRPr="00F57FE9">
        <w:t>MTX-NS</w:t>
      </w:r>
      <w:r w:rsidRPr="00F57FE9">
        <w:rPr>
          <w:lang w:eastAsia="en-IN"/>
        </w:rPr>
        <w:t xml:space="preserve"> ones in all storage conditions. The refrigerated condition does not have a significant effect on average particle size, whereas room temperature and stability chamber condition has a more </w:t>
      </w:r>
      <w:r w:rsidRPr="00F57FE9">
        <w:rPr>
          <w:shd w:val="clear" w:color="auto" w:fill="FFFFFF"/>
        </w:rPr>
        <w:t>deleterious</w:t>
      </w:r>
      <w:r w:rsidRPr="00F57FE9">
        <w:rPr>
          <w:lang w:eastAsia="en-IN"/>
        </w:rPr>
        <w:t xml:space="preserve"> effect. This concluded that higher temperature leads to greater particle aggregation which results in increased size of particles. Thus aggregation of particles at room temperature and stability chamber increases its particle size and thus they are less stable. </w:t>
      </w:r>
      <w:r w:rsidRPr="00F57FE9">
        <w:rPr>
          <w:lang w:eastAsia="en-IN"/>
        </w:rPr>
        <w:lastRenderedPageBreak/>
        <w:t xml:space="preserve">Probably Ostwald ripening may be the second reason resulting in fluctuations at RT. The chemical stability results of formulation during various conditions of storage </w:t>
      </w:r>
      <w:proofErr w:type="gramStart"/>
      <w:r w:rsidRPr="00F57FE9">
        <w:rPr>
          <w:lang w:eastAsia="en-IN"/>
        </w:rPr>
        <w:t>are featured</w:t>
      </w:r>
      <w:proofErr w:type="gramEnd"/>
      <w:r w:rsidRPr="00F57FE9">
        <w:rPr>
          <w:lang w:eastAsia="en-IN"/>
        </w:rPr>
        <w:t xml:space="preserve"> in Table 12. Results suggest no significant change in the DC of </w:t>
      </w:r>
      <w:r w:rsidRPr="00F57FE9">
        <w:t>MTX-NS</w:t>
      </w:r>
      <w:r w:rsidRPr="00F57FE9">
        <w:rPr>
          <w:lang w:eastAsia="en-IN"/>
        </w:rPr>
        <w:t xml:space="preserve"> and their lyophilized </w:t>
      </w:r>
      <w:r w:rsidRPr="00F57FE9">
        <w:t>MTX-NS</w:t>
      </w:r>
      <w:r w:rsidRPr="00F57FE9">
        <w:rPr>
          <w:lang w:eastAsia="en-IN"/>
        </w:rPr>
        <w:t xml:space="preserve"> when stored at three storage conditions. Thus, it concluded that both the liquid and lyophilized </w:t>
      </w:r>
      <w:r w:rsidRPr="00F57FE9">
        <w:t>MTX-NS</w:t>
      </w:r>
      <w:r w:rsidRPr="00F57FE9">
        <w:rPr>
          <w:lang w:eastAsia="en-IN"/>
        </w:rPr>
        <w:t xml:space="preserve"> are chemically stable at three storage conditions. Noteworthy, for physical stability of liquid NS, lyophilization, and storage at refrigerated conditions are recommended </w:t>
      </w:r>
      <w:r w:rsidR="007163F6" w:rsidRPr="00F57FE9">
        <w:rPr>
          <w:lang w:eastAsia="en-IN"/>
        </w:rPr>
        <w:fldChar w:fldCharType="begin"/>
      </w:r>
      <w:r w:rsidR="00F57FE9" w:rsidRPr="00F57FE9">
        <w:rPr>
          <w:lang w:eastAsia="en-IN"/>
        </w:rPr>
        <w:instrText xml:space="preserve"> ADDIN EN.CITE &lt;EndNote&gt;&lt;Cite&gt;&lt;Author&gt;Yue&lt;/Author&gt;&lt;Year&gt;2012&lt;/Year&gt;&lt;RecNum&gt;39&lt;/RecNum&gt;&lt;DisplayText&gt;&lt;style face="superscript"&gt;25&lt;/style&gt;&lt;/DisplayText&gt;&lt;record&gt;&lt;rec-number&gt;39&lt;/rec-number&gt;&lt;foreign-keys&gt;&lt;key app="EN" db-id="sv2ef2t2hvz5asez0dnprs50e22was0afref" timestamp="1588934391"&gt;39&lt;/key&gt;&lt;/foreign-keys&gt;&lt;ref-type name="Journal Article"&gt;17&lt;/ref-type&gt;&lt;contributors&gt;&lt;authors&gt;&lt;author&gt;Yue, Peng-Fei&lt;/author&gt;&lt;author&gt;Zheng, Qin&lt;/author&gt;&lt;author&gt;Wu, Bin&lt;/author&gt;&lt;author&gt;Hu, Peng-Yi&lt;/author&gt;&lt;author&gt;Wu, Zhen-Feng&lt;/author&gt;&lt;author&gt;Yang, Ming&lt;/author&gt;&lt;/authors&gt;&lt;/contributors&gt;&lt;titles&gt;&lt;title&gt;Application of Plackett-Burman design and Box-Behnken design to achieve process optimization for Geniposide submicron emulsion&lt;/title&gt;&lt;secondary-title&gt;Journal of dispersion science and technology&lt;/secondary-title&gt;&lt;/titles&gt;&lt;periodical&gt;&lt;full-title&gt;Journal of dispersion science and technology&lt;/full-title&gt;&lt;/periodical&gt;&lt;pages&gt;213-222&lt;/pages&gt;&lt;volume&gt;33&lt;/volume&gt;&lt;number&gt;2&lt;/number&gt;&lt;dates&gt;&lt;year&gt;2012&lt;/year&gt;&lt;/dates&gt;&lt;isbn&gt;0193-2691&lt;/isbn&gt;&lt;urls&gt;&lt;/urls&gt;&lt;/record&gt;&lt;/Cite&gt;&lt;/EndNote&gt;</w:instrText>
      </w:r>
      <w:r w:rsidR="007163F6" w:rsidRPr="00F57FE9">
        <w:rPr>
          <w:lang w:eastAsia="en-IN"/>
        </w:rPr>
        <w:fldChar w:fldCharType="separate"/>
      </w:r>
      <w:r w:rsidR="00F57FE9" w:rsidRPr="00F57FE9">
        <w:rPr>
          <w:noProof/>
          <w:vertAlign w:val="superscript"/>
          <w:lang w:eastAsia="en-IN"/>
        </w:rPr>
        <w:t>25</w:t>
      </w:r>
      <w:r w:rsidR="007163F6" w:rsidRPr="00F57FE9">
        <w:rPr>
          <w:lang w:eastAsia="en-IN"/>
        </w:rPr>
        <w:fldChar w:fldCharType="end"/>
      </w:r>
      <w:r w:rsidRPr="00F57FE9">
        <w:rPr>
          <w:lang w:eastAsia="en-IN"/>
        </w:rPr>
        <w:t xml:space="preserve">. </w:t>
      </w:r>
    </w:p>
    <w:p w:rsidR="003527E6" w:rsidRPr="00F57FE9" w:rsidRDefault="00E7510D" w:rsidP="00E7510D">
      <w:pPr>
        <w:spacing w:line="360" w:lineRule="auto"/>
      </w:pPr>
      <w:proofErr w:type="gramStart"/>
      <w:r w:rsidRPr="00E7510D">
        <w:rPr>
          <w:b/>
          <w:bCs/>
        </w:rPr>
        <w:t>Table 12.</w:t>
      </w:r>
      <w:proofErr w:type="gramEnd"/>
      <w:r w:rsidR="003527E6" w:rsidRPr="00F57FE9">
        <w:t xml:space="preserve"> Physical stability data of</w:t>
      </w:r>
      <w:r w:rsidR="00D43B56" w:rsidRPr="00F57FE9">
        <w:t xml:space="preserve"> lyophilized and liquid MTX-NS</w:t>
      </w:r>
    </w:p>
    <w:tbl>
      <w:tblPr>
        <w:tblW w:w="11516" w:type="dxa"/>
        <w:jc w:val="center"/>
        <w:tblLayout w:type="fixed"/>
        <w:tblLook w:val="04A0"/>
      </w:tblPr>
      <w:tblGrid>
        <w:gridCol w:w="1260"/>
        <w:gridCol w:w="1609"/>
        <w:gridCol w:w="907"/>
        <w:gridCol w:w="1293"/>
        <w:gridCol w:w="1170"/>
        <w:gridCol w:w="1080"/>
        <w:gridCol w:w="990"/>
        <w:gridCol w:w="1080"/>
        <w:gridCol w:w="1080"/>
        <w:gridCol w:w="1047"/>
      </w:tblGrid>
      <w:tr w:rsidR="0057780D" w:rsidRPr="001E1E94" w:rsidTr="003B2CA1">
        <w:trPr>
          <w:jc w:val="center"/>
        </w:trPr>
        <w:tc>
          <w:tcPr>
            <w:tcW w:w="1260" w:type="dxa"/>
            <w:vMerge w:val="restart"/>
            <w:tcBorders>
              <w:top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Formulation</w:t>
            </w:r>
          </w:p>
        </w:tc>
        <w:tc>
          <w:tcPr>
            <w:tcW w:w="1609" w:type="dxa"/>
            <w:vMerge w:val="restart"/>
            <w:tcBorders>
              <w:top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Storage Temperature Conditions</w:t>
            </w:r>
          </w:p>
        </w:tc>
        <w:tc>
          <w:tcPr>
            <w:tcW w:w="907" w:type="dxa"/>
            <w:vMerge w:val="restart"/>
            <w:tcBorders>
              <w:top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Initial Particle Size</w:t>
            </w:r>
          </w:p>
        </w:tc>
        <w:tc>
          <w:tcPr>
            <w:tcW w:w="3543" w:type="dxa"/>
            <w:gridSpan w:val="3"/>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Particle Size</w:t>
            </w:r>
          </w:p>
          <w:p w:rsidR="0057780D" w:rsidRPr="001E1E94" w:rsidRDefault="0057780D" w:rsidP="001E1E94">
            <w:pPr>
              <w:spacing w:before="120" w:after="120" w:line="360" w:lineRule="auto"/>
              <w:jc w:val="center"/>
              <w:rPr>
                <w:b/>
                <w:sz w:val="18"/>
                <w:szCs w:val="18"/>
              </w:rPr>
            </w:pPr>
            <w:r w:rsidRPr="001E1E94">
              <w:rPr>
                <w:b/>
                <w:sz w:val="18"/>
                <w:szCs w:val="18"/>
              </w:rPr>
              <w:t>After</w:t>
            </w:r>
          </w:p>
        </w:tc>
        <w:tc>
          <w:tcPr>
            <w:tcW w:w="990" w:type="dxa"/>
            <w:vMerge w:val="restart"/>
            <w:tcBorders>
              <w:top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Initial Drug Content</w:t>
            </w:r>
          </w:p>
        </w:tc>
        <w:tc>
          <w:tcPr>
            <w:tcW w:w="3207" w:type="dxa"/>
            <w:gridSpan w:val="3"/>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Drug Content After</w:t>
            </w:r>
          </w:p>
        </w:tc>
      </w:tr>
      <w:tr w:rsidR="0057780D" w:rsidRPr="001E1E94" w:rsidTr="003B2CA1">
        <w:trPr>
          <w:jc w:val="center"/>
        </w:trPr>
        <w:tc>
          <w:tcPr>
            <w:tcW w:w="1260" w:type="dxa"/>
            <w:vMerge/>
            <w:tcBorders>
              <w:bottom w:val="single" w:sz="4" w:space="0" w:color="auto"/>
            </w:tcBorders>
            <w:vAlign w:val="center"/>
          </w:tcPr>
          <w:p w:rsidR="0057780D" w:rsidRPr="001E1E94" w:rsidRDefault="0057780D" w:rsidP="001E1E94">
            <w:pPr>
              <w:spacing w:before="120" w:after="120" w:line="360" w:lineRule="auto"/>
              <w:jc w:val="center"/>
              <w:rPr>
                <w:b/>
                <w:sz w:val="18"/>
                <w:szCs w:val="18"/>
              </w:rPr>
            </w:pPr>
          </w:p>
        </w:tc>
        <w:tc>
          <w:tcPr>
            <w:tcW w:w="1609" w:type="dxa"/>
            <w:vMerge/>
            <w:tcBorders>
              <w:bottom w:val="single" w:sz="4" w:space="0" w:color="auto"/>
            </w:tcBorders>
            <w:vAlign w:val="center"/>
          </w:tcPr>
          <w:p w:rsidR="0057780D" w:rsidRPr="001E1E94" w:rsidRDefault="0057780D" w:rsidP="001E1E94">
            <w:pPr>
              <w:spacing w:before="120" w:after="120" w:line="360" w:lineRule="auto"/>
              <w:jc w:val="center"/>
              <w:rPr>
                <w:b/>
                <w:sz w:val="18"/>
                <w:szCs w:val="18"/>
              </w:rPr>
            </w:pPr>
          </w:p>
        </w:tc>
        <w:tc>
          <w:tcPr>
            <w:tcW w:w="907" w:type="dxa"/>
            <w:vMerge/>
            <w:tcBorders>
              <w:bottom w:val="single" w:sz="4" w:space="0" w:color="auto"/>
            </w:tcBorders>
            <w:vAlign w:val="center"/>
          </w:tcPr>
          <w:p w:rsidR="0057780D" w:rsidRPr="001E1E94" w:rsidRDefault="0057780D" w:rsidP="001E1E94">
            <w:pPr>
              <w:spacing w:before="120" w:after="120" w:line="360" w:lineRule="auto"/>
              <w:jc w:val="center"/>
              <w:rPr>
                <w:b/>
                <w:sz w:val="18"/>
                <w:szCs w:val="18"/>
              </w:rPr>
            </w:pPr>
          </w:p>
        </w:tc>
        <w:tc>
          <w:tcPr>
            <w:tcW w:w="1293" w:type="dxa"/>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2M</w:t>
            </w:r>
          </w:p>
        </w:tc>
        <w:tc>
          <w:tcPr>
            <w:tcW w:w="1170" w:type="dxa"/>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4M</w:t>
            </w:r>
          </w:p>
        </w:tc>
        <w:tc>
          <w:tcPr>
            <w:tcW w:w="1080" w:type="dxa"/>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6 M</w:t>
            </w:r>
          </w:p>
        </w:tc>
        <w:tc>
          <w:tcPr>
            <w:tcW w:w="990" w:type="dxa"/>
            <w:vMerge/>
            <w:tcBorders>
              <w:bottom w:val="single" w:sz="4" w:space="0" w:color="auto"/>
            </w:tcBorders>
            <w:vAlign w:val="center"/>
          </w:tcPr>
          <w:p w:rsidR="0057780D" w:rsidRPr="001E1E94" w:rsidRDefault="0057780D" w:rsidP="001E1E94">
            <w:pPr>
              <w:spacing w:before="120" w:after="120" w:line="360" w:lineRule="auto"/>
              <w:jc w:val="center"/>
              <w:rPr>
                <w:b/>
                <w:sz w:val="18"/>
                <w:szCs w:val="18"/>
              </w:rPr>
            </w:pPr>
          </w:p>
        </w:tc>
        <w:tc>
          <w:tcPr>
            <w:tcW w:w="1080" w:type="dxa"/>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2 M</w:t>
            </w:r>
          </w:p>
        </w:tc>
        <w:tc>
          <w:tcPr>
            <w:tcW w:w="1080" w:type="dxa"/>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4 M</w:t>
            </w:r>
          </w:p>
        </w:tc>
        <w:tc>
          <w:tcPr>
            <w:tcW w:w="1047" w:type="dxa"/>
            <w:tcBorders>
              <w:top w:val="single" w:sz="4" w:space="0" w:color="auto"/>
              <w:bottom w:val="single" w:sz="4" w:space="0" w:color="auto"/>
            </w:tcBorders>
            <w:vAlign w:val="center"/>
          </w:tcPr>
          <w:p w:rsidR="0057780D" w:rsidRPr="001E1E94" w:rsidRDefault="0057780D" w:rsidP="001E1E94">
            <w:pPr>
              <w:spacing w:before="120" w:after="120" w:line="360" w:lineRule="auto"/>
              <w:jc w:val="center"/>
              <w:rPr>
                <w:b/>
                <w:sz w:val="18"/>
                <w:szCs w:val="18"/>
              </w:rPr>
            </w:pPr>
            <w:r w:rsidRPr="001E1E94">
              <w:rPr>
                <w:b/>
                <w:sz w:val="18"/>
                <w:szCs w:val="18"/>
              </w:rPr>
              <w:t>6 M</w:t>
            </w:r>
          </w:p>
        </w:tc>
      </w:tr>
      <w:tr w:rsidR="0057780D" w:rsidRPr="001E1E94" w:rsidTr="003B2CA1">
        <w:trPr>
          <w:jc w:val="center"/>
        </w:trPr>
        <w:tc>
          <w:tcPr>
            <w:tcW w:w="1260" w:type="dxa"/>
            <w:vMerge w:val="restart"/>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Lyophilized MTX-NS</w:t>
            </w:r>
          </w:p>
        </w:tc>
        <w:tc>
          <w:tcPr>
            <w:tcW w:w="1609" w:type="dxa"/>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4°C</w:t>
            </w:r>
          </w:p>
        </w:tc>
        <w:tc>
          <w:tcPr>
            <w:tcW w:w="907" w:type="dxa"/>
            <w:vMerge w:val="restart"/>
            <w:tcBorders>
              <w:top w:val="single" w:sz="4" w:space="0" w:color="auto"/>
            </w:tcBorders>
            <w:vAlign w:val="center"/>
          </w:tcPr>
          <w:p w:rsidR="0057780D" w:rsidRPr="001E1E94" w:rsidRDefault="0057780D" w:rsidP="001E1E94">
            <w:pPr>
              <w:spacing w:before="120" w:after="120" w:line="360" w:lineRule="auto"/>
              <w:jc w:val="center"/>
              <w:rPr>
                <w:sz w:val="18"/>
                <w:szCs w:val="18"/>
              </w:rPr>
            </w:pPr>
          </w:p>
          <w:p w:rsidR="0057780D" w:rsidRPr="001E1E94" w:rsidRDefault="0057780D" w:rsidP="001E1E94">
            <w:pPr>
              <w:spacing w:before="120" w:after="120" w:line="360" w:lineRule="auto"/>
              <w:jc w:val="center"/>
              <w:rPr>
                <w:sz w:val="18"/>
                <w:szCs w:val="18"/>
              </w:rPr>
            </w:pPr>
            <w:r w:rsidRPr="001E1E94">
              <w:rPr>
                <w:sz w:val="18"/>
                <w:szCs w:val="18"/>
              </w:rPr>
              <w:t>260±4.6</w:t>
            </w:r>
          </w:p>
        </w:tc>
        <w:tc>
          <w:tcPr>
            <w:tcW w:w="1293" w:type="dxa"/>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274.9±4.6</w:t>
            </w:r>
          </w:p>
        </w:tc>
        <w:tc>
          <w:tcPr>
            <w:tcW w:w="1170" w:type="dxa"/>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289.3±8.2</w:t>
            </w:r>
          </w:p>
        </w:tc>
        <w:tc>
          <w:tcPr>
            <w:tcW w:w="1080" w:type="dxa"/>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300.8±4.5</w:t>
            </w:r>
          </w:p>
        </w:tc>
        <w:tc>
          <w:tcPr>
            <w:tcW w:w="990" w:type="dxa"/>
            <w:vMerge w:val="restart"/>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88.65±0.33</w:t>
            </w:r>
          </w:p>
        </w:tc>
        <w:tc>
          <w:tcPr>
            <w:tcW w:w="1080" w:type="dxa"/>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88.46±4.2</w:t>
            </w:r>
          </w:p>
        </w:tc>
        <w:tc>
          <w:tcPr>
            <w:tcW w:w="1080" w:type="dxa"/>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88.32±5.8</w:t>
            </w:r>
          </w:p>
        </w:tc>
        <w:tc>
          <w:tcPr>
            <w:tcW w:w="1047" w:type="dxa"/>
            <w:tcBorders>
              <w:top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88.11±3.5</w:t>
            </w:r>
          </w:p>
        </w:tc>
      </w:tr>
      <w:tr w:rsidR="0057780D" w:rsidRPr="001E1E94" w:rsidTr="001E1E94">
        <w:trPr>
          <w:jc w:val="center"/>
        </w:trPr>
        <w:tc>
          <w:tcPr>
            <w:tcW w:w="1260" w:type="dxa"/>
            <w:vMerge/>
            <w:vAlign w:val="center"/>
          </w:tcPr>
          <w:p w:rsidR="0057780D" w:rsidRPr="001E1E94" w:rsidRDefault="0057780D" w:rsidP="001E1E94">
            <w:pPr>
              <w:spacing w:before="120" w:after="120" w:line="360" w:lineRule="auto"/>
              <w:jc w:val="center"/>
              <w:rPr>
                <w:sz w:val="18"/>
                <w:szCs w:val="18"/>
              </w:rPr>
            </w:pPr>
          </w:p>
        </w:tc>
        <w:tc>
          <w:tcPr>
            <w:tcW w:w="1609" w:type="dxa"/>
            <w:vAlign w:val="center"/>
          </w:tcPr>
          <w:p w:rsidR="0057780D" w:rsidRPr="001E1E94" w:rsidRDefault="0057780D" w:rsidP="001E1E94">
            <w:pPr>
              <w:spacing w:before="120" w:after="120" w:line="360" w:lineRule="auto"/>
              <w:jc w:val="center"/>
              <w:rPr>
                <w:sz w:val="18"/>
                <w:szCs w:val="18"/>
              </w:rPr>
            </w:pPr>
            <w:r w:rsidRPr="001E1E94">
              <w:rPr>
                <w:sz w:val="18"/>
                <w:szCs w:val="18"/>
              </w:rPr>
              <w:t>Room temperature</w:t>
            </w:r>
          </w:p>
        </w:tc>
        <w:tc>
          <w:tcPr>
            <w:tcW w:w="907" w:type="dxa"/>
            <w:vMerge/>
            <w:vAlign w:val="center"/>
          </w:tcPr>
          <w:p w:rsidR="0057780D" w:rsidRPr="001E1E94" w:rsidRDefault="0057780D" w:rsidP="001E1E94">
            <w:pPr>
              <w:spacing w:before="120" w:after="120" w:line="360" w:lineRule="auto"/>
              <w:jc w:val="center"/>
              <w:rPr>
                <w:sz w:val="18"/>
                <w:szCs w:val="18"/>
              </w:rPr>
            </w:pPr>
          </w:p>
        </w:tc>
        <w:tc>
          <w:tcPr>
            <w:tcW w:w="1293" w:type="dxa"/>
            <w:vAlign w:val="center"/>
          </w:tcPr>
          <w:p w:rsidR="0057780D" w:rsidRPr="001E1E94" w:rsidRDefault="0057780D" w:rsidP="001E1E94">
            <w:pPr>
              <w:spacing w:before="120" w:after="120" w:line="360" w:lineRule="auto"/>
              <w:jc w:val="center"/>
              <w:rPr>
                <w:sz w:val="18"/>
                <w:szCs w:val="18"/>
              </w:rPr>
            </w:pPr>
            <w:r w:rsidRPr="001E1E94">
              <w:rPr>
                <w:sz w:val="18"/>
                <w:szCs w:val="18"/>
              </w:rPr>
              <w:t>295.2±5.9</w:t>
            </w:r>
          </w:p>
        </w:tc>
        <w:tc>
          <w:tcPr>
            <w:tcW w:w="1170" w:type="dxa"/>
            <w:vAlign w:val="center"/>
          </w:tcPr>
          <w:p w:rsidR="0057780D" w:rsidRPr="001E1E94" w:rsidRDefault="0057780D" w:rsidP="001E1E94">
            <w:pPr>
              <w:spacing w:before="120" w:after="120" w:line="360" w:lineRule="auto"/>
              <w:jc w:val="center"/>
              <w:rPr>
                <w:sz w:val="18"/>
                <w:szCs w:val="18"/>
              </w:rPr>
            </w:pPr>
            <w:r w:rsidRPr="001E1E94">
              <w:rPr>
                <w:sz w:val="18"/>
                <w:szCs w:val="18"/>
              </w:rPr>
              <w:t>325.9±7.1</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365.7±6.8</w:t>
            </w:r>
          </w:p>
        </w:tc>
        <w:tc>
          <w:tcPr>
            <w:tcW w:w="990" w:type="dxa"/>
            <w:vMerge/>
            <w:vAlign w:val="center"/>
          </w:tcPr>
          <w:p w:rsidR="0057780D" w:rsidRPr="001E1E94" w:rsidRDefault="0057780D" w:rsidP="001E1E94">
            <w:pPr>
              <w:spacing w:before="120" w:after="120" w:line="360" w:lineRule="auto"/>
              <w:jc w:val="center"/>
              <w:rPr>
                <w:sz w:val="18"/>
                <w:szCs w:val="18"/>
              </w:rPr>
            </w:pP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87.23±6.8</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87.10±6.6</w:t>
            </w:r>
          </w:p>
        </w:tc>
        <w:tc>
          <w:tcPr>
            <w:tcW w:w="1047" w:type="dxa"/>
            <w:vAlign w:val="center"/>
          </w:tcPr>
          <w:p w:rsidR="0057780D" w:rsidRPr="001E1E94" w:rsidRDefault="0057780D" w:rsidP="001E1E94">
            <w:pPr>
              <w:spacing w:before="120" w:after="120" w:line="360" w:lineRule="auto"/>
              <w:jc w:val="center"/>
              <w:rPr>
                <w:sz w:val="18"/>
                <w:szCs w:val="18"/>
              </w:rPr>
            </w:pPr>
            <w:r w:rsidRPr="001E1E94">
              <w:rPr>
                <w:sz w:val="18"/>
                <w:szCs w:val="18"/>
              </w:rPr>
              <w:t>87.09±2.6</w:t>
            </w:r>
          </w:p>
        </w:tc>
      </w:tr>
      <w:tr w:rsidR="0057780D" w:rsidRPr="001E1E94" w:rsidTr="003B2CA1">
        <w:trPr>
          <w:jc w:val="center"/>
        </w:trPr>
        <w:tc>
          <w:tcPr>
            <w:tcW w:w="1260" w:type="dxa"/>
            <w:vMerge/>
            <w:vAlign w:val="center"/>
          </w:tcPr>
          <w:p w:rsidR="0057780D" w:rsidRPr="001E1E94" w:rsidRDefault="0057780D" w:rsidP="001E1E94">
            <w:pPr>
              <w:spacing w:before="120" w:after="120" w:line="360" w:lineRule="auto"/>
              <w:jc w:val="center"/>
              <w:rPr>
                <w:sz w:val="18"/>
                <w:szCs w:val="18"/>
              </w:rPr>
            </w:pPr>
          </w:p>
        </w:tc>
        <w:tc>
          <w:tcPr>
            <w:tcW w:w="1609" w:type="dxa"/>
            <w:vAlign w:val="center"/>
          </w:tcPr>
          <w:p w:rsidR="0057780D" w:rsidRPr="001E1E94" w:rsidRDefault="0057780D" w:rsidP="001E1E94">
            <w:pPr>
              <w:spacing w:before="120" w:after="120" w:line="360" w:lineRule="auto"/>
              <w:jc w:val="center"/>
              <w:rPr>
                <w:sz w:val="18"/>
                <w:szCs w:val="18"/>
              </w:rPr>
            </w:pPr>
            <w:r w:rsidRPr="001E1E94">
              <w:rPr>
                <w:sz w:val="18"/>
                <w:szCs w:val="18"/>
              </w:rPr>
              <w:t>40 °C</w:t>
            </w:r>
          </w:p>
        </w:tc>
        <w:tc>
          <w:tcPr>
            <w:tcW w:w="907" w:type="dxa"/>
            <w:vMerge/>
            <w:vAlign w:val="center"/>
          </w:tcPr>
          <w:p w:rsidR="0057780D" w:rsidRPr="001E1E94" w:rsidRDefault="0057780D" w:rsidP="001E1E94">
            <w:pPr>
              <w:spacing w:before="120" w:after="120" w:line="360" w:lineRule="auto"/>
              <w:jc w:val="center"/>
              <w:rPr>
                <w:sz w:val="18"/>
                <w:szCs w:val="18"/>
              </w:rPr>
            </w:pPr>
          </w:p>
        </w:tc>
        <w:tc>
          <w:tcPr>
            <w:tcW w:w="1293" w:type="dxa"/>
            <w:vAlign w:val="center"/>
          </w:tcPr>
          <w:p w:rsidR="0057780D" w:rsidRPr="001E1E94" w:rsidRDefault="0057780D" w:rsidP="001E1E94">
            <w:pPr>
              <w:spacing w:before="120" w:after="120" w:line="360" w:lineRule="auto"/>
              <w:jc w:val="center"/>
              <w:rPr>
                <w:sz w:val="18"/>
                <w:szCs w:val="18"/>
              </w:rPr>
            </w:pPr>
            <w:r w:rsidRPr="001E1E94">
              <w:rPr>
                <w:sz w:val="18"/>
                <w:szCs w:val="18"/>
              </w:rPr>
              <w:t>280.4±5.4</w:t>
            </w:r>
          </w:p>
        </w:tc>
        <w:tc>
          <w:tcPr>
            <w:tcW w:w="1170" w:type="dxa"/>
            <w:vAlign w:val="center"/>
          </w:tcPr>
          <w:p w:rsidR="0057780D" w:rsidRPr="001E1E94" w:rsidRDefault="0057780D" w:rsidP="001E1E94">
            <w:pPr>
              <w:spacing w:before="120" w:after="120" w:line="360" w:lineRule="auto"/>
              <w:jc w:val="center"/>
              <w:rPr>
                <w:sz w:val="18"/>
                <w:szCs w:val="18"/>
              </w:rPr>
            </w:pPr>
            <w:r w:rsidRPr="001E1E94">
              <w:rPr>
                <w:sz w:val="18"/>
                <w:szCs w:val="18"/>
              </w:rPr>
              <w:t>336.9±5.6</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388.5±7.2</w:t>
            </w:r>
          </w:p>
        </w:tc>
        <w:tc>
          <w:tcPr>
            <w:tcW w:w="990" w:type="dxa"/>
            <w:vMerge/>
            <w:vAlign w:val="center"/>
          </w:tcPr>
          <w:p w:rsidR="0057780D" w:rsidRPr="001E1E94" w:rsidRDefault="0057780D" w:rsidP="001E1E94">
            <w:pPr>
              <w:spacing w:before="120" w:after="120" w:line="360" w:lineRule="auto"/>
              <w:jc w:val="center"/>
              <w:rPr>
                <w:sz w:val="18"/>
                <w:szCs w:val="18"/>
              </w:rPr>
            </w:pP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87.99±7.2</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87.57±8.2</w:t>
            </w:r>
          </w:p>
        </w:tc>
        <w:tc>
          <w:tcPr>
            <w:tcW w:w="1047" w:type="dxa"/>
            <w:vAlign w:val="center"/>
          </w:tcPr>
          <w:p w:rsidR="0057780D" w:rsidRPr="001E1E94" w:rsidRDefault="0057780D" w:rsidP="001E1E94">
            <w:pPr>
              <w:spacing w:before="120" w:after="120" w:line="360" w:lineRule="auto"/>
              <w:jc w:val="center"/>
              <w:rPr>
                <w:sz w:val="18"/>
                <w:szCs w:val="18"/>
              </w:rPr>
            </w:pPr>
            <w:r w:rsidRPr="001E1E94">
              <w:rPr>
                <w:sz w:val="18"/>
                <w:szCs w:val="18"/>
              </w:rPr>
              <w:t>87.65±4.5</w:t>
            </w:r>
          </w:p>
        </w:tc>
      </w:tr>
      <w:tr w:rsidR="0057780D" w:rsidRPr="001E1E94" w:rsidTr="003B2CA1">
        <w:trPr>
          <w:jc w:val="center"/>
        </w:trPr>
        <w:tc>
          <w:tcPr>
            <w:tcW w:w="1260" w:type="dxa"/>
            <w:vMerge w:val="restart"/>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Liquid MTX-N</w:t>
            </w:r>
            <w:r w:rsidRPr="003B2CA1">
              <w:rPr>
                <w:sz w:val="18"/>
                <w:szCs w:val="18"/>
              </w:rPr>
              <w:t>S</w:t>
            </w:r>
          </w:p>
        </w:tc>
        <w:tc>
          <w:tcPr>
            <w:tcW w:w="1609" w:type="dxa"/>
            <w:vAlign w:val="center"/>
          </w:tcPr>
          <w:p w:rsidR="0057780D" w:rsidRPr="001E1E94" w:rsidRDefault="0057780D" w:rsidP="001E1E94">
            <w:pPr>
              <w:spacing w:before="120" w:after="120" w:line="360" w:lineRule="auto"/>
              <w:jc w:val="center"/>
              <w:rPr>
                <w:sz w:val="18"/>
                <w:szCs w:val="18"/>
              </w:rPr>
            </w:pPr>
            <w:r w:rsidRPr="001E1E94">
              <w:rPr>
                <w:sz w:val="18"/>
                <w:szCs w:val="18"/>
              </w:rPr>
              <w:t>4°C</w:t>
            </w:r>
          </w:p>
        </w:tc>
        <w:tc>
          <w:tcPr>
            <w:tcW w:w="907" w:type="dxa"/>
            <w:vMerge w:val="restart"/>
            <w:vAlign w:val="center"/>
          </w:tcPr>
          <w:p w:rsidR="0057780D" w:rsidRPr="001E1E94" w:rsidRDefault="0057780D" w:rsidP="001E1E94">
            <w:pPr>
              <w:spacing w:before="120" w:after="120" w:line="360" w:lineRule="auto"/>
              <w:jc w:val="center"/>
              <w:rPr>
                <w:sz w:val="18"/>
                <w:szCs w:val="18"/>
              </w:rPr>
            </w:pPr>
            <w:r w:rsidRPr="001E1E94">
              <w:rPr>
                <w:sz w:val="18"/>
                <w:szCs w:val="18"/>
              </w:rPr>
              <w:t>246.8±8.23</w:t>
            </w:r>
          </w:p>
        </w:tc>
        <w:tc>
          <w:tcPr>
            <w:tcW w:w="1293" w:type="dxa"/>
            <w:vAlign w:val="center"/>
          </w:tcPr>
          <w:p w:rsidR="0057780D" w:rsidRPr="001E1E94" w:rsidRDefault="0057780D" w:rsidP="001E1E94">
            <w:pPr>
              <w:spacing w:before="120" w:after="120" w:line="360" w:lineRule="auto"/>
              <w:jc w:val="center"/>
              <w:rPr>
                <w:sz w:val="18"/>
                <w:szCs w:val="18"/>
              </w:rPr>
            </w:pPr>
            <w:r w:rsidRPr="001E1E94">
              <w:rPr>
                <w:sz w:val="18"/>
                <w:szCs w:val="18"/>
              </w:rPr>
              <w:t>254.9±4.2</w:t>
            </w:r>
          </w:p>
        </w:tc>
        <w:tc>
          <w:tcPr>
            <w:tcW w:w="1170" w:type="dxa"/>
            <w:vAlign w:val="center"/>
          </w:tcPr>
          <w:p w:rsidR="0057780D" w:rsidRPr="001E1E94" w:rsidRDefault="0057780D" w:rsidP="001E1E94">
            <w:pPr>
              <w:spacing w:before="120" w:after="120" w:line="360" w:lineRule="auto"/>
              <w:jc w:val="center"/>
              <w:rPr>
                <w:sz w:val="18"/>
                <w:szCs w:val="18"/>
              </w:rPr>
            </w:pPr>
            <w:r w:rsidRPr="001E1E94">
              <w:rPr>
                <w:sz w:val="18"/>
                <w:szCs w:val="18"/>
              </w:rPr>
              <w:t>269.3±3.6</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280.8±6.3</w:t>
            </w:r>
          </w:p>
        </w:tc>
        <w:tc>
          <w:tcPr>
            <w:tcW w:w="990" w:type="dxa"/>
            <w:vMerge w:val="restart"/>
            <w:vAlign w:val="center"/>
          </w:tcPr>
          <w:p w:rsidR="0057780D" w:rsidRPr="001E1E94" w:rsidRDefault="0057780D" w:rsidP="001E1E94">
            <w:pPr>
              <w:spacing w:before="120" w:after="120" w:line="360" w:lineRule="auto"/>
              <w:jc w:val="center"/>
              <w:rPr>
                <w:sz w:val="18"/>
                <w:szCs w:val="18"/>
              </w:rPr>
            </w:pPr>
            <w:r w:rsidRPr="001E1E94">
              <w:rPr>
                <w:sz w:val="18"/>
                <w:szCs w:val="18"/>
              </w:rPr>
              <w:t>99.86±7.4</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99.70±7.8</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99.55±6.1</w:t>
            </w:r>
          </w:p>
        </w:tc>
        <w:tc>
          <w:tcPr>
            <w:tcW w:w="1047" w:type="dxa"/>
            <w:vAlign w:val="center"/>
          </w:tcPr>
          <w:p w:rsidR="0057780D" w:rsidRPr="001E1E94" w:rsidRDefault="0057780D" w:rsidP="001E1E94">
            <w:pPr>
              <w:spacing w:before="120" w:after="120" w:line="360" w:lineRule="auto"/>
              <w:jc w:val="center"/>
              <w:rPr>
                <w:sz w:val="18"/>
                <w:szCs w:val="18"/>
              </w:rPr>
            </w:pPr>
            <w:r w:rsidRPr="001E1E94">
              <w:rPr>
                <w:sz w:val="18"/>
                <w:szCs w:val="18"/>
              </w:rPr>
              <w:t>99.29±6.6</w:t>
            </w:r>
          </w:p>
        </w:tc>
      </w:tr>
      <w:tr w:rsidR="0057780D" w:rsidRPr="001E1E94" w:rsidTr="003B2CA1">
        <w:trPr>
          <w:jc w:val="center"/>
        </w:trPr>
        <w:tc>
          <w:tcPr>
            <w:tcW w:w="1260" w:type="dxa"/>
            <w:vMerge/>
            <w:tcBorders>
              <w:bottom w:val="single" w:sz="4" w:space="0" w:color="auto"/>
            </w:tcBorders>
            <w:vAlign w:val="center"/>
          </w:tcPr>
          <w:p w:rsidR="0057780D" w:rsidRPr="001E1E94" w:rsidRDefault="0057780D" w:rsidP="001E1E94">
            <w:pPr>
              <w:spacing w:before="120" w:after="120" w:line="360" w:lineRule="auto"/>
              <w:jc w:val="center"/>
              <w:rPr>
                <w:sz w:val="18"/>
                <w:szCs w:val="18"/>
              </w:rPr>
            </w:pPr>
          </w:p>
        </w:tc>
        <w:tc>
          <w:tcPr>
            <w:tcW w:w="1609" w:type="dxa"/>
            <w:vAlign w:val="center"/>
          </w:tcPr>
          <w:p w:rsidR="0057780D" w:rsidRPr="001E1E94" w:rsidRDefault="0057780D" w:rsidP="001E1E94">
            <w:pPr>
              <w:spacing w:before="120" w:after="120" w:line="360" w:lineRule="auto"/>
              <w:jc w:val="center"/>
              <w:rPr>
                <w:sz w:val="18"/>
                <w:szCs w:val="18"/>
              </w:rPr>
            </w:pPr>
            <w:r w:rsidRPr="001E1E94">
              <w:rPr>
                <w:sz w:val="18"/>
                <w:szCs w:val="18"/>
              </w:rPr>
              <w:t>Room temperature</w:t>
            </w:r>
          </w:p>
        </w:tc>
        <w:tc>
          <w:tcPr>
            <w:tcW w:w="907" w:type="dxa"/>
            <w:vMerge/>
            <w:vAlign w:val="center"/>
          </w:tcPr>
          <w:p w:rsidR="0057780D" w:rsidRPr="001E1E94" w:rsidRDefault="0057780D" w:rsidP="001E1E94">
            <w:pPr>
              <w:spacing w:before="120" w:after="120" w:line="360" w:lineRule="auto"/>
              <w:jc w:val="center"/>
              <w:rPr>
                <w:sz w:val="18"/>
                <w:szCs w:val="18"/>
              </w:rPr>
            </w:pPr>
          </w:p>
        </w:tc>
        <w:tc>
          <w:tcPr>
            <w:tcW w:w="1293" w:type="dxa"/>
            <w:vAlign w:val="center"/>
          </w:tcPr>
          <w:p w:rsidR="0057780D" w:rsidRPr="001E1E94" w:rsidRDefault="0057780D" w:rsidP="001E1E94">
            <w:pPr>
              <w:spacing w:before="120" w:after="120" w:line="360" w:lineRule="auto"/>
              <w:jc w:val="center"/>
              <w:rPr>
                <w:sz w:val="18"/>
                <w:szCs w:val="18"/>
              </w:rPr>
            </w:pPr>
            <w:r w:rsidRPr="001E1E94">
              <w:rPr>
                <w:sz w:val="18"/>
                <w:szCs w:val="18"/>
              </w:rPr>
              <w:t>268.2±4.6</w:t>
            </w:r>
          </w:p>
        </w:tc>
        <w:tc>
          <w:tcPr>
            <w:tcW w:w="1170" w:type="dxa"/>
            <w:vAlign w:val="center"/>
          </w:tcPr>
          <w:p w:rsidR="0057780D" w:rsidRPr="001E1E94" w:rsidRDefault="0057780D" w:rsidP="001E1E94">
            <w:pPr>
              <w:spacing w:before="120" w:after="120" w:line="360" w:lineRule="auto"/>
              <w:jc w:val="center"/>
              <w:rPr>
                <w:sz w:val="18"/>
                <w:szCs w:val="18"/>
              </w:rPr>
            </w:pPr>
            <w:r w:rsidRPr="001E1E94">
              <w:rPr>
                <w:sz w:val="18"/>
                <w:szCs w:val="18"/>
              </w:rPr>
              <w:t>290.9±4.2</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321.7±2.8</w:t>
            </w:r>
          </w:p>
        </w:tc>
        <w:tc>
          <w:tcPr>
            <w:tcW w:w="990" w:type="dxa"/>
            <w:vMerge/>
            <w:vAlign w:val="center"/>
          </w:tcPr>
          <w:p w:rsidR="0057780D" w:rsidRPr="001E1E94" w:rsidRDefault="0057780D" w:rsidP="001E1E94">
            <w:pPr>
              <w:spacing w:before="120" w:after="120" w:line="360" w:lineRule="auto"/>
              <w:jc w:val="center"/>
              <w:rPr>
                <w:sz w:val="18"/>
                <w:szCs w:val="18"/>
              </w:rPr>
            </w:pP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99.64±5.9</w:t>
            </w:r>
          </w:p>
        </w:tc>
        <w:tc>
          <w:tcPr>
            <w:tcW w:w="1080" w:type="dxa"/>
            <w:vAlign w:val="center"/>
          </w:tcPr>
          <w:p w:rsidR="0057780D" w:rsidRPr="001E1E94" w:rsidRDefault="0057780D" w:rsidP="001E1E94">
            <w:pPr>
              <w:spacing w:before="120" w:after="120" w:line="360" w:lineRule="auto"/>
              <w:jc w:val="center"/>
              <w:rPr>
                <w:sz w:val="18"/>
                <w:szCs w:val="18"/>
              </w:rPr>
            </w:pPr>
            <w:r w:rsidRPr="001E1E94">
              <w:rPr>
                <w:sz w:val="18"/>
                <w:szCs w:val="18"/>
              </w:rPr>
              <w:t>99.44±8.1</w:t>
            </w:r>
          </w:p>
        </w:tc>
        <w:tc>
          <w:tcPr>
            <w:tcW w:w="1047" w:type="dxa"/>
            <w:vAlign w:val="center"/>
          </w:tcPr>
          <w:p w:rsidR="0057780D" w:rsidRPr="001E1E94" w:rsidRDefault="0057780D" w:rsidP="001E1E94">
            <w:pPr>
              <w:spacing w:before="120" w:after="120" w:line="360" w:lineRule="auto"/>
              <w:jc w:val="center"/>
              <w:rPr>
                <w:sz w:val="18"/>
                <w:szCs w:val="18"/>
              </w:rPr>
            </w:pPr>
            <w:r w:rsidRPr="001E1E94">
              <w:rPr>
                <w:sz w:val="18"/>
                <w:szCs w:val="18"/>
              </w:rPr>
              <w:t>99.05±7.2</w:t>
            </w:r>
          </w:p>
        </w:tc>
      </w:tr>
      <w:tr w:rsidR="0057780D" w:rsidRPr="001E1E94" w:rsidTr="003B2CA1">
        <w:trPr>
          <w:jc w:val="center"/>
        </w:trPr>
        <w:tc>
          <w:tcPr>
            <w:tcW w:w="1260" w:type="dxa"/>
            <w:vMerge/>
            <w:tcBorders>
              <w:bottom w:val="single" w:sz="4" w:space="0" w:color="auto"/>
            </w:tcBorders>
            <w:vAlign w:val="center"/>
          </w:tcPr>
          <w:p w:rsidR="0057780D" w:rsidRPr="001E1E94" w:rsidRDefault="0057780D" w:rsidP="001E1E94">
            <w:pPr>
              <w:spacing w:before="120" w:after="120" w:line="360" w:lineRule="auto"/>
              <w:jc w:val="center"/>
              <w:rPr>
                <w:sz w:val="18"/>
                <w:szCs w:val="18"/>
              </w:rPr>
            </w:pPr>
          </w:p>
        </w:tc>
        <w:tc>
          <w:tcPr>
            <w:tcW w:w="1609" w:type="dxa"/>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40 °C</w:t>
            </w:r>
          </w:p>
        </w:tc>
        <w:tc>
          <w:tcPr>
            <w:tcW w:w="907" w:type="dxa"/>
            <w:vMerge/>
            <w:tcBorders>
              <w:bottom w:val="single" w:sz="4" w:space="0" w:color="auto"/>
            </w:tcBorders>
            <w:vAlign w:val="center"/>
          </w:tcPr>
          <w:p w:rsidR="0057780D" w:rsidRPr="001E1E94" w:rsidRDefault="0057780D" w:rsidP="001E1E94">
            <w:pPr>
              <w:spacing w:before="120" w:after="120" w:line="360" w:lineRule="auto"/>
              <w:jc w:val="center"/>
              <w:rPr>
                <w:sz w:val="18"/>
                <w:szCs w:val="18"/>
              </w:rPr>
            </w:pPr>
          </w:p>
        </w:tc>
        <w:tc>
          <w:tcPr>
            <w:tcW w:w="1293" w:type="dxa"/>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250.4±5.5</w:t>
            </w:r>
          </w:p>
        </w:tc>
        <w:tc>
          <w:tcPr>
            <w:tcW w:w="1170" w:type="dxa"/>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283.9±5.3</w:t>
            </w:r>
          </w:p>
        </w:tc>
        <w:tc>
          <w:tcPr>
            <w:tcW w:w="1080" w:type="dxa"/>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338.5±3.3</w:t>
            </w:r>
          </w:p>
        </w:tc>
        <w:tc>
          <w:tcPr>
            <w:tcW w:w="990" w:type="dxa"/>
            <w:vMerge/>
            <w:tcBorders>
              <w:bottom w:val="single" w:sz="4" w:space="0" w:color="auto"/>
            </w:tcBorders>
            <w:vAlign w:val="center"/>
          </w:tcPr>
          <w:p w:rsidR="0057780D" w:rsidRPr="001E1E94" w:rsidRDefault="0057780D" w:rsidP="001E1E94">
            <w:pPr>
              <w:spacing w:before="120" w:after="120" w:line="360" w:lineRule="auto"/>
              <w:jc w:val="center"/>
              <w:rPr>
                <w:sz w:val="18"/>
                <w:szCs w:val="18"/>
              </w:rPr>
            </w:pPr>
          </w:p>
        </w:tc>
        <w:tc>
          <w:tcPr>
            <w:tcW w:w="1080" w:type="dxa"/>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99.74±9.1</w:t>
            </w:r>
          </w:p>
        </w:tc>
        <w:tc>
          <w:tcPr>
            <w:tcW w:w="1080" w:type="dxa"/>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99.45±5.6</w:t>
            </w:r>
          </w:p>
        </w:tc>
        <w:tc>
          <w:tcPr>
            <w:tcW w:w="1047" w:type="dxa"/>
            <w:tcBorders>
              <w:bottom w:val="single" w:sz="4" w:space="0" w:color="auto"/>
            </w:tcBorders>
            <w:vAlign w:val="center"/>
          </w:tcPr>
          <w:p w:rsidR="0057780D" w:rsidRPr="001E1E94" w:rsidRDefault="0057780D" w:rsidP="001E1E94">
            <w:pPr>
              <w:spacing w:before="120" w:after="120" w:line="360" w:lineRule="auto"/>
              <w:jc w:val="center"/>
              <w:rPr>
                <w:sz w:val="18"/>
                <w:szCs w:val="18"/>
              </w:rPr>
            </w:pPr>
            <w:r w:rsidRPr="001E1E94">
              <w:rPr>
                <w:sz w:val="18"/>
                <w:szCs w:val="18"/>
              </w:rPr>
              <w:t>99.37±7.8</w:t>
            </w:r>
          </w:p>
        </w:tc>
      </w:tr>
    </w:tbl>
    <w:p w:rsidR="0057780D" w:rsidRPr="00F57FE9" w:rsidRDefault="0057780D" w:rsidP="00F57FE9">
      <w:pPr>
        <w:spacing w:line="360" w:lineRule="auto"/>
        <w:jc w:val="center"/>
        <w:rPr>
          <w:i/>
        </w:rPr>
      </w:pPr>
    </w:p>
    <w:p w:rsidR="003527E6" w:rsidRPr="00F57FE9" w:rsidRDefault="003527E6" w:rsidP="00F57FE9">
      <w:pPr>
        <w:spacing w:line="360" w:lineRule="auto"/>
        <w:jc w:val="both"/>
        <w:rPr>
          <w:rFonts w:eastAsia="MinionPro-Regular"/>
          <w:b/>
        </w:rPr>
      </w:pPr>
      <w:r w:rsidRPr="00F57FE9">
        <w:rPr>
          <w:rFonts w:eastAsia="MinionPro-Regular"/>
          <w:b/>
        </w:rPr>
        <w:t xml:space="preserve">4. </w:t>
      </w:r>
      <w:r w:rsidR="00D43B56" w:rsidRPr="00F57FE9">
        <w:rPr>
          <w:rFonts w:eastAsia="MinionPro-Regular"/>
          <w:b/>
        </w:rPr>
        <w:t>Conclusion</w:t>
      </w:r>
    </w:p>
    <w:p w:rsidR="003527E6" w:rsidRPr="00F57FE9" w:rsidRDefault="003527E6" w:rsidP="00F57FE9">
      <w:pPr>
        <w:autoSpaceDE w:val="0"/>
        <w:autoSpaceDN w:val="0"/>
        <w:adjustRightInd w:val="0"/>
        <w:spacing w:line="360" w:lineRule="auto"/>
        <w:jc w:val="both"/>
        <w:rPr>
          <w:rFonts w:eastAsia="MinionPro-Regular"/>
        </w:rPr>
      </w:pPr>
      <w:r w:rsidRPr="00F57FE9">
        <w:rPr>
          <w:rFonts w:eastAsia="MinionPro-Regular"/>
        </w:rPr>
        <w:t xml:space="preserve">Lyophilized MTX-NS </w:t>
      </w:r>
      <w:proofErr w:type="gramStart"/>
      <w:r w:rsidRPr="00F57FE9">
        <w:rPr>
          <w:rFonts w:eastAsia="MinionPro-Regular"/>
        </w:rPr>
        <w:t>was fabricated</w:t>
      </w:r>
      <w:proofErr w:type="gramEnd"/>
      <w:r w:rsidRPr="00F57FE9">
        <w:rPr>
          <w:rFonts w:eastAsia="MinionPro-Regular"/>
        </w:rPr>
        <w:t xml:space="preserve"> and characterized using the QbD approach to enhance solubility, bioavailability, and stability of MTX. To understand the impact of CMAs and CPPs on CQAs the QbD approach </w:t>
      </w:r>
      <w:proofErr w:type="gramStart"/>
      <w:r w:rsidRPr="00F57FE9">
        <w:rPr>
          <w:rFonts w:eastAsia="MinionPro-Regular"/>
        </w:rPr>
        <w:t>was applied</w:t>
      </w:r>
      <w:proofErr w:type="gramEnd"/>
      <w:r w:rsidRPr="00F57FE9">
        <w:rPr>
          <w:rFonts w:eastAsia="MinionPro-Regular"/>
        </w:rPr>
        <w:t xml:space="preserve">. The main reason to use the QbD approach is to improve the quality and safety of NS formulation. By using the statistical experimental designs like Plackett–Burman and Central Composite design within a QbD concept, the effect of process and formulation parameters which affects the CQAs of NS, and that influences the stability and solubility of MTX in NS were optimized. The design concludes that the selected variables i.e. the number of cycles of HPH, the concentration of poloxamer 188, and the concentration of tween 80 had an important effect on MTX-NS characteristics. The predicted values </w:t>
      </w:r>
      <w:proofErr w:type="gramStart"/>
      <w:r w:rsidRPr="00F57FE9">
        <w:rPr>
          <w:rFonts w:eastAsia="MinionPro-Regular"/>
        </w:rPr>
        <w:t>were compared</w:t>
      </w:r>
      <w:proofErr w:type="gramEnd"/>
      <w:r w:rsidRPr="00F57FE9">
        <w:rPr>
          <w:rFonts w:eastAsia="MinionPro-Regular"/>
        </w:rPr>
        <w:t xml:space="preserve"> with the obtained ones from designs. The optimized variables </w:t>
      </w:r>
      <w:proofErr w:type="gramStart"/>
      <w:r w:rsidRPr="00F57FE9">
        <w:rPr>
          <w:rFonts w:eastAsia="MinionPro-Regular"/>
        </w:rPr>
        <w:t>were used</w:t>
      </w:r>
      <w:proofErr w:type="gramEnd"/>
      <w:r w:rsidRPr="00F57FE9">
        <w:rPr>
          <w:rFonts w:eastAsia="MinionPro-Regular"/>
        </w:rPr>
        <w:t xml:space="preserve"> for the fabrication of </w:t>
      </w:r>
      <w:r w:rsidRPr="00F57FE9">
        <w:rPr>
          <w:rFonts w:eastAsia="MinionPro-Regular"/>
        </w:rPr>
        <w:lastRenderedPageBreak/>
        <w:t xml:space="preserve">highly stable NS of MTX with </w:t>
      </w:r>
      <w:r w:rsidR="00FB1DF7" w:rsidRPr="00F57FE9">
        <w:rPr>
          <w:rFonts w:eastAsia="MinionPro-Regular"/>
        </w:rPr>
        <w:t>increased</w:t>
      </w:r>
      <w:r w:rsidRPr="00F57FE9">
        <w:rPr>
          <w:rFonts w:eastAsia="MinionPro-Regular"/>
        </w:rPr>
        <w:t xml:space="preserve"> dissolution rates and stability enhancement.</w:t>
      </w:r>
      <w:r w:rsidRPr="00F57FE9">
        <w:rPr>
          <w:bCs/>
          <w:lang w:eastAsia="en-IN"/>
        </w:rPr>
        <w:t xml:space="preserve"> The particle size distribution of optimized MTX products from the CCD overlay plot showed an average particle size of</w:t>
      </w:r>
      <w:r w:rsidRPr="00F57FE9">
        <w:t xml:space="preserve"> 260±0.2 nm, </w:t>
      </w:r>
      <w:r w:rsidRPr="00F57FE9">
        <w:rPr>
          <w:bCs/>
          <w:lang w:eastAsia="en-IN"/>
        </w:rPr>
        <w:t xml:space="preserve">with a zeta potential of </w:t>
      </w:r>
      <w:r w:rsidRPr="00F57FE9">
        <w:t xml:space="preserve">-11.6 ± 7.52 mV. The SEM and TEM studies conclude particles were spherical. The XRPD, FTIR, and DSC studies conclude the </w:t>
      </w:r>
      <w:r w:rsidRPr="00F57FE9">
        <w:rPr>
          <w:bCs/>
          <w:lang w:eastAsia="en-IN"/>
        </w:rPr>
        <w:t xml:space="preserve">crystalline nature of MTX was intact in NS form, but there was a significant increase in dissolution velocity and release rate of MTX-NS, due to </w:t>
      </w:r>
      <w:r w:rsidR="001D3D23" w:rsidRPr="00F57FE9">
        <w:rPr>
          <w:bCs/>
          <w:lang w:eastAsia="en-IN"/>
        </w:rPr>
        <w:t xml:space="preserve">the </w:t>
      </w:r>
      <w:r w:rsidRPr="00F57FE9">
        <w:rPr>
          <w:bCs/>
          <w:lang w:eastAsia="en-IN"/>
        </w:rPr>
        <w:t>reduced size of particles and larger surface area of MTX.</w:t>
      </w:r>
      <w:r w:rsidRPr="00F57FE9">
        <w:t xml:space="preserve"> The lyophilized NS </w:t>
      </w:r>
      <w:proofErr w:type="gramStart"/>
      <w:r w:rsidRPr="00F57FE9">
        <w:t>was found</w:t>
      </w:r>
      <w:proofErr w:type="gramEnd"/>
      <w:r w:rsidRPr="00F57FE9">
        <w:t xml:space="preserve"> to be stable in the refrigerator storage conditions.</w:t>
      </w:r>
      <w:r w:rsidRPr="00F57FE9">
        <w:rPr>
          <w:bCs/>
          <w:lang w:eastAsia="en-IN"/>
        </w:rPr>
        <w:t xml:space="preserve"> The plasma pharmacokinetic parameters viz., </w:t>
      </w:r>
      <w:r w:rsidRPr="00F57FE9">
        <w:t>C</w:t>
      </w:r>
      <w:r w:rsidRPr="00F57FE9">
        <w:rPr>
          <w:vertAlign w:val="subscript"/>
        </w:rPr>
        <w:t xml:space="preserve">max, </w:t>
      </w:r>
      <w:proofErr w:type="spellStart"/>
      <w:r w:rsidRPr="00F57FE9">
        <w:t>T</w:t>
      </w:r>
      <w:r w:rsidRPr="00F57FE9">
        <w:rPr>
          <w:vertAlign w:val="subscript"/>
        </w:rPr>
        <w:t>max</w:t>
      </w:r>
      <w:proofErr w:type="spellEnd"/>
      <w:r w:rsidRPr="00F57FE9">
        <w:rPr>
          <w:vertAlign w:val="subscript"/>
        </w:rPr>
        <w:t xml:space="preserve">, </w:t>
      </w:r>
      <w:r w:rsidRPr="00F57FE9">
        <w:t>t</w:t>
      </w:r>
      <w:r w:rsidRPr="00F57FE9">
        <w:rPr>
          <w:vertAlign w:val="subscript"/>
        </w:rPr>
        <w:t>1/2,</w:t>
      </w:r>
      <w:r w:rsidRPr="00F57FE9">
        <w:t xml:space="preserve"> </w:t>
      </w:r>
      <w:proofErr w:type="spellStart"/>
      <w:r w:rsidRPr="00F57FE9">
        <w:t>AUC</w:t>
      </w:r>
      <w:r w:rsidRPr="00F57FE9">
        <w:rPr>
          <w:vertAlign w:val="subscript"/>
        </w:rPr>
        <w:t>total</w:t>
      </w:r>
      <w:proofErr w:type="spellEnd"/>
      <w:r w:rsidRPr="00F57FE9">
        <w:rPr>
          <w:vertAlign w:val="subscript"/>
        </w:rPr>
        <w:t xml:space="preserve">, </w:t>
      </w:r>
      <w:r w:rsidRPr="00F57FE9">
        <w:t xml:space="preserve">and MRT of NS on rats was significantly higher than MTX-AQD. </w:t>
      </w:r>
      <w:proofErr w:type="gramStart"/>
      <w:r w:rsidRPr="00F57FE9">
        <w:t xml:space="preserve">The relative </w:t>
      </w:r>
      <w:r w:rsidR="002E4185" w:rsidRPr="00F57FE9">
        <w:t xml:space="preserve">and absolute </w:t>
      </w:r>
      <w:r w:rsidR="005B38C7" w:rsidRPr="00F57FE9">
        <w:t>bioavailability</w:t>
      </w:r>
      <w:r w:rsidRPr="00F57FE9">
        <w:t xml:space="preserve"> of MTX-NS w</w:t>
      </w:r>
      <w:r w:rsidR="001D3D23" w:rsidRPr="00F57FE9">
        <w:t>as</w:t>
      </w:r>
      <w:r w:rsidRPr="00F57FE9">
        <w:t xml:space="preserve"> enhanced by more than </w:t>
      </w:r>
      <w:r w:rsidRPr="00F57FE9">
        <w:rPr>
          <w:rFonts w:eastAsia="MinionPro-Regular"/>
        </w:rPr>
        <w:t xml:space="preserve">8.83 </w:t>
      </w:r>
      <w:r w:rsidRPr="00F57FE9">
        <w:t>folds</w:t>
      </w:r>
      <w:proofErr w:type="gramEnd"/>
      <w:r w:rsidRPr="00F57FE9">
        <w:t xml:space="preserve">. Higher MTX concentration </w:t>
      </w:r>
      <w:proofErr w:type="gramStart"/>
      <w:r w:rsidRPr="00F57FE9">
        <w:t>was found</w:t>
      </w:r>
      <w:proofErr w:type="gramEnd"/>
      <w:r w:rsidRPr="00F57FE9">
        <w:t xml:space="preserve"> in the liver within 72 hrs, concluded from the biodistribution study. </w:t>
      </w:r>
      <w:r w:rsidRPr="00F57FE9">
        <w:rPr>
          <w:i/>
        </w:rPr>
        <w:t>In vitro</w:t>
      </w:r>
      <w:r w:rsidRPr="00F57FE9">
        <w:t xml:space="preserve"> cytotoxicity study proves the significant inhibitory effect of the MTX-NS against human breast cancer cells MCF-7 at a very low dose. Apoptosis studies conclude MTX-NS treated cells </w:t>
      </w:r>
      <w:r w:rsidRPr="00F57FE9">
        <w:rPr>
          <w:shd w:val="clear" w:color="auto" w:fill="FFFFFF"/>
        </w:rPr>
        <w:t xml:space="preserve">at a 12.5 </w:t>
      </w:r>
      <w:r w:rsidRPr="00F57FE9">
        <w:t xml:space="preserve">µg/mL of </w:t>
      </w:r>
      <w:r w:rsidRPr="00F57FE9">
        <w:rPr>
          <w:shd w:val="clear" w:color="auto" w:fill="FFFFFF"/>
        </w:rPr>
        <w:t>concentration</w:t>
      </w:r>
      <w:r w:rsidR="001D3D23" w:rsidRPr="00F57FE9">
        <w:rPr>
          <w:shd w:val="clear" w:color="auto" w:fill="FFFFFF"/>
        </w:rPr>
        <w:t xml:space="preserve"> </w:t>
      </w:r>
      <w:r w:rsidRPr="00F57FE9">
        <w:rPr>
          <w:shd w:val="clear" w:color="auto" w:fill="FFFFFF"/>
        </w:rPr>
        <w:t xml:space="preserve">showed </w:t>
      </w:r>
      <w:r w:rsidRPr="00F57FE9">
        <w:t xml:space="preserve">uniformly orange-stained fluorescent nuclei at the higher amount as compared to AQD treated cells at the same concentration, indicating necrosis of cells followed by the death of cells i.e. they induce apoptosis. Hemolysis studies proved the non-hemolytic behavior of developed NS and hence </w:t>
      </w:r>
      <w:proofErr w:type="gramStart"/>
      <w:r w:rsidRPr="00F57FE9">
        <w:t>can be administered</w:t>
      </w:r>
      <w:proofErr w:type="gramEnd"/>
      <w:r w:rsidRPr="00F57FE9">
        <w:t xml:space="preserve"> via IV route. The stability studies conclude physical as well as chemical stability of NS, by inhibiting the </w:t>
      </w:r>
      <w:proofErr w:type="spellStart"/>
      <w:r w:rsidRPr="00F57FE9">
        <w:t>reaggregation</w:t>
      </w:r>
      <w:proofErr w:type="spellEnd"/>
      <w:r w:rsidRPr="00F57FE9">
        <w:t xml:space="preserve"> of particles by adsorption of stabilizers on drug particles. Thus, developed lyophilized NS has enhanced bioavailability and stability and </w:t>
      </w:r>
      <w:proofErr w:type="gramStart"/>
      <w:r w:rsidRPr="00F57FE9">
        <w:t>can be used</w:t>
      </w:r>
      <w:proofErr w:type="gramEnd"/>
      <w:r w:rsidRPr="00F57FE9">
        <w:t xml:space="preserve"> as a promising anticancer agent against lung cancer. Thus, lyophilized MTX-NS </w:t>
      </w:r>
      <w:r w:rsidRPr="00F57FE9">
        <w:rPr>
          <w:bCs/>
          <w:lang w:eastAsia="en-IN"/>
        </w:rPr>
        <w:t>with enhanced bioavailability and stability</w:t>
      </w:r>
      <w:r w:rsidRPr="00F57FE9">
        <w:t xml:space="preserve"> could </w:t>
      </w:r>
      <w:r w:rsidRPr="00F57FE9">
        <w:rPr>
          <w:bCs/>
          <w:lang w:eastAsia="en-IN"/>
        </w:rPr>
        <w:t xml:space="preserve">be a promising aspect in a clinical and medicinal application for cancer treatment. The pieces of evidence obtained from QbD results prove that it is a helpful tool in the fabrication of NS to </w:t>
      </w:r>
      <w:r w:rsidRPr="00F57FE9">
        <w:rPr>
          <w:rFonts w:eastAsia="MinionPro-Regular"/>
        </w:rPr>
        <w:t>improve quality and safety, reduce the manufacturing variability, and reduce the manufacturing cost, a requirement of USFDA.</w:t>
      </w:r>
    </w:p>
    <w:p w:rsidR="003527E6" w:rsidRPr="00F57FE9" w:rsidRDefault="00D43B56" w:rsidP="00F57FE9">
      <w:pPr>
        <w:pStyle w:val="05-ArticleText"/>
        <w:spacing w:after="0" w:line="360" w:lineRule="auto"/>
        <w:rPr>
          <w:b/>
          <w:bCs/>
          <w:sz w:val="24"/>
          <w:szCs w:val="24"/>
        </w:rPr>
      </w:pPr>
      <w:r w:rsidRPr="00F57FE9">
        <w:rPr>
          <w:b/>
          <w:bCs/>
          <w:sz w:val="24"/>
          <w:szCs w:val="24"/>
          <w:lang w:val="en-GB"/>
        </w:rPr>
        <w:t>Conflict of interest</w:t>
      </w:r>
    </w:p>
    <w:p w:rsidR="003527E6" w:rsidRPr="00F57FE9" w:rsidRDefault="003527E6" w:rsidP="00F57FE9">
      <w:pPr>
        <w:autoSpaceDE w:val="0"/>
        <w:autoSpaceDN w:val="0"/>
        <w:adjustRightInd w:val="0"/>
        <w:spacing w:line="360" w:lineRule="auto"/>
        <w:jc w:val="both"/>
      </w:pPr>
      <w:r w:rsidRPr="00F57FE9">
        <w:rPr>
          <w:rFonts w:eastAsia="MinionPro-Regular"/>
        </w:rPr>
        <w:t>The authors declare no conflict of interest. The authors alone are responsible for the content and writing of the article.</w:t>
      </w:r>
    </w:p>
    <w:p w:rsidR="003527E6" w:rsidRPr="00F57FE9" w:rsidRDefault="00D43B56" w:rsidP="00F57FE9">
      <w:pPr>
        <w:pStyle w:val="05-ArticleText"/>
        <w:spacing w:after="0" w:line="360" w:lineRule="auto"/>
        <w:rPr>
          <w:b/>
          <w:bCs/>
          <w:sz w:val="24"/>
          <w:szCs w:val="24"/>
        </w:rPr>
      </w:pPr>
      <w:r w:rsidRPr="00F57FE9">
        <w:rPr>
          <w:b/>
          <w:bCs/>
          <w:sz w:val="24"/>
          <w:szCs w:val="24"/>
        </w:rPr>
        <w:t>Acknowledgements</w:t>
      </w:r>
    </w:p>
    <w:p w:rsidR="005D57B4" w:rsidRDefault="003527E6" w:rsidP="00F57FE9">
      <w:pPr>
        <w:autoSpaceDE w:val="0"/>
        <w:autoSpaceDN w:val="0"/>
        <w:adjustRightInd w:val="0"/>
        <w:spacing w:line="360" w:lineRule="auto"/>
        <w:jc w:val="both"/>
        <w:rPr>
          <w:rFonts w:eastAsia="MinionPro-Regular"/>
        </w:rPr>
      </w:pPr>
      <w:r w:rsidRPr="00F57FE9">
        <w:rPr>
          <w:rFonts w:eastAsia="MinionPro-Regular"/>
        </w:rPr>
        <w:t xml:space="preserve">The authors are grateful to Dr. </w:t>
      </w:r>
      <w:proofErr w:type="spellStart"/>
      <w:r w:rsidRPr="00F57FE9">
        <w:rPr>
          <w:rFonts w:eastAsia="MinionPro-Regular"/>
        </w:rPr>
        <w:t>Babasaheb</w:t>
      </w:r>
      <w:proofErr w:type="spellEnd"/>
      <w:r w:rsidRPr="00F57FE9">
        <w:rPr>
          <w:rFonts w:eastAsia="MinionPro-Regular"/>
        </w:rPr>
        <w:t xml:space="preserve"> </w:t>
      </w:r>
      <w:proofErr w:type="spellStart"/>
      <w:r w:rsidRPr="00F57FE9">
        <w:rPr>
          <w:rFonts w:eastAsia="MinionPro-Regular"/>
        </w:rPr>
        <w:t>Ambedkar</w:t>
      </w:r>
      <w:proofErr w:type="spellEnd"/>
      <w:r w:rsidRPr="00F57FE9">
        <w:rPr>
          <w:rFonts w:eastAsia="MinionPro-Regular"/>
        </w:rPr>
        <w:t xml:space="preserve"> Research and Training Institute (BARTI), Pune for providing funds to carry out the research work smoothly. </w:t>
      </w:r>
    </w:p>
    <w:p w:rsidR="00FA0739" w:rsidRPr="00F57FE9" w:rsidRDefault="00D43B56" w:rsidP="00F57FE9">
      <w:pPr>
        <w:autoSpaceDE w:val="0"/>
        <w:autoSpaceDN w:val="0"/>
        <w:adjustRightInd w:val="0"/>
        <w:spacing w:line="360" w:lineRule="auto"/>
        <w:jc w:val="both"/>
        <w:rPr>
          <w:rFonts w:eastAsia="MinionPro-Regular"/>
          <w:b/>
        </w:rPr>
      </w:pPr>
      <w:bookmarkStart w:id="0" w:name="_GoBack"/>
      <w:bookmarkEnd w:id="0"/>
      <w:r w:rsidRPr="00F57FE9">
        <w:rPr>
          <w:rFonts w:eastAsia="MinionPro-Regular"/>
          <w:b/>
        </w:rPr>
        <w:lastRenderedPageBreak/>
        <w:t xml:space="preserve">References </w:t>
      </w:r>
    </w:p>
    <w:p w:rsidR="005539E2" w:rsidRPr="00912FA1" w:rsidRDefault="007163F6" w:rsidP="005539E2">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eastAsia="MinionPro-Regular" w:hAnsi="Times New Roman"/>
          <w:color w:val="000000" w:themeColor="text1"/>
          <w:sz w:val="24"/>
          <w:szCs w:val="24"/>
        </w:rPr>
        <w:fldChar w:fldCharType="begin"/>
      </w:r>
      <w:r w:rsidR="003527E6" w:rsidRPr="00912FA1">
        <w:rPr>
          <w:rFonts w:ascii="Times New Roman" w:eastAsia="MinionPro-Regular" w:hAnsi="Times New Roman"/>
          <w:color w:val="000000" w:themeColor="text1"/>
          <w:sz w:val="24"/>
          <w:szCs w:val="24"/>
        </w:rPr>
        <w:instrText xml:space="preserve"> ADDIN EN.REFLIST </w:instrText>
      </w:r>
      <w:r w:rsidRPr="00912FA1">
        <w:rPr>
          <w:rFonts w:ascii="Times New Roman" w:eastAsia="MinionPro-Regular" w:hAnsi="Times New Roman"/>
          <w:color w:val="000000" w:themeColor="text1"/>
          <w:sz w:val="24"/>
          <w:szCs w:val="24"/>
        </w:rPr>
        <w:fldChar w:fldCharType="separate"/>
      </w:r>
      <w:r w:rsidRPr="00912FA1">
        <w:rPr>
          <w:rFonts w:ascii="Times New Roman" w:eastAsia="MinionPro-Regular" w:hAnsi="Times New Roman"/>
          <w:color w:val="000000" w:themeColor="text1"/>
          <w:sz w:val="24"/>
          <w:szCs w:val="24"/>
        </w:rPr>
        <w:fldChar w:fldCharType="begin"/>
      </w:r>
      <w:r w:rsidR="003527E6" w:rsidRPr="00912FA1">
        <w:rPr>
          <w:rFonts w:ascii="Times New Roman" w:eastAsia="MinionPro-Regular" w:hAnsi="Times New Roman"/>
          <w:color w:val="000000" w:themeColor="text1"/>
          <w:sz w:val="24"/>
          <w:szCs w:val="24"/>
        </w:rPr>
        <w:instrText xml:space="preserve"> ADDIN EN.REFLIST </w:instrText>
      </w:r>
      <w:r w:rsidRPr="00912FA1">
        <w:rPr>
          <w:rFonts w:ascii="Times New Roman" w:eastAsia="MinionPro-Regular" w:hAnsi="Times New Roman"/>
          <w:color w:val="000000" w:themeColor="text1"/>
          <w:sz w:val="24"/>
          <w:szCs w:val="24"/>
        </w:rPr>
        <w:fldChar w:fldCharType="separate"/>
      </w:r>
      <w:r w:rsidR="00F57FE9" w:rsidRPr="00912FA1">
        <w:rPr>
          <w:rFonts w:ascii="Times New Roman" w:hAnsi="Times New Roman"/>
          <w:color w:val="000000" w:themeColor="text1"/>
          <w:sz w:val="24"/>
          <w:szCs w:val="24"/>
        </w:rPr>
        <w:t xml:space="preserve">C. Lipinski, </w:t>
      </w:r>
      <w:r w:rsidR="00F57FE9" w:rsidRPr="00595256">
        <w:rPr>
          <w:rFonts w:ascii="Times New Roman" w:hAnsi="Times New Roman"/>
          <w:i/>
          <w:color w:val="000000" w:themeColor="text1"/>
          <w:sz w:val="24"/>
          <w:szCs w:val="24"/>
        </w:rPr>
        <w:t>Am Pharm Rev</w:t>
      </w:r>
      <w:r w:rsidR="00F57FE9" w:rsidRPr="00912FA1">
        <w:rPr>
          <w:rFonts w:ascii="Times New Roman" w:hAnsi="Times New Roman"/>
          <w:color w:val="000000" w:themeColor="text1"/>
          <w:sz w:val="24"/>
          <w:szCs w:val="24"/>
        </w:rPr>
        <w:t xml:space="preserve"> </w:t>
      </w:r>
      <w:r w:rsidR="00F57FE9" w:rsidRPr="00912FA1">
        <w:rPr>
          <w:rFonts w:ascii="Times New Roman" w:hAnsi="Times New Roman"/>
          <w:b/>
          <w:color w:val="000000" w:themeColor="text1"/>
          <w:sz w:val="24"/>
          <w:szCs w:val="24"/>
        </w:rPr>
        <w:t>2002</w:t>
      </w:r>
      <w:r w:rsidR="00F57FE9" w:rsidRPr="00912FA1">
        <w:rPr>
          <w:rFonts w:ascii="Times New Roman" w:hAnsi="Times New Roman"/>
          <w:color w:val="000000" w:themeColor="text1"/>
          <w:sz w:val="24"/>
          <w:szCs w:val="24"/>
        </w:rPr>
        <w:t xml:space="preserve">, </w:t>
      </w:r>
      <w:r w:rsidR="00F57FE9" w:rsidRPr="00595256">
        <w:rPr>
          <w:rFonts w:ascii="Times New Roman" w:hAnsi="Times New Roman"/>
          <w:i/>
          <w:color w:val="000000" w:themeColor="text1"/>
          <w:sz w:val="24"/>
          <w:szCs w:val="24"/>
        </w:rPr>
        <w:t>5</w:t>
      </w:r>
      <w:r w:rsidR="00F57FE9" w:rsidRPr="00912FA1">
        <w:rPr>
          <w:rFonts w:ascii="Times New Roman" w:hAnsi="Times New Roman"/>
          <w:color w:val="000000" w:themeColor="text1"/>
          <w:sz w:val="24"/>
          <w:szCs w:val="24"/>
        </w:rPr>
        <w:t>, 82-85.</w:t>
      </w:r>
    </w:p>
    <w:p w:rsidR="00F57FE9" w:rsidRPr="00912FA1" w:rsidRDefault="00F57FE9" w:rsidP="00A36CE6">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V. Patravale, A. A. Date and R. Kulkarni,</w:t>
      </w:r>
      <w:r w:rsidR="00B65286" w:rsidRPr="00595256">
        <w:rPr>
          <w:rFonts w:ascii="Times New Roman" w:hAnsi="Times New Roman"/>
          <w:bCs/>
          <w:i/>
          <w:color w:val="000000" w:themeColor="text1"/>
          <w:sz w:val="24"/>
          <w:szCs w:val="24"/>
          <w:shd w:val="clear" w:color="auto" w:fill="FFFFFF"/>
        </w:rPr>
        <w:t xml:space="preserve"> J Pharm Pharmaco</w:t>
      </w:r>
      <w:r w:rsidR="00B65286" w:rsidRPr="00912FA1">
        <w:rPr>
          <w:rFonts w:ascii="Times New Roman" w:hAnsi="Times New Roman"/>
          <w:b/>
          <w:color w:val="000000" w:themeColor="text1"/>
          <w:sz w:val="24"/>
          <w:szCs w:val="24"/>
        </w:rPr>
        <w:t xml:space="preserve"> </w:t>
      </w:r>
      <w:r w:rsidRPr="00912FA1">
        <w:rPr>
          <w:rFonts w:ascii="Times New Roman" w:hAnsi="Times New Roman"/>
          <w:b/>
          <w:color w:val="000000" w:themeColor="text1"/>
          <w:sz w:val="24"/>
          <w:szCs w:val="24"/>
        </w:rPr>
        <w:t>2004</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56</w:t>
      </w:r>
      <w:r w:rsidRPr="00912FA1">
        <w:rPr>
          <w:rFonts w:ascii="Times New Roman" w:hAnsi="Times New Roman"/>
          <w:color w:val="000000" w:themeColor="text1"/>
          <w:sz w:val="24"/>
          <w:szCs w:val="24"/>
        </w:rPr>
        <w:t>, 827-840.</w:t>
      </w:r>
      <w:r w:rsidR="005539E2" w:rsidRPr="00912FA1">
        <w:rPr>
          <w:rFonts w:ascii="Times New Roman" w:hAnsi="Times New Roman"/>
          <w:b/>
          <w:color w:val="000000" w:themeColor="text1"/>
          <w:sz w:val="24"/>
          <w:szCs w:val="24"/>
        </w:rPr>
        <w:t xml:space="preserve"> </w:t>
      </w:r>
      <w:r w:rsidR="005539E2" w:rsidRPr="00912FA1">
        <w:rPr>
          <w:rStyle w:val="id-label"/>
          <w:rFonts w:ascii="Times New Roman" w:hAnsi="Times New Roman"/>
          <w:color w:val="000000" w:themeColor="text1"/>
          <w:sz w:val="24"/>
          <w:szCs w:val="24"/>
        </w:rPr>
        <w:t>DOI: </w:t>
      </w:r>
      <w:hyperlink r:id="rId28" w:tgtFrame="_blank" w:history="1">
        <w:r w:rsidR="005539E2" w:rsidRPr="00912FA1">
          <w:rPr>
            <w:rStyle w:val="Hyperlink"/>
            <w:rFonts w:ascii="Times New Roman" w:eastAsia="Batang" w:hAnsi="Times New Roman"/>
            <w:color w:val="000000" w:themeColor="text1"/>
            <w:sz w:val="24"/>
            <w:szCs w:val="24"/>
            <w:u w:val="none"/>
          </w:rPr>
          <w:t>10.1211/0022357023691</w:t>
        </w:r>
      </w:hyperlink>
    </w:p>
    <w:p w:rsidR="009B2365" w:rsidRPr="00912FA1" w:rsidRDefault="005539E2" w:rsidP="002F644B">
      <w:pPr>
        <w:pStyle w:val="EndNoteBibliography"/>
        <w:numPr>
          <w:ilvl w:val="0"/>
          <w:numId w:val="10"/>
        </w:numPr>
        <w:spacing w:after="0" w:line="360" w:lineRule="auto"/>
        <w:rPr>
          <w:rStyle w:val="Hyperlink"/>
          <w:rFonts w:ascii="Times New Roman" w:hAnsi="Times New Roman"/>
          <w:color w:val="000000" w:themeColor="text1"/>
          <w:sz w:val="24"/>
          <w:szCs w:val="24"/>
          <w:u w:val="none"/>
        </w:rPr>
      </w:pPr>
      <w:r w:rsidRPr="00912FA1">
        <w:rPr>
          <w:rFonts w:ascii="Times New Roman" w:hAnsi="Times New Roman"/>
          <w:color w:val="000000" w:themeColor="text1"/>
          <w:sz w:val="24"/>
          <w:szCs w:val="24"/>
          <w:lang w:val="en-IN"/>
        </w:rPr>
        <w:t xml:space="preserve">V. R. Patel, Y. K. Agrawal, </w:t>
      </w:r>
      <w:r w:rsidRPr="00912FA1">
        <w:rPr>
          <w:rFonts w:ascii="Times New Roman" w:hAnsi="Times New Roman"/>
          <w:iCs/>
          <w:color w:val="000000" w:themeColor="text1"/>
          <w:sz w:val="24"/>
          <w:szCs w:val="24"/>
          <w:shd w:val="clear" w:color="auto" w:fill="FFFFFF"/>
        </w:rPr>
        <w:t>J. Adv. Pharm. Techol. &amp; Res</w:t>
      </w:r>
      <w:r w:rsidRPr="00912FA1">
        <w:rPr>
          <w:rFonts w:ascii="Times New Roman" w:hAnsi="Times New Roman"/>
          <w:color w:val="000000" w:themeColor="text1"/>
          <w:sz w:val="24"/>
          <w:szCs w:val="24"/>
          <w:shd w:val="clear" w:color="auto" w:fill="FFFFFF"/>
        </w:rPr>
        <w:t xml:space="preserve">., </w:t>
      </w:r>
      <w:r w:rsidRPr="00912FA1">
        <w:rPr>
          <w:rFonts w:ascii="Times New Roman" w:hAnsi="Times New Roman"/>
          <w:b/>
          <w:bCs/>
          <w:color w:val="000000" w:themeColor="text1"/>
          <w:sz w:val="24"/>
          <w:szCs w:val="24"/>
          <w:lang w:val="en-IN"/>
        </w:rPr>
        <w:t>2011</w:t>
      </w:r>
      <w:r w:rsidRPr="00912FA1">
        <w:rPr>
          <w:rFonts w:ascii="Times New Roman" w:hAnsi="Times New Roman"/>
          <w:color w:val="000000" w:themeColor="text1"/>
          <w:sz w:val="24"/>
          <w:szCs w:val="24"/>
          <w:lang w:val="en-IN"/>
        </w:rPr>
        <w:t xml:space="preserve">, </w:t>
      </w:r>
      <w:r w:rsidRPr="00912FA1">
        <w:rPr>
          <w:rFonts w:ascii="Times New Roman" w:hAnsi="Times New Roman"/>
          <w:iCs/>
          <w:color w:val="000000" w:themeColor="text1"/>
          <w:sz w:val="24"/>
          <w:szCs w:val="24"/>
          <w:lang w:val="en-IN"/>
        </w:rPr>
        <w:t>2 (2),</w:t>
      </w:r>
      <w:r w:rsidRPr="00912FA1">
        <w:rPr>
          <w:rFonts w:ascii="Times New Roman" w:hAnsi="Times New Roman"/>
          <w:color w:val="000000" w:themeColor="text1"/>
          <w:sz w:val="24"/>
          <w:szCs w:val="24"/>
          <w:lang w:val="en-IN"/>
        </w:rPr>
        <w:t xml:space="preserve"> 81-87. </w:t>
      </w:r>
      <w:r w:rsidRPr="00912FA1">
        <w:rPr>
          <w:rFonts w:ascii="Times New Roman" w:hAnsi="Times New Roman"/>
          <w:b/>
          <w:bCs/>
          <w:color w:val="000000" w:themeColor="text1"/>
          <w:sz w:val="24"/>
          <w:szCs w:val="24"/>
        </w:rPr>
        <w:t>DOI:</w:t>
      </w:r>
      <w:r w:rsidRPr="00912FA1">
        <w:rPr>
          <w:rFonts w:ascii="Times New Roman" w:hAnsi="Times New Roman"/>
          <w:color w:val="000000" w:themeColor="text1"/>
          <w:sz w:val="24"/>
          <w:szCs w:val="24"/>
        </w:rPr>
        <w:t> </w:t>
      </w:r>
      <w:hyperlink r:id="rId29" w:tgtFrame="pmc_ext" w:history="1">
        <w:r w:rsidRPr="00912FA1">
          <w:rPr>
            <w:rStyle w:val="Hyperlink"/>
            <w:rFonts w:ascii="Times New Roman" w:hAnsi="Times New Roman"/>
            <w:color w:val="000000" w:themeColor="text1"/>
            <w:sz w:val="24"/>
            <w:szCs w:val="24"/>
            <w:u w:val="none"/>
          </w:rPr>
          <w:t>10.4103/2231-4040.82950</w:t>
        </w:r>
      </w:hyperlink>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B. Vora, A. Khopade, V. Jain, S. Jain and N. Jain,</w:t>
      </w:r>
      <w:r w:rsidRPr="00595256">
        <w:rPr>
          <w:rFonts w:ascii="Times New Roman" w:hAnsi="Times New Roman"/>
          <w:i/>
          <w:color w:val="000000" w:themeColor="text1"/>
          <w:sz w:val="24"/>
          <w:szCs w:val="24"/>
        </w:rPr>
        <w:t xml:space="preserve"> Indian </w:t>
      </w:r>
      <w:r w:rsidR="00B65286" w:rsidRPr="00595256">
        <w:rPr>
          <w:rFonts w:ascii="Times New Roman" w:hAnsi="Times New Roman"/>
          <w:i/>
          <w:color w:val="000000" w:themeColor="text1"/>
          <w:sz w:val="24"/>
          <w:szCs w:val="24"/>
        </w:rPr>
        <w:t>D</w:t>
      </w:r>
      <w:r w:rsidRPr="00595256">
        <w:rPr>
          <w:rFonts w:ascii="Times New Roman" w:hAnsi="Times New Roman"/>
          <w:i/>
          <w:color w:val="000000" w:themeColor="text1"/>
          <w:sz w:val="24"/>
          <w:szCs w:val="24"/>
        </w:rPr>
        <w:t>rugs</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1996</w:t>
      </w:r>
      <w:r w:rsidRPr="00912FA1">
        <w:rPr>
          <w:rFonts w:ascii="Times New Roman" w:hAnsi="Times New Roman"/>
          <w:color w:val="000000" w:themeColor="text1"/>
          <w:sz w:val="24"/>
          <w:szCs w:val="24"/>
        </w:rPr>
        <w:t>,</w:t>
      </w:r>
      <w:r w:rsidRPr="00595256">
        <w:rPr>
          <w:rFonts w:ascii="Times New Roman" w:hAnsi="Times New Roman"/>
          <w:i/>
          <w:color w:val="000000" w:themeColor="text1"/>
          <w:sz w:val="24"/>
          <w:szCs w:val="24"/>
        </w:rPr>
        <w:t xml:space="preserve"> 33</w:t>
      </w:r>
      <w:r w:rsidRPr="00912FA1">
        <w:rPr>
          <w:rFonts w:ascii="Times New Roman" w:hAnsi="Times New Roman"/>
          <w:color w:val="000000" w:themeColor="text1"/>
          <w:sz w:val="24"/>
          <w:szCs w:val="24"/>
        </w:rPr>
        <w:t>, 365-373.</w:t>
      </w:r>
    </w:p>
    <w:p w:rsidR="00CE49A4" w:rsidRPr="00912FA1" w:rsidRDefault="00CE49A4" w:rsidP="002F644B">
      <w:pPr>
        <w:pStyle w:val="EndNoteBibliography"/>
        <w:numPr>
          <w:ilvl w:val="0"/>
          <w:numId w:val="10"/>
        </w:numPr>
        <w:spacing w:after="0" w:line="360" w:lineRule="auto"/>
        <w:rPr>
          <w:rFonts w:ascii="Times New Roman" w:hAnsi="Times New Roman"/>
          <w:b/>
          <w:color w:val="000000" w:themeColor="text1"/>
          <w:sz w:val="24"/>
          <w:szCs w:val="24"/>
        </w:rPr>
      </w:pPr>
      <w:r w:rsidRPr="00912FA1">
        <w:rPr>
          <w:rFonts w:ascii="Times New Roman" w:hAnsi="Times New Roman"/>
          <w:color w:val="000000" w:themeColor="text1"/>
          <w:sz w:val="24"/>
          <w:szCs w:val="24"/>
          <w:shd w:val="clear" w:color="auto" w:fill="FFFFFF"/>
        </w:rPr>
        <w:t>Gennaro AR. Remington: The Science and Practice of Pharmacy. 19th edition.</w:t>
      </w:r>
      <w:r w:rsidRPr="00595256">
        <w:rPr>
          <w:rFonts w:ascii="Times New Roman" w:hAnsi="Times New Roman"/>
          <w:i/>
          <w:color w:val="000000" w:themeColor="text1"/>
          <w:sz w:val="24"/>
          <w:szCs w:val="24"/>
          <w:shd w:val="clear" w:color="auto" w:fill="FFFFFF"/>
        </w:rPr>
        <w:t xml:space="preserve"> Mace Publishing Co.</w:t>
      </w:r>
      <w:r w:rsidRPr="00912FA1">
        <w:rPr>
          <w:rFonts w:ascii="Times New Roman" w:hAnsi="Times New Roman"/>
          <w:color w:val="000000" w:themeColor="text1"/>
          <w:sz w:val="24"/>
          <w:szCs w:val="24"/>
          <w:shd w:val="clear" w:color="auto" w:fill="FFFFFF"/>
        </w:rPr>
        <w:t xml:space="preserve">, </w:t>
      </w:r>
      <w:r w:rsidRPr="00386DBC">
        <w:rPr>
          <w:rFonts w:ascii="Times New Roman" w:hAnsi="Times New Roman"/>
          <w:b/>
          <w:color w:val="000000" w:themeColor="text1"/>
          <w:sz w:val="24"/>
          <w:szCs w:val="24"/>
          <w:shd w:val="clear" w:color="auto" w:fill="FFFFFF"/>
        </w:rPr>
        <w:t>1995</w:t>
      </w:r>
      <w:r w:rsidR="00386DBC">
        <w:rPr>
          <w:rFonts w:ascii="Times New Roman" w:hAnsi="Times New Roman"/>
          <w:b/>
          <w:color w:val="000000" w:themeColor="text1"/>
          <w:sz w:val="24"/>
          <w:szCs w:val="24"/>
          <w:shd w:val="clear" w:color="auto" w:fill="FFFFFF"/>
        </w:rPr>
        <w:t>,</w:t>
      </w:r>
      <w:r w:rsidRPr="00912FA1">
        <w:rPr>
          <w:rFonts w:ascii="Times New Roman" w:hAnsi="Times New Roman"/>
          <w:color w:val="000000" w:themeColor="text1"/>
          <w:sz w:val="24"/>
          <w:szCs w:val="24"/>
          <w:shd w:val="clear" w:color="auto" w:fill="FFFFFF"/>
        </w:rPr>
        <w:t xml:space="preserve"> </w:t>
      </w:r>
      <w:r w:rsidRPr="00595256">
        <w:rPr>
          <w:rFonts w:ascii="Times New Roman" w:hAnsi="Times New Roman"/>
          <w:i/>
          <w:color w:val="000000" w:themeColor="text1"/>
          <w:sz w:val="24"/>
          <w:szCs w:val="24"/>
          <w:shd w:val="clear" w:color="auto" w:fill="FFFFFF"/>
        </w:rPr>
        <w:t>976,</w:t>
      </w:r>
      <w:r w:rsidRPr="00912FA1">
        <w:rPr>
          <w:rFonts w:ascii="Times New Roman" w:hAnsi="Times New Roman"/>
          <w:color w:val="000000" w:themeColor="text1"/>
          <w:sz w:val="24"/>
          <w:szCs w:val="24"/>
          <w:shd w:val="clear" w:color="auto" w:fill="FFFFFF"/>
        </w:rPr>
        <w:t xml:space="preserve"> 1267.</w:t>
      </w:r>
    </w:p>
    <w:p w:rsidR="00F57FE9" w:rsidRPr="00912FA1" w:rsidRDefault="00F57FE9" w:rsidP="002F644B">
      <w:pPr>
        <w:pStyle w:val="EndNoteBibliography"/>
        <w:numPr>
          <w:ilvl w:val="0"/>
          <w:numId w:val="10"/>
        </w:numPr>
        <w:spacing w:after="0" w:line="360" w:lineRule="auto"/>
        <w:rPr>
          <w:rFonts w:ascii="Times New Roman" w:hAnsi="Times New Roman"/>
          <w:b/>
          <w:color w:val="000000" w:themeColor="text1"/>
          <w:sz w:val="24"/>
          <w:szCs w:val="24"/>
        </w:rPr>
      </w:pPr>
      <w:r w:rsidRPr="00912FA1">
        <w:rPr>
          <w:rFonts w:ascii="Times New Roman" w:hAnsi="Times New Roman"/>
          <w:color w:val="000000" w:themeColor="text1"/>
          <w:sz w:val="24"/>
          <w:szCs w:val="24"/>
        </w:rPr>
        <w:t>S. S. Abolmaali, A. M. Tamaddon and R. Dinarvand,</w:t>
      </w:r>
      <w:r w:rsidRPr="00595256">
        <w:rPr>
          <w:rFonts w:ascii="Times New Roman" w:hAnsi="Times New Roman"/>
          <w:i/>
          <w:color w:val="000000" w:themeColor="text1"/>
          <w:sz w:val="24"/>
          <w:szCs w:val="24"/>
        </w:rPr>
        <w:t xml:space="preserve"> </w:t>
      </w:r>
      <w:r w:rsidR="00B65286" w:rsidRPr="00595256">
        <w:rPr>
          <w:rFonts w:ascii="Times New Roman" w:hAnsi="Times New Roman"/>
          <w:i/>
          <w:color w:val="000000" w:themeColor="text1"/>
          <w:sz w:val="24"/>
          <w:szCs w:val="24"/>
          <w:shd w:val="clear" w:color="auto" w:fill="FFFFFF"/>
        </w:rPr>
        <w:t>Cancer Chemother Pharmacol </w:t>
      </w:r>
      <w:r w:rsidR="00B65286" w:rsidRPr="00595256">
        <w:rPr>
          <w:rFonts w:ascii="Times New Roman" w:hAnsi="Times New Roman"/>
          <w:b/>
          <w:i/>
          <w:color w:val="000000" w:themeColor="text1"/>
          <w:sz w:val="24"/>
          <w:szCs w:val="24"/>
        </w:rPr>
        <w:t xml:space="preserve"> </w:t>
      </w:r>
      <w:r w:rsidRPr="00912FA1">
        <w:rPr>
          <w:rFonts w:ascii="Times New Roman" w:hAnsi="Times New Roman"/>
          <w:b/>
          <w:color w:val="000000" w:themeColor="text1"/>
          <w:sz w:val="24"/>
          <w:szCs w:val="24"/>
        </w:rPr>
        <w:t>2013</w:t>
      </w:r>
      <w:r w:rsidRPr="00912FA1">
        <w:rPr>
          <w:rFonts w:ascii="Times New Roman" w:hAnsi="Times New Roman"/>
          <w:color w:val="000000" w:themeColor="text1"/>
          <w:sz w:val="24"/>
          <w:szCs w:val="24"/>
        </w:rPr>
        <w:t>,</w:t>
      </w:r>
      <w:r w:rsidRPr="00595256">
        <w:rPr>
          <w:rFonts w:ascii="Times New Roman" w:hAnsi="Times New Roman"/>
          <w:i/>
          <w:color w:val="000000" w:themeColor="text1"/>
          <w:sz w:val="24"/>
          <w:szCs w:val="24"/>
        </w:rPr>
        <w:t xml:space="preserve"> 71</w:t>
      </w:r>
      <w:r w:rsidRPr="00912FA1">
        <w:rPr>
          <w:rFonts w:ascii="Times New Roman" w:hAnsi="Times New Roman"/>
          <w:color w:val="000000" w:themeColor="text1"/>
          <w:sz w:val="24"/>
          <w:szCs w:val="24"/>
        </w:rPr>
        <w:t>, 1115-1130.</w:t>
      </w:r>
      <w:r w:rsidR="00955851" w:rsidRPr="00912FA1">
        <w:rPr>
          <w:rFonts w:ascii="Times New Roman" w:hAnsi="Times New Roman"/>
          <w:b/>
          <w:color w:val="000000" w:themeColor="text1"/>
          <w:sz w:val="24"/>
          <w:szCs w:val="24"/>
        </w:rPr>
        <w:t xml:space="preserve"> DOI:</w:t>
      </w:r>
      <w:r w:rsidR="00E621C6" w:rsidRPr="00912FA1">
        <w:rPr>
          <w:rFonts w:ascii="Times New Roman" w:hAnsi="Times New Roman"/>
          <w:color w:val="000000" w:themeColor="text1"/>
          <w:sz w:val="24"/>
          <w:szCs w:val="24"/>
        </w:rPr>
        <w:t xml:space="preserve"> </w:t>
      </w:r>
      <w:hyperlink r:id="rId30" w:tgtFrame="_blank" w:history="1">
        <w:r w:rsidR="00E621C6" w:rsidRPr="00912FA1">
          <w:rPr>
            <w:rStyle w:val="Hyperlink"/>
            <w:rFonts w:ascii="Times New Roman" w:hAnsi="Times New Roman"/>
            <w:color w:val="000000" w:themeColor="text1"/>
            <w:sz w:val="24"/>
            <w:szCs w:val="24"/>
            <w:u w:val="none"/>
            <w:shd w:val="clear" w:color="auto" w:fill="FFFFFF"/>
          </w:rPr>
          <w:t>10.1007/s00280-012-2062-0</w:t>
        </w:r>
      </w:hyperlink>
    </w:p>
    <w:p w:rsidR="007E65DF" w:rsidRPr="00912FA1" w:rsidRDefault="00F57FE9" w:rsidP="007E65DF">
      <w:pPr>
        <w:pStyle w:val="EndNoteBibliography"/>
        <w:numPr>
          <w:ilvl w:val="0"/>
          <w:numId w:val="10"/>
        </w:numPr>
        <w:spacing w:after="0" w:line="360" w:lineRule="auto"/>
        <w:rPr>
          <w:rStyle w:val="Hyperlink"/>
          <w:rFonts w:ascii="Times New Roman" w:hAnsi="Times New Roman"/>
          <w:color w:val="000000" w:themeColor="text1"/>
          <w:sz w:val="24"/>
          <w:szCs w:val="24"/>
          <w:u w:val="none"/>
        </w:rPr>
      </w:pPr>
      <w:r w:rsidRPr="00912FA1">
        <w:rPr>
          <w:rFonts w:ascii="Times New Roman" w:hAnsi="Times New Roman"/>
          <w:color w:val="000000" w:themeColor="text1"/>
          <w:sz w:val="24"/>
          <w:szCs w:val="24"/>
        </w:rPr>
        <w:t xml:space="preserve">P. Jadhav, C. Bothiraja and A. Pawar, </w:t>
      </w:r>
      <w:r w:rsidRPr="00595256">
        <w:rPr>
          <w:rFonts w:ascii="Times New Roman" w:hAnsi="Times New Roman"/>
          <w:i/>
          <w:color w:val="000000" w:themeColor="text1"/>
          <w:sz w:val="24"/>
          <w:szCs w:val="24"/>
        </w:rPr>
        <w:t>J</w:t>
      </w:r>
      <w:r w:rsidR="002F2496" w:rsidRPr="00595256">
        <w:rPr>
          <w:rFonts w:ascii="Times New Roman" w:hAnsi="Times New Roman"/>
          <w:i/>
          <w:color w:val="000000" w:themeColor="text1"/>
          <w:sz w:val="24"/>
          <w:szCs w:val="24"/>
        </w:rPr>
        <w:t xml:space="preserve"> Pharm </w:t>
      </w:r>
      <w:r w:rsidRPr="00595256">
        <w:rPr>
          <w:rFonts w:ascii="Times New Roman" w:hAnsi="Times New Roman"/>
          <w:i/>
          <w:color w:val="000000" w:themeColor="text1"/>
          <w:sz w:val="24"/>
          <w:szCs w:val="24"/>
        </w:rPr>
        <w:t>Innov</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2018</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13</w:t>
      </w:r>
      <w:r w:rsidRPr="00912FA1">
        <w:rPr>
          <w:rFonts w:ascii="Times New Roman" w:hAnsi="Times New Roman"/>
          <w:color w:val="000000" w:themeColor="text1"/>
          <w:sz w:val="24"/>
          <w:szCs w:val="24"/>
        </w:rPr>
        <w:t>, 213-225.</w:t>
      </w:r>
      <w:r w:rsidR="00955851" w:rsidRPr="00912FA1">
        <w:rPr>
          <w:rFonts w:ascii="Times New Roman" w:hAnsi="Times New Roman"/>
          <w:b/>
          <w:color w:val="000000" w:themeColor="text1"/>
          <w:sz w:val="24"/>
          <w:szCs w:val="24"/>
        </w:rPr>
        <w:t xml:space="preserve"> DOI:</w:t>
      </w:r>
      <w:r w:rsidR="00E621C6" w:rsidRPr="00912FA1">
        <w:rPr>
          <w:rFonts w:ascii="Times New Roman" w:hAnsi="Times New Roman"/>
          <w:color w:val="000000" w:themeColor="text1"/>
          <w:sz w:val="24"/>
          <w:szCs w:val="24"/>
        </w:rPr>
        <w:t xml:space="preserve"> </w:t>
      </w:r>
      <w:hyperlink r:id="rId31" w:history="1">
        <w:r w:rsidR="00E621C6" w:rsidRPr="00912FA1">
          <w:rPr>
            <w:rStyle w:val="Hyperlink"/>
            <w:rFonts w:ascii="Times New Roman" w:hAnsi="Times New Roman"/>
            <w:color w:val="000000" w:themeColor="text1"/>
            <w:sz w:val="24"/>
            <w:szCs w:val="24"/>
            <w:u w:val="none"/>
            <w:shd w:val="clear" w:color="auto" w:fill="FCFCFC"/>
          </w:rPr>
          <w:t>10.1007/s12247-018-9314-4</w:t>
        </w:r>
      </w:hyperlink>
    </w:p>
    <w:p w:rsidR="002F2496" w:rsidRPr="00912FA1" w:rsidRDefault="00F57FE9" w:rsidP="007E65DF">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E. Van Roon and M. Van de Laar, Clinical and Experimental Rheumatology-Incl Supplements </w:t>
      </w:r>
      <w:r w:rsidRPr="00912FA1">
        <w:rPr>
          <w:rFonts w:ascii="Times New Roman" w:hAnsi="Times New Roman"/>
          <w:b/>
          <w:color w:val="000000" w:themeColor="text1"/>
          <w:sz w:val="24"/>
          <w:szCs w:val="24"/>
        </w:rPr>
        <w:t>2010</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28</w:t>
      </w:r>
      <w:r w:rsidRPr="00912FA1">
        <w:rPr>
          <w:rFonts w:ascii="Times New Roman" w:hAnsi="Times New Roman"/>
          <w:color w:val="000000" w:themeColor="text1"/>
          <w:sz w:val="24"/>
          <w:szCs w:val="24"/>
        </w:rPr>
        <w:t>, S27.</w:t>
      </w:r>
      <w:r w:rsidR="00955851" w:rsidRPr="00912FA1">
        <w:rPr>
          <w:rFonts w:ascii="Times New Roman" w:hAnsi="Times New Roman"/>
          <w:b/>
          <w:color w:val="000000" w:themeColor="text1"/>
          <w:sz w:val="24"/>
          <w:szCs w:val="24"/>
        </w:rPr>
        <w:t xml:space="preserve"> </w:t>
      </w:r>
      <w:r w:rsidR="007E65DF" w:rsidRPr="00912FA1">
        <w:rPr>
          <w:rFonts w:ascii="Times New Roman" w:hAnsi="Times New Roman"/>
          <w:b/>
          <w:color w:val="000000" w:themeColor="text1"/>
          <w:sz w:val="24"/>
          <w:szCs w:val="24"/>
        </w:rPr>
        <w:t xml:space="preserve">DOI: </w:t>
      </w:r>
      <w:r w:rsidR="007E65DF" w:rsidRPr="00912FA1">
        <w:rPr>
          <w:rStyle w:val="id-label"/>
          <w:rFonts w:ascii="Times New Roman" w:hAnsi="Times New Roman"/>
          <w:color w:val="000000" w:themeColor="text1"/>
          <w:sz w:val="24"/>
          <w:szCs w:val="24"/>
        </w:rPr>
        <w:t> </w:t>
      </w:r>
      <w:r w:rsidR="007E65DF" w:rsidRPr="00912FA1">
        <w:rPr>
          <w:rStyle w:val="Strong"/>
          <w:rFonts w:ascii="Times New Roman" w:eastAsia="Batang" w:hAnsi="Times New Roman"/>
          <w:b w:val="0"/>
          <w:bCs w:val="0"/>
          <w:color w:val="000000" w:themeColor="text1"/>
          <w:sz w:val="24"/>
          <w:szCs w:val="24"/>
        </w:rPr>
        <w:t>21044430</w:t>
      </w:r>
    </w:p>
    <w:p w:rsidR="00F57FE9" w:rsidRPr="00912FA1" w:rsidRDefault="00C264FB"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1</w:t>
      </w:r>
      <w:r w:rsidR="00920298" w:rsidRPr="00912FA1">
        <w:rPr>
          <w:rFonts w:ascii="Times New Roman" w:hAnsi="Times New Roman"/>
          <w:color w:val="000000" w:themeColor="text1"/>
          <w:sz w:val="24"/>
          <w:szCs w:val="24"/>
        </w:rPr>
        <w:t>S. Desai, D. Bhagwat, S. Shinde And J. Disouza,</w:t>
      </w:r>
      <w:r w:rsidR="00F57FE9" w:rsidRPr="00595256">
        <w:rPr>
          <w:rFonts w:ascii="Times New Roman" w:hAnsi="Times New Roman"/>
          <w:i/>
          <w:color w:val="000000" w:themeColor="text1"/>
          <w:sz w:val="24"/>
          <w:szCs w:val="24"/>
        </w:rPr>
        <w:t xml:space="preserve"> Int J App Pharm</w:t>
      </w:r>
      <w:r w:rsidR="00F57FE9" w:rsidRPr="00912FA1">
        <w:rPr>
          <w:rFonts w:ascii="Times New Roman" w:hAnsi="Times New Roman"/>
          <w:color w:val="000000" w:themeColor="text1"/>
          <w:sz w:val="24"/>
          <w:szCs w:val="24"/>
        </w:rPr>
        <w:t xml:space="preserve"> </w:t>
      </w:r>
      <w:r w:rsidR="00F57FE9" w:rsidRPr="00912FA1">
        <w:rPr>
          <w:rFonts w:ascii="Times New Roman" w:hAnsi="Times New Roman"/>
          <w:b/>
          <w:color w:val="000000" w:themeColor="text1"/>
          <w:sz w:val="24"/>
          <w:szCs w:val="24"/>
        </w:rPr>
        <w:t>2019</w:t>
      </w:r>
      <w:r w:rsidR="00F57FE9" w:rsidRPr="00912FA1">
        <w:rPr>
          <w:rFonts w:ascii="Times New Roman" w:hAnsi="Times New Roman"/>
          <w:color w:val="000000" w:themeColor="text1"/>
          <w:sz w:val="24"/>
          <w:szCs w:val="24"/>
        </w:rPr>
        <w:t xml:space="preserve">, </w:t>
      </w:r>
      <w:r w:rsidR="00F57FE9" w:rsidRPr="00595256">
        <w:rPr>
          <w:rFonts w:ascii="Times New Roman" w:hAnsi="Times New Roman"/>
          <w:i/>
          <w:color w:val="000000" w:themeColor="text1"/>
          <w:sz w:val="24"/>
          <w:szCs w:val="24"/>
        </w:rPr>
        <w:t>11</w:t>
      </w:r>
      <w:r w:rsidR="00F57FE9" w:rsidRPr="00912FA1">
        <w:rPr>
          <w:rFonts w:ascii="Times New Roman" w:hAnsi="Times New Roman"/>
          <w:color w:val="000000" w:themeColor="text1"/>
          <w:sz w:val="24"/>
          <w:szCs w:val="24"/>
        </w:rPr>
        <w:t>, 43-48.</w:t>
      </w:r>
      <w:r w:rsidR="00955851" w:rsidRPr="00912FA1">
        <w:rPr>
          <w:rFonts w:ascii="Times New Roman" w:hAnsi="Times New Roman"/>
          <w:b/>
          <w:color w:val="000000" w:themeColor="text1"/>
          <w:sz w:val="24"/>
          <w:szCs w:val="24"/>
        </w:rPr>
        <w:t xml:space="preserve"> DOI:</w:t>
      </w:r>
      <w:r w:rsidR="00920298" w:rsidRPr="00912FA1">
        <w:rPr>
          <w:rFonts w:ascii="Times New Roman" w:hAnsi="Times New Roman"/>
          <w:color w:val="000000" w:themeColor="text1"/>
          <w:sz w:val="24"/>
          <w:szCs w:val="24"/>
        </w:rPr>
        <w:t xml:space="preserve"> </w:t>
      </w:r>
      <w:hyperlink r:id="rId32" w:history="1">
        <w:r w:rsidR="00920298" w:rsidRPr="00912FA1">
          <w:rPr>
            <w:rStyle w:val="Hyperlink"/>
            <w:rFonts w:ascii="Times New Roman" w:hAnsi="Times New Roman"/>
            <w:color w:val="000000" w:themeColor="text1"/>
            <w:sz w:val="24"/>
            <w:szCs w:val="24"/>
            <w:u w:val="none"/>
            <w:shd w:val="clear" w:color="auto" w:fill="FFFFFF"/>
          </w:rPr>
          <w:t>10.22159/ijap.2019v11i3.30578</w:t>
        </w:r>
      </w:hyperlink>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A. H. Ibrahim, E. Rosqvist, J.-H. Smått, H. M. Ibrahim, H. R. Ismael, M. I. Afouna, A. M. Samy and J. M. Rosenholm, </w:t>
      </w:r>
      <w:r w:rsidRPr="00595256">
        <w:rPr>
          <w:rFonts w:ascii="Times New Roman" w:hAnsi="Times New Roman"/>
          <w:i/>
          <w:color w:val="000000" w:themeColor="text1"/>
          <w:sz w:val="24"/>
          <w:szCs w:val="24"/>
        </w:rPr>
        <w:t>In</w:t>
      </w:r>
      <w:r w:rsidR="00B65286" w:rsidRPr="00595256">
        <w:rPr>
          <w:rFonts w:ascii="Times New Roman" w:hAnsi="Times New Roman"/>
          <w:i/>
          <w:color w:val="000000" w:themeColor="text1"/>
          <w:sz w:val="24"/>
          <w:szCs w:val="24"/>
        </w:rPr>
        <w:t>t</w:t>
      </w:r>
      <w:r w:rsidRPr="00595256">
        <w:rPr>
          <w:rFonts w:ascii="Times New Roman" w:hAnsi="Times New Roman"/>
          <w:i/>
          <w:color w:val="000000" w:themeColor="text1"/>
          <w:sz w:val="24"/>
          <w:szCs w:val="24"/>
        </w:rPr>
        <w:t xml:space="preserve"> J Pharm</w:t>
      </w:r>
      <w:r w:rsidR="00595256">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2019</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563,</w:t>
      </w:r>
      <w:r w:rsidRPr="00912FA1">
        <w:rPr>
          <w:rFonts w:ascii="Times New Roman" w:hAnsi="Times New Roman"/>
          <w:color w:val="000000" w:themeColor="text1"/>
          <w:sz w:val="24"/>
          <w:szCs w:val="24"/>
        </w:rPr>
        <w:t xml:space="preserve"> 217-227.</w:t>
      </w:r>
      <w:r w:rsidR="00955851" w:rsidRPr="00912FA1">
        <w:rPr>
          <w:rFonts w:ascii="Times New Roman" w:hAnsi="Times New Roman"/>
          <w:b/>
          <w:color w:val="000000" w:themeColor="text1"/>
          <w:sz w:val="24"/>
          <w:szCs w:val="24"/>
        </w:rPr>
        <w:t xml:space="preserve"> DOI:</w:t>
      </w:r>
      <w:r w:rsidR="00920298" w:rsidRPr="00912FA1">
        <w:rPr>
          <w:rFonts w:ascii="Times New Roman" w:hAnsi="Times New Roman"/>
          <w:color w:val="000000" w:themeColor="text1"/>
          <w:sz w:val="24"/>
          <w:szCs w:val="24"/>
        </w:rPr>
        <w:t xml:space="preserve"> </w:t>
      </w:r>
      <w:hyperlink r:id="rId33" w:history="1">
        <w:r w:rsidR="00920298" w:rsidRPr="00912FA1">
          <w:rPr>
            <w:rStyle w:val="Hyperlink"/>
            <w:rFonts w:ascii="Times New Roman" w:hAnsi="Times New Roman"/>
            <w:color w:val="000000" w:themeColor="text1"/>
            <w:sz w:val="24"/>
            <w:szCs w:val="24"/>
            <w:u w:val="none"/>
            <w:bdr w:val="none" w:sz="0" w:space="0" w:color="auto" w:frame="1"/>
            <w:shd w:val="clear" w:color="auto" w:fill="FFFFFF"/>
          </w:rPr>
          <w:t>10.1016/j.ijpharm.2019.03.064</w:t>
        </w:r>
      </w:hyperlink>
      <w:r w:rsidR="00920298" w:rsidRPr="00912FA1">
        <w:rPr>
          <w:rFonts w:ascii="Times New Roman" w:hAnsi="Times New Roman"/>
          <w:color w:val="000000" w:themeColor="text1"/>
          <w:sz w:val="24"/>
          <w:szCs w:val="24"/>
          <w:shd w:val="clear" w:color="auto" w:fill="FFFFFF"/>
        </w:rPr>
        <w:t> </w:t>
      </w:r>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T. A. Powar and A. A. Hajare, </w:t>
      </w:r>
      <w:r w:rsidR="00B65286" w:rsidRPr="00595256">
        <w:rPr>
          <w:rFonts w:ascii="Times New Roman" w:hAnsi="Times New Roman"/>
          <w:i/>
          <w:color w:val="000000" w:themeColor="text1"/>
          <w:sz w:val="24"/>
          <w:szCs w:val="24"/>
        </w:rPr>
        <w:t>Acta Chim</w:t>
      </w:r>
      <w:r w:rsidRPr="00595256">
        <w:rPr>
          <w:rFonts w:ascii="Times New Roman" w:hAnsi="Times New Roman"/>
          <w:i/>
          <w:color w:val="000000" w:themeColor="text1"/>
          <w:sz w:val="24"/>
          <w:szCs w:val="24"/>
        </w:rPr>
        <w:t xml:space="preserve"> Slov</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2020</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67</w:t>
      </w:r>
      <w:r w:rsidRPr="00912FA1">
        <w:rPr>
          <w:rFonts w:ascii="Times New Roman" w:hAnsi="Times New Roman"/>
          <w:color w:val="000000" w:themeColor="text1"/>
          <w:sz w:val="24"/>
          <w:szCs w:val="24"/>
        </w:rPr>
        <w:t>, 283-303.</w:t>
      </w:r>
      <w:r w:rsidR="00955851" w:rsidRPr="00912FA1">
        <w:rPr>
          <w:rFonts w:ascii="Times New Roman" w:hAnsi="Times New Roman"/>
          <w:b/>
          <w:color w:val="000000" w:themeColor="text1"/>
          <w:sz w:val="24"/>
          <w:szCs w:val="24"/>
        </w:rPr>
        <w:t xml:space="preserve"> DOI:</w:t>
      </w:r>
      <w:r w:rsidR="00920298" w:rsidRPr="00912FA1">
        <w:rPr>
          <w:rFonts w:ascii="Times New Roman" w:hAnsi="Times New Roman"/>
          <w:color w:val="000000" w:themeColor="text1"/>
          <w:sz w:val="24"/>
          <w:szCs w:val="24"/>
        </w:rPr>
        <w:t xml:space="preserve"> </w:t>
      </w:r>
      <w:r w:rsidR="00E07ED0" w:rsidRPr="00912FA1">
        <w:rPr>
          <w:rFonts w:ascii="Times New Roman" w:hAnsi="Times New Roman"/>
          <w:color w:val="000000" w:themeColor="text1"/>
          <w:sz w:val="24"/>
          <w:szCs w:val="24"/>
        </w:rPr>
        <w:t>10.17344/acsi.2019.5441</w:t>
      </w:r>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R. Yadollahi, K. Vasilev and S. Simovic, </w:t>
      </w:r>
      <w:r w:rsidRPr="00595256">
        <w:rPr>
          <w:rFonts w:ascii="Times New Roman" w:hAnsi="Times New Roman"/>
          <w:i/>
          <w:color w:val="000000" w:themeColor="text1"/>
          <w:sz w:val="24"/>
          <w:szCs w:val="24"/>
        </w:rPr>
        <w:t>J Nanomater</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2015</w:t>
      </w:r>
      <w:r w:rsidRPr="00912FA1">
        <w:rPr>
          <w:rFonts w:ascii="Times New Roman" w:hAnsi="Times New Roman"/>
          <w:color w:val="000000" w:themeColor="text1"/>
          <w:sz w:val="24"/>
          <w:szCs w:val="24"/>
        </w:rPr>
        <w:t>, 2015.</w:t>
      </w:r>
      <w:r w:rsidR="00955851" w:rsidRPr="00912FA1">
        <w:rPr>
          <w:rFonts w:ascii="Times New Roman" w:hAnsi="Times New Roman"/>
          <w:b/>
          <w:color w:val="000000" w:themeColor="text1"/>
          <w:sz w:val="24"/>
          <w:szCs w:val="24"/>
        </w:rPr>
        <w:t xml:space="preserve"> DOI:</w:t>
      </w:r>
      <w:r w:rsidR="00920298" w:rsidRPr="00912FA1">
        <w:rPr>
          <w:rFonts w:ascii="Times New Roman" w:hAnsi="Times New Roman"/>
          <w:color w:val="000000" w:themeColor="text1"/>
          <w:sz w:val="24"/>
          <w:szCs w:val="24"/>
        </w:rPr>
        <w:t xml:space="preserve"> </w:t>
      </w:r>
      <w:hyperlink r:id="rId34" w:tgtFrame="_blank" w:history="1">
        <w:r w:rsidR="00920298" w:rsidRPr="00912FA1">
          <w:rPr>
            <w:rStyle w:val="Hyperlink"/>
            <w:rFonts w:ascii="Times New Roman" w:hAnsi="Times New Roman"/>
            <w:color w:val="000000" w:themeColor="text1"/>
            <w:sz w:val="24"/>
            <w:szCs w:val="24"/>
            <w:u w:val="none"/>
          </w:rPr>
          <w:t>10.1155/2015/216375</w:t>
        </w:r>
      </w:hyperlink>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J. Cook, M. T. Cruañes, M. Gupta, S. Riley and J. Crison, </w:t>
      </w:r>
      <w:r w:rsidRPr="00595256">
        <w:rPr>
          <w:rFonts w:ascii="Times New Roman" w:hAnsi="Times New Roman"/>
          <w:i/>
          <w:color w:val="000000" w:themeColor="text1"/>
          <w:sz w:val="24"/>
          <w:szCs w:val="24"/>
        </w:rPr>
        <w:t>AAPS PharmSciTech</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2014</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15,</w:t>
      </w:r>
      <w:r w:rsidRPr="00912FA1">
        <w:rPr>
          <w:rFonts w:ascii="Times New Roman" w:hAnsi="Times New Roman"/>
          <w:color w:val="000000" w:themeColor="text1"/>
          <w:sz w:val="24"/>
          <w:szCs w:val="24"/>
        </w:rPr>
        <w:t xml:space="preserve"> 140-148.</w:t>
      </w:r>
      <w:r w:rsidR="00955851" w:rsidRPr="00912FA1">
        <w:rPr>
          <w:rFonts w:ascii="Times New Roman" w:hAnsi="Times New Roman"/>
          <w:b/>
          <w:color w:val="000000" w:themeColor="text1"/>
          <w:sz w:val="24"/>
          <w:szCs w:val="24"/>
        </w:rPr>
        <w:t xml:space="preserve"> DOI:</w:t>
      </w:r>
      <w:r w:rsidR="00920298" w:rsidRPr="00912FA1">
        <w:rPr>
          <w:rFonts w:ascii="Times New Roman" w:hAnsi="Times New Roman"/>
          <w:color w:val="000000" w:themeColor="text1"/>
          <w:sz w:val="24"/>
          <w:szCs w:val="24"/>
        </w:rPr>
        <w:t xml:space="preserve"> </w:t>
      </w:r>
      <w:hyperlink r:id="rId35" w:history="1">
        <w:r w:rsidR="00920298" w:rsidRPr="00912FA1">
          <w:rPr>
            <w:rStyle w:val="Hyperlink"/>
            <w:rFonts w:ascii="Times New Roman" w:hAnsi="Times New Roman"/>
            <w:color w:val="000000" w:themeColor="text1"/>
            <w:sz w:val="24"/>
            <w:szCs w:val="24"/>
            <w:u w:val="none"/>
            <w:bdr w:val="none" w:sz="0" w:space="0" w:color="auto" w:frame="1"/>
            <w:shd w:val="clear" w:color="auto" w:fill="FFFFFF"/>
          </w:rPr>
          <w:t>10.1208/s12249-013-0043-1</w:t>
        </w:r>
      </w:hyperlink>
      <w:r w:rsidR="00920298" w:rsidRPr="00912FA1">
        <w:rPr>
          <w:rFonts w:ascii="Times New Roman" w:hAnsi="Times New Roman"/>
          <w:color w:val="000000" w:themeColor="text1"/>
          <w:sz w:val="24"/>
          <w:szCs w:val="24"/>
          <w:shd w:val="clear" w:color="auto" w:fill="FFFFFF"/>
        </w:rPr>
        <w:t> </w:t>
      </w:r>
    </w:p>
    <w:p w:rsidR="00920298"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Q. Huang, H. Yu and Q. Ru,</w:t>
      </w:r>
      <w:r w:rsidR="001E48C5" w:rsidRPr="00912FA1">
        <w:rPr>
          <w:rFonts w:ascii="Times New Roman" w:hAnsi="Times New Roman"/>
          <w:color w:val="000000" w:themeColor="text1"/>
          <w:sz w:val="24"/>
          <w:szCs w:val="24"/>
          <w:shd w:val="clear" w:color="auto" w:fill="FFFFFF"/>
        </w:rPr>
        <w:t xml:space="preserve"> </w:t>
      </w:r>
      <w:r w:rsidR="001E48C5" w:rsidRPr="00595256">
        <w:rPr>
          <w:rFonts w:ascii="Times New Roman" w:hAnsi="Times New Roman"/>
          <w:i/>
          <w:color w:val="000000" w:themeColor="text1"/>
          <w:sz w:val="24"/>
          <w:szCs w:val="24"/>
          <w:shd w:val="clear" w:color="auto" w:fill="FFFFFF"/>
        </w:rPr>
        <w:t>J Food </w:t>
      </w:r>
      <w:r w:rsidR="001E48C5" w:rsidRPr="00595256">
        <w:rPr>
          <w:rFonts w:ascii="Times New Roman" w:hAnsi="Times New Roman"/>
          <w:bCs/>
          <w:i/>
          <w:color w:val="000000" w:themeColor="text1"/>
          <w:sz w:val="24"/>
          <w:szCs w:val="24"/>
          <w:shd w:val="clear" w:color="auto" w:fill="FFFFFF"/>
        </w:rPr>
        <w:t>Sci</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2010</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75</w:t>
      </w:r>
      <w:r w:rsidRPr="00912FA1">
        <w:rPr>
          <w:rFonts w:ascii="Times New Roman" w:hAnsi="Times New Roman"/>
          <w:color w:val="000000" w:themeColor="text1"/>
          <w:sz w:val="24"/>
          <w:szCs w:val="24"/>
        </w:rPr>
        <w:t>, R50-R57.</w:t>
      </w:r>
      <w:r w:rsidR="00955851" w:rsidRPr="00912FA1">
        <w:rPr>
          <w:rFonts w:ascii="Times New Roman" w:hAnsi="Times New Roman"/>
          <w:b/>
          <w:color w:val="000000" w:themeColor="text1"/>
          <w:sz w:val="24"/>
          <w:szCs w:val="24"/>
        </w:rPr>
        <w:t xml:space="preserve"> DOI:</w:t>
      </w:r>
      <w:r w:rsidR="00920298" w:rsidRPr="009675B1">
        <w:rPr>
          <w:rFonts w:ascii="Times New Roman" w:hAnsi="Times New Roman"/>
          <w:color w:val="000000" w:themeColor="text1"/>
          <w:sz w:val="24"/>
          <w:szCs w:val="24"/>
        </w:rPr>
        <w:t xml:space="preserve"> </w:t>
      </w:r>
      <w:hyperlink r:id="rId36" w:history="1">
        <w:r w:rsidR="00920298" w:rsidRPr="009675B1">
          <w:rPr>
            <w:rStyle w:val="Hyperlink"/>
            <w:rFonts w:ascii="Times New Roman" w:hAnsi="Times New Roman"/>
            <w:bCs/>
            <w:color w:val="000000" w:themeColor="text1"/>
            <w:sz w:val="24"/>
            <w:szCs w:val="24"/>
            <w:u w:val="none"/>
            <w:shd w:val="clear" w:color="auto" w:fill="FFFFFF"/>
          </w:rPr>
          <w:t>10.1111/j.1750-3841.2009.01457.x</w:t>
        </w:r>
      </w:hyperlink>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S. Kalvakuntla, M. Deshpande, Z. Attari and K. Kunnatur, </w:t>
      </w:r>
      <w:r w:rsidRPr="00595256">
        <w:rPr>
          <w:rFonts w:ascii="Times New Roman" w:hAnsi="Times New Roman"/>
          <w:i/>
          <w:color w:val="000000" w:themeColor="text1"/>
          <w:sz w:val="24"/>
          <w:szCs w:val="24"/>
        </w:rPr>
        <w:t>Adv</w:t>
      </w:r>
      <w:r w:rsidR="001E48C5" w:rsidRPr="00595256">
        <w:rPr>
          <w:rFonts w:ascii="Times New Roman" w:hAnsi="Times New Roman"/>
          <w:i/>
          <w:color w:val="000000" w:themeColor="text1"/>
          <w:sz w:val="24"/>
          <w:szCs w:val="24"/>
        </w:rPr>
        <w:t xml:space="preserve"> Pharma Bull</w:t>
      </w:r>
      <w:r w:rsidRPr="00595256">
        <w:rPr>
          <w:rFonts w:ascii="Times New Roman" w:hAnsi="Times New Roman"/>
          <w:i/>
          <w:color w:val="000000" w:themeColor="text1"/>
          <w:sz w:val="24"/>
          <w:szCs w:val="24"/>
        </w:rPr>
        <w:t xml:space="preserve"> </w:t>
      </w:r>
      <w:r w:rsidRPr="00912FA1">
        <w:rPr>
          <w:rFonts w:ascii="Times New Roman" w:hAnsi="Times New Roman"/>
          <w:b/>
          <w:color w:val="000000" w:themeColor="text1"/>
          <w:sz w:val="24"/>
          <w:szCs w:val="24"/>
        </w:rPr>
        <w:t>2016</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6,</w:t>
      </w:r>
      <w:r w:rsidRPr="00912FA1">
        <w:rPr>
          <w:rFonts w:ascii="Times New Roman" w:hAnsi="Times New Roman"/>
          <w:color w:val="000000" w:themeColor="text1"/>
          <w:sz w:val="24"/>
          <w:szCs w:val="24"/>
        </w:rPr>
        <w:t xml:space="preserve"> 83.</w:t>
      </w:r>
      <w:r w:rsidR="00955851" w:rsidRPr="00912FA1">
        <w:rPr>
          <w:rFonts w:ascii="Times New Roman" w:hAnsi="Times New Roman"/>
          <w:b/>
          <w:color w:val="000000" w:themeColor="text1"/>
          <w:sz w:val="24"/>
          <w:szCs w:val="24"/>
        </w:rPr>
        <w:t xml:space="preserve"> DOI:</w:t>
      </w:r>
      <w:r w:rsidR="00920298" w:rsidRPr="00912FA1">
        <w:rPr>
          <w:rFonts w:ascii="Times New Roman" w:hAnsi="Times New Roman"/>
          <w:color w:val="000000" w:themeColor="text1"/>
          <w:sz w:val="24"/>
          <w:szCs w:val="24"/>
        </w:rPr>
        <w:t xml:space="preserve"> </w:t>
      </w:r>
      <w:hyperlink r:id="rId37" w:history="1">
        <w:r w:rsidR="00920298" w:rsidRPr="00912FA1">
          <w:rPr>
            <w:rStyle w:val="Hyperlink"/>
            <w:rFonts w:ascii="Times New Roman" w:hAnsi="Times New Roman"/>
            <w:color w:val="000000" w:themeColor="text1"/>
            <w:sz w:val="24"/>
            <w:szCs w:val="24"/>
            <w:u w:val="none"/>
            <w:bdr w:val="none" w:sz="0" w:space="0" w:color="auto" w:frame="1"/>
          </w:rPr>
          <w:t>10.15171/apb.2016.013</w:t>
        </w:r>
      </w:hyperlink>
    </w:p>
    <w:p w:rsidR="00F57FE9" w:rsidRPr="00912FA1" w:rsidRDefault="00F57FE9" w:rsidP="008E07F5">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lastRenderedPageBreak/>
        <w:t>C. P. Dora, S. K. Singh, S. Kumar, A. K. Datusalia and A. Deep,</w:t>
      </w:r>
      <w:r w:rsidRPr="00595256">
        <w:rPr>
          <w:rFonts w:ascii="Times New Roman" w:hAnsi="Times New Roman"/>
          <w:i/>
          <w:color w:val="000000" w:themeColor="text1"/>
          <w:sz w:val="24"/>
          <w:szCs w:val="24"/>
        </w:rPr>
        <w:t xml:space="preserve"> Acta Pol Pharm</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2010</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67</w:t>
      </w:r>
      <w:r w:rsidRPr="00912FA1">
        <w:rPr>
          <w:rFonts w:ascii="Times New Roman" w:hAnsi="Times New Roman"/>
          <w:color w:val="000000" w:themeColor="text1"/>
          <w:sz w:val="24"/>
          <w:szCs w:val="24"/>
        </w:rPr>
        <w:t>, 283-90.</w:t>
      </w:r>
      <w:r w:rsidR="00AF02CD" w:rsidRPr="00912FA1">
        <w:rPr>
          <w:rFonts w:ascii="Times New Roman" w:hAnsi="Times New Roman"/>
          <w:color w:val="000000" w:themeColor="text1"/>
          <w:sz w:val="24"/>
          <w:szCs w:val="24"/>
        </w:rPr>
        <w:t xml:space="preserve"> </w:t>
      </w:r>
      <w:r w:rsidR="008E07F5" w:rsidRPr="00912FA1">
        <w:rPr>
          <w:rFonts w:ascii="Times New Roman" w:hAnsi="Times New Roman"/>
          <w:b/>
          <w:bCs/>
          <w:color w:val="000000" w:themeColor="text1"/>
          <w:sz w:val="24"/>
          <w:szCs w:val="24"/>
        </w:rPr>
        <w:t>DOI:</w:t>
      </w:r>
      <w:r w:rsidR="008E07F5" w:rsidRPr="00912FA1">
        <w:rPr>
          <w:rFonts w:ascii="Times New Roman" w:hAnsi="Times New Roman"/>
          <w:color w:val="000000" w:themeColor="text1"/>
          <w:sz w:val="24"/>
          <w:szCs w:val="24"/>
        </w:rPr>
        <w:t xml:space="preserve"> acta_pol_2010/3_2010/283-290</w:t>
      </w:r>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N. S. K. Srinivas, R. Verma, G. P. Kulyadi and L. Kumar, </w:t>
      </w:r>
      <w:r w:rsidR="001E48C5" w:rsidRPr="00595256">
        <w:rPr>
          <w:rFonts w:ascii="Times New Roman" w:hAnsi="Times New Roman"/>
          <w:i/>
          <w:color w:val="000000" w:themeColor="text1"/>
          <w:sz w:val="24"/>
          <w:szCs w:val="24"/>
        </w:rPr>
        <w:t>Int J N</w:t>
      </w:r>
      <w:r w:rsidRPr="00595256">
        <w:rPr>
          <w:rFonts w:ascii="Times New Roman" w:hAnsi="Times New Roman"/>
          <w:i/>
          <w:color w:val="000000" w:themeColor="text1"/>
          <w:sz w:val="24"/>
          <w:szCs w:val="24"/>
        </w:rPr>
        <w:t>anomed</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2017</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12</w:t>
      </w:r>
      <w:r w:rsidRPr="00912FA1">
        <w:rPr>
          <w:rFonts w:ascii="Times New Roman" w:hAnsi="Times New Roman"/>
          <w:color w:val="000000" w:themeColor="text1"/>
          <w:sz w:val="24"/>
          <w:szCs w:val="24"/>
        </w:rPr>
        <w:t>, 15.</w:t>
      </w:r>
      <w:r w:rsidR="00920298" w:rsidRPr="00912FA1">
        <w:rPr>
          <w:rFonts w:ascii="Times New Roman" w:hAnsi="Times New Roman"/>
          <w:color w:val="000000" w:themeColor="text1"/>
          <w:sz w:val="24"/>
          <w:szCs w:val="24"/>
        </w:rPr>
        <w:t xml:space="preserve"> </w:t>
      </w:r>
      <w:r w:rsidR="008E07F5" w:rsidRPr="00912FA1">
        <w:rPr>
          <w:rFonts w:ascii="Times New Roman" w:hAnsi="Times New Roman"/>
          <w:b/>
          <w:bCs/>
          <w:color w:val="000000" w:themeColor="text1"/>
          <w:sz w:val="24"/>
          <w:szCs w:val="24"/>
        </w:rPr>
        <w:t xml:space="preserve">DOI: </w:t>
      </w:r>
      <w:hyperlink r:id="rId38" w:history="1">
        <w:r w:rsidR="00920298" w:rsidRPr="00912FA1">
          <w:rPr>
            <w:rStyle w:val="Hyperlink"/>
            <w:rFonts w:ascii="Times New Roman" w:hAnsi="Times New Roman"/>
            <w:color w:val="000000" w:themeColor="text1"/>
            <w:sz w:val="24"/>
            <w:szCs w:val="24"/>
            <w:u w:val="none"/>
            <w:shd w:val="clear" w:color="auto" w:fill="FFFFFF"/>
          </w:rPr>
          <w:t>10.2147/IJN.S122729</w:t>
        </w:r>
      </w:hyperlink>
    </w:p>
    <w:p w:rsidR="00920298"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F. Yerlikaya, A. Ozgen, I. Vural, O. Guven, E. Karaagaoglu, M. A. Khan and Y. Capan,</w:t>
      </w:r>
      <w:r w:rsidRPr="00595256">
        <w:rPr>
          <w:rFonts w:ascii="Times New Roman" w:hAnsi="Times New Roman"/>
          <w:i/>
          <w:color w:val="000000" w:themeColor="text1"/>
          <w:sz w:val="24"/>
          <w:szCs w:val="24"/>
        </w:rPr>
        <w:t xml:space="preserve"> J</w:t>
      </w:r>
      <w:r w:rsidR="001E48C5" w:rsidRPr="00595256">
        <w:rPr>
          <w:rFonts w:ascii="Times New Roman" w:hAnsi="Times New Roman"/>
          <w:i/>
          <w:color w:val="000000" w:themeColor="text1"/>
          <w:sz w:val="24"/>
          <w:szCs w:val="24"/>
        </w:rPr>
        <w:t xml:space="preserve"> P</w:t>
      </w:r>
      <w:r w:rsidRPr="00595256">
        <w:rPr>
          <w:rFonts w:ascii="Times New Roman" w:hAnsi="Times New Roman"/>
          <w:i/>
          <w:color w:val="000000" w:themeColor="text1"/>
          <w:sz w:val="24"/>
          <w:szCs w:val="24"/>
        </w:rPr>
        <w:t>harm</w:t>
      </w:r>
      <w:r w:rsidR="001E48C5" w:rsidRPr="00595256">
        <w:rPr>
          <w:rFonts w:ascii="Times New Roman" w:hAnsi="Times New Roman"/>
          <w:i/>
          <w:color w:val="000000" w:themeColor="text1"/>
          <w:sz w:val="24"/>
          <w:szCs w:val="24"/>
        </w:rPr>
        <w:t xml:space="preserve"> S</w:t>
      </w:r>
      <w:r w:rsidRPr="00595256">
        <w:rPr>
          <w:rFonts w:ascii="Times New Roman" w:hAnsi="Times New Roman"/>
          <w:i/>
          <w:color w:val="000000" w:themeColor="text1"/>
          <w:sz w:val="24"/>
          <w:szCs w:val="24"/>
        </w:rPr>
        <w:t>c</w:t>
      </w:r>
      <w:r w:rsidRPr="00912FA1">
        <w:rPr>
          <w:rFonts w:ascii="Times New Roman" w:hAnsi="Times New Roman"/>
          <w:color w:val="000000" w:themeColor="text1"/>
          <w:sz w:val="24"/>
          <w:szCs w:val="24"/>
        </w:rPr>
        <w:t xml:space="preserve">i </w:t>
      </w:r>
      <w:r w:rsidRPr="00912FA1">
        <w:rPr>
          <w:rFonts w:ascii="Times New Roman" w:hAnsi="Times New Roman"/>
          <w:b/>
          <w:color w:val="000000" w:themeColor="text1"/>
          <w:sz w:val="24"/>
          <w:szCs w:val="24"/>
        </w:rPr>
        <w:t>2013</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102</w:t>
      </w:r>
      <w:r w:rsidRPr="00912FA1">
        <w:rPr>
          <w:rFonts w:ascii="Times New Roman" w:hAnsi="Times New Roman"/>
          <w:color w:val="000000" w:themeColor="text1"/>
          <w:sz w:val="24"/>
          <w:szCs w:val="24"/>
        </w:rPr>
        <w:t>, 3748-3761.</w:t>
      </w:r>
      <w:r w:rsidR="00920298" w:rsidRPr="00912FA1">
        <w:rPr>
          <w:rFonts w:ascii="Times New Roman" w:hAnsi="Times New Roman"/>
          <w:color w:val="000000" w:themeColor="text1"/>
          <w:sz w:val="24"/>
          <w:szCs w:val="24"/>
        </w:rPr>
        <w:t xml:space="preserve"> </w:t>
      </w:r>
      <w:r w:rsidR="008E07F5" w:rsidRPr="00912FA1">
        <w:rPr>
          <w:rFonts w:ascii="Times New Roman" w:hAnsi="Times New Roman"/>
          <w:b/>
          <w:bCs/>
          <w:color w:val="000000" w:themeColor="text1"/>
          <w:sz w:val="24"/>
          <w:szCs w:val="24"/>
        </w:rPr>
        <w:t>DOI:</w:t>
      </w:r>
      <w:r w:rsidR="008E07F5" w:rsidRPr="00912FA1">
        <w:rPr>
          <w:rStyle w:val="Hyperlink"/>
          <w:rFonts w:ascii="Times New Roman" w:hAnsi="Times New Roman"/>
          <w:color w:val="000000" w:themeColor="text1"/>
          <w:sz w:val="24"/>
          <w:szCs w:val="24"/>
          <w:u w:val="none"/>
          <w:bdr w:val="none" w:sz="0" w:space="0" w:color="auto" w:frame="1"/>
          <w:shd w:val="clear" w:color="auto" w:fill="FFFFFF"/>
        </w:rPr>
        <w:t xml:space="preserve"> </w:t>
      </w:r>
      <w:hyperlink r:id="rId39" w:history="1">
        <w:r w:rsidR="00920298" w:rsidRPr="00912FA1">
          <w:rPr>
            <w:rStyle w:val="Hyperlink"/>
            <w:rFonts w:ascii="Times New Roman" w:hAnsi="Times New Roman"/>
            <w:color w:val="000000" w:themeColor="text1"/>
            <w:sz w:val="24"/>
            <w:szCs w:val="24"/>
            <w:u w:val="none"/>
            <w:bdr w:val="none" w:sz="0" w:space="0" w:color="auto" w:frame="1"/>
            <w:shd w:val="clear" w:color="auto" w:fill="FFFFFF"/>
          </w:rPr>
          <w:t>10.1002/jps.23686</w:t>
        </w:r>
      </w:hyperlink>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L. Rabelo, N. Monteiro, R. Serquiz, P. Santos, R. Oliveira, A. Oliveira, H. Rocha, A. H. Morais, A. Uchoa and E. Santos,</w:t>
      </w:r>
      <w:r w:rsidRPr="00595256">
        <w:rPr>
          <w:rFonts w:ascii="Times New Roman" w:hAnsi="Times New Roman"/>
          <w:i/>
          <w:color w:val="000000" w:themeColor="text1"/>
          <w:sz w:val="24"/>
          <w:szCs w:val="24"/>
        </w:rPr>
        <w:t xml:space="preserve"> Marine drugs</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2012</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10</w:t>
      </w:r>
      <w:r w:rsidRPr="00912FA1">
        <w:rPr>
          <w:rFonts w:ascii="Times New Roman" w:hAnsi="Times New Roman"/>
          <w:color w:val="000000" w:themeColor="text1"/>
          <w:sz w:val="24"/>
          <w:szCs w:val="24"/>
        </w:rPr>
        <w:t>, 727-743.</w:t>
      </w:r>
      <w:r w:rsidR="008E07F5" w:rsidRPr="00912FA1">
        <w:rPr>
          <w:rFonts w:ascii="Times New Roman" w:hAnsi="Times New Roman"/>
          <w:color w:val="000000" w:themeColor="text1"/>
          <w:sz w:val="24"/>
          <w:szCs w:val="24"/>
        </w:rPr>
        <w:t xml:space="preserve"> </w:t>
      </w:r>
      <w:r w:rsidR="008E07F5" w:rsidRPr="00912FA1">
        <w:rPr>
          <w:rFonts w:ascii="Times New Roman" w:hAnsi="Times New Roman"/>
          <w:b/>
          <w:bCs/>
          <w:color w:val="000000" w:themeColor="text1"/>
          <w:sz w:val="24"/>
          <w:szCs w:val="24"/>
        </w:rPr>
        <w:t>DOI:</w:t>
      </w:r>
      <w:r w:rsidR="008E07F5" w:rsidRPr="00912FA1">
        <w:rPr>
          <w:rFonts w:ascii="Times New Roman" w:hAnsi="Times New Roman"/>
          <w:color w:val="000000" w:themeColor="text1"/>
          <w:sz w:val="24"/>
          <w:szCs w:val="24"/>
        </w:rPr>
        <w:t xml:space="preserve"> </w:t>
      </w:r>
      <w:hyperlink r:id="rId40" w:history="1">
        <w:r w:rsidR="008E07F5" w:rsidRPr="009675B1">
          <w:rPr>
            <w:rStyle w:val="Hyperlink"/>
            <w:rFonts w:ascii="Times New Roman" w:hAnsi="Times New Roman"/>
            <w:bCs/>
            <w:color w:val="000000" w:themeColor="text1"/>
            <w:sz w:val="24"/>
            <w:szCs w:val="24"/>
            <w:u w:val="none"/>
            <w:shd w:val="clear" w:color="auto" w:fill="FFFFFF"/>
          </w:rPr>
          <w:t>https://doi.org/10.3390/md10040727</w:t>
        </w:r>
      </w:hyperlink>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A. A. Abdelbary, A. M. Al-Mahallawi, M. E. Abdelrahim and A. M. Ali, </w:t>
      </w:r>
      <w:r w:rsidR="001E48C5" w:rsidRPr="00595256">
        <w:rPr>
          <w:rFonts w:ascii="Times New Roman" w:hAnsi="Times New Roman"/>
          <w:i/>
          <w:color w:val="000000" w:themeColor="text1"/>
          <w:sz w:val="24"/>
          <w:szCs w:val="24"/>
        </w:rPr>
        <w:t>Int J Nanomed</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2015</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10</w:t>
      </w:r>
      <w:r w:rsidRPr="00912FA1">
        <w:rPr>
          <w:rFonts w:ascii="Times New Roman" w:hAnsi="Times New Roman"/>
          <w:color w:val="000000" w:themeColor="text1"/>
          <w:sz w:val="24"/>
          <w:szCs w:val="24"/>
        </w:rPr>
        <w:t>, 6339</w:t>
      </w:r>
      <w:r w:rsidR="00242DA9" w:rsidRPr="00912FA1">
        <w:rPr>
          <w:rFonts w:ascii="Times New Roman" w:hAnsi="Times New Roman"/>
          <w:color w:val="000000" w:themeColor="text1"/>
          <w:sz w:val="24"/>
          <w:szCs w:val="24"/>
        </w:rPr>
        <w:t>-6353</w:t>
      </w:r>
      <w:r w:rsidRPr="00912FA1">
        <w:rPr>
          <w:rFonts w:ascii="Times New Roman" w:hAnsi="Times New Roman"/>
          <w:color w:val="000000" w:themeColor="text1"/>
          <w:sz w:val="24"/>
          <w:szCs w:val="24"/>
        </w:rPr>
        <w:t>.</w:t>
      </w:r>
      <w:r w:rsidR="00242DA9" w:rsidRPr="00912FA1">
        <w:rPr>
          <w:rFonts w:ascii="Times New Roman" w:hAnsi="Times New Roman"/>
          <w:b/>
          <w:bCs/>
          <w:color w:val="000000" w:themeColor="text1"/>
          <w:sz w:val="24"/>
          <w:szCs w:val="24"/>
        </w:rPr>
        <w:t xml:space="preserve"> </w:t>
      </w:r>
      <w:r w:rsidR="008E07F5" w:rsidRPr="00912FA1">
        <w:rPr>
          <w:rFonts w:ascii="Times New Roman" w:hAnsi="Times New Roman"/>
          <w:b/>
          <w:bCs/>
          <w:color w:val="000000" w:themeColor="text1"/>
          <w:sz w:val="24"/>
          <w:szCs w:val="24"/>
          <w:shd w:val="clear" w:color="auto" w:fill="FFFFFF"/>
        </w:rPr>
        <w:t>DOI</w:t>
      </w:r>
      <w:r w:rsidR="008E07F5" w:rsidRPr="00912FA1">
        <w:rPr>
          <w:rFonts w:ascii="Times New Roman" w:hAnsi="Times New Roman"/>
          <w:color w:val="000000" w:themeColor="text1"/>
          <w:sz w:val="24"/>
          <w:szCs w:val="24"/>
          <w:shd w:val="clear" w:color="auto" w:fill="FFFFFF"/>
        </w:rPr>
        <w:t>: </w:t>
      </w:r>
      <w:hyperlink r:id="rId41" w:history="1">
        <w:r w:rsidR="008E07F5" w:rsidRPr="00912FA1">
          <w:rPr>
            <w:rStyle w:val="Hyperlink"/>
            <w:rFonts w:ascii="Times New Roman" w:hAnsi="Times New Roman"/>
            <w:color w:val="000000" w:themeColor="text1"/>
            <w:sz w:val="24"/>
            <w:szCs w:val="24"/>
            <w:u w:val="none"/>
            <w:bdr w:val="none" w:sz="0" w:space="0" w:color="auto" w:frame="1"/>
            <w:shd w:val="clear" w:color="auto" w:fill="FFFFFF"/>
          </w:rPr>
          <w:t>10.2147/ijn.s91631</w:t>
        </w:r>
      </w:hyperlink>
      <w:r w:rsidR="008E07F5" w:rsidRPr="00912FA1">
        <w:rPr>
          <w:rFonts w:ascii="Times New Roman" w:hAnsi="Times New Roman"/>
          <w:color w:val="000000" w:themeColor="text1"/>
          <w:sz w:val="24"/>
          <w:szCs w:val="24"/>
          <w:shd w:val="clear" w:color="auto" w:fill="FFFFFF"/>
        </w:rPr>
        <w:t> </w:t>
      </w:r>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H. C. Vadlamudi, P. R. Yalavarthi, B. R. M. Venkata, J. Thanniru, K. Vandana and C. Sundaresan, </w:t>
      </w:r>
      <w:r w:rsidRPr="00595256">
        <w:rPr>
          <w:rFonts w:ascii="Times New Roman" w:hAnsi="Times New Roman"/>
          <w:i/>
          <w:color w:val="000000" w:themeColor="text1"/>
          <w:sz w:val="24"/>
          <w:szCs w:val="24"/>
        </w:rPr>
        <w:t>J Acute Dis</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2016</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5</w:t>
      </w:r>
      <w:r w:rsidRPr="00912FA1">
        <w:rPr>
          <w:rFonts w:ascii="Times New Roman" w:hAnsi="Times New Roman"/>
          <w:color w:val="000000" w:themeColor="text1"/>
          <w:sz w:val="24"/>
          <w:szCs w:val="24"/>
        </w:rPr>
        <w:t>, 315-325.</w:t>
      </w:r>
      <w:r w:rsidR="00955851" w:rsidRPr="00912FA1">
        <w:rPr>
          <w:rFonts w:ascii="Times New Roman" w:hAnsi="Times New Roman"/>
          <w:b/>
          <w:color w:val="000000" w:themeColor="text1"/>
          <w:sz w:val="24"/>
          <w:szCs w:val="24"/>
        </w:rPr>
        <w:t xml:space="preserve"> DOI:</w:t>
      </w:r>
      <w:r w:rsidR="00242DA9" w:rsidRPr="00912FA1">
        <w:rPr>
          <w:rFonts w:ascii="Times New Roman" w:hAnsi="Times New Roman"/>
          <w:color w:val="000000" w:themeColor="text1"/>
          <w:sz w:val="24"/>
          <w:szCs w:val="24"/>
        </w:rPr>
        <w:t xml:space="preserve"> </w:t>
      </w:r>
      <w:hyperlink r:id="rId42" w:tgtFrame="_blank" w:tooltip="Persistent link using digital object identifier" w:history="1">
        <w:r w:rsidR="00242DA9" w:rsidRPr="00912FA1">
          <w:rPr>
            <w:rStyle w:val="Hyperlink"/>
            <w:rFonts w:ascii="Times New Roman" w:hAnsi="Times New Roman"/>
            <w:color w:val="000000" w:themeColor="text1"/>
            <w:sz w:val="24"/>
            <w:szCs w:val="24"/>
            <w:u w:val="none"/>
          </w:rPr>
          <w:t>10.1016/j.joad.2016.05.004</w:t>
        </w:r>
      </w:hyperlink>
    </w:p>
    <w:p w:rsidR="00F57FE9" w:rsidRPr="00912FA1" w:rsidRDefault="008E07F5"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P.</w:t>
      </w:r>
      <w:r w:rsidR="00F57FE9" w:rsidRPr="00912FA1">
        <w:rPr>
          <w:rFonts w:ascii="Times New Roman" w:hAnsi="Times New Roman"/>
          <w:color w:val="000000" w:themeColor="text1"/>
          <w:sz w:val="24"/>
          <w:szCs w:val="24"/>
        </w:rPr>
        <w:t xml:space="preserve">F. Yue, Q. Zheng, B. Wu, P.-Y. Hu, Z.-F. Wu and M. Yang, </w:t>
      </w:r>
      <w:r w:rsidR="00F57FE9" w:rsidRPr="00595256">
        <w:rPr>
          <w:rFonts w:ascii="Times New Roman" w:hAnsi="Times New Roman"/>
          <w:i/>
          <w:color w:val="000000" w:themeColor="text1"/>
          <w:sz w:val="24"/>
          <w:szCs w:val="24"/>
        </w:rPr>
        <w:t>J</w:t>
      </w:r>
      <w:r w:rsidR="001E48C5" w:rsidRPr="00595256">
        <w:rPr>
          <w:rFonts w:ascii="Times New Roman" w:hAnsi="Times New Roman"/>
          <w:i/>
          <w:color w:val="000000" w:themeColor="text1"/>
          <w:sz w:val="24"/>
          <w:szCs w:val="24"/>
        </w:rPr>
        <w:t xml:space="preserve"> D</w:t>
      </w:r>
      <w:r w:rsidR="00F57FE9" w:rsidRPr="00595256">
        <w:rPr>
          <w:rFonts w:ascii="Times New Roman" w:hAnsi="Times New Roman"/>
          <w:i/>
          <w:color w:val="000000" w:themeColor="text1"/>
          <w:sz w:val="24"/>
          <w:szCs w:val="24"/>
        </w:rPr>
        <w:t>ispers</w:t>
      </w:r>
      <w:r w:rsidR="001E48C5" w:rsidRPr="00595256">
        <w:rPr>
          <w:rFonts w:ascii="Times New Roman" w:hAnsi="Times New Roman"/>
          <w:i/>
          <w:color w:val="000000" w:themeColor="text1"/>
          <w:sz w:val="24"/>
          <w:szCs w:val="24"/>
        </w:rPr>
        <w:t xml:space="preserve"> S</w:t>
      </w:r>
      <w:r w:rsidR="00F57FE9" w:rsidRPr="00595256">
        <w:rPr>
          <w:rFonts w:ascii="Times New Roman" w:hAnsi="Times New Roman"/>
          <w:i/>
          <w:color w:val="000000" w:themeColor="text1"/>
          <w:sz w:val="24"/>
          <w:szCs w:val="24"/>
        </w:rPr>
        <w:t>ci</w:t>
      </w:r>
      <w:r w:rsidR="001E48C5" w:rsidRPr="00595256">
        <w:rPr>
          <w:rFonts w:ascii="Times New Roman" w:hAnsi="Times New Roman"/>
          <w:i/>
          <w:color w:val="000000" w:themeColor="text1"/>
          <w:sz w:val="24"/>
          <w:szCs w:val="24"/>
        </w:rPr>
        <w:t xml:space="preserve"> T</w:t>
      </w:r>
      <w:r w:rsidR="00F57FE9" w:rsidRPr="00595256">
        <w:rPr>
          <w:rFonts w:ascii="Times New Roman" w:hAnsi="Times New Roman"/>
          <w:i/>
          <w:color w:val="000000" w:themeColor="text1"/>
          <w:sz w:val="24"/>
          <w:szCs w:val="24"/>
        </w:rPr>
        <w:t xml:space="preserve">echnol </w:t>
      </w:r>
      <w:r w:rsidR="00F57FE9" w:rsidRPr="00912FA1">
        <w:rPr>
          <w:rFonts w:ascii="Times New Roman" w:hAnsi="Times New Roman"/>
          <w:b/>
          <w:color w:val="000000" w:themeColor="text1"/>
          <w:sz w:val="24"/>
          <w:szCs w:val="24"/>
        </w:rPr>
        <w:t>2012</w:t>
      </w:r>
      <w:r w:rsidR="00F57FE9" w:rsidRPr="00912FA1">
        <w:rPr>
          <w:rFonts w:ascii="Times New Roman" w:hAnsi="Times New Roman"/>
          <w:color w:val="000000" w:themeColor="text1"/>
          <w:sz w:val="24"/>
          <w:szCs w:val="24"/>
        </w:rPr>
        <w:t xml:space="preserve">, </w:t>
      </w:r>
      <w:r w:rsidR="00F57FE9" w:rsidRPr="00595256">
        <w:rPr>
          <w:rFonts w:ascii="Times New Roman" w:hAnsi="Times New Roman"/>
          <w:i/>
          <w:color w:val="000000" w:themeColor="text1"/>
          <w:sz w:val="24"/>
          <w:szCs w:val="24"/>
        </w:rPr>
        <w:t>33</w:t>
      </w:r>
      <w:r w:rsidR="00F57FE9" w:rsidRPr="00912FA1">
        <w:rPr>
          <w:rFonts w:ascii="Times New Roman" w:hAnsi="Times New Roman"/>
          <w:color w:val="000000" w:themeColor="text1"/>
          <w:sz w:val="24"/>
          <w:szCs w:val="24"/>
        </w:rPr>
        <w:t>, 213-222.</w:t>
      </w:r>
      <w:r w:rsidR="00955851" w:rsidRPr="00912FA1">
        <w:rPr>
          <w:rFonts w:ascii="Times New Roman" w:hAnsi="Times New Roman"/>
          <w:b/>
          <w:color w:val="000000" w:themeColor="text1"/>
          <w:sz w:val="24"/>
          <w:szCs w:val="24"/>
        </w:rPr>
        <w:t xml:space="preserve"> </w:t>
      </w:r>
      <w:r w:rsidRPr="00912FA1">
        <w:rPr>
          <w:rFonts w:ascii="Times New Roman" w:hAnsi="Times New Roman"/>
          <w:b/>
          <w:color w:val="000000" w:themeColor="text1"/>
          <w:sz w:val="24"/>
          <w:szCs w:val="24"/>
        </w:rPr>
        <w:t xml:space="preserve">DOI: </w:t>
      </w:r>
      <w:r w:rsidRPr="00912FA1">
        <w:rPr>
          <w:rFonts w:ascii="Times New Roman" w:hAnsi="Times New Roman"/>
          <w:color w:val="000000" w:themeColor="text1"/>
          <w:sz w:val="24"/>
          <w:szCs w:val="24"/>
          <w:shd w:val="clear" w:color="auto" w:fill="FFFFFF"/>
        </w:rPr>
        <w:t>doi: 10.1080/01932691.2011.561162</w:t>
      </w:r>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J. He, Y. Han, G. Xu, L. Yin, M. N. Neubi, J. Zhou and Y. Ding, </w:t>
      </w:r>
      <w:r w:rsidR="001E48C5" w:rsidRPr="00595256">
        <w:rPr>
          <w:rFonts w:ascii="Times New Roman" w:hAnsi="Times New Roman"/>
          <w:i/>
          <w:color w:val="000000" w:themeColor="text1"/>
          <w:sz w:val="24"/>
          <w:szCs w:val="24"/>
        </w:rPr>
        <w:t>RSC A</w:t>
      </w:r>
      <w:r w:rsidRPr="00595256">
        <w:rPr>
          <w:rFonts w:ascii="Times New Roman" w:hAnsi="Times New Roman"/>
          <w:i/>
          <w:color w:val="000000" w:themeColor="text1"/>
          <w:sz w:val="24"/>
          <w:szCs w:val="24"/>
        </w:rPr>
        <w:t>dvances</w:t>
      </w:r>
      <w:r w:rsidRPr="00912FA1">
        <w:rPr>
          <w:rFonts w:ascii="Times New Roman" w:hAnsi="Times New Roman"/>
          <w:color w:val="000000" w:themeColor="text1"/>
          <w:sz w:val="24"/>
          <w:szCs w:val="24"/>
        </w:rPr>
        <w:t xml:space="preserve"> </w:t>
      </w:r>
      <w:r w:rsidRPr="00912FA1">
        <w:rPr>
          <w:rFonts w:ascii="Times New Roman" w:hAnsi="Times New Roman"/>
          <w:b/>
          <w:color w:val="000000" w:themeColor="text1"/>
          <w:sz w:val="24"/>
          <w:szCs w:val="24"/>
        </w:rPr>
        <w:t>2017</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7</w:t>
      </w:r>
      <w:r w:rsidRPr="00912FA1">
        <w:rPr>
          <w:rFonts w:ascii="Times New Roman" w:hAnsi="Times New Roman"/>
          <w:color w:val="000000" w:themeColor="text1"/>
          <w:sz w:val="24"/>
          <w:szCs w:val="24"/>
        </w:rPr>
        <w:t>, 13053-13064.</w:t>
      </w:r>
      <w:r w:rsidR="00955851" w:rsidRPr="00912FA1">
        <w:rPr>
          <w:rFonts w:ascii="Times New Roman" w:hAnsi="Times New Roman"/>
          <w:b/>
          <w:color w:val="000000" w:themeColor="text1"/>
          <w:sz w:val="24"/>
          <w:szCs w:val="24"/>
        </w:rPr>
        <w:t xml:space="preserve"> </w:t>
      </w:r>
      <w:r w:rsidR="008E07F5" w:rsidRPr="00912FA1">
        <w:rPr>
          <w:rFonts w:ascii="Times New Roman" w:hAnsi="Times New Roman"/>
          <w:b/>
          <w:color w:val="000000" w:themeColor="text1"/>
          <w:sz w:val="24"/>
          <w:szCs w:val="24"/>
        </w:rPr>
        <w:t xml:space="preserve">DOI: </w:t>
      </w:r>
      <w:hyperlink r:id="rId43" w:tooltip="Link to landing page via DOI" w:history="1">
        <w:r w:rsidR="008E07F5" w:rsidRPr="009675B1">
          <w:rPr>
            <w:rStyle w:val="Hyperlink"/>
            <w:rFonts w:ascii="Times New Roman" w:hAnsi="Times New Roman"/>
            <w:bCs/>
            <w:color w:val="000000" w:themeColor="text1"/>
            <w:sz w:val="24"/>
            <w:szCs w:val="24"/>
            <w:u w:val="none"/>
            <w:shd w:val="clear" w:color="auto" w:fill="FFFFFF"/>
          </w:rPr>
          <w:t>https://doi.org/10.1039/C6RA28676C</w:t>
        </w:r>
      </w:hyperlink>
    </w:p>
    <w:p w:rsidR="00F57FE9" w:rsidRPr="00912FA1" w:rsidRDefault="00F57FE9" w:rsidP="002F644B">
      <w:pPr>
        <w:pStyle w:val="EndNoteBibliography"/>
        <w:numPr>
          <w:ilvl w:val="0"/>
          <w:numId w:val="10"/>
        </w:numPr>
        <w:spacing w:after="0" w:line="360" w:lineRule="auto"/>
        <w:rPr>
          <w:rFonts w:ascii="Times New Roman" w:hAnsi="Times New Roman"/>
          <w:color w:val="000000" w:themeColor="text1"/>
          <w:sz w:val="24"/>
          <w:szCs w:val="24"/>
        </w:rPr>
      </w:pPr>
      <w:r w:rsidRPr="00912FA1">
        <w:rPr>
          <w:rFonts w:ascii="Times New Roman" w:hAnsi="Times New Roman"/>
          <w:color w:val="000000" w:themeColor="text1"/>
          <w:sz w:val="24"/>
          <w:szCs w:val="24"/>
        </w:rPr>
        <w:t xml:space="preserve">A. Sattar, D. Chen, L. Jiang, Y. Pan, Y. Tao, L. Huang, Z. Liu, S. Xie and Z. Yuan, </w:t>
      </w:r>
      <w:r w:rsidRPr="00595256">
        <w:rPr>
          <w:rFonts w:ascii="Times New Roman" w:hAnsi="Times New Roman"/>
          <w:i/>
          <w:color w:val="000000" w:themeColor="text1"/>
          <w:sz w:val="24"/>
          <w:szCs w:val="24"/>
        </w:rPr>
        <w:t>Sci</w:t>
      </w:r>
      <w:r w:rsidR="001E48C5" w:rsidRPr="00595256">
        <w:rPr>
          <w:rFonts w:ascii="Times New Roman" w:hAnsi="Times New Roman"/>
          <w:i/>
          <w:color w:val="000000" w:themeColor="text1"/>
          <w:sz w:val="24"/>
          <w:szCs w:val="24"/>
        </w:rPr>
        <w:t xml:space="preserve"> R</w:t>
      </w:r>
      <w:r w:rsidRPr="00595256">
        <w:rPr>
          <w:rFonts w:ascii="Times New Roman" w:hAnsi="Times New Roman"/>
          <w:i/>
          <w:color w:val="000000" w:themeColor="text1"/>
          <w:sz w:val="24"/>
          <w:szCs w:val="24"/>
        </w:rPr>
        <w:t xml:space="preserve">ep </w:t>
      </w:r>
      <w:r w:rsidRPr="00912FA1">
        <w:rPr>
          <w:rFonts w:ascii="Times New Roman" w:hAnsi="Times New Roman"/>
          <w:b/>
          <w:color w:val="000000" w:themeColor="text1"/>
          <w:sz w:val="24"/>
          <w:szCs w:val="24"/>
        </w:rPr>
        <w:t>2017</w:t>
      </w:r>
      <w:r w:rsidRPr="00912FA1">
        <w:rPr>
          <w:rFonts w:ascii="Times New Roman" w:hAnsi="Times New Roman"/>
          <w:color w:val="000000" w:themeColor="text1"/>
          <w:sz w:val="24"/>
          <w:szCs w:val="24"/>
        </w:rPr>
        <w:t xml:space="preserve">, </w:t>
      </w:r>
      <w:r w:rsidRPr="00595256">
        <w:rPr>
          <w:rFonts w:ascii="Times New Roman" w:hAnsi="Times New Roman"/>
          <w:i/>
          <w:color w:val="000000" w:themeColor="text1"/>
          <w:sz w:val="24"/>
          <w:szCs w:val="24"/>
        </w:rPr>
        <w:t>7</w:t>
      </w:r>
      <w:r w:rsidRPr="00912FA1">
        <w:rPr>
          <w:rFonts w:ascii="Times New Roman" w:hAnsi="Times New Roman"/>
          <w:color w:val="000000" w:themeColor="text1"/>
          <w:sz w:val="24"/>
          <w:szCs w:val="24"/>
        </w:rPr>
        <w:t>, 1-9.</w:t>
      </w:r>
      <w:r w:rsidR="00955851" w:rsidRPr="00912FA1">
        <w:rPr>
          <w:rFonts w:ascii="Times New Roman" w:hAnsi="Times New Roman"/>
          <w:b/>
          <w:color w:val="000000" w:themeColor="text1"/>
          <w:sz w:val="24"/>
          <w:szCs w:val="24"/>
        </w:rPr>
        <w:t xml:space="preserve"> DOI:</w:t>
      </w:r>
      <w:r w:rsidR="00E07ED0" w:rsidRPr="00912FA1">
        <w:rPr>
          <w:rFonts w:ascii="Times New Roman" w:hAnsi="Times New Roman"/>
          <w:color w:val="000000" w:themeColor="text1"/>
          <w:sz w:val="24"/>
          <w:szCs w:val="24"/>
        </w:rPr>
        <w:t xml:space="preserve"> </w:t>
      </w:r>
      <w:hyperlink r:id="rId44" w:tgtFrame="_blank" w:history="1">
        <w:r w:rsidR="00E07ED0" w:rsidRPr="00912FA1">
          <w:rPr>
            <w:rStyle w:val="Hyperlink"/>
            <w:rFonts w:ascii="Times New Roman" w:hAnsi="Times New Roman"/>
            <w:color w:val="000000" w:themeColor="text1"/>
            <w:sz w:val="24"/>
            <w:szCs w:val="24"/>
            <w:u w:val="none"/>
            <w:shd w:val="clear" w:color="auto" w:fill="FFFFFF"/>
          </w:rPr>
          <w:t>10.1038/s41598-017-02523-4</w:t>
        </w:r>
      </w:hyperlink>
      <w:r w:rsidR="002F644B" w:rsidRPr="00912FA1">
        <w:rPr>
          <w:rStyle w:val="Hyperlink"/>
          <w:rFonts w:ascii="Times New Roman" w:hAnsi="Times New Roman"/>
          <w:color w:val="000000" w:themeColor="text1"/>
          <w:sz w:val="24"/>
          <w:szCs w:val="24"/>
          <w:u w:val="none"/>
          <w:shd w:val="clear" w:color="auto" w:fill="FFFFFF"/>
        </w:rPr>
        <w:t xml:space="preserve"> </w:t>
      </w:r>
    </w:p>
    <w:p w:rsidR="003A7579" w:rsidRPr="00F57FE9" w:rsidRDefault="007163F6" w:rsidP="00E07ED0">
      <w:pPr>
        <w:pStyle w:val="EndNoteBibliography"/>
        <w:spacing w:after="0" w:line="360" w:lineRule="auto"/>
        <w:ind w:left="360" w:hanging="360"/>
        <w:rPr>
          <w:sz w:val="24"/>
          <w:szCs w:val="24"/>
        </w:rPr>
      </w:pPr>
      <w:r w:rsidRPr="00912FA1">
        <w:rPr>
          <w:rFonts w:ascii="Times New Roman" w:eastAsia="MinionPro-Regular" w:hAnsi="Times New Roman"/>
          <w:color w:val="000000" w:themeColor="text1"/>
          <w:sz w:val="24"/>
          <w:szCs w:val="24"/>
        </w:rPr>
        <w:fldChar w:fldCharType="end"/>
      </w:r>
      <w:r w:rsidRPr="00912FA1">
        <w:rPr>
          <w:rFonts w:ascii="Times New Roman" w:eastAsia="MinionPro-Regular" w:hAnsi="Times New Roman"/>
          <w:color w:val="000000" w:themeColor="text1"/>
          <w:sz w:val="24"/>
          <w:szCs w:val="24"/>
        </w:rPr>
        <w:fldChar w:fldCharType="end"/>
      </w:r>
    </w:p>
    <w:sectPr w:rsidR="003A7579" w:rsidRPr="00F57FE9" w:rsidSect="002E3EF6">
      <w:headerReference w:type="even" r:id="rId45"/>
      <w:type w:val="continuous"/>
      <w:pgSz w:w="12240" w:h="15840"/>
      <w:pgMar w:top="1440" w:right="1440" w:bottom="1440" w:left="1440" w:header="720" w:footer="964" w:gutter="0"/>
      <w:lnNumType w:countBy="1"/>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0E2" w:rsidRDefault="002C00E2" w:rsidP="003527E6">
      <w:r>
        <w:separator/>
      </w:r>
    </w:p>
  </w:endnote>
  <w:endnote w:type="continuationSeparator" w:id="0">
    <w:p w:rsidR="002C00E2" w:rsidRDefault="002C00E2" w:rsidP="003527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eta Bold LF">
    <w:panose1 w:val="00000000000000000000"/>
    <w:charset w:val="00"/>
    <w:family w:val="roman"/>
    <w:notTrueType/>
    <w:pitch w:val="default"/>
    <w:sig w:usb0="00000000" w:usb1="00000000" w:usb2="00000000" w:usb3="00000000" w:csb0="00000000" w:csb1="00000000"/>
  </w:font>
  <w:font w:name="Relay">
    <w:panose1 w:val="00000000000000000000"/>
    <w:charset w:val="00"/>
    <w:family w:val="roman"/>
    <w:notTrueType/>
    <w:pitch w:val="default"/>
    <w:sig w:usb0="00000000" w:usb1="00000000" w:usb2="00000000" w:usb3="00000000" w:csb0="00000000" w:csb1="00000000"/>
  </w:font>
  <w:font w:name="Meta Normal LF">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DejaVu Sans">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inionPro-Regular">
    <w:altName w:val="Arial Unicode MS"/>
    <w:panose1 w:val="00000000000000000000"/>
    <w:charset w:val="81"/>
    <w:family w:val="auto"/>
    <w:notTrueType/>
    <w:pitch w:val="default"/>
    <w:sig w:usb0="00000003" w:usb1="09070000" w:usb2="00000010" w:usb3="00000000" w:csb0="000A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0E2" w:rsidRDefault="002C00E2" w:rsidP="003527E6">
      <w:r>
        <w:separator/>
      </w:r>
    </w:p>
  </w:footnote>
  <w:footnote w:type="continuationSeparator" w:id="0">
    <w:p w:rsidR="002C00E2" w:rsidRDefault="002C00E2" w:rsidP="003527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62" w:rsidRPr="00DB4E9D" w:rsidRDefault="007163F6" w:rsidP="000E0AEA">
    <w:pPr>
      <w:pStyle w:val="Header"/>
      <w:tabs>
        <w:tab w:val="clear" w:pos="4320"/>
        <w:tab w:val="clear" w:pos="8640"/>
        <w:tab w:val="right" w:pos="10200"/>
      </w:tabs>
      <w:rPr>
        <w:b/>
        <w:i/>
        <w:sz w:val="16"/>
      </w:rPr>
    </w:pPr>
    <w:r w:rsidRPr="0046230F">
      <w:rPr>
        <w:b/>
        <w:sz w:val="16"/>
      </w:rPr>
      <w:fldChar w:fldCharType="begin"/>
    </w:r>
    <w:r w:rsidR="00CE2262" w:rsidRPr="0046230F">
      <w:rPr>
        <w:b/>
        <w:sz w:val="16"/>
      </w:rPr>
      <w:instrText xml:space="preserve"> PAGE  </w:instrText>
    </w:r>
    <w:r w:rsidRPr="0046230F">
      <w:rPr>
        <w:b/>
        <w:sz w:val="16"/>
      </w:rPr>
      <w:fldChar w:fldCharType="separate"/>
    </w:r>
    <w:r w:rsidR="00CE2262">
      <w:rPr>
        <w:b/>
        <w:noProof/>
        <w:sz w:val="16"/>
      </w:rPr>
      <w:t>2</w:t>
    </w:r>
    <w:r w:rsidRPr="0046230F">
      <w:rPr>
        <w:b/>
        <w:sz w:val="16"/>
      </w:rPr>
      <w:fldChar w:fldCharType="end"/>
    </w:r>
    <w:r w:rsidR="00CE2262">
      <w:rPr>
        <w:b/>
        <w:i/>
        <w:sz w:val="16"/>
      </w:rPr>
      <w:t xml:space="preserve">Current </w:t>
    </w:r>
    <w:r w:rsidR="00CE2262" w:rsidRPr="00DB4E9D">
      <w:rPr>
        <w:b/>
        <w:i/>
        <w:sz w:val="16"/>
      </w:rPr>
      <w:t xml:space="preserve">Drug Delivery, </w:t>
    </w:r>
    <w:r w:rsidR="00CE2262">
      <w:rPr>
        <w:b/>
        <w:sz w:val="16"/>
      </w:rPr>
      <w:t>2020</w:t>
    </w:r>
    <w:r w:rsidR="00CE2262" w:rsidRPr="00DB4E9D">
      <w:rPr>
        <w:b/>
        <w:i/>
        <w:sz w:val="16"/>
      </w:rPr>
      <w:t>, Vol. 16, No. 0</w:t>
    </w:r>
    <w:r w:rsidR="00CE2262" w:rsidRPr="0046230F">
      <w:rPr>
        <w:b/>
        <w:i/>
        <w:sz w:val="16"/>
      </w:rPr>
      <w:tab/>
    </w:r>
    <w:proofErr w:type="spellStart"/>
    <w:r w:rsidR="00CE2262">
      <w:rPr>
        <w:b/>
        <w:i/>
        <w:sz w:val="16"/>
      </w:rPr>
      <w:t>Powar</w:t>
    </w:r>
    <w:r w:rsidR="00CE2262" w:rsidRPr="00DB4E9D">
      <w:rPr>
        <w:b/>
        <w:i/>
        <w:sz w:val="16"/>
      </w:rPr>
      <w:t>et</w:t>
    </w:r>
    <w:proofErr w:type="spellEnd"/>
    <w:r w:rsidR="00CE2262" w:rsidRPr="00DB4E9D">
      <w:rPr>
        <w:b/>
        <w:i/>
        <w:sz w:val="16"/>
      </w:rPr>
      <w:t xml:space="preserve"> 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66F71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9EF21BB"/>
    <w:multiLevelType w:val="hybridMultilevel"/>
    <w:tmpl w:val="A7EECEE0"/>
    <w:lvl w:ilvl="0" w:tplc="96CEE8D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AF56DB7"/>
    <w:multiLevelType w:val="hybridMultilevel"/>
    <w:tmpl w:val="B4F4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004D1E"/>
    <w:multiLevelType w:val="multilevel"/>
    <w:tmpl w:val="88E0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C217BF"/>
    <w:multiLevelType w:val="hybridMultilevel"/>
    <w:tmpl w:val="4782D89C"/>
    <w:lvl w:ilvl="0" w:tplc="92FA119C">
      <w:start w:val="1"/>
      <w:numFmt w:val="decimal"/>
      <w:pStyle w:val="ListParagraph"/>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402DC1"/>
    <w:multiLevelType w:val="multilevel"/>
    <w:tmpl w:val="20DA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152FD1"/>
    <w:multiLevelType w:val="hybridMultilevel"/>
    <w:tmpl w:val="B7B64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0FF3CB6"/>
    <w:multiLevelType w:val="hybridMultilevel"/>
    <w:tmpl w:val="F76EB746"/>
    <w:lvl w:ilvl="0" w:tplc="852A06E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1628D4"/>
    <w:multiLevelType w:val="hybridMultilevel"/>
    <w:tmpl w:val="D9E8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801640"/>
    <w:multiLevelType w:val="hybridMultilevel"/>
    <w:tmpl w:val="309421F0"/>
    <w:lvl w:ilvl="0" w:tplc="96CEE8D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A2C7737"/>
    <w:multiLevelType w:val="multilevel"/>
    <w:tmpl w:val="9272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8"/>
  </w:num>
  <w:num w:numId="4">
    <w:abstractNumId w:val="10"/>
  </w:num>
  <w:num w:numId="5">
    <w:abstractNumId w:val="2"/>
  </w:num>
  <w:num w:numId="6">
    <w:abstractNumId w:val="9"/>
  </w:num>
  <w:num w:numId="7">
    <w:abstractNumId w:val="1"/>
  </w:num>
  <w:num w:numId="8">
    <w:abstractNumId w:val="6"/>
  </w:num>
  <w:num w:numId="9">
    <w:abstractNumId w:val="1"/>
  </w:num>
  <w:num w:numId="10">
    <w:abstractNumId w:val="7"/>
  </w:num>
  <w:num w:numId="11">
    <w:abstractNumId w:val="3"/>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TUzNzcxAwITCwtDcyUdpeDU4uLM/DyQAstaAHN3tpssAAAA"/>
    <w:docVar w:name="EN.InstantFormat" w:val="&lt;ENInstantFormat&gt;&lt;Enabled&gt;1&lt;/Enabled&gt;&lt;ScanUnformatted&gt;1&lt;/ScanUnformatted&gt;&lt;ScanChanges&gt;1&lt;/ScanChanges&gt;&lt;Suspended&gt;0&lt;/Suspended&gt;&lt;/ENInstantFormat&gt;"/>
    <w:docVar w:name="EN.Layout" w:val="&lt;ENLayout&gt;&lt;Style&gt;Actachimica Slovenica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2ef2t2hvz5asez0dnprs50e22was0afref&quot;&gt;My EndNote Library=MTX&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record-ids&gt;&lt;/item&gt;&lt;/Libraries&gt;"/>
  </w:docVars>
  <w:rsids>
    <w:rsidRoot w:val="003527E6"/>
    <w:rsid w:val="000016F0"/>
    <w:rsid w:val="0000487E"/>
    <w:rsid w:val="0000713A"/>
    <w:rsid w:val="000247D6"/>
    <w:rsid w:val="00042276"/>
    <w:rsid w:val="00050715"/>
    <w:rsid w:val="00056706"/>
    <w:rsid w:val="00060C24"/>
    <w:rsid w:val="00061E70"/>
    <w:rsid w:val="00065E7D"/>
    <w:rsid w:val="00070353"/>
    <w:rsid w:val="00077D94"/>
    <w:rsid w:val="00083922"/>
    <w:rsid w:val="0009246C"/>
    <w:rsid w:val="00092D94"/>
    <w:rsid w:val="000A141F"/>
    <w:rsid w:val="000A4335"/>
    <w:rsid w:val="000B711B"/>
    <w:rsid w:val="000D31F9"/>
    <w:rsid w:val="000E0AEA"/>
    <w:rsid w:val="000E4E30"/>
    <w:rsid w:val="000E74BF"/>
    <w:rsid w:val="000E782D"/>
    <w:rsid w:val="000E7F35"/>
    <w:rsid w:val="000F5E14"/>
    <w:rsid w:val="001003E3"/>
    <w:rsid w:val="00104398"/>
    <w:rsid w:val="00104901"/>
    <w:rsid w:val="00105217"/>
    <w:rsid w:val="0011707E"/>
    <w:rsid w:val="00120E04"/>
    <w:rsid w:val="00123FF2"/>
    <w:rsid w:val="001537E8"/>
    <w:rsid w:val="00155A14"/>
    <w:rsid w:val="001661DC"/>
    <w:rsid w:val="00185378"/>
    <w:rsid w:val="001926F8"/>
    <w:rsid w:val="00194694"/>
    <w:rsid w:val="001A08F2"/>
    <w:rsid w:val="001A3DE8"/>
    <w:rsid w:val="001B7B7C"/>
    <w:rsid w:val="001C565A"/>
    <w:rsid w:val="001C768D"/>
    <w:rsid w:val="001D0CE9"/>
    <w:rsid w:val="001D39E8"/>
    <w:rsid w:val="001D3D23"/>
    <w:rsid w:val="001D5091"/>
    <w:rsid w:val="001E1E94"/>
    <w:rsid w:val="001E48C5"/>
    <w:rsid w:val="001E7A7D"/>
    <w:rsid w:val="001F1C60"/>
    <w:rsid w:val="001F5DC7"/>
    <w:rsid w:val="00204231"/>
    <w:rsid w:val="002042AD"/>
    <w:rsid w:val="0021028E"/>
    <w:rsid w:val="00214207"/>
    <w:rsid w:val="00214224"/>
    <w:rsid w:val="00217031"/>
    <w:rsid w:val="00217608"/>
    <w:rsid w:val="00217C37"/>
    <w:rsid w:val="00224DFA"/>
    <w:rsid w:val="002330A1"/>
    <w:rsid w:val="00242D2C"/>
    <w:rsid w:val="00242DA9"/>
    <w:rsid w:val="00244CDA"/>
    <w:rsid w:val="00265E9B"/>
    <w:rsid w:val="00273C44"/>
    <w:rsid w:val="002751F3"/>
    <w:rsid w:val="00282C8F"/>
    <w:rsid w:val="00287639"/>
    <w:rsid w:val="00294467"/>
    <w:rsid w:val="002B30BE"/>
    <w:rsid w:val="002C00E2"/>
    <w:rsid w:val="002C5FF6"/>
    <w:rsid w:val="002D0920"/>
    <w:rsid w:val="002E3EF6"/>
    <w:rsid w:val="002E4185"/>
    <w:rsid w:val="002E553C"/>
    <w:rsid w:val="002F2496"/>
    <w:rsid w:val="002F415D"/>
    <w:rsid w:val="002F644B"/>
    <w:rsid w:val="00311235"/>
    <w:rsid w:val="0031242C"/>
    <w:rsid w:val="00315F01"/>
    <w:rsid w:val="00327B37"/>
    <w:rsid w:val="0035096C"/>
    <w:rsid w:val="003527E6"/>
    <w:rsid w:val="00352F99"/>
    <w:rsid w:val="003551F9"/>
    <w:rsid w:val="00364884"/>
    <w:rsid w:val="00366F04"/>
    <w:rsid w:val="00373B4C"/>
    <w:rsid w:val="00384939"/>
    <w:rsid w:val="00386DBC"/>
    <w:rsid w:val="00390751"/>
    <w:rsid w:val="003A7579"/>
    <w:rsid w:val="003B2CA1"/>
    <w:rsid w:val="003F0FB6"/>
    <w:rsid w:val="0040488A"/>
    <w:rsid w:val="004105A2"/>
    <w:rsid w:val="00415669"/>
    <w:rsid w:val="00416077"/>
    <w:rsid w:val="0042366F"/>
    <w:rsid w:val="0043206A"/>
    <w:rsid w:val="00435D1B"/>
    <w:rsid w:val="004454A3"/>
    <w:rsid w:val="00461E60"/>
    <w:rsid w:val="004645E4"/>
    <w:rsid w:val="004665DC"/>
    <w:rsid w:val="00476E66"/>
    <w:rsid w:val="00480513"/>
    <w:rsid w:val="004808AE"/>
    <w:rsid w:val="0048390E"/>
    <w:rsid w:val="00493BE5"/>
    <w:rsid w:val="004B1BED"/>
    <w:rsid w:val="004B3707"/>
    <w:rsid w:val="004B5EFB"/>
    <w:rsid w:val="004C09E8"/>
    <w:rsid w:val="004E2EEC"/>
    <w:rsid w:val="00502FD6"/>
    <w:rsid w:val="00505FD5"/>
    <w:rsid w:val="00507607"/>
    <w:rsid w:val="00520DDA"/>
    <w:rsid w:val="00527EB9"/>
    <w:rsid w:val="00531022"/>
    <w:rsid w:val="00531118"/>
    <w:rsid w:val="0054003A"/>
    <w:rsid w:val="00542D7D"/>
    <w:rsid w:val="005463D8"/>
    <w:rsid w:val="005539E2"/>
    <w:rsid w:val="00565C07"/>
    <w:rsid w:val="0057780D"/>
    <w:rsid w:val="005846F4"/>
    <w:rsid w:val="00585FBB"/>
    <w:rsid w:val="00595256"/>
    <w:rsid w:val="005A02BC"/>
    <w:rsid w:val="005B38C7"/>
    <w:rsid w:val="005D0EFC"/>
    <w:rsid w:val="005D57B4"/>
    <w:rsid w:val="005D76C0"/>
    <w:rsid w:val="005E1940"/>
    <w:rsid w:val="005F147F"/>
    <w:rsid w:val="00605588"/>
    <w:rsid w:val="00636500"/>
    <w:rsid w:val="00643046"/>
    <w:rsid w:val="00651F05"/>
    <w:rsid w:val="0066643E"/>
    <w:rsid w:val="0067473B"/>
    <w:rsid w:val="00680496"/>
    <w:rsid w:val="00682D23"/>
    <w:rsid w:val="006A24BE"/>
    <w:rsid w:val="006C38A6"/>
    <w:rsid w:val="006D368E"/>
    <w:rsid w:val="006D590B"/>
    <w:rsid w:val="006D7AE8"/>
    <w:rsid w:val="00703DC7"/>
    <w:rsid w:val="007163F6"/>
    <w:rsid w:val="00717118"/>
    <w:rsid w:val="007179FF"/>
    <w:rsid w:val="00717B35"/>
    <w:rsid w:val="007202DC"/>
    <w:rsid w:val="007215D3"/>
    <w:rsid w:val="00730ED1"/>
    <w:rsid w:val="00732442"/>
    <w:rsid w:val="0073447F"/>
    <w:rsid w:val="00740241"/>
    <w:rsid w:val="00741E5A"/>
    <w:rsid w:val="0076336F"/>
    <w:rsid w:val="00787912"/>
    <w:rsid w:val="00794EC3"/>
    <w:rsid w:val="007A645E"/>
    <w:rsid w:val="007B7A8D"/>
    <w:rsid w:val="007C041F"/>
    <w:rsid w:val="007C199A"/>
    <w:rsid w:val="007C395F"/>
    <w:rsid w:val="007C683D"/>
    <w:rsid w:val="007D02AF"/>
    <w:rsid w:val="007E65DF"/>
    <w:rsid w:val="00813A45"/>
    <w:rsid w:val="00816235"/>
    <w:rsid w:val="00831CFE"/>
    <w:rsid w:val="00846FFD"/>
    <w:rsid w:val="00855EC9"/>
    <w:rsid w:val="008561B6"/>
    <w:rsid w:val="00857CE5"/>
    <w:rsid w:val="00864A98"/>
    <w:rsid w:val="00864E7B"/>
    <w:rsid w:val="00864ED0"/>
    <w:rsid w:val="0087666B"/>
    <w:rsid w:val="00883F14"/>
    <w:rsid w:val="0089063E"/>
    <w:rsid w:val="00894A0C"/>
    <w:rsid w:val="00896A45"/>
    <w:rsid w:val="008A57E2"/>
    <w:rsid w:val="008B2EDD"/>
    <w:rsid w:val="008C63BD"/>
    <w:rsid w:val="008C709D"/>
    <w:rsid w:val="008C7FC2"/>
    <w:rsid w:val="008E07F5"/>
    <w:rsid w:val="008F53F8"/>
    <w:rsid w:val="00910704"/>
    <w:rsid w:val="00912FA1"/>
    <w:rsid w:val="0092007C"/>
    <w:rsid w:val="00920298"/>
    <w:rsid w:val="00927EB6"/>
    <w:rsid w:val="00927F75"/>
    <w:rsid w:val="00932233"/>
    <w:rsid w:val="0094560E"/>
    <w:rsid w:val="00955851"/>
    <w:rsid w:val="00957968"/>
    <w:rsid w:val="009579C7"/>
    <w:rsid w:val="00965F20"/>
    <w:rsid w:val="009675B1"/>
    <w:rsid w:val="009678C5"/>
    <w:rsid w:val="00970588"/>
    <w:rsid w:val="009720C1"/>
    <w:rsid w:val="00987663"/>
    <w:rsid w:val="00993DE9"/>
    <w:rsid w:val="00996B5B"/>
    <w:rsid w:val="00997A62"/>
    <w:rsid w:val="009B2365"/>
    <w:rsid w:val="009B54A6"/>
    <w:rsid w:val="009D0885"/>
    <w:rsid w:val="009D12A1"/>
    <w:rsid w:val="009D6587"/>
    <w:rsid w:val="009E6458"/>
    <w:rsid w:val="009E6E98"/>
    <w:rsid w:val="009F16B2"/>
    <w:rsid w:val="00A0709D"/>
    <w:rsid w:val="00A0771F"/>
    <w:rsid w:val="00A32BFA"/>
    <w:rsid w:val="00A36CE6"/>
    <w:rsid w:val="00A36EFC"/>
    <w:rsid w:val="00A64EE0"/>
    <w:rsid w:val="00A673BE"/>
    <w:rsid w:val="00A7040A"/>
    <w:rsid w:val="00A733CF"/>
    <w:rsid w:val="00A7489B"/>
    <w:rsid w:val="00A76BC7"/>
    <w:rsid w:val="00A77EC7"/>
    <w:rsid w:val="00A86E70"/>
    <w:rsid w:val="00A90E78"/>
    <w:rsid w:val="00A93A90"/>
    <w:rsid w:val="00AA4E34"/>
    <w:rsid w:val="00AB04F4"/>
    <w:rsid w:val="00AB243E"/>
    <w:rsid w:val="00AC161E"/>
    <w:rsid w:val="00AD565E"/>
    <w:rsid w:val="00AD6AAF"/>
    <w:rsid w:val="00AE07D1"/>
    <w:rsid w:val="00AE131E"/>
    <w:rsid w:val="00AF02CD"/>
    <w:rsid w:val="00AF5C2A"/>
    <w:rsid w:val="00B0562D"/>
    <w:rsid w:val="00B10414"/>
    <w:rsid w:val="00B12FF6"/>
    <w:rsid w:val="00B17C3D"/>
    <w:rsid w:val="00B2717C"/>
    <w:rsid w:val="00B333D1"/>
    <w:rsid w:val="00B33CF0"/>
    <w:rsid w:val="00B3414D"/>
    <w:rsid w:val="00B41994"/>
    <w:rsid w:val="00B61F9E"/>
    <w:rsid w:val="00B65286"/>
    <w:rsid w:val="00B67FE6"/>
    <w:rsid w:val="00B71357"/>
    <w:rsid w:val="00B72872"/>
    <w:rsid w:val="00B84CC9"/>
    <w:rsid w:val="00BB087D"/>
    <w:rsid w:val="00BB2E4D"/>
    <w:rsid w:val="00BB7A29"/>
    <w:rsid w:val="00BC2E7F"/>
    <w:rsid w:val="00BD4238"/>
    <w:rsid w:val="00BD53B5"/>
    <w:rsid w:val="00BE2487"/>
    <w:rsid w:val="00C100E1"/>
    <w:rsid w:val="00C1442E"/>
    <w:rsid w:val="00C14C95"/>
    <w:rsid w:val="00C264FB"/>
    <w:rsid w:val="00C4027C"/>
    <w:rsid w:val="00C4364D"/>
    <w:rsid w:val="00C46F8A"/>
    <w:rsid w:val="00C53815"/>
    <w:rsid w:val="00C56474"/>
    <w:rsid w:val="00C612F7"/>
    <w:rsid w:val="00C86857"/>
    <w:rsid w:val="00C924FE"/>
    <w:rsid w:val="00C92EAD"/>
    <w:rsid w:val="00CA7710"/>
    <w:rsid w:val="00CB136D"/>
    <w:rsid w:val="00CB3514"/>
    <w:rsid w:val="00CB5193"/>
    <w:rsid w:val="00CB72D2"/>
    <w:rsid w:val="00CD00CB"/>
    <w:rsid w:val="00CD50E4"/>
    <w:rsid w:val="00CE0780"/>
    <w:rsid w:val="00CE1D8A"/>
    <w:rsid w:val="00CE2262"/>
    <w:rsid w:val="00CE49A4"/>
    <w:rsid w:val="00CE7EF0"/>
    <w:rsid w:val="00CF62CB"/>
    <w:rsid w:val="00D07021"/>
    <w:rsid w:val="00D10CA0"/>
    <w:rsid w:val="00D15C57"/>
    <w:rsid w:val="00D405AB"/>
    <w:rsid w:val="00D40CDC"/>
    <w:rsid w:val="00D43B56"/>
    <w:rsid w:val="00D51F71"/>
    <w:rsid w:val="00D541E4"/>
    <w:rsid w:val="00D61DB4"/>
    <w:rsid w:val="00D646B2"/>
    <w:rsid w:val="00D6522C"/>
    <w:rsid w:val="00D721EA"/>
    <w:rsid w:val="00D738DA"/>
    <w:rsid w:val="00D82C50"/>
    <w:rsid w:val="00D85AED"/>
    <w:rsid w:val="00D87B1C"/>
    <w:rsid w:val="00D920F2"/>
    <w:rsid w:val="00D95A5B"/>
    <w:rsid w:val="00DA0CF4"/>
    <w:rsid w:val="00DA2867"/>
    <w:rsid w:val="00DB03E3"/>
    <w:rsid w:val="00DB0AB6"/>
    <w:rsid w:val="00DB5C0A"/>
    <w:rsid w:val="00DD14B9"/>
    <w:rsid w:val="00DD30F6"/>
    <w:rsid w:val="00DD3772"/>
    <w:rsid w:val="00DD4555"/>
    <w:rsid w:val="00DE43A6"/>
    <w:rsid w:val="00DE5992"/>
    <w:rsid w:val="00DE5C12"/>
    <w:rsid w:val="00DE7EAF"/>
    <w:rsid w:val="00DF0DF7"/>
    <w:rsid w:val="00DF3D9A"/>
    <w:rsid w:val="00E01C6C"/>
    <w:rsid w:val="00E04139"/>
    <w:rsid w:val="00E07ED0"/>
    <w:rsid w:val="00E2037A"/>
    <w:rsid w:val="00E21C65"/>
    <w:rsid w:val="00E226E6"/>
    <w:rsid w:val="00E2333E"/>
    <w:rsid w:val="00E2378B"/>
    <w:rsid w:val="00E359EF"/>
    <w:rsid w:val="00E36FB7"/>
    <w:rsid w:val="00E57ECE"/>
    <w:rsid w:val="00E621C6"/>
    <w:rsid w:val="00E743C1"/>
    <w:rsid w:val="00E7510D"/>
    <w:rsid w:val="00E75D6F"/>
    <w:rsid w:val="00EB17D3"/>
    <w:rsid w:val="00EB1B22"/>
    <w:rsid w:val="00EB2919"/>
    <w:rsid w:val="00EC0559"/>
    <w:rsid w:val="00EC7922"/>
    <w:rsid w:val="00ED6A80"/>
    <w:rsid w:val="00ED7E65"/>
    <w:rsid w:val="00EE4E5E"/>
    <w:rsid w:val="00EE58B8"/>
    <w:rsid w:val="00EF0503"/>
    <w:rsid w:val="00EF238B"/>
    <w:rsid w:val="00EF38D1"/>
    <w:rsid w:val="00F051F6"/>
    <w:rsid w:val="00F059FF"/>
    <w:rsid w:val="00F10E50"/>
    <w:rsid w:val="00F21B4B"/>
    <w:rsid w:val="00F21CDA"/>
    <w:rsid w:val="00F3220F"/>
    <w:rsid w:val="00F33906"/>
    <w:rsid w:val="00F37E9A"/>
    <w:rsid w:val="00F426AA"/>
    <w:rsid w:val="00F42E51"/>
    <w:rsid w:val="00F46C90"/>
    <w:rsid w:val="00F51352"/>
    <w:rsid w:val="00F5425B"/>
    <w:rsid w:val="00F57FE9"/>
    <w:rsid w:val="00F71F31"/>
    <w:rsid w:val="00F74B54"/>
    <w:rsid w:val="00F83918"/>
    <w:rsid w:val="00F8501B"/>
    <w:rsid w:val="00F94B29"/>
    <w:rsid w:val="00FA0739"/>
    <w:rsid w:val="00FA1B48"/>
    <w:rsid w:val="00FA311B"/>
    <w:rsid w:val="00FA4878"/>
    <w:rsid w:val="00FA582C"/>
    <w:rsid w:val="00FB1DF7"/>
    <w:rsid w:val="00FC62A3"/>
    <w:rsid w:val="00FD4D29"/>
    <w:rsid w:val="00FD7903"/>
    <w:rsid w:val="00FE76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HTML Preformatted" w:uiPriority="0"/>
    <w:lsdException w:name="HTML Typewriter" w:uiPriority="0"/>
    <w:lsdException w:name="annotation subject" w:uiPriority="0"/>
    <w:lsdException w:name="Table Simple 1" w:uiPriority="0"/>
    <w:lsdException w:name="Table Classic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7E6"/>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527E6"/>
    <w:pPr>
      <w:spacing w:before="100" w:beforeAutospacing="1" w:after="100" w:afterAutospacing="1"/>
      <w:outlineLvl w:val="0"/>
    </w:pPr>
    <w:rPr>
      <w:rFonts w:eastAsia="Batang"/>
      <w:b/>
      <w:bCs/>
      <w:kern w:val="36"/>
      <w:sz w:val="48"/>
      <w:szCs w:val="48"/>
    </w:rPr>
  </w:style>
  <w:style w:type="paragraph" w:styleId="Heading2">
    <w:name w:val="heading 2"/>
    <w:basedOn w:val="Normal"/>
    <w:next w:val="Normal"/>
    <w:link w:val="Heading2Char"/>
    <w:qFormat/>
    <w:rsid w:val="003527E6"/>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3527E6"/>
    <w:pPr>
      <w:spacing w:before="100" w:beforeAutospacing="1" w:after="100" w:afterAutospacing="1"/>
      <w:outlineLvl w:val="2"/>
    </w:pPr>
    <w:rPr>
      <w:rFonts w:eastAsia="Batang"/>
      <w:b/>
      <w:bCs/>
      <w:sz w:val="27"/>
      <w:szCs w:val="27"/>
    </w:rPr>
  </w:style>
  <w:style w:type="paragraph" w:styleId="Heading4">
    <w:name w:val="heading 4"/>
    <w:basedOn w:val="Normal"/>
    <w:next w:val="Normal"/>
    <w:link w:val="Heading4Char"/>
    <w:qFormat/>
    <w:rsid w:val="003527E6"/>
    <w:pPr>
      <w:keepNext/>
      <w:widowControl w:val="0"/>
      <w:autoSpaceDE w:val="0"/>
      <w:autoSpaceDN w:val="0"/>
      <w:adjustRightInd w:val="0"/>
      <w:spacing w:before="240" w:after="60"/>
      <w:outlineLvl w:val="3"/>
    </w:pPr>
    <w:rPr>
      <w:rFonts w:ascii="Times" w:eastAsia="Batang" w:hAnsi="Times" w:cs="Times"/>
      <w:b/>
      <w:bCs/>
      <w:noProof/>
      <w:lang w:eastAsia="ko-KR"/>
    </w:rPr>
  </w:style>
  <w:style w:type="paragraph" w:styleId="Heading5">
    <w:name w:val="heading 5"/>
    <w:basedOn w:val="Normal"/>
    <w:next w:val="Normal"/>
    <w:link w:val="Heading5Char"/>
    <w:qFormat/>
    <w:rsid w:val="003527E6"/>
    <w:pPr>
      <w:keepNext/>
      <w:widowControl w:val="0"/>
      <w:autoSpaceDE w:val="0"/>
      <w:autoSpaceDN w:val="0"/>
      <w:adjustRightInd w:val="0"/>
      <w:spacing w:before="240" w:after="60"/>
      <w:outlineLvl w:val="4"/>
    </w:pPr>
    <w:rPr>
      <w:rFonts w:ascii="Times" w:eastAsia="Batang" w:hAnsi="Times" w:cs="Times"/>
      <w:b/>
      <w:bCs/>
      <w:noProof/>
      <w:lang w:eastAsia="ko-KR"/>
    </w:rPr>
  </w:style>
  <w:style w:type="paragraph" w:styleId="Heading6">
    <w:name w:val="heading 6"/>
    <w:basedOn w:val="Normal"/>
    <w:next w:val="Normal"/>
    <w:link w:val="Heading6Char"/>
    <w:qFormat/>
    <w:rsid w:val="003527E6"/>
    <w:pPr>
      <w:keepNext/>
      <w:widowControl w:val="0"/>
      <w:autoSpaceDE w:val="0"/>
      <w:autoSpaceDN w:val="0"/>
      <w:adjustRightInd w:val="0"/>
      <w:spacing w:before="240" w:after="60"/>
      <w:outlineLvl w:val="5"/>
    </w:pPr>
    <w:rPr>
      <w:rFonts w:ascii="Times" w:eastAsia="Batang" w:hAnsi="Times" w:cs="Times"/>
      <w:b/>
      <w:bCs/>
      <w:noProof/>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E6"/>
    <w:rPr>
      <w:rFonts w:ascii="Times New Roman" w:eastAsia="Batang" w:hAnsi="Times New Roman" w:cs="Times New Roman"/>
      <w:b/>
      <w:bCs/>
      <w:kern w:val="36"/>
      <w:sz w:val="48"/>
      <w:szCs w:val="48"/>
    </w:rPr>
  </w:style>
  <w:style w:type="character" w:customStyle="1" w:styleId="Heading2Char">
    <w:name w:val="Heading 2 Char"/>
    <w:basedOn w:val="DefaultParagraphFont"/>
    <w:link w:val="Heading2"/>
    <w:rsid w:val="003527E6"/>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527E6"/>
    <w:rPr>
      <w:rFonts w:ascii="Times New Roman" w:eastAsia="Batang" w:hAnsi="Times New Roman" w:cs="Times New Roman"/>
      <w:b/>
      <w:bCs/>
      <w:sz w:val="27"/>
      <w:szCs w:val="27"/>
    </w:rPr>
  </w:style>
  <w:style w:type="character" w:customStyle="1" w:styleId="Heading4Char">
    <w:name w:val="Heading 4 Char"/>
    <w:basedOn w:val="DefaultParagraphFont"/>
    <w:link w:val="Heading4"/>
    <w:rsid w:val="003527E6"/>
    <w:rPr>
      <w:rFonts w:ascii="Times" w:eastAsia="Batang" w:hAnsi="Times" w:cs="Times"/>
      <w:b/>
      <w:bCs/>
      <w:noProof/>
      <w:sz w:val="24"/>
      <w:szCs w:val="24"/>
      <w:lang w:eastAsia="ko-KR"/>
    </w:rPr>
  </w:style>
  <w:style w:type="character" w:customStyle="1" w:styleId="Heading5Char">
    <w:name w:val="Heading 5 Char"/>
    <w:basedOn w:val="DefaultParagraphFont"/>
    <w:link w:val="Heading5"/>
    <w:rsid w:val="003527E6"/>
    <w:rPr>
      <w:rFonts w:ascii="Times" w:eastAsia="Batang" w:hAnsi="Times" w:cs="Times"/>
      <w:b/>
      <w:bCs/>
      <w:noProof/>
      <w:sz w:val="24"/>
      <w:szCs w:val="24"/>
      <w:lang w:eastAsia="ko-KR"/>
    </w:rPr>
  </w:style>
  <w:style w:type="character" w:customStyle="1" w:styleId="Heading6Char">
    <w:name w:val="Heading 6 Char"/>
    <w:basedOn w:val="DefaultParagraphFont"/>
    <w:link w:val="Heading6"/>
    <w:rsid w:val="003527E6"/>
    <w:rPr>
      <w:rFonts w:ascii="Times" w:eastAsia="Batang" w:hAnsi="Times" w:cs="Times"/>
      <w:b/>
      <w:bCs/>
      <w:noProof/>
      <w:sz w:val="24"/>
      <w:szCs w:val="24"/>
      <w:lang w:eastAsia="ko-KR"/>
    </w:rPr>
  </w:style>
  <w:style w:type="character" w:styleId="Emphasis">
    <w:name w:val="Emphasis"/>
    <w:uiPriority w:val="20"/>
    <w:qFormat/>
    <w:rsid w:val="003527E6"/>
    <w:rPr>
      <w:i/>
      <w:iCs/>
    </w:rPr>
  </w:style>
  <w:style w:type="character" w:customStyle="1" w:styleId="colorkey12">
    <w:name w:val="color_key_12"/>
    <w:rsid w:val="003527E6"/>
    <w:rPr>
      <w:shd w:val="clear" w:color="auto" w:fill="FFD700"/>
    </w:rPr>
  </w:style>
  <w:style w:type="character" w:customStyle="1" w:styleId="colorkey21">
    <w:name w:val="color_key_21"/>
    <w:rsid w:val="003527E6"/>
    <w:rPr>
      <w:shd w:val="clear" w:color="auto" w:fill="00FF00"/>
    </w:rPr>
  </w:style>
  <w:style w:type="character" w:styleId="Hyperlink">
    <w:name w:val="Hyperlink"/>
    <w:uiPriority w:val="99"/>
    <w:unhideWhenUsed/>
    <w:rsid w:val="003527E6"/>
    <w:rPr>
      <w:color w:val="0000FF"/>
      <w:u w:val="single"/>
    </w:rPr>
  </w:style>
  <w:style w:type="paragraph" w:styleId="Footer">
    <w:name w:val="footer"/>
    <w:basedOn w:val="Normal"/>
    <w:link w:val="FooterChar"/>
    <w:uiPriority w:val="99"/>
    <w:unhideWhenUsed/>
    <w:rsid w:val="003527E6"/>
    <w:pPr>
      <w:tabs>
        <w:tab w:val="center" w:pos="4252"/>
        <w:tab w:val="right" w:pos="8504"/>
      </w:tabs>
      <w:jc w:val="both"/>
    </w:pPr>
    <w:rPr>
      <w:rFonts w:ascii="Calibri" w:eastAsia="Calibri" w:hAnsi="Calibri"/>
      <w:sz w:val="22"/>
      <w:szCs w:val="22"/>
      <w:lang w:val="es-ES_tradnl"/>
    </w:rPr>
  </w:style>
  <w:style w:type="character" w:customStyle="1" w:styleId="FooterChar">
    <w:name w:val="Footer Char"/>
    <w:basedOn w:val="DefaultParagraphFont"/>
    <w:link w:val="Footer"/>
    <w:uiPriority w:val="99"/>
    <w:rsid w:val="003527E6"/>
    <w:rPr>
      <w:rFonts w:ascii="Calibri" w:eastAsia="Calibri" w:hAnsi="Calibri" w:cs="Times New Roman"/>
      <w:lang w:val="es-ES_tradnl"/>
    </w:rPr>
  </w:style>
  <w:style w:type="character" w:customStyle="1" w:styleId="PiedepginaCar">
    <w:name w:val="Pie de página Car"/>
    <w:rsid w:val="003527E6"/>
    <w:rPr>
      <w:sz w:val="22"/>
      <w:szCs w:val="22"/>
      <w:lang w:eastAsia="en-US"/>
    </w:rPr>
  </w:style>
  <w:style w:type="character" w:customStyle="1" w:styleId="hithilite1">
    <w:name w:val="hithilite1"/>
    <w:rsid w:val="003527E6"/>
    <w:rPr>
      <w:shd w:val="clear" w:color="auto" w:fill="FFF3C6"/>
    </w:rPr>
  </w:style>
  <w:style w:type="character" w:customStyle="1" w:styleId="databold1">
    <w:name w:val="data_bold1"/>
    <w:rsid w:val="003527E6"/>
    <w:rPr>
      <w:b/>
      <w:bCs/>
    </w:rPr>
  </w:style>
  <w:style w:type="paragraph" w:styleId="NormalWeb">
    <w:name w:val="Normal (Web)"/>
    <w:basedOn w:val="Normal"/>
    <w:uiPriority w:val="99"/>
    <w:unhideWhenUsed/>
    <w:rsid w:val="003527E6"/>
    <w:pPr>
      <w:spacing w:before="100" w:beforeAutospacing="1" w:after="100" w:afterAutospacing="1"/>
    </w:pPr>
    <w:rPr>
      <w:lang w:val="es-ES_tradnl" w:eastAsia="es-ES_tradnl"/>
    </w:rPr>
  </w:style>
  <w:style w:type="character" w:styleId="Strong">
    <w:name w:val="Strong"/>
    <w:uiPriority w:val="22"/>
    <w:qFormat/>
    <w:rsid w:val="003527E6"/>
    <w:rPr>
      <w:b/>
      <w:bCs/>
    </w:rPr>
  </w:style>
  <w:style w:type="character" w:customStyle="1" w:styleId="f1">
    <w:name w:val="f1"/>
    <w:rsid w:val="003527E6"/>
    <w:rPr>
      <w:color w:val="676767"/>
    </w:rPr>
  </w:style>
  <w:style w:type="character" w:customStyle="1" w:styleId="hit">
    <w:name w:val="hit"/>
    <w:basedOn w:val="DefaultParagraphFont"/>
    <w:rsid w:val="003527E6"/>
  </w:style>
  <w:style w:type="paragraph" w:customStyle="1" w:styleId="TableHead">
    <w:name w:val="TableHead"/>
    <w:basedOn w:val="Normal"/>
    <w:rsid w:val="003527E6"/>
    <w:pPr>
      <w:spacing w:before="120" w:after="120" w:line="200" w:lineRule="exact"/>
    </w:pPr>
    <w:rPr>
      <w:rFonts w:ascii="Arial" w:eastAsia="MS Mincho" w:hAnsi="Arial"/>
      <w:sz w:val="16"/>
      <w:lang w:val="en-GB" w:eastAsia="ja-JP"/>
    </w:rPr>
  </w:style>
  <w:style w:type="paragraph" w:customStyle="1" w:styleId="TableBody">
    <w:name w:val="TableBody"/>
    <w:basedOn w:val="Normal"/>
    <w:rsid w:val="003527E6"/>
    <w:pPr>
      <w:spacing w:before="120" w:after="120" w:line="230" w:lineRule="exact"/>
    </w:pPr>
    <w:rPr>
      <w:rFonts w:ascii="Arial" w:eastAsia="MS Mincho" w:hAnsi="Arial"/>
      <w:sz w:val="16"/>
      <w:lang w:val="de-DE" w:eastAsia="ja-JP"/>
    </w:rPr>
  </w:style>
  <w:style w:type="character" w:customStyle="1" w:styleId="smallv651">
    <w:name w:val="smallv651"/>
    <w:rsid w:val="003527E6"/>
    <w:rPr>
      <w:sz w:val="16"/>
      <w:szCs w:val="16"/>
    </w:rPr>
  </w:style>
  <w:style w:type="character" w:customStyle="1" w:styleId="frlabel1">
    <w:name w:val="fr_label1"/>
    <w:rsid w:val="003527E6"/>
    <w:rPr>
      <w:b/>
      <w:bCs/>
    </w:rPr>
  </w:style>
  <w:style w:type="character" w:customStyle="1" w:styleId="frsourcelabel1">
    <w:name w:val="fr_source_label1"/>
    <w:rsid w:val="003527E6"/>
    <w:rPr>
      <w:b/>
      <w:bCs/>
    </w:rPr>
  </w:style>
  <w:style w:type="paragraph" w:styleId="Title">
    <w:name w:val="Title"/>
    <w:basedOn w:val="Normal"/>
    <w:next w:val="Normal"/>
    <w:link w:val="TitleChar"/>
    <w:qFormat/>
    <w:rsid w:val="003527E6"/>
    <w:pPr>
      <w:spacing w:after="460" w:line="230" w:lineRule="exact"/>
    </w:pPr>
    <w:rPr>
      <w:rFonts w:eastAsia="MS Mincho"/>
      <w:b/>
      <w:sz w:val="22"/>
      <w:lang w:val="de-DE" w:eastAsia="ja-JP"/>
    </w:rPr>
  </w:style>
  <w:style w:type="character" w:customStyle="1" w:styleId="TitleChar">
    <w:name w:val="Title Char"/>
    <w:basedOn w:val="DefaultParagraphFont"/>
    <w:link w:val="Title"/>
    <w:rsid w:val="003527E6"/>
    <w:rPr>
      <w:rFonts w:ascii="Times New Roman" w:eastAsia="MS Mincho" w:hAnsi="Times New Roman" w:cs="Times New Roman"/>
      <w:b/>
      <w:szCs w:val="24"/>
      <w:lang w:val="de-DE" w:eastAsia="ja-JP"/>
    </w:rPr>
  </w:style>
  <w:style w:type="paragraph" w:customStyle="1" w:styleId="01-MainHeading">
    <w:name w:val="01-Main Heading"/>
    <w:basedOn w:val="Normal"/>
    <w:rsid w:val="003527E6"/>
    <w:pPr>
      <w:spacing w:after="200" w:line="216" w:lineRule="auto"/>
      <w:jc w:val="both"/>
    </w:pPr>
    <w:rPr>
      <w:rFonts w:eastAsia="Times"/>
      <w:b/>
      <w:sz w:val="32"/>
      <w:szCs w:val="20"/>
      <w:lang w:eastAsia="zh-CN"/>
    </w:rPr>
  </w:style>
  <w:style w:type="paragraph" w:customStyle="1" w:styleId="02-Author">
    <w:name w:val="02-Author"/>
    <w:basedOn w:val="Normal"/>
    <w:rsid w:val="003527E6"/>
    <w:pPr>
      <w:spacing w:before="240" w:after="480" w:line="220" w:lineRule="exact"/>
      <w:ind w:right="567"/>
    </w:pPr>
    <w:rPr>
      <w:rFonts w:eastAsia="Times"/>
      <w:szCs w:val="20"/>
      <w:lang w:eastAsia="zh-CN"/>
    </w:rPr>
  </w:style>
  <w:style w:type="paragraph" w:customStyle="1" w:styleId="03-Address">
    <w:name w:val="03-Address"/>
    <w:basedOn w:val="Normal"/>
    <w:rsid w:val="003527E6"/>
    <w:pPr>
      <w:spacing w:after="240"/>
      <w:ind w:right="567"/>
      <w:jc w:val="both"/>
    </w:pPr>
    <w:rPr>
      <w:rFonts w:eastAsia="Times"/>
      <w:i/>
      <w:sz w:val="20"/>
      <w:szCs w:val="20"/>
      <w:lang w:eastAsia="zh-CN"/>
    </w:rPr>
  </w:style>
  <w:style w:type="paragraph" w:customStyle="1" w:styleId="04-abstract">
    <w:name w:val="04-abstract"/>
    <w:basedOn w:val="Normal"/>
    <w:rsid w:val="003527E6"/>
    <w:pPr>
      <w:spacing w:after="360" w:line="220" w:lineRule="exact"/>
      <w:ind w:left="851" w:right="567"/>
      <w:jc w:val="both"/>
    </w:pPr>
    <w:rPr>
      <w:rFonts w:eastAsia="Times"/>
      <w:sz w:val="18"/>
      <w:szCs w:val="20"/>
      <w:lang w:eastAsia="zh-CN"/>
    </w:rPr>
  </w:style>
  <w:style w:type="paragraph" w:customStyle="1" w:styleId="05-ArticleText">
    <w:name w:val="05-Article Text"/>
    <w:basedOn w:val="Normal"/>
    <w:rsid w:val="003527E6"/>
    <w:pPr>
      <w:tabs>
        <w:tab w:val="left" w:pos="284"/>
      </w:tabs>
      <w:spacing w:after="120" w:line="220" w:lineRule="exact"/>
      <w:jc w:val="both"/>
    </w:pPr>
    <w:rPr>
      <w:rFonts w:eastAsia="Times"/>
      <w:sz w:val="20"/>
      <w:szCs w:val="20"/>
      <w:lang w:eastAsia="zh-CN"/>
    </w:rPr>
  </w:style>
  <w:style w:type="paragraph" w:customStyle="1" w:styleId="06-Heading-1">
    <w:name w:val="06-Heading-1"/>
    <w:basedOn w:val="Normal"/>
    <w:rsid w:val="003527E6"/>
    <w:pPr>
      <w:spacing w:before="120" w:after="120" w:line="220" w:lineRule="exact"/>
      <w:jc w:val="both"/>
    </w:pPr>
    <w:rPr>
      <w:rFonts w:eastAsia="Times"/>
      <w:b/>
      <w:caps/>
      <w:sz w:val="20"/>
      <w:szCs w:val="20"/>
      <w:lang w:eastAsia="zh-CN"/>
    </w:rPr>
  </w:style>
  <w:style w:type="paragraph" w:customStyle="1" w:styleId="07-Heading-2">
    <w:name w:val="07-Heading-2"/>
    <w:basedOn w:val="Normal"/>
    <w:rsid w:val="003527E6"/>
    <w:pPr>
      <w:spacing w:before="120" w:after="120" w:line="220" w:lineRule="exact"/>
      <w:jc w:val="both"/>
    </w:pPr>
    <w:rPr>
      <w:rFonts w:eastAsia="Times"/>
      <w:b/>
      <w:sz w:val="20"/>
      <w:szCs w:val="20"/>
      <w:lang w:eastAsia="zh-CN"/>
    </w:rPr>
  </w:style>
  <w:style w:type="paragraph" w:customStyle="1" w:styleId="08-Heading-3">
    <w:name w:val="08-Heading-3"/>
    <w:basedOn w:val="07-Heading-2"/>
    <w:rsid w:val="003527E6"/>
    <w:rPr>
      <w:i/>
    </w:rPr>
  </w:style>
  <w:style w:type="paragraph" w:customStyle="1" w:styleId="09-Heading-4">
    <w:name w:val="09-Heading-4"/>
    <w:basedOn w:val="Normal"/>
    <w:rsid w:val="003527E6"/>
    <w:pPr>
      <w:spacing w:before="120" w:after="120" w:line="220" w:lineRule="exact"/>
      <w:jc w:val="both"/>
    </w:pPr>
    <w:rPr>
      <w:rFonts w:eastAsia="Times"/>
      <w:b/>
      <w:i/>
      <w:sz w:val="20"/>
      <w:szCs w:val="20"/>
      <w:u w:val="single"/>
      <w:lang w:eastAsia="zh-CN"/>
    </w:rPr>
  </w:style>
  <w:style w:type="paragraph" w:customStyle="1" w:styleId="10-Table-H">
    <w:name w:val="10-Table-H"/>
    <w:basedOn w:val="Normal"/>
    <w:rsid w:val="003527E6"/>
    <w:pPr>
      <w:tabs>
        <w:tab w:val="left" w:pos="851"/>
      </w:tabs>
      <w:spacing w:before="60" w:after="240"/>
      <w:jc w:val="both"/>
    </w:pPr>
    <w:rPr>
      <w:rFonts w:eastAsia="Times"/>
      <w:b/>
      <w:sz w:val="18"/>
      <w:szCs w:val="20"/>
      <w:lang w:eastAsia="zh-CN"/>
    </w:rPr>
  </w:style>
  <w:style w:type="paragraph" w:customStyle="1" w:styleId="11-Table-T">
    <w:name w:val="11-Table-T"/>
    <w:basedOn w:val="Normal"/>
    <w:rsid w:val="003527E6"/>
    <w:pPr>
      <w:spacing w:before="60" w:after="60" w:line="220" w:lineRule="exact"/>
      <w:jc w:val="center"/>
    </w:pPr>
    <w:rPr>
      <w:rFonts w:eastAsia="Times"/>
      <w:sz w:val="16"/>
      <w:szCs w:val="20"/>
      <w:lang w:eastAsia="zh-CN"/>
    </w:rPr>
  </w:style>
  <w:style w:type="paragraph" w:customStyle="1" w:styleId="12-References">
    <w:name w:val="12-References"/>
    <w:basedOn w:val="Normal"/>
    <w:rsid w:val="003527E6"/>
    <w:pPr>
      <w:tabs>
        <w:tab w:val="left" w:pos="567"/>
      </w:tabs>
      <w:spacing w:line="180" w:lineRule="exact"/>
      <w:ind w:left="567" w:hanging="567"/>
      <w:jc w:val="both"/>
    </w:pPr>
    <w:rPr>
      <w:rFonts w:eastAsia="Times"/>
      <w:sz w:val="16"/>
      <w:szCs w:val="20"/>
      <w:lang w:eastAsia="zh-CN"/>
    </w:rPr>
  </w:style>
  <w:style w:type="paragraph" w:customStyle="1" w:styleId="13-Figure">
    <w:name w:val="13-Figure"/>
    <w:basedOn w:val="Normal"/>
    <w:rsid w:val="003527E6"/>
    <w:pPr>
      <w:framePr w:w="10206" w:hSpace="181" w:vSpace="181" w:wrap="around" w:hAnchor="margin" w:xAlign="center" w:yAlign="top"/>
      <w:spacing w:before="200" w:after="200" w:line="220" w:lineRule="exact"/>
      <w:jc w:val="both"/>
    </w:pPr>
    <w:rPr>
      <w:rFonts w:eastAsia="Times"/>
      <w:sz w:val="18"/>
      <w:szCs w:val="20"/>
      <w:lang w:eastAsia="zh-CN"/>
    </w:rPr>
  </w:style>
  <w:style w:type="paragraph" w:styleId="Header">
    <w:name w:val="header"/>
    <w:basedOn w:val="Normal"/>
    <w:link w:val="HeaderChar"/>
    <w:uiPriority w:val="99"/>
    <w:rsid w:val="003527E6"/>
    <w:pPr>
      <w:tabs>
        <w:tab w:val="center" w:pos="4320"/>
        <w:tab w:val="right" w:pos="8640"/>
      </w:tabs>
    </w:pPr>
  </w:style>
  <w:style w:type="character" w:customStyle="1" w:styleId="HeaderChar">
    <w:name w:val="Header Char"/>
    <w:basedOn w:val="DefaultParagraphFont"/>
    <w:link w:val="Header"/>
    <w:uiPriority w:val="99"/>
    <w:rsid w:val="003527E6"/>
    <w:rPr>
      <w:rFonts w:ascii="Times New Roman" w:eastAsia="Times New Roman" w:hAnsi="Times New Roman" w:cs="Times New Roman"/>
      <w:sz w:val="24"/>
      <w:szCs w:val="24"/>
    </w:rPr>
  </w:style>
  <w:style w:type="character" w:styleId="PageNumber">
    <w:name w:val="page number"/>
    <w:basedOn w:val="DefaultParagraphFont"/>
    <w:rsid w:val="003527E6"/>
  </w:style>
  <w:style w:type="character" w:styleId="FollowedHyperlink">
    <w:name w:val="FollowedHyperlink"/>
    <w:rsid w:val="003527E6"/>
    <w:rPr>
      <w:color w:val="800080"/>
      <w:u w:val="single"/>
    </w:rPr>
  </w:style>
  <w:style w:type="paragraph" w:customStyle="1" w:styleId="firstlast">
    <w:name w:val="first last"/>
    <w:basedOn w:val="Normal"/>
    <w:rsid w:val="003527E6"/>
    <w:pPr>
      <w:spacing w:before="100" w:beforeAutospacing="1" w:after="100" w:afterAutospacing="1"/>
    </w:pPr>
    <w:rPr>
      <w:rFonts w:ascii="Arial" w:eastAsia="Batang" w:hAnsi="Arial" w:cs="Arial"/>
      <w:sz w:val="20"/>
      <w:szCs w:val="20"/>
    </w:rPr>
  </w:style>
  <w:style w:type="paragraph" w:customStyle="1" w:styleId="Default">
    <w:name w:val="Default"/>
    <w:rsid w:val="003527E6"/>
    <w:pPr>
      <w:autoSpaceDE w:val="0"/>
      <w:autoSpaceDN w:val="0"/>
      <w:adjustRightInd w:val="0"/>
      <w:spacing w:after="0" w:line="240" w:lineRule="auto"/>
    </w:pPr>
    <w:rPr>
      <w:rFonts w:ascii="Arial Narrow" w:eastAsia="Batang" w:hAnsi="Arial Narrow" w:cs="Arial Narrow"/>
      <w:color w:val="000000"/>
      <w:sz w:val="24"/>
      <w:szCs w:val="24"/>
    </w:rPr>
  </w:style>
  <w:style w:type="paragraph" w:customStyle="1" w:styleId="Heading21">
    <w:name w:val="Heading 21"/>
    <w:basedOn w:val="Normal"/>
    <w:rsid w:val="003527E6"/>
    <w:pPr>
      <w:outlineLvl w:val="2"/>
    </w:pPr>
    <w:rPr>
      <w:rFonts w:eastAsia="Batang"/>
      <w:color w:val="FFFFFF"/>
    </w:rPr>
  </w:style>
  <w:style w:type="paragraph" w:customStyle="1" w:styleId="Heading11">
    <w:name w:val="Heading 11"/>
    <w:basedOn w:val="Normal"/>
    <w:rsid w:val="003527E6"/>
    <w:pPr>
      <w:outlineLvl w:val="1"/>
    </w:pPr>
    <w:rPr>
      <w:rFonts w:eastAsia="Batang"/>
      <w:b/>
      <w:bCs/>
      <w:color w:val="FFFFFF"/>
      <w:spacing w:val="-12"/>
      <w:kern w:val="36"/>
      <w:sz w:val="40"/>
      <w:szCs w:val="40"/>
    </w:rPr>
  </w:style>
  <w:style w:type="character" w:styleId="LineNumber">
    <w:name w:val="line number"/>
    <w:basedOn w:val="DefaultParagraphFont"/>
    <w:rsid w:val="003527E6"/>
  </w:style>
  <w:style w:type="character" w:customStyle="1" w:styleId="journalname">
    <w:name w:val="journalname"/>
    <w:basedOn w:val="DefaultParagraphFont"/>
    <w:rsid w:val="003527E6"/>
  </w:style>
  <w:style w:type="character" w:customStyle="1" w:styleId="yshortcuts">
    <w:name w:val="yshortcuts"/>
    <w:basedOn w:val="DefaultParagraphFont"/>
    <w:rsid w:val="003527E6"/>
  </w:style>
  <w:style w:type="character" w:styleId="HTMLCite">
    <w:name w:val="HTML Cite"/>
    <w:rsid w:val="003527E6"/>
    <w:rPr>
      <w:i/>
      <w:iCs/>
    </w:rPr>
  </w:style>
  <w:style w:type="paragraph" w:styleId="BalloonText">
    <w:name w:val="Balloon Text"/>
    <w:basedOn w:val="Normal"/>
    <w:link w:val="BalloonTextChar"/>
    <w:uiPriority w:val="99"/>
    <w:semiHidden/>
    <w:rsid w:val="003527E6"/>
    <w:rPr>
      <w:rFonts w:ascii="Tahoma" w:hAnsi="Tahoma" w:cs="Tahoma"/>
      <w:sz w:val="16"/>
      <w:szCs w:val="16"/>
    </w:rPr>
  </w:style>
  <w:style w:type="character" w:customStyle="1" w:styleId="BalloonTextChar">
    <w:name w:val="Balloon Text Char"/>
    <w:basedOn w:val="DefaultParagraphFont"/>
    <w:link w:val="BalloonText"/>
    <w:uiPriority w:val="99"/>
    <w:semiHidden/>
    <w:rsid w:val="003527E6"/>
    <w:rPr>
      <w:rFonts w:ascii="Tahoma" w:eastAsia="Times New Roman" w:hAnsi="Tahoma" w:cs="Tahoma"/>
      <w:sz w:val="16"/>
      <w:szCs w:val="16"/>
    </w:rPr>
  </w:style>
  <w:style w:type="character" w:customStyle="1" w:styleId="A2">
    <w:name w:val="A2"/>
    <w:rsid w:val="003527E6"/>
    <w:rPr>
      <w:rFonts w:cs="Meta Bold LF"/>
      <w:b/>
      <w:bCs/>
      <w:color w:val="211D1E"/>
      <w:sz w:val="15"/>
      <w:szCs w:val="15"/>
    </w:rPr>
  </w:style>
  <w:style w:type="paragraph" w:customStyle="1" w:styleId="Pa7">
    <w:name w:val="Pa7"/>
    <w:basedOn w:val="Default"/>
    <w:next w:val="Default"/>
    <w:rsid w:val="003527E6"/>
    <w:pPr>
      <w:widowControl w:val="0"/>
      <w:spacing w:line="241" w:lineRule="atLeast"/>
    </w:pPr>
    <w:rPr>
      <w:rFonts w:ascii="Relay" w:eastAsia="Relay" w:hAnsi="Times New Roman" w:cs="Times New Roman"/>
      <w:color w:val="auto"/>
      <w:lang w:eastAsia="zh-CN"/>
    </w:rPr>
  </w:style>
  <w:style w:type="character" w:customStyle="1" w:styleId="A7">
    <w:name w:val="A7"/>
    <w:rsid w:val="003527E6"/>
    <w:rPr>
      <w:rFonts w:cs="Relay"/>
      <w:b/>
      <w:bCs/>
      <w:color w:val="211D1E"/>
      <w:sz w:val="14"/>
      <w:szCs w:val="14"/>
    </w:rPr>
  </w:style>
  <w:style w:type="paragraph" w:customStyle="1" w:styleId="Pa25">
    <w:name w:val="Pa25"/>
    <w:basedOn w:val="Default"/>
    <w:next w:val="Default"/>
    <w:rsid w:val="003527E6"/>
    <w:pPr>
      <w:widowControl w:val="0"/>
      <w:spacing w:line="141" w:lineRule="atLeast"/>
    </w:pPr>
    <w:rPr>
      <w:rFonts w:ascii="Meta Normal LF" w:eastAsia="Meta Normal LF" w:hAnsi="Times New Roman" w:cs="Times New Roman"/>
      <w:color w:val="auto"/>
      <w:lang w:eastAsia="zh-CN"/>
    </w:rPr>
  </w:style>
  <w:style w:type="paragraph" w:customStyle="1" w:styleId="Pa9">
    <w:name w:val="Pa9"/>
    <w:basedOn w:val="Default"/>
    <w:next w:val="Default"/>
    <w:rsid w:val="003527E6"/>
    <w:pPr>
      <w:widowControl w:val="0"/>
      <w:spacing w:line="181" w:lineRule="atLeast"/>
    </w:pPr>
    <w:rPr>
      <w:rFonts w:ascii="Meta Normal LF" w:eastAsia="Meta Normal LF" w:hAnsi="Times New Roman" w:cs="Times New Roman"/>
      <w:color w:val="auto"/>
      <w:lang w:eastAsia="zh-CN"/>
    </w:rPr>
  </w:style>
  <w:style w:type="paragraph" w:customStyle="1" w:styleId="BIEmailAddress">
    <w:name w:val="BI_Email_Address"/>
    <w:basedOn w:val="Normal"/>
    <w:next w:val="Normal"/>
    <w:rsid w:val="003527E6"/>
    <w:pPr>
      <w:spacing w:after="200" w:line="480" w:lineRule="auto"/>
      <w:jc w:val="both"/>
    </w:pPr>
    <w:rPr>
      <w:rFonts w:ascii="Times" w:eastAsia="SimSun" w:hAnsi="Times"/>
      <w:szCs w:val="20"/>
    </w:rPr>
  </w:style>
  <w:style w:type="paragraph" w:customStyle="1" w:styleId="FACorrespondingAuthorFootnote">
    <w:name w:val="FA_Corresponding_Author_Footnote"/>
    <w:basedOn w:val="Normal"/>
    <w:next w:val="Normal"/>
    <w:rsid w:val="003527E6"/>
    <w:pPr>
      <w:spacing w:after="200" w:line="480" w:lineRule="auto"/>
      <w:jc w:val="both"/>
    </w:pPr>
    <w:rPr>
      <w:rFonts w:ascii="Times" w:eastAsia="SimSun" w:hAnsi="Times"/>
      <w:szCs w:val="20"/>
    </w:rPr>
  </w:style>
  <w:style w:type="character" w:customStyle="1" w:styleId="BIEmailAddressChar">
    <w:name w:val="BI_Email_Address Char"/>
    <w:rsid w:val="003527E6"/>
    <w:rPr>
      <w:rFonts w:ascii="Times" w:eastAsia="SimSun" w:hAnsi="Times"/>
      <w:sz w:val="24"/>
      <w:lang w:val="en-US" w:eastAsia="en-US" w:bidi="ar-SA"/>
    </w:rPr>
  </w:style>
  <w:style w:type="table" w:styleId="TableSimple1">
    <w:name w:val="Table Simple 1"/>
    <w:basedOn w:val="TableNormal"/>
    <w:rsid w:val="003527E6"/>
    <w:pPr>
      <w:widowControl w:val="0"/>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harChar">
    <w:name w:val="Char Char"/>
    <w:rsid w:val="003527E6"/>
    <w:rPr>
      <w:rFonts w:ascii="Cambria" w:eastAsia="Times New Roman" w:hAnsi="Cambria" w:cs="Times New Roman"/>
      <w:b/>
      <w:bCs/>
      <w:i/>
      <w:iCs/>
      <w:sz w:val="28"/>
      <w:szCs w:val="28"/>
    </w:rPr>
  </w:style>
  <w:style w:type="character" w:customStyle="1" w:styleId="CharChar2">
    <w:name w:val="Char Char2"/>
    <w:rsid w:val="003527E6"/>
    <w:rPr>
      <w:rFonts w:ascii="Cambria" w:hAnsi="Cambria"/>
      <w:b/>
      <w:bCs/>
      <w:kern w:val="32"/>
      <w:sz w:val="32"/>
      <w:szCs w:val="32"/>
      <w:lang w:val="en-US" w:eastAsia="en-US" w:bidi="ar-SA"/>
    </w:rPr>
  </w:style>
  <w:style w:type="character" w:customStyle="1" w:styleId="CharChar1">
    <w:name w:val="Char Char1"/>
    <w:rsid w:val="003527E6"/>
    <w:rPr>
      <w:rFonts w:ascii="Cambria" w:eastAsia="Times New Roman" w:hAnsi="Cambria" w:cs="Times New Roman"/>
      <w:b/>
      <w:bCs/>
      <w:i/>
      <w:iCs/>
      <w:sz w:val="28"/>
      <w:szCs w:val="28"/>
    </w:rPr>
  </w:style>
  <w:style w:type="character" w:customStyle="1" w:styleId="xcitationtitle1">
    <w:name w:val="xcitationtitle1"/>
    <w:rsid w:val="003527E6"/>
    <w:rPr>
      <w:rFonts w:ascii="Verdana" w:hAnsi="Verdana" w:hint="default"/>
      <w:b/>
      <w:bCs/>
      <w:sz w:val="21"/>
      <w:szCs w:val="21"/>
    </w:rPr>
  </w:style>
  <w:style w:type="character" w:customStyle="1" w:styleId="cit-sep2">
    <w:name w:val="cit-sep2"/>
    <w:basedOn w:val="DefaultParagraphFont"/>
    <w:rsid w:val="003527E6"/>
  </w:style>
  <w:style w:type="character" w:customStyle="1" w:styleId="cit-subtitle">
    <w:name w:val="cit-subtitle"/>
    <w:basedOn w:val="DefaultParagraphFont"/>
    <w:rsid w:val="003527E6"/>
  </w:style>
  <w:style w:type="paragraph" w:customStyle="1" w:styleId="mainheader">
    <w:name w:val="mainheader"/>
    <w:basedOn w:val="Normal"/>
    <w:rsid w:val="003527E6"/>
    <w:pPr>
      <w:spacing w:before="100" w:beforeAutospacing="1" w:after="100" w:afterAutospacing="1"/>
    </w:pPr>
    <w:rPr>
      <w:rFonts w:ascii="Verdana" w:hAnsi="Verdana"/>
      <w:b/>
      <w:bCs/>
      <w:sz w:val="27"/>
      <w:szCs w:val="27"/>
    </w:rPr>
  </w:style>
  <w:style w:type="character" w:customStyle="1" w:styleId="citation">
    <w:name w:val="citation"/>
    <w:basedOn w:val="DefaultParagraphFont"/>
    <w:rsid w:val="003527E6"/>
  </w:style>
  <w:style w:type="character" w:customStyle="1" w:styleId="article">
    <w:name w:val="article"/>
    <w:basedOn w:val="DefaultParagraphFont"/>
    <w:rsid w:val="003527E6"/>
  </w:style>
  <w:style w:type="paragraph" w:customStyle="1" w:styleId="part">
    <w:name w:val="part"/>
    <w:basedOn w:val="Normal"/>
    <w:next w:val="Normal"/>
    <w:rsid w:val="003527E6"/>
    <w:pPr>
      <w:keepNext/>
      <w:widowControl w:val="0"/>
      <w:autoSpaceDE w:val="0"/>
      <w:autoSpaceDN w:val="0"/>
      <w:adjustRightInd w:val="0"/>
      <w:spacing w:before="240" w:after="60"/>
      <w:jc w:val="center"/>
    </w:pPr>
    <w:rPr>
      <w:rFonts w:ascii="Times" w:eastAsia="Batang" w:hAnsi="Times" w:cs="Times"/>
      <w:b/>
      <w:bCs/>
      <w:noProof/>
      <w:sz w:val="40"/>
      <w:szCs w:val="40"/>
      <w:lang w:eastAsia="ko-KR"/>
    </w:rPr>
  </w:style>
  <w:style w:type="character" w:styleId="FootnoteReference">
    <w:name w:val="footnote reference"/>
    <w:semiHidden/>
    <w:rsid w:val="003527E6"/>
    <w:rPr>
      <w:vertAlign w:val="superscript"/>
    </w:rPr>
  </w:style>
  <w:style w:type="table" w:styleId="TableGrid">
    <w:name w:val="Table Grid"/>
    <w:basedOn w:val="TableNormal"/>
    <w:uiPriority w:val="39"/>
    <w:rsid w:val="003527E6"/>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lume">
    <w:name w:val="volume"/>
    <w:basedOn w:val="DefaultParagraphFont"/>
    <w:rsid w:val="003527E6"/>
  </w:style>
  <w:style w:type="character" w:customStyle="1" w:styleId="issue">
    <w:name w:val="issue"/>
    <w:basedOn w:val="DefaultParagraphFont"/>
    <w:rsid w:val="003527E6"/>
  </w:style>
  <w:style w:type="character" w:customStyle="1" w:styleId="pages">
    <w:name w:val="pages"/>
    <w:basedOn w:val="DefaultParagraphFont"/>
    <w:rsid w:val="003527E6"/>
  </w:style>
  <w:style w:type="character" w:customStyle="1" w:styleId="ti">
    <w:name w:val="ti"/>
    <w:basedOn w:val="DefaultParagraphFont"/>
    <w:rsid w:val="003527E6"/>
  </w:style>
  <w:style w:type="character" w:customStyle="1" w:styleId="linkbar">
    <w:name w:val="linkbar"/>
    <w:basedOn w:val="DefaultParagraphFont"/>
    <w:rsid w:val="003527E6"/>
  </w:style>
  <w:style w:type="character" w:customStyle="1" w:styleId="featuredlinkouts">
    <w:name w:val="featured_linkouts"/>
    <w:basedOn w:val="DefaultParagraphFont"/>
    <w:rsid w:val="003527E6"/>
  </w:style>
  <w:style w:type="paragraph" w:styleId="HTMLPreformatted">
    <w:name w:val="HTML Preformatted"/>
    <w:basedOn w:val="Normal"/>
    <w:link w:val="HTMLPreformattedChar"/>
    <w:rsid w:val="00352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rsid w:val="003527E6"/>
    <w:rPr>
      <w:rFonts w:ascii="Courier New" w:eastAsia="Times New Roman" w:hAnsi="Courier New" w:cs="Courier New"/>
      <w:sz w:val="20"/>
      <w:szCs w:val="20"/>
      <w:lang w:val="it-IT" w:eastAsia="it-IT"/>
    </w:rPr>
  </w:style>
  <w:style w:type="paragraph" w:styleId="BodyText">
    <w:name w:val="Body Text"/>
    <w:basedOn w:val="Normal"/>
    <w:link w:val="BodyTextChar"/>
    <w:rsid w:val="003527E6"/>
    <w:pPr>
      <w:jc w:val="both"/>
    </w:pPr>
    <w:rPr>
      <w:szCs w:val="20"/>
    </w:rPr>
  </w:style>
  <w:style w:type="character" w:customStyle="1" w:styleId="BodyTextChar">
    <w:name w:val="Body Text Char"/>
    <w:basedOn w:val="DefaultParagraphFont"/>
    <w:link w:val="BodyText"/>
    <w:rsid w:val="003527E6"/>
    <w:rPr>
      <w:rFonts w:ascii="Times New Roman" w:eastAsia="Times New Roman" w:hAnsi="Times New Roman" w:cs="Times New Roman"/>
      <w:sz w:val="24"/>
      <w:szCs w:val="20"/>
    </w:rPr>
  </w:style>
  <w:style w:type="character" w:customStyle="1" w:styleId="ti2">
    <w:name w:val="ti2"/>
    <w:rsid w:val="003527E6"/>
    <w:rPr>
      <w:sz w:val="22"/>
      <w:szCs w:val="22"/>
    </w:rPr>
  </w:style>
  <w:style w:type="paragraph" w:styleId="BodyTextIndent">
    <w:name w:val="Body Text Indent"/>
    <w:basedOn w:val="Normal"/>
    <w:link w:val="BodyTextIndentChar"/>
    <w:rsid w:val="003527E6"/>
    <w:pPr>
      <w:spacing w:line="360" w:lineRule="auto"/>
      <w:ind w:firstLine="708"/>
      <w:jc w:val="both"/>
    </w:pPr>
    <w:rPr>
      <w:lang w:eastAsia="it-IT"/>
    </w:rPr>
  </w:style>
  <w:style w:type="character" w:customStyle="1" w:styleId="BodyTextIndentChar">
    <w:name w:val="Body Text Indent Char"/>
    <w:basedOn w:val="DefaultParagraphFont"/>
    <w:link w:val="BodyTextIndent"/>
    <w:rsid w:val="003527E6"/>
    <w:rPr>
      <w:rFonts w:ascii="Times New Roman" w:eastAsia="Times New Roman" w:hAnsi="Times New Roman" w:cs="Times New Roman"/>
      <w:sz w:val="24"/>
      <w:szCs w:val="24"/>
      <w:lang w:eastAsia="it-IT"/>
    </w:rPr>
  </w:style>
  <w:style w:type="character" w:customStyle="1" w:styleId="AlexionBodyTextChar">
    <w:name w:val="Alexion Body Text Char"/>
    <w:rsid w:val="003527E6"/>
    <w:rPr>
      <w:sz w:val="24"/>
      <w:lang w:val="en-US" w:eastAsia="en-US" w:bidi="ar-SA"/>
    </w:rPr>
  </w:style>
  <w:style w:type="paragraph" w:customStyle="1" w:styleId="title1">
    <w:name w:val="title1"/>
    <w:basedOn w:val="Normal"/>
    <w:rsid w:val="003527E6"/>
    <w:rPr>
      <w:sz w:val="29"/>
      <w:szCs w:val="29"/>
      <w:lang w:val="it-IT" w:eastAsia="it-IT"/>
    </w:rPr>
  </w:style>
  <w:style w:type="paragraph" w:customStyle="1" w:styleId="rprtbody1">
    <w:name w:val="rprtbody1"/>
    <w:basedOn w:val="Normal"/>
    <w:rsid w:val="003527E6"/>
    <w:pPr>
      <w:spacing w:before="34" w:after="34"/>
    </w:pPr>
    <w:rPr>
      <w:sz w:val="28"/>
      <w:szCs w:val="28"/>
      <w:lang w:val="it-IT" w:eastAsia="it-IT"/>
    </w:rPr>
  </w:style>
  <w:style w:type="paragraph" w:customStyle="1" w:styleId="aux1">
    <w:name w:val="aux1"/>
    <w:basedOn w:val="Normal"/>
    <w:rsid w:val="003527E6"/>
    <w:pPr>
      <w:spacing w:line="320" w:lineRule="atLeast"/>
    </w:pPr>
    <w:rPr>
      <w:lang w:val="it-IT" w:eastAsia="it-IT"/>
    </w:rPr>
  </w:style>
  <w:style w:type="character" w:customStyle="1" w:styleId="src1">
    <w:name w:val="src1"/>
    <w:rsid w:val="003527E6"/>
    <w:rPr>
      <w:vanish w:val="0"/>
      <w:webHidden w:val="0"/>
      <w:specVanish w:val="0"/>
    </w:rPr>
  </w:style>
  <w:style w:type="character" w:customStyle="1" w:styleId="jrnl">
    <w:name w:val="jrnl"/>
    <w:basedOn w:val="DefaultParagraphFont"/>
    <w:rsid w:val="003527E6"/>
  </w:style>
  <w:style w:type="paragraph" w:customStyle="1" w:styleId="IntensivesAnfhrungszeichen1">
    <w:name w:val="Intensives Anführungszeichen1"/>
    <w:basedOn w:val="Normal"/>
    <w:next w:val="Normal"/>
    <w:qFormat/>
    <w:rsid w:val="003527E6"/>
    <w:pPr>
      <w:pBdr>
        <w:bottom w:val="single" w:sz="4" w:space="4" w:color="4F81BD"/>
      </w:pBdr>
      <w:spacing w:before="200" w:after="280"/>
      <w:ind w:left="936" w:right="936"/>
    </w:pPr>
    <w:rPr>
      <w:b/>
      <w:bCs/>
      <w:i/>
      <w:iCs/>
      <w:color w:val="4F81BD"/>
      <w:lang w:val="de-DE" w:eastAsia="de-DE"/>
    </w:rPr>
  </w:style>
  <w:style w:type="character" w:customStyle="1" w:styleId="IntensivesAnfhrungszeichenZchn">
    <w:name w:val="Intensives Anführungszeichen Zchn"/>
    <w:rsid w:val="003527E6"/>
    <w:rPr>
      <w:b/>
      <w:bCs/>
      <w:i/>
      <w:iCs/>
      <w:color w:val="4F81BD"/>
      <w:sz w:val="24"/>
      <w:szCs w:val="24"/>
    </w:rPr>
  </w:style>
  <w:style w:type="paragraph" w:styleId="FootnoteText">
    <w:name w:val="footnote text"/>
    <w:basedOn w:val="Normal"/>
    <w:link w:val="FootnoteTextChar"/>
    <w:rsid w:val="003527E6"/>
    <w:rPr>
      <w:sz w:val="20"/>
      <w:szCs w:val="20"/>
      <w:lang w:val="de-DE" w:eastAsia="de-DE"/>
    </w:rPr>
  </w:style>
  <w:style w:type="character" w:customStyle="1" w:styleId="FootnoteTextChar">
    <w:name w:val="Footnote Text Char"/>
    <w:basedOn w:val="DefaultParagraphFont"/>
    <w:link w:val="FootnoteText"/>
    <w:rsid w:val="003527E6"/>
    <w:rPr>
      <w:rFonts w:ascii="Times New Roman" w:eastAsia="Times New Roman" w:hAnsi="Times New Roman" w:cs="Times New Roman"/>
      <w:sz w:val="20"/>
      <w:szCs w:val="20"/>
      <w:lang w:val="de-DE" w:eastAsia="de-DE"/>
    </w:rPr>
  </w:style>
  <w:style w:type="paragraph" w:styleId="EndnoteText">
    <w:name w:val="endnote text"/>
    <w:basedOn w:val="Normal"/>
    <w:link w:val="EndnoteTextChar"/>
    <w:rsid w:val="003527E6"/>
    <w:rPr>
      <w:sz w:val="20"/>
      <w:szCs w:val="20"/>
      <w:lang w:val="de-DE" w:eastAsia="de-DE"/>
    </w:rPr>
  </w:style>
  <w:style w:type="character" w:customStyle="1" w:styleId="EndnoteTextChar">
    <w:name w:val="Endnote Text Char"/>
    <w:basedOn w:val="DefaultParagraphFont"/>
    <w:link w:val="EndnoteText"/>
    <w:rsid w:val="003527E6"/>
    <w:rPr>
      <w:rFonts w:ascii="Times New Roman" w:eastAsia="Times New Roman" w:hAnsi="Times New Roman" w:cs="Times New Roman"/>
      <w:sz w:val="20"/>
      <w:szCs w:val="20"/>
      <w:lang w:val="de-DE" w:eastAsia="de-DE"/>
    </w:rPr>
  </w:style>
  <w:style w:type="character" w:styleId="EndnoteReference">
    <w:name w:val="endnote reference"/>
    <w:rsid w:val="003527E6"/>
    <w:rPr>
      <w:vertAlign w:val="superscript"/>
    </w:rPr>
  </w:style>
  <w:style w:type="character" w:customStyle="1" w:styleId="IntensiveHervorhebung1">
    <w:name w:val="Intensive Hervorhebung1"/>
    <w:qFormat/>
    <w:rsid w:val="003527E6"/>
    <w:rPr>
      <w:b/>
      <w:bCs/>
      <w:i/>
      <w:iCs/>
      <w:color w:val="4F81BD"/>
    </w:rPr>
  </w:style>
  <w:style w:type="paragraph" w:styleId="ListBullet">
    <w:name w:val="List Bullet"/>
    <w:basedOn w:val="Normal"/>
    <w:rsid w:val="003527E6"/>
    <w:pPr>
      <w:numPr>
        <w:numId w:val="1"/>
      </w:numPr>
    </w:pPr>
    <w:rPr>
      <w:lang w:val="de-DE" w:eastAsia="de-DE"/>
    </w:rPr>
  </w:style>
  <w:style w:type="character" w:customStyle="1" w:styleId="ListBulletChar">
    <w:name w:val="List Bullet Char"/>
    <w:rsid w:val="003527E6"/>
    <w:rPr>
      <w:sz w:val="24"/>
      <w:szCs w:val="24"/>
      <w:lang w:val="de-DE" w:eastAsia="de-DE" w:bidi="ar-SA"/>
    </w:rPr>
  </w:style>
  <w:style w:type="character" w:styleId="CommentReference">
    <w:name w:val="annotation reference"/>
    <w:rsid w:val="003527E6"/>
    <w:rPr>
      <w:sz w:val="16"/>
      <w:szCs w:val="16"/>
    </w:rPr>
  </w:style>
  <w:style w:type="paragraph" w:styleId="CommentText">
    <w:name w:val="annotation text"/>
    <w:basedOn w:val="Normal"/>
    <w:link w:val="CommentTextChar"/>
    <w:rsid w:val="003527E6"/>
    <w:rPr>
      <w:sz w:val="20"/>
      <w:szCs w:val="20"/>
      <w:lang w:val="de-DE" w:eastAsia="de-DE"/>
    </w:rPr>
  </w:style>
  <w:style w:type="character" w:customStyle="1" w:styleId="CommentTextChar">
    <w:name w:val="Comment Text Char"/>
    <w:basedOn w:val="DefaultParagraphFont"/>
    <w:link w:val="CommentText"/>
    <w:rsid w:val="003527E6"/>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rsid w:val="003527E6"/>
    <w:rPr>
      <w:b/>
      <w:bCs/>
    </w:rPr>
  </w:style>
  <w:style w:type="character" w:customStyle="1" w:styleId="CommentSubjectChar">
    <w:name w:val="Comment Subject Char"/>
    <w:basedOn w:val="CommentTextChar"/>
    <w:link w:val="CommentSubject"/>
    <w:rsid w:val="003527E6"/>
    <w:rPr>
      <w:rFonts w:ascii="Times New Roman" w:eastAsia="Times New Roman" w:hAnsi="Times New Roman" w:cs="Times New Roman"/>
      <w:b/>
      <w:bCs/>
      <w:sz w:val="20"/>
      <w:szCs w:val="20"/>
      <w:lang w:val="de-DE" w:eastAsia="de-DE"/>
    </w:rPr>
  </w:style>
  <w:style w:type="character" w:customStyle="1" w:styleId="CharChar6">
    <w:name w:val="Char Char6"/>
    <w:rsid w:val="003527E6"/>
    <w:rPr>
      <w:b/>
      <w:bCs/>
      <w:kern w:val="36"/>
      <w:sz w:val="48"/>
      <w:szCs w:val="48"/>
    </w:rPr>
  </w:style>
  <w:style w:type="character" w:customStyle="1" w:styleId="CharChar5">
    <w:name w:val="Char Char5"/>
    <w:rsid w:val="003527E6"/>
    <w:rPr>
      <w:rFonts w:ascii="Cambria" w:eastAsia="Times New Roman" w:hAnsi="Cambria" w:cs="Times New Roman"/>
      <w:b/>
      <w:bCs/>
      <w:i/>
      <w:iCs/>
      <w:sz w:val="28"/>
      <w:szCs w:val="28"/>
    </w:rPr>
  </w:style>
  <w:style w:type="character" w:customStyle="1" w:styleId="CharChar3">
    <w:name w:val="Char Char3"/>
    <w:rsid w:val="003527E6"/>
    <w:rPr>
      <w:b/>
      <w:bCs/>
      <w:sz w:val="28"/>
      <w:szCs w:val="28"/>
    </w:rPr>
  </w:style>
  <w:style w:type="paragraph" w:customStyle="1" w:styleId="a">
    <w:name w:val="Παράγραφος λίστας"/>
    <w:basedOn w:val="Normal"/>
    <w:qFormat/>
    <w:rsid w:val="003527E6"/>
    <w:pPr>
      <w:ind w:left="720"/>
      <w:contextualSpacing/>
    </w:pPr>
    <w:rPr>
      <w:lang w:val="el-GR" w:eastAsia="el-GR"/>
    </w:rPr>
  </w:style>
  <w:style w:type="paragraph" w:customStyle="1" w:styleId="authors1">
    <w:name w:val="authors1"/>
    <w:basedOn w:val="Normal"/>
    <w:rsid w:val="003527E6"/>
    <w:pPr>
      <w:spacing w:before="72" w:line="240" w:lineRule="atLeast"/>
      <w:ind w:left="825"/>
    </w:pPr>
    <w:rPr>
      <w:sz w:val="22"/>
      <w:szCs w:val="22"/>
      <w:lang w:val="el-GR" w:eastAsia="el-GR"/>
    </w:rPr>
  </w:style>
  <w:style w:type="paragraph" w:customStyle="1" w:styleId="Title10">
    <w:name w:val="Title1"/>
    <w:basedOn w:val="Normal"/>
    <w:rsid w:val="003527E6"/>
    <w:pPr>
      <w:spacing w:before="100" w:beforeAutospacing="1" w:after="100" w:afterAutospacing="1"/>
    </w:pPr>
    <w:rPr>
      <w:lang w:val="el-GR" w:eastAsia="el-GR"/>
    </w:rPr>
  </w:style>
  <w:style w:type="paragraph" w:customStyle="1" w:styleId="orangebold2">
    <w:name w:val="orangebold2"/>
    <w:basedOn w:val="Normal"/>
    <w:rsid w:val="003527E6"/>
    <w:pPr>
      <w:spacing w:before="100" w:beforeAutospacing="1" w:after="100" w:afterAutospacing="1"/>
    </w:pPr>
    <w:rPr>
      <w:lang w:val="el-GR" w:eastAsia="el-GR"/>
    </w:rPr>
  </w:style>
  <w:style w:type="character" w:customStyle="1" w:styleId="apple-style-span">
    <w:name w:val="apple-style-span"/>
    <w:basedOn w:val="DefaultParagraphFont"/>
    <w:rsid w:val="003527E6"/>
  </w:style>
  <w:style w:type="character" w:customStyle="1" w:styleId="apple-converted-space">
    <w:name w:val="apple-converted-space"/>
    <w:basedOn w:val="DefaultParagraphFont"/>
    <w:rsid w:val="003527E6"/>
  </w:style>
  <w:style w:type="character" w:customStyle="1" w:styleId="black-text-b">
    <w:name w:val="black-text-b"/>
    <w:basedOn w:val="DefaultParagraphFont"/>
    <w:rsid w:val="003527E6"/>
  </w:style>
  <w:style w:type="character" w:customStyle="1" w:styleId="pagetext">
    <w:name w:val="page_text"/>
    <w:basedOn w:val="DefaultParagraphFont"/>
    <w:rsid w:val="003527E6"/>
  </w:style>
  <w:style w:type="character" w:customStyle="1" w:styleId="nbapihighlight">
    <w:name w:val="nbapihighlight"/>
    <w:basedOn w:val="DefaultParagraphFont"/>
    <w:rsid w:val="003527E6"/>
  </w:style>
  <w:style w:type="character" w:customStyle="1" w:styleId="citation-abbreviation">
    <w:name w:val="citation-abbreviation"/>
    <w:basedOn w:val="DefaultParagraphFont"/>
    <w:rsid w:val="003527E6"/>
  </w:style>
  <w:style w:type="character" w:customStyle="1" w:styleId="citation-publication-date">
    <w:name w:val="citation-publication-date"/>
    <w:basedOn w:val="DefaultParagraphFont"/>
    <w:rsid w:val="003527E6"/>
  </w:style>
  <w:style w:type="character" w:customStyle="1" w:styleId="citation-volume">
    <w:name w:val="citation-volume"/>
    <w:basedOn w:val="DefaultParagraphFont"/>
    <w:rsid w:val="003527E6"/>
  </w:style>
  <w:style w:type="character" w:customStyle="1" w:styleId="citation-issue">
    <w:name w:val="citation-issue"/>
    <w:basedOn w:val="DefaultParagraphFont"/>
    <w:rsid w:val="003527E6"/>
  </w:style>
  <w:style w:type="character" w:customStyle="1" w:styleId="citation-flpages">
    <w:name w:val="citation-flpages"/>
    <w:basedOn w:val="DefaultParagraphFont"/>
    <w:rsid w:val="003527E6"/>
  </w:style>
  <w:style w:type="character" w:customStyle="1" w:styleId="cit-auth2">
    <w:name w:val="cit-auth2"/>
    <w:basedOn w:val="DefaultParagraphFont"/>
    <w:rsid w:val="003527E6"/>
  </w:style>
  <w:style w:type="character" w:customStyle="1" w:styleId="cit-name-surname">
    <w:name w:val="cit-name-surname"/>
    <w:basedOn w:val="DefaultParagraphFont"/>
    <w:rsid w:val="003527E6"/>
  </w:style>
  <w:style w:type="character" w:customStyle="1" w:styleId="cit-name-given-names">
    <w:name w:val="cit-name-given-names"/>
    <w:basedOn w:val="DefaultParagraphFont"/>
    <w:rsid w:val="003527E6"/>
  </w:style>
  <w:style w:type="character" w:customStyle="1" w:styleId="cit-etal">
    <w:name w:val="cit-etal"/>
    <w:basedOn w:val="DefaultParagraphFont"/>
    <w:rsid w:val="003527E6"/>
  </w:style>
  <w:style w:type="character" w:customStyle="1" w:styleId="cit-pub-date">
    <w:name w:val="cit-pub-date"/>
    <w:basedOn w:val="DefaultParagraphFont"/>
    <w:rsid w:val="003527E6"/>
  </w:style>
  <w:style w:type="character" w:customStyle="1" w:styleId="cit-article-title">
    <w:name w:val="cit-article-title"/>
    <w:basedOn w:val="DefaultParagraphFont"/>
    <w:rsid w:val="003527E6"/>
  </w:style>
  <w:style w:type="character" w:customStyle="1" w:styleId="cit-vol3">
    <w:name w:val="cit-vol3"/>
    <w:basedOn w:val="DefaultParagraphFont"/>
    <w:rsid w:val="003527E6"/>
  </w:style>
  <w:style w:type="character" w:customStyle="1" w:styleId="cit-supplement">
    <w:name w:val="cit-supplement"/>
    <w:basedOn w:val="DefaultParagraphFont"/>
    <w:rsid w:val="003527E6"/>
  </w:style>
  <w:style w:type="character" w:customStyle="1" w:styleId="cit-fpage">
    <w:name w:val="cit-fpage"/>
    <w:basedOn w:val="DefaultParagraphFont"/>
    <w:rsid w:val="003527E6"/>
  </w:style>
  <w:style w:type="character" w:customStyle="1" w:styleId="cit-comment">
    <w:name w:val="cit-comment"/>
    <w:basedOn w:val="DefaultParagraphFont"/>
    <w:rsid w:val="003527E6"/>
  </w:style>
  <w:style w:type="paragraph" w:customStyle="1" w:styleId="desc1">
    <w:name w:val="desc1"/>
    <w:basedOn w:val="Normal"/>
    <w:rsid w:val="003527E6"/>
    <w:pPr>
      <w:spacing w:before="100" w:beforeAutospacing="1" w:after="100" w:afterAutospacing="1"/>
    </w:pPr>
    <w:rPr>
      <w:sz w:val="28"/>
      <w:szCs w:val="28"/>
      <w:lang w:val="el-GR" w:eastAsia="el-GR"/>
    </w:rPr>
  </w:style>
  <w:style w:type="paragraph" w:customStyle="1" w:styleId="details1">
    <w:name w:val="details1"/>
    <w:basedOn w:val="Normal"/>
    <w:rsid w:val="003527E6"/>
    <w:pPr>
      <w:spacing w:before="100" w:beforeAutospacing="1" w:after="100" w:afterAutospacing="1"/>
    </w:pPr>
    <w:rPr>
      <w:lang w:val="el-GR" w:eastAsia="el-GR"/>
    </w:rPr>
  </w:style>
  <w:style w:type="character" w:customStyle="1" w:styleId="refpreview1">
    <w:name w:val="refpreview1"/>
    <w:rsid w:val="003527E6"/>
    <w:rPr>
      <w:vanish/>
      <w:webHidden w:val="0"/>
      <w:shd w:val="clear" w:color="auto" w:fill="EEEEEE"/>
      <w:specVanish w:val="0"/>
    </w:rPr>
  </w:style>
  <w:style w:type="character" w:customStyle="1" w:styleId="nbapihighlight2">
    <w:name w:val="nbapihighlight2"/>
    <w:basedOn w:val="DefaultParagraphFont"/>
    <w:rsid w:val="003527E6"/>
  </w:style>
  <w:style w:type="character" w:customStyle="1" w:styleId="referencetext1">
    <w:name w:val="referencetext1"/>
    <w:rsid w:val="003527E6"/>
    <w:rPr>
      <w:vanish w:val="0"/>
      <w:webHidden w:val="0"/>
      <w:specVanish w:val="0"/>
    </w:rPr>
  </w:style>
  <w:style w:type="character" w:customStyle="1" w:styleId="highlight">
    <w:name w:val="highlight"/>
    <w:basedOn w:val="DefaultParagraphFont"/>
    <w:rsid w:val="003527E6"/>
  </w:style>
  <w:style w:type="paragraph" w:customStyle="1" w:styleId="desc">
    <w:name w:val="desc"/>
    <w:basedOn w:val="Normal"/>
    <w:rsid w:val="003527E6"/>
    <w:pPr>
      <w:spacing w:before="100" w:beforeAutospacing="1" w:after="100" w:afterAutospacing="1"/>
    </w:pPr>
    <w:rPr>
      <w:lang w:val="el-GR" w:eastAsia="el-GR"/>
    </w:rPr>
  </w:style>
  <w:style w:type="paragraph" w:customStyle="1" w:styleId="details">
    <w:name w:val="details"/>
    <w:basedOn w:val="Normal"/>
    <w:rsid w:val="003527E6"/>
    <w:pPr>
      <w:spacing w:before="100" w:beforeAutospacing="1" w:after="100" w:afterAutospacing="1"/>
    </w:pPr>
    <w:rPr>
      <w:lang w:val="el-GR" w:eastAsia="el-GR"/>
    </w:rPr>
  </w:style>
  <w:style w:type="table" w:styleId="TableClassic1">
    <w:name w:val="Table Classic 1"/>
    <w:basedOn w:val="TableNormal"/>
    <w:rsid w:val="003527E6"/>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itationbook">
    <w:name w:val="citation book"/>
    <w:basedOn w:val="DefaultParagraphFont"/>
    <w:rsid w:val="003527E6"/>
  </w:style>
  <w:style w:type="character" w:customStyle="1" w:styleId="citationjournal">
    <w:name w:val="citation journal"/>
    <w:basedOn w:val="DefaultParagraphFont"/>
    <w:rsid w:val="003527E6"/>
  </w:style>
  <w:style w:type="character" w:customStyle="1" w:styleId="spipsurligne">
    <w:name w:val="spip_surligne"/>
    <w:basedOn w:val="DefaultParagraphFont"/>
    <w:rsid w:val="003527E6"/>
  </w:style>
  <w:style w:type="character" w:customStyle="1" w:styleId="name">
    <w:name w:val="name"/>
    <w:basedOn w:val="DefaultParagraphFont"/>
    <w:rsid w:val="003527E6"/>
  </w:style>
  <w:style w:type="character" w:customStyle="1" w:styleId="slug-pub-date">
    <w:name w:val="slug-pub-date"/>
    <w:basedOn w:val="DefaultParagraphFont"/>
    <w:rsid w:val="003527E6"/>
  </w:style>
  <w:style w:type="character" w:customStyle="1" w:styleId="slug-vol">
    <w:name w:val="slug-vol"/>
    <w:basedOn w:val="DefaultParagraphFont"/>
    <w:rsid w:val="003527E6"/>
  </w:style>
  <w:style w:type="character" w:customStyle="1" w:styleId="slug-pages">
    <w:name w:val="slug-pages"/>
    <w:basedOn w:val="DefaultParagraphFont"/>
    <w:rsid w:val="003527E6"/>
  </w:style>
  <w:style w:type="character" w:customStyle="1" w:styleId="hidden1">
    <w:name w:val="hidden1"/>
    <w:basedOn w:val="DefaultParagraphFont"/>
    <w:rsid w:val="003527E6"/>
  </w:style>
  <w:style w:type="character" w:customStyle="1" w:styleId="hps">
    <w:name w:val="hps"/>
    <w:basedOn w:val="DefaultParagraphFont"/>
    <w:rsid w:val="003527E6"/>
  </w:style>
  <w:style w:type="character" w:customStyle="1" w:styleId="hpsatn">
    <w:name w:val="hps atn"/>
    <w:basedOn w:val="DefaultParagraphFont"/>
    <w:rsid w:val="003527E6"/>
  </w:style>
  <w:style w:type="character" w:customStyle="1" w:styleId="atn">
    <w:name w:val="atn"/>
    <w:basedOn w:val="DefaultParagraphFont"/>
    <w:rsid w:val="003527E6"/>
  </w:style>
  <w:style w:type="character" w:customStyle="1" w:styleId="printhide">
    <w:name w:val="printhide"/>
    <w:basedOn w:val="DefaultParagraphFont"/>
    <w:rsid w:val="003527E6"/>
  </w:style>
  <w:style w:type="character" w:customStyle="1" w:styleId="spelle">
    <w:name w:val="spelle"/>
    <w:basedOn w:val="DefaultParagraphFont"/>
    <w:rsid w:val="003527E6"/>
  </w:style>
  <w:style w:type="character" w:customStyle="1" w:styleId="Subtitle1">
    <w:name w:val="Subtitle1"/>
    <w:basedOn w:val="DefaultParagraphFont"/>
    <w:rsid w:val="003527E6"/>
  </w:style>
  <w:style w:type="character" w:customStyle="1" w:styleId="st">
    <w:name w:val="st"/>
    <w:basedOn w:val="DefaultParagraphFont"/>
    <w:rsid w:val="003527E6"/>
  </w:style>
  <w:style w:type="character" w:customStyle="1" w:styleId="Ttulo1Char">
    <w:name w:val="Título 1 Char"/>
    <w:rsid w:val="003527E6"/>
    <w:rPr>
      <w:rFonts w:cs="Arial"/>
      <w:b/>
      <w:bCs/>
      <w:kern w:val="32"/>
      <w:sz w:val="24"/>
      <w:szCs w:val="32"/>
      <w:lang w:val="en-US" w:eastAsia="en-US" w:bidi="ar-SA"/>
    </w:rPr>
  </w:style>
  <w:style w:type="paragraph" w:customStyle="1" w:styleId="yenexitesis">
    <w:name w:val="yenexi_tesis"/>
    <w:basedOn w:val="Normal"/>
    <w:autoRedefine/>
    <w:rsid w:val="003527E6"/>
    <w:pPr>
      <w:spacing w:before="120" w:after="120" w:line="360" w:lineRule="auto"/>
      <w:jc w:val="both"/>
    </w:pPr>
    <w:rPr>
      <w:rFonts w:ascii="Arial" w:hAnsi="Arial"/>
    </w:rPr>
  </w:style>
  <w:style w:type="paragraph" w:customStyle="1" w:styleId="MRMC">
    <w:name w:val="MRMC"/>
    <w:basedOn w:val="Normal"/>
    <w:autoRedefine/>
    <w:rsid w:val="003527E6"/>
    <w:pPr>
      <w:widowControl w:val="0"/>
      <w:suppressAutoHyphens/>
      <w:spacing w:line="480" w:lineRule="auto"/>
      <w:jc w:val="both"/>
    </w:pPr>
    <w:rPr>
      <w:rFonts w:eastAsia="DejaVu Sans"/>
    </w:rPr>
  </w:style>
  <w:style w:type="paragraph" w:styleId="BodyText2">
    <w:name w:val="Body Text 2"/>
    <w:basedOn w:val="Normal"/>
    <w:link w:val="BodyText2Char"/>
    <w:rsid w:val="003527E6"/>
    <w:pPr>
      <w:spacing w:line="480" w:lineRule="auto"/>
      <w:jc w:val="both"/>
    </w:pPr>
    <w:rPr>
      <w:szCs w:val="20"/>
      <w:lang w:eastAsia="es-ES"/>
    </w:rPr>
  </w:style>
  <w:style w:type="character" w:customStyle="1" w:styleId="BodyText2Char">
    <w:name w:val="Body Text 2 Char"/>
    <w:basedOn w:val="DefaultParagraphFont"/>
    <w:link w:val="BodyText2"/>
    <w:rsid w:val="003527E6"/>
    <w:rPr>
      <w:rFonts w:ascii="Times New Roman" w:eastAsia="Times New Roman" w:hAnsi="Times New Roman" w:cs="Times New Roman"/>
      <w:sz w:val="24"/>
      <w:szCs w:val="20"/>
      <w:lang w:eastAsia="es-ES"/>
    </w:rPr>
  </w:style>
  <w:style w:type="paragraph" w:styleId="Caption">
    <w:name w:val="caption"/>
    <w:basedOn w:val="Normal"/>
    <w:next w:val="Normal"/>
    <w:qFormat/>
    <w:rsid w:val="003527E6"/>
    <w:rPr>
      <w:b/>
      <w:bCs/>
      <w:sz w:val="20"/>
      <w:szCs w:val="20"/>
    </w:rPr>
  </w:style>
  <w:style w:type="character" w:customStyle="1" w:styleId="RodapChar">
    <w:name w:val="Rodapé Char"/>
    <w:rsid w:val="003527E6"/>
    <w:rPr>
      <w:sz w:val="24"/>
      <w:szCs w:val="24"/>
      <w:lang w:val="en-US" w:eastAsia="en-US" w:bidi="ar-SA"/>
    </w:rPr>
  </w:style>
  <w:style w:type="character" w:customStyle="1" w:styleId="BCAuthorAddressCarattere">
    <w:name w:val="BC_Author_Address Carattere"/>
    <w:rsid w:val="003527E6"/>
    <w:rPr>
      <w:noProof w:val="0"/>
      <w:sz w:val="24"/>
      <w:lang w:val="it-IT"/>
    </w:rPr>
  </w:style>
  <w:style w:type="paragraph" w:customStyle="1" w:styleId="NormaleCorsivo">
    <w:name w:val="Normale + Corsivo"/>
    <w:basedOn w:val="Normal"/>
    <w:rsid w:val="003527E6"/>
    <w:rPr>
      <w:i/>
      <w:vertAlign w:val="superscript"/>
      <w:lang w:val="it-IT" w:eastAsia="it-IT"/>
    </w:rPr>
  </w:style>
  <w:style w:type="character" w:customStyle="1" w:styleId="rwrro">
    <w:name w:val="rwrro"/>
    <w:basedOn w:val="DefaultParagraphFont"/>
    <w:rsid w:val="003527E6"/>
  </w:style>
  <w:style w:type="paragraph" w:customStyle="1" w:styleId="TAMainText">
    <w:name w:val="TA_Main_Text"/>
    <w:basedOn w:val="Normal"/>
    <w:rsid w:val="003527E6"/>
    <w:pPr>
      <w:spacing w:line="480" w:lineRule="auto"/>
      <w:ind w:firstLine="202"/>
      <w:jc w:val="both"/>
    </w:pPr>
    <w:rPr>
      <w:rFonts w:ascii="Times" w:hAnsi="Times"/>
      <w:szCs w:val="20"/>
    </w:rPr>
  </w:style>
  <w:style w:type="paragraph" w:customStyle="1" w:styleId="BATitle">
    <w:name w:val="BA_Title"/>
    <w:basedOn w:val="Normal"/>
    <w:next w:val="Normal"/>
    <w:rsid w:val="003527E6"/>
    <w:pPr>
      <w:spacing w:before="720" w:after="360" w:line="480" w:lineRule="auto"/>
      <w:jc w:val="center"/>
    </w:pPr>
    <w:rPr>
      <w:sz w:val="44"/>
      <w:szCs w:val="20"/>
    </w:rPr>
  </w:style>
  <w:style w:type="paragraph" w:customStyle="1" w:styleId="BBAuthorName">
    <w:name w:val="BB_Author_Name"/>
    <w:basedOn w:val="Normal"/>
    <w:next w:val="Normal"/>
    <w:rsid w:val="003527E6"/>
    <w:pPr>
      <w:spacing w:after="240" w:line="480" w:lineRule="auto"/>
      <w:jc w:val="center"/>
    </w:pPr>
    <w:rPr>
      <w:rFonts w:ascii="Times" w:hAnsi="Times"/>
      <w:i/>
      <w:szCs w:val="20"/>
    </w:rPr>
  </w:style>
  <w:style w:type="character" w:customStyle="1" w:styleId="ldacoc">
    <w:name w:val="ldacoc"/>
    <w:basedOn w:val="DefaultParagraphFont"/>
    <w:rsid w:val="003527E6"/>
  </w:style>
  <w:style w:type="paragraph" w:customStyle="1" w:styleId="BDAbstract">
    <w:name w:val="BD_Abstract"/>
    <w:basedOn w:val="Normal"/>
    <w:next w:val="Normal"/>
    <w:rsid w:val="003527E6"/>
    <w:pPr>
      <w:spacing w:before="360" w:after="360" w:line="480" w:lineRule="auto"/>
      <w:jc w:val="both"/>
    </w:pPr>
    <w:rPr>
      <w:rFonts w:ascii="Times" w:hAnsi="Times"/>
      <w:szCs w:val="20"/>
    </w:rPr>
  </w:style>
  <w:style w:type="paragraph" w:customStyle="1" w:styleId="TFReferencesSection">
    <w:name w:val="TF_References_Section"/>
    <w:basedOn w:val="Normal"/>
    <w:rsid w:val="003527E6"/>
    <w:pPr>
      <w:spacing w:after="200" w:line="480" w:lineRule="auto"/>
      <w:ind w:firstLine="187"/>
      <w:jc w:val="both"/>
    </w:pPr>
    <w:rPr>
      <w:rFonts w:ascii="Times" w:hAnsi="Times"/>
      <w:szCs w:val="20"/>
    </w:rPr>
  </w:style>
  <w:style w:type="character" w:customStyle="1" w:styleId="TextodenotaderodapChar">
    <w:name w:val="Texto de nota de rodapé Char"/>
    <w:rsid w:val="003527E6"/>
    <w:rPr>
      <w:rFonts w:ascii="Times" w:hAnsi="Times"/>
      <w:sz w:val="24"/>
      <w:lang w:val="en-US" w:eastAsia="en-US" w:bidi="ar-SA"/>
    </w:rPr>
  </w:style>
  <w:style w:type="paragraph" w:customStyle="1" w:styleId="BCAuthorAddress">
    <w:name w:val="BC_Author_Address"/>
    <w:basedOn w:val="Normal"/>
    <w:next w:val="BIEmailAddress"/>
    <w:rsid w:val="003527E6"/>
    <w:pPr>
      <w:spacing w:after="240" w:line="480" w:lineRule="auto"/>
      <w:jc w:val="center"/>
    </w:pPr>
    <w:rPr>
      <w:rFonts w:ascii="Times" w:hAnsi="Times"/>
      <w:szCs w:val="20"/>
    </w:rPr>
  </w:style>
  <w:style w:type="paragraph" w:customStyle="1" w:styleId="AIReceivedDate">
    <w:name w:val="AI_Received_Date"/>
    <w:basedOn w:val="Normal"/>
    <w:next w:val="BDAbstract"/>
    <w:rsid w:val="003527E6"/>
    <w:pPr>
      <w:spacing w:after="240" w:line="480" w:lineRule="auto"/>
      <w:jc w:val="both"/>
    </w:pPr>
    <w:rPr>
      <w:rFonts w:ascii="Times" w:hAnsi="Times"/>
      <w:b/>
      <w:szCs w:val="20"/>
    </w:rPr>
  </w:style>
  <w:style w:type="paragraph" w:customStyle="1" w:styleId="TDAcknowledgments">
    <w:name w:val="TD_Acknowledgments"/>
    <w:basedOn w:val="Normal"/>
    <w:next w:val="Normal"/>
    <w:rsid w:val="003527E6"/>
    <w:pPr>
      <w:spacing w:before="200" w:after="200" w:line="480" w:lineRule="auto"/>
      <w:ind w:firstLine="202"/>
      <w:jc w:val="both"/>
    </w:pPr>
    <w:rPr>
      <w:rFonts w:ascii="Times" w:hAnsi="Times"/>
      <w:szCs w:val="20"/>
    </w:rPr>
  </w:style>
  <w:style w:type="paragraph" w:customStyle="1" w:styleId="TESupportingInformation">
    <w:name w:val="TE_Supporting_Information"/>
    <w:basedOn w:val="Normal"/>
    <w:next w:val="Normal"/>
    <w:rsid w:val="003527E6"/>
    <w:pPr>
      <w:spacing w:after="200" w:line="480" w:lineRule="auto"/>
      <w:ind w:firstLine="187"/>
      <w:jc w:val="both"/>
    </w:pPr>
    <w:rPr>
      <w:rFonts w:ascii="Times" w:hAnsi="Times"/>
      <w:szCs w:val="20"/>
    </w:rPr>
  </w:style>
  <w:style w:type="paragraph" w:customStyle="1" w:styleId="VCSchemeTitle">
    <w:name w:val="VC_Scheme_Title"/>
    <w:basedOn w:val="Normal"/>
    <w:next w:val="Normal"/>
    <w:rsid w:val="003527E6"/>
    <w:pPr>
      <w:spacing w:after="200" w:line="480" w:lineRule="auto"/>
      <w:jc w:val="both"/>
    </w:pPr>
    <w:rPr>
      <w:rFonts w:ascii="Times" w:hAnsi="Times"/>
      <w:szCs w:val="20"/>
    </w:rPr>
  </w:style>
  <w:style w:type="paragraph" w:customStyle="1" w:styleId="VDTableTitle">
    <w:name w:val="VD_Table_Title"/>
    <w:basedOn w:val="Normal"/>
    <w:next w:val="Normal"/>
    <w:rsid w:val="003527E6"/>
    <w:pPr>
      <w:spacing w:after="200" w:line="480" w:lineRule="auto"/>
      <w:jc w:val="both"/>
    </w:pPr>
    <w:rPr>
      <w:rFonts w:ascii="Times" w:hAnsi="Times"/>
      <w:szCs w:val="20"/>
    </w:rPr>
  </w:style>
  <w:style w:type="paragraph" w:customStyle="1" w:styleId="VAFigureCaption">
    <w:name w:val="VA_Figure_Caption"/>
    <w:basedOn w:val="Normal"/>
    <w:next w:val="Normal"/>
    <w:rsid w:val="003527E6"/>
    <w:pPr>
      <w:spacing w:after="200" w:line="480" w:lineRule="auto"/>
      <w:jc w:val="both"/>
    </w:pPr>
    <w:rPr>
      <w:rFonts w:ascii="Times" w:hAnsi="Times"/>
      <w:szCs w:val="20"/>
    </w:rPr>
  </w:style>
  <w:style w:type="paragraph" w:customStyle="1" w:styleId="VBChartTitle">
    <w:name w:val="VB_Chart_Title"/>
    <w:basedOn w:val="Normal"/>
    <w:next w:val="Normal"/>
    <w:rsid w:val="003527E6"/>
    <w:pPr>
      <w:spacing w:after="200" w:line="480" w:lineRule="auto"/>
      <w:jc w:val="both"/>
    </w:pPr>
    <w:rPr>
      <w:rFonts w:ascii="Times" w:hAnsi="Times"/>
      <w:szCs w:val="20"/>
    </w:rPr>
  </w:style>
  <w:style w:type="paragraph" w:customStyle="1" w:styleId="FETableFootnote">
    <w:name w:val="FE_Table_Footnote"/>
    <w:basedOn w:val="Normal"/>
    <w:next w:val="Normal"/>
    <w:rsid w:val="003527E6"/>
    <w:pPr>
      <w:spacing w:after="200"/>
      <w:ind w:firstLine="187"/>
      <w:jc w:val="both"/>
    </w:pPr>
    <w:rPr>
      <w:rFonts w:ascii="Times" w:hAnsi="Times"/>
      <w:szCs w:val="20"/>
    </w:rPr>
  </w:style>
  <w:style w:type="paragraph" w:customStyle="1" w:styleId="FCChartFootnote">
    <w:name w:val="FC_Chart_Footnote"/>
    <w:basedOn w:val="Normal"/>
    <w:next w:val="Normal"/>
    <w:rsid w:val="003527E6"/>
    <w:pPr>
      <w:spacing w:after="200"/>
      <w:ind w:firstLine="187"/>
      <w:jc w:val="both"/>
    </w:pPr>
    <w:rPr>
      <w:rFonts w:ascii="Times" w:hAnsi="Times"/>
      <w:szCs w:val="20"/>
    </w:rPr>
  </w:style>
  <w:style w:type="paragraph" w:customStyle="1" w:styleId="FDSchemeFootnote">
    <w:name w:val="FD_Scheme_Footnote"/>
    <w:basedOn w:val="Normal"/>
    <w:next w:val="Normal"/>
    <w:rsid w:val="003527E6"/>
    <w:pPr>
      <w:spacing w:after="200"/>
      <w:ind w:firstLine="187"/>
      <w:jc w:val="both"/>
    </w:pPr>
    <w:rPr>
      <w:rFonts w:ascii="Times" w:hAnsi="Times"/>
      <w:szCs w:val="20"/>
    </w:rPr>
  </w:style>
  <w:style w:type="paragraph" w:customStyle="1" w:styleId="TCTableBody">
    <w:name w:val="TC_Table_Body"/>
    <w:basedOn w:val="Normal"/>
    <w:rsid w:val="003527E6"/>
    <w:pPr>
      <w:spacing w:after="200"/>
      <w:jc w:val="both"/>
    </w:pPr>
    <w:rPr>
      <w:rFonts w:ascii="Times" w:hAnsi="Times"/>
      <w:szCs w:val="20"/>
    </w:rPr>
  </w:style>
  <w:style w:type="paragraph" w:customStyle="1" w:styleId="AFTitleRunningHead">
    <w:name w:val="AF_Title_Running_Head"/>
    <w:basedOn w:val="Normal"/>
    <w:next w:val="TAMainText"/>
    <w:rsid w:val="003527E6"/>
    <w:pPr>
      <w:spacing w:after="200" w:line="480" w:lineRule="auto"/>
      <w:jc w:val="both"/>
    </w:pPr>
    <w:rPr>
      <w:rFonts w:ascii="Times" w:hAnsi="Times"/>
      <w:szCs w:val="20"/>
    </w:rPr>
  </w:style>
  <w:style w:type="paragraph" w:customStyle="1" w:styleId="BEAuthorBiography">
    <w:name w:val="BE_Author_Biography"/>
    <w:basedOn w:val="Normal"/>
    <w:rsid w:val="003527E6"/>
    <w:pPr>
      <w:spacing w:after="200" w:line="480" w:lineRule="auto"/>
      <w:jc w:val="both"/>
    </w:pPr>
    <w:rPr>
      <w:rFonts w:ascii="Times" w:hAnsi="Times"/>
      <w:szCs w:val="20"/>
    </w:rPr>
  </w:style>
  <w:style w:type="paragraph" w:customStyle="1" w:styleId="SNSynopsisTOC">
    <w:name w:val="SN_Synopsis_TOC"/>
    <w:basedOn w:val="Normal"/>
    <w:rsid w:val="003527E6"/>
    <w:pPr>
      <w:spacing w:after="200" w:line="480" w:lineRule="auto"/>
      <w:jc w:val="both"/>
    </w:pPr>
    <w:rPr>
      <w:rFonts w:ascii="Times" w:hAnsi="Times"/>
      <w:szCs w:val="20"/>
    </w:rPr>
  </w:style>
  <w:style w:type="paragraph" w:customStyle="1" w:styleId="BGKeywords">
    <w:name w:val="BG_Keywords"/>
    <w:basedOn w:val="Normal"/>
    <w:rsid w:val="003527E6"/>
    <w:pPr>
      <w:spacing w:after="200" w:line="480" w:lineRule="auto"/>
      <w:jc w:val="both"/>
    </w:pPr>
    <w:rPr>
      <w:rFonts w:ascii="Times" w:hAnsi="Times"/>
      <w:szCs w:val="20"/>
    </w:rPr>
  </w:style>
  <w:style w:type="paragraph" w:customStyle="1" w:styleId="BHBriefs">
    <w:name w:val="BH_Briefs"/>
    <w:basedOn w:val="Normal"/>
    <w:rsid w:val="003527E6"/>
    <w:pPr>
      <w:spacing w:after="200" w:line="480" w:lineRule="auto"/>
      <w:jc w:val="both"/>
    </w:pPr>
    <w:rPr>
      <w:rFonts w:ascii="Times" w:hAnsi="Times"/>
      <w:szCs w:val="20"/>
    </w:rPr>
  </w:style>
  <w:style w:type="paragraph" w:customStyle="1" w:styleId="BMCLNORMAL">
    <w:name w:val="BMCL NORMAL"/>
    <w:basedOn w:val="Normal"/>
    <w:next w:val="Normal"/>
    <w:rsid w:val="003527E6"/>
    <w:pPr>
      <w:widowControl w:val="0"/>
      <w:spacing w:line="230" w:lineRule="exact"/>
      <w:jc w:val="both"/>
    </w:pPr>
    <w:rPr>
      <w:sz w:val="21"/>
      <w:szCs w:val="20"/>
    </w:rPr>
  </w:style>
  <w:style w:type="paragraph" w:customStyle="1" w:styleId="BMCLRECEIPT">
    <w:name w:val="BMCL RECEIPT"/>
    <w:basedOn w:val="BMCLNORMAL"/>
    <w:next w:val="Normal"/>
    <w:rsid w:val="003527E6"/>
    <w:pPr>
      <w:spacing w:after="240" w:line="200" w:lineRule="exact"/>
      <w:jc w:val="center"/>
    </w:pPr>
    <w:rPr>
      <w:sz w:val="16"/>
    </w:rPr>
  </w:style>
  <w:style w:type="paragraph" w:styleId="ListParagraph">
    <w:name w:val="List Paragraph"/>
    <w:basedOn w:val="Normal"/>
    <w:uiPriority w:val="34"/>
    <w:qFormat/>
    <w:rsid w:val="003527E6"/>
    <w:pPr>
      <w:numPr>
        <w:numId w:val="2"/>
      </w:numPr>
      <w:spacing w:after="200" w:line="276" w:lineRule="auto"/>
      <w:ind w:left="284" w:hanging="284"/>
      <w:contextualSpacing/>
      <w:jc w:val="both"/>
    </w:pPr>
    <w:rPr>
      <w:rFonts w:eastAsia="PMingLiU"/>
      <w:color w:val="131413"/>
      <w:sz w:val="20"/>
      <w:szCs w:val="20"/>
      <w:lang w:eastAsia="zh-TW"/>
    </w:rPr>
  </w:style>
  <w:style w:type="character" w:customStyle="1" w:styleId="book-details-italic1">
    <w:name w:val="book-details-italic1"/>
    <w:rsid w:val="003527E6"/>
    <w:rPr>
      <w:rFonts w:ascii="Georgia" w:hAnsi="Georgia" w:hint="default"/>
      <w:color w:val="999999"/>
      <w:sz w:val="12"/>
      <w:szCs w:val="12"/>
    </w:rPr>
  </w:style>
  <w:style w:type="paragraph" w:customStyle="1" w:styleId="BMCLREFERENCE">
    <w:name w:val="BMCL REFERENCE"/>
    <w:basedOn w:val="BMCLNORMAL"/>
    <w:rsid w:val="003527E6"/>
    <w:pPr>
      <w:tabs>
        <w:tab w:val="left" w:pos="360"/>
      </w:tabs>
    </w:pPr>
    <w:rPr>
      <w:sz w:val="20"/>
    </w:rPr>
  </w:style>
  <w:style w:type="character" w:customStyle="1" w:styleId="mediumtext1">
    <w:name w:val="medium_text1"/>
    <w:rsid w:val="003527E6"/>
    <w:rPr>
      <w:sz w:val="24"/>
      <w:szCs w:val="24"/>
    </w:rPr>
  </w:style>
  <w:style w:type="character" w:customStyle="1" w:styleId="shorttext1">
    <w:name w:val="short_text1"/>
    <w:rsid w:val="003527E6"/>
    <w:rPr>
      <w:sz w:val="20"/>
      <w:szCs w:val="20"/>
    </w:rPr>
  </w:style>
  <w:style w:type="paragraph" w:customStyle="1" w:styleId="Estndar">
    <w:name w:val="Estándar"/>
    <w:basedOn w:val="Normal"/>
    <w:rsid w:val="003527E6"/>
    <w:pPr>
      <w:overflowPunct w:val="0"/>
      <w:autoSpaceDE w:val="0"/>
      <w:autoSpaceDN w:val="0"/>
      <w:adjustRightInd w:val="0"/>
      <w:spacing w:line="360" w:lineRule="auto"/>
      <w:jc w:val="center"/>
      <w:textAlignment w:val="baseline"/>
    </w:pPr>
    <w:rPr>
      <w:rFonts w:ascii="Helv" w:hAnsi="Helv"/>
      <w:sz w:val="20"/>
      <w:szCs w:val="20"/>
      <w:lang w:val="en-GB" w:eastAsia="es-ES"/>
    </w:rPr>
  </w:style>
  <w:style w:type="paragraph" w:styleId="BodyTextIndent3">
    <w:name w:val="Body Text Indent 3"/>
    <w:basedOn w:val="Normal"/>
    <w:link w:val="BodyTextIndent3Char"/>
    <w:rsid w:val="003527E6"/>
    <w:pPr>
      <w:spacing w:after="120"/>
      <w:ind w:left="283"/>
    </w:pPr>
    <w:rPr>
      <w:sz w:val="16"/>
      <w:szCs w:val="16"/>
      <w:lang w:val="es-ES" w:eastAsia="es-ES" w:bidi="he-IL"/>
    </w:rPr>
  </w:style>
  <w:style w:type="character" w:customStyle="1" w:styleId="BodyTextIndent3Char">
    <w:name w:val="Body Text Indent 3 Char"/>
    <w:basedOn w:val="DefaultParagraphFont"/>
    <w:link w:val="BodyTextIndent3"/>
    <w:rsid w:val="003527E6"/>
    <w:rPr>
      <w:rFonts w:ascii="Times New Roman" w:eastAsia="Times New Roman" w:hAnsi="Times New Roman" w:cs="Times New Roman"/>
      <w:sz w:val="16"/>
      <w:szCs w:val="16"/>
      <w:lang w:val="es-ES" w:eastAsia="es-ES" w:bidi="he-IL"/>
    </w:rPr>
  </w:style>
  <w:style w:type="character" w:customStyle="1" w:styleId="Recuodecorpodetexto3Char">
    <w:name w:val="Recuo de corpo de texto 3 Char"/>
    <w:rsid w:val="003527E6"/>
    <w:rPr>
      <w:sz w:val="16"/>
      <w:szCs w:val="16"/>
      <w:lang w:val="es-ES" w:eastAsia="es-ES" w:bidi="he-IL"/>
    </w:rPr>
  </w:style>
  <w:style w:type="character" w:customStyle="1" w:styleId="googqs-tidbit1">
    <w:name w:val="goog_qs-tidbit1"/>
    <w:rsid w:val="003527E6"/>
    <w:rPr>
      <w:vanish w:val="0"/>
      <w:webHidden w:val="0"/>
      <w:specVanish w:val="0"/>
    </w:rPr>
  </w:style>
  <w:style w:type="paragraph" w:customStyle="1" w:styleId="msolistparagraph0">
    <w:name w:val="msolistparagraph"/>
    <w:basedOn w:val="Normal"/>
    <w:rsid w:val="003527E6"/>
    <w:pPr>
      <w:spacing w:after="200"/>
      <w:ind w:left="720"/>
    </w:pPr>
    <w:rPr>
      <w:rFonts w:eastAsia="Cambria"/>
      <w:szCs w:val="20"/>
    </w:rPr>
  </w:style>
  <w:style w:type="paragraph" w:customStyle="1" w:styleId="Titolo1">
    <w:name w:val="Titolo1"/>
    <w:basedOn w:val="Normal"/>
    <w:next w:val="Normal"/>
    <w:rsid w:val="003527E6"/>
    <w:pPr>
      <w:spacing w:before="230" w:after="230" w:line="300" w:lineRule="exact"/>
      <w:jc w:val="center"/>
    </w:pPr>
    <w:rPr>
      <w:rFonts w:eastAsia="MS Mincho"/>
      <w:b/>
      <w:sz w:val="28"/>
      <w:szCs w:val="28"/>
      <w:lang w:val="en-GB" w:eastAsia="ja-JP"/>
    </w:rPr>
  </w:style>
  <w:style w:type="paragraph" w:customStyle="1" w:styleId="Authors">
    <w:name w:val="Authors"/>
    <w:basedOn w:val="Normal"/>
    <w:rsid w:val="003527E6"/>
    <w:pPr>
      <w:spacing w:before="360" w:after="460" w:line="260" w:lineRule="exact"/>
      <w:jc w:val="center"/>
    </w:pPr>
    <w:rPr>
      <w:rFonts w:eastAsia="MS Mincho"/>
      <w:b/>
      <w:lang w:val="en-GB" w:eastAsia="ja-JP"/>
    </w:rPr>
  </w:style>
  <w:style w:type="paragraph" w:customStyle="1" w:styleId="Adress">
    <w:name w:val="Adress"/>
    <w:basedOn w:val="Normal"/>
    <w:rsid w:val="003527E6"/>
    <w:pPr>
      <w:spacing w:line="180" w:lineRule="exact"/>
      <w:ind w:left="425" w:hanging="425"/>
    </w:pPr>
    <w:rPr>
      <w:rFonts w:eastAsia="MS Mincho"/>
      <w:sz w:val="16"/>
      <w:szCs w:val="20"/>
      <w:lang w:val="en-GB" w:eastAsia="ja-JP"/>
    </w:rPr>
  </w:style>
  <w:style w:type="paragraph" w:customStyle="1" w:styleId="Keywords">
    <w:name w:val="Keywords"/>
    <w:basedOn w:val="Normal"/>
    <w:rsid w:val="003527E6"/>
    <w:pPr>
      <w:spacing w:after="120" w:line="220" w:lineRule="exact"/>
      <w:ind w:left="170" w:right="170"/>
    </w:pPr>
    <w:rPr>
      <w:rFonts w:eastAsia="MS Mincho"/>
      <w:sz w:val="18"/>
      <w:szCs w:val="20"/>
      <w:lang w:val="en-GB" w:eastAsia="ja-JP"/>
    </w:rPr>
  </w:style>
  <w:style w:type="paragraph" w:customStyle="1" w:styleId="HAcknowledgment">
    <w:name w:val="HAcknowledgment"/>
    <w:basedOn w:val="Normal"/>
    <w:rsid w:val="003527E6"/>
    <w:pPr>
      <w:spacing w:before="360" w:after="230" w:line="240" w:lineRule="exact"/>
    </w:pPr>
    <w:rPr>
      <w:rFonts w:eastAsia="MS Mincho"/>
      <w:b/>
      <w:sz w:val="22"/>
      <w:lang w:val="en-GB" w:eastAsia="ja-JP"/>
    </w:rPr>
  </w:style>
  <w:style w:type="paragraph" w:customStyle="1" w:styleId="H1">
    <w:name w:val="H1"/>
    <w:basedOn w:val="Normal"/>
    <w:rsid w:val="003527E6"/>
    <w:pPr>
      <w:spacing w:before="360" w:after="230" w:line="240" w:lineRule="exact"/>
    </w:pPr>
    <w:rPr>
      <w:rFonts w:eastAsia="MS Mincho"/>
      <w:b/>
      <w:sz w:val="22"/>
      <w:lang w:val="en-GB" w:eastAsia="ja-JP"/>
    </w:rPr>
  </w:style>
  <w:style w:type="paragraph" w:customStyle="1" w:styleId="SchemeCaption">
    <w:name w:val="SchemeCaption"/>
    <w:basedOn w:val="Normal"/>
    <w:rsid w:val="003527E6"/>
    <w:pPr>
      <w:spacing w:before="230" w:after="460" w:line="180" w:lineRule="exact"/>
      <w:jc w:val="both"/>
    </w:pPr>
    <w:rPr>
      <w:rFonts w:eastAsia="MS Mincho"/>
      <w:sz w:val="16"/>
      <w:szCs w:val="14"/>
      <w:lang w:val="en-GB" w:eastAsia="ja-JP"/>
    </w:rPr>
  </w:style>
  <w:style w:type="paragraph" w:customStyle="1" w:styleId="FigureCaption">
    <w:name w:val="FigureCaption"/>
    <w:basedOn w:val="Normal"/>
    <w:rsid w:val="003527E6"/>
    <w:pPr>
      <w:spacing w:before="230" w:after="460" w:line="180" w:lineRule="exact"/>
      <w:jc w:val="both"/>
    </w:pPr>
    <w:rPr>
      <w:rFonts w:eastAsia="MS Mincho"/>
      <w:sz w:val="16"/>
      <w:szCs w:val="14"/>
      <w:lang w:val="en-GB" w:eastAsia="ja-JP"/>
    </w:rPr>
  </w:style>
  <w:style w:type="paragraph" w:customStyle="1" w:styleId="TableCaption">
    <w:name w:val="TableCaption"/>
    <w:basedOn w:val="Normal"/>
    <w:rsid w:val="003527E6"/>
    <w:pPr>
      <w:spacing w:before="230" w:after="120" w:line="180" w:lineRule="exact"/>
      <w:jc w:val="both"/>
    </w:pPr>
    <w:rPr>
      <w:rFonts w:eastAsia="MS Mincho"/>
      <w:sz w:val="16"/>
      <w:szCs w:val="14"/>
      <w:lang w:val="en-GB" w:eastAsia="ja-JP"/>
    </w:rPr>
  </w:style>
  <w:style w:type="paragraph" w:customStyle="1" w:styleId="P2">
    <w:name w:val="P2"/>
    <w:basedOn w:val="Normal"/>
    <w:rsid w:val="003527E6"/>
    <w:pPr>
      <w:spacing w:line="230" w:lineRule="exact"/>
    </w:pPr>
    <w:rPr>
      <w:rFonts w:eastAsia="MS Mincho"/>
      <w:sz w:val="16"/>
      <w:lang w:val="en-GB" w:eastAsia="ja-JP"/>
    </w:rPr>
  </w:style>
  <w:style w:type="paragraph" w:customStyle="1" w:styleId="TableFoot">
    <w:name w:val="TableFoot"/>
    <w:basedOn w:val="Normal"/>
    <w:rsid w:val="003527E6"/>
    <w:pPr>
      <w:spacing w:before="60" w:after="460" w:line="180" w:lineRule="exact"/>
      <w:jc w:val="both"/>
    </w:pPr>
    <w:rPr>
      <w:rFonts w:eastAsia="MS Mincho"/>
      <w:sz w:val="16"/>
      <w:szCs w:val="14"/>
      <w:lang w:val="en-GB" w:eastAsia="ja-JP"/>
    </w:rPr>
  </w:style>
  <w:style w:type="paragraph" w:customStyle="1" w:styleId="P1">
    <w:name w:val="P1"/>
    <w:basedOn w:val="TableCaption"/>
    <w:rsid w:val="003527E6"/>
    <w:pPr>
      <w:spacing w:line="220" w:lineRule="exact"/>
      <w:ind w:firstLine="170"/>
    </w:pPr>
    <w:rPr>
      <w:sz w:val="18"/>
    </w:rPr>
  </w:style>
  <w:style w:type="paragraph" w:customStyle="1" w:styleId="References">
    <w:name w:val="References"/>
    <w:basedOn w:val="Normal"/>
    <w:rsid w:val="003527E6"/>
    <w:pPr>
      <w:spacing w:after="120" w:line="180" w:lineRule="exact"/>
      <w:ind w:left="425" w:hanging="425"/>
      <w:jc w:val="both"/>
    </w:pPr>
    <w:rPr>
      <w:rFonts w:eastAsia="MS Mincho"/>
      <w:sz w:val="16"/>
      <w:szCs w:val="14"/>
      <w:lang w:val="en-GB" w:eastAsia="ja-JP"/>
    </w:rPr>
  </w:style>
  <w:style w:type="paragraph" w:customStyle="1" w:styleId="GAAuthors">
    <w:name w:val="GAAuthors"/>
    <w:basedOn w:val="Normal"/>
    <w:rsid w:val="003527E6"/>
    <w:pPr>
      <w:spacing w:before="360" w:after="60" w:line="220" w:lineRule="exact"/>
    </w:pPr>
    <w:rPr>
      <w:rFonts w:eastAsia="MS Mincho"/>
      <w:b/>
      <w:sz w:val="18"/>
      <w:szCs w:val="20"/>
      <w:lang w:val="en-GB" w:eastAsia="ja-JP"/>
    </w:rPr>
  </w:style>
  <w:style w:type="paragraph" w:customStyle="1" w:styleId="GACatchPhrase">
    <w:name w:val="GACatchPhrase"/>
    <w:basedOn w:val="Normal"/>
    <w:rsid w:val="003527E6"/>
    <w:pPr>
      <w:spacing w:before="40"/>
      <w:jc w:val="right"/>
    </w:pPr>
    <w:rPr>
      <w:rFonts w:eastAsia="MS Mincho" w:cs="Arial"/>
      <w:b/>
      <w:color w:val="008080"/>
      <w:sz w:val="18"/>
      <w:szCs w:val="16"/>
      <w:lang w:val="en-GB" w:eastAsia="ja-JP"/>
    </w:rPr>
  </w:style>
  <w:style w:type="paragraph" w:customStyle="1" w:styleId="GAText">
    <w:name w:val="GAText"/>
    <w:basedOn w:val="Normal"/>
    <w:rsid w:val="003527E6"/>
    <w:pPr>
      <w:spacing w:before="120" w:line="220" w:lineRule="exact"/>
    </w:pPr>
    <w:rPr>
      <w:rFonts w:eastAsia="MS Mincho"/>
      <w:color w:val="000000"/>
      <w:sz w:val="18"/>
      <w:lang w:val="en-GB" w:eastAsia="ja-JP"/>
    </w:rPr>
  </w:style>
  <w:style w:type="paragraph" w:customStyle="1" w:styleId="GATitel">
    <w:name w:val="GATitel"/>
    <w:basedOn w:val="GAAuthors"/>
    <w:rsid w:val="003527E6"/>
    <w:pPr>
      <w:spacing w:before="240"/>
    </w:pPr>
    <w:rPr>
      <w:b w:val="0"/>
    </w:rPr>
  </w:style>
  <w:style w:type="paragraph" w:customStyle="1" w:styleId="GAKeywords">
    <w:name w:val="GAKeywords"/>
    <w:basedOn w:val="Keywords"/>
    <w:rsid w:val="003527E6"/>
    <w:pPr>
      <w:framePr w:hSpace="141" w:wrap="around" w:hAnchor="text" w:y="673"/>
      <w:spacing w:before="200" w:after="0"/>
      <w:ind w:left="0" w:right="0"/>
    </w:pPr>
    <w:rPr>
      <w:b/>
      <w:szCs w:val="24"/>
    </w:rPr>
  </w:style>
  <w:style w:type="paragraph" w:styleId="Subtitle">
    <w:name w:val="Subtitle"/>
    <w:basedOn w:val="Normal"/>
    <w:next w:val="Normal"/>
    <w:link w:val="SubtitleChar"/>
    <w:qFormat/>
    <w:rsid w:val="003527E6"/>
    <w:pPr>
      <w:numPr>
        <w:ilvl w:val="1"/>
      </w:numPr>
      <w:spacing w:after="200" w:line="276" w:lineRule="auto"/>
    </w:pPr>
    <w:rPr>
      <w:rFonts w:ascii="Cambria" w:eastAsia="MS Gothic" w:hAnsi="Cambria"/>
      <w:i/>
      <w:iCs/>
      <w:color w:val="4F81BD"/>
      <w:spacing w:val="15"/>
      <w:lang w:val="it-IT"/>
    </w:rPr>
  </w:style>
  <w:style w:type="character" w:customStyle="1" w:styleId="SubtitleChar">
    <w:name w:val="Subtitle Char"/>
    <w:basedOn w:val="DefaultParagraphFont"/>
    <w:link w:val="Subtitle"/>
    <w:rsid w:val="003527E6"/>
    <w:rPr>
      <w:rFonts w:ascii="Cambria" w:eastAsia="MS Gothic" w:hAnsi="Cambria" w:cs="Times New Roman"/>
      <w:i/>
      <w:iCs/>
      <w:color w:val="4F81BD"/>
      <w:spacing w:val="15"/>
      <w:sz w:val="24"/>
      <w:szCs w:val="24"/>
      <w:lang w:val="it-IT"/>
    </w:rPr>
  </w:style>
  <w:style w:type="paragraph" w:styleId="NoSpacing">
    <w:name w:val="No Spacing"/>
    <w:qFormat/>
    <w:rsid w:val="003527E6"/>
    <w:pPr>
      <w:spacing w:after="0" w:line="240" w:lineRule="auto"/>
    </w:pPr>
    <w:rPr>
      <w:rFonts w:ascii="Calibri" w:eastAsia="MS Mincho" w:hAnsi="Calibri" w:cs="Times New Roman"/>
      <w:lang w:val="it-IT"/>
    </w:rPr>
  </w:style>
  <w:style w:type="character" w:customStyle="1" w:styleId="NoSpacingChar">
    <w:name w:val="No Spacing Char"/>
    <w:rsid w:val="003527E6"/>
    <w:rPr>
      <w:rFonts w:eastAsia="MS Mincho"/>
    </w:rPr>
  </w:style>
  <w:style w:type="paragraph" w:customStyle="1" w:styleId="1">
    <w:name w:val="목록 단락1"/>
    <w:basedOn w:val="Normal"/>
    <w:qFormat/>
    <w:rsid w:val="003527E6"/>
    <w:pPr>
      <w:widowControl w:val="0"/>
      <w:ind w:left="720"/>
      <w:contextualSpacing/>
    </w:pPr>
    <w:rPr>
      <w:rFonts w:ascii="Calibri" w:eastAsia="Malgun Gothic" w:hAnsi="Calibri"/>
      <w:sz w:val="22"/>
      <w:szCs w:val="22"/>
    </w:rPr>
  </w:style>
  <w:style w:type="character" w:customStyle="1" w:styleId="slug-pub-date3">
    <w:name w:val="slug-pub-date3"/>
    <w:rsid w:val="003527E6"/>
    <w:rPr>
      <w:b/>
      <w:bCs/>
    </w:rPr>
  </w:style>
  <w:style w:type="character" w:customStyle="1" w:styleId="slug-elocation">
    <w:name w:val="slug-elocation"/>
    <w:basedOn w:val="DefaultParagraphFont"/>
    <w:rsid w:val="003527E6"/>
  </w:style>
  <w:style w:type="character" w:customStyle="1" w:styleId="st1">
    <w:name w:val="st1"/>
    <w:basedOn w:val="DefaultParagraphFont"/>
    <w:rsid w:val="003527E6"/>
  </w:style>
  <w:style w:type="character" w:customStyle="1" w:styleId="author1">
    <w:name w:val="author1"/>
    <w:rsid w:val="003527E6"/>
    <w:rPr>
      <w:rFonts w:ascii="Verdana" w:hAnsi="Verdana" w:hint="default"/>
      <w:strike w:val="0"/>
      <w:dstrike w:val="0"/>
      <w:color w:val="000000"/>
      <w:sz w:val="20"/>
      <w:szCs w:val="20"/>
      <w:u w:val="none"/>
      <w:effect w:val="none"/>
    </w:rPr>
  </w:style>
  <w:style w:type="character" w:customStyle="1" w:styleId="blacksml1">
    <w:name w:val="blacksml1"/>
    <w:rsid w:val="003527E6"/>
    <w:rPr>
      <w:rFonts w:ascii="Verdana" w:hAnsi="Verdana" w:hint="default"/>
      <w:strike w:val="0"/>
      <w:dstrike w:val="0"/>
      <w:color w:val="000000"/>
      <w:sz w:val="15"/>
      <w:szCs w:val="15"/>
      <w:u w:val="none"/>
      <w:effect w:val="none"/>
    </w:rPr>
  </w:style>
  <w:style w:type="character" w:customStyle="1" w:styleId="maintitle">
    <w:name w:val="maintitle"/>
    <w:basedOn w:val="DefaultParagraphFont"/>
    <w:rsid w:val="003527E6"/>
  </w:style>
  <w:style w:type="character" w:customStyle="1" w:styleId="abscitationtitle">
    <w:name w:val="abs_citation_title"/>
    <w:basedOn w:val="DefaultParagraphFont"/>
    <w:rsid w:val="003527E6"/>
  </w:style>
  <w:style w:type="character" w:customStyle="1" w:styleId="slug-issue">
    <w:name w:val="slug-issue"/>
    <w:basedOn w:val="DefaultParagraphFont"/>
    <w:rsid w:val="003527E6"/>
  </w:style>
  <w:style w:type="character" w:customStyle="1" w:styleId="slug-pages3">
    <w:name w:val="slug-pages3"/>
    <w:rsid w:val="003527E6"/>
    <w:rPr>
      <w:b/>
      <w:bCs/>
    </w:rPr>
  </w:style>
  <w:style w:type="character" w:styleId="HTMLTypewriter">
    <w:name w:val="HTML Typewriter"/>
    <w:rsid w:val="003527E6"/>
    <w:rPr>
      <w:rFonts w:ascii="Courier New" w:eastAsia="Times New Roman" w:hAnsi="Courier New" w:cs="Courier New"/>
      <w:sz w:val="20"/>
      <w:szCs w:val="20"/>
    </w:rPr>
  </w:style>
  <w:style w:type="paragraph" w:customStyle="1" w:styleId="authlist">
    <w:name w:val="auth_list"/>
    <w:basedOn w:val="Normal"/>
    <w:rsid w:val="003527E6"/>
    <w:pPr>
      <w:spacing w:before="100" w:beforeAutospacing="1" w:after="100" w:afterAutospacing="1"/>
    </w:pPr>
  </w:style>
  <w:style w:type="character" w:customStyle="1" w:styleId="highlight1">
    <w:name w:val="highlight1"/>
    <w:rsid w:val="003527E6"/>
    <w:rPr>
      <w:shd w:val="clear" w:color="auto" w:fill="FEDB6D"/>
    </w:rPr>
  </w:style>
  <w:style w:type="character" w:customStyle="1" w:styleId="citation-abbreviation2">
    <w:name w:val="citation-abbreviation2"/>
    <w:basedOn w:val="DefaultParagraphFont"/>
    <w:rsid w:val="003527E6"/>
  </w:style>
  <w:style w:type="character" w:customStyle="1" w:styleId="author">
    <w:name w:val="author"/>
    <w:rsid w:val="003527E6"/>
  </w:style>
  <w:style w:type="paragraph" w:customStyle="1" w:styleId="yiv1019216426msoheading7">
    <w:name w:val="yiv1019216426msoheading7"/>
    <w:basedOn w:val="Normal"/>
    <w:rsid w:val="003527E6"/>
    <w:pPr>
      <w:spacing w:before="100" w:beforeAutospacing="1" w:after="100" w:afterAutospacing="1"/>
    </w:pPr>
  </w:style>
  <w:style w:type="character" w:customStyle="1" w:styleId="citationyear1">
    <w:name w:val="citation_year1"/>
    <w:rsid w:val="003527E6"/>
    <w:rPr>
      <w:b/>
      <w:bCs/>
    </w:rPr>
  </w:style>
  <w:style w:type="character" w:customStyle="1" w:styleId="citationvolume1">
    <w:name w:val="citation_volume1"/>
    <w:rsid w:val="003527E6"/>
    <w:rPr>
      <w:i/>
      <w:iCs/>
    </w:rPr>
  </w:style>
  <w:style w:type="paragraph" w:customStyle="1" w:styleId="desc2">
    <w:name w:val="desc2"/>
    <w:basedOn w:val="Normal"/>
    <w:rsid w:val="003527E6"/>
    <w:pPr>
      <w:spacing w:before="100" w:beforeAutospacing="1" w:after="100" w:afterAutospacing="1"/>
    </w:pPr>
    <w:rPr>
      <w:sz w:val="28"/>
      <w:szCs w:val="28"/>
    </w:rPr>
  </w:style>
  <w:style w:type="character" w:customStyle="1" w:styleId="resnumber">
    <w:name w:val="resnumber"/>
    <w:basedOn w:val="DefaultParagraphFont"/>
    <w:rsid w:val="003527E6"/>
  </w:style>
  <w:style w:type="character" w:customStyle="1" w:styleId="ref-journal">
    <w:name w:val="ref-journal"/>
    <w:basedOn w:val="DefaultParagraphFont"/>
    <w:rsid w:val="003527E6"/>
  </w:style>
  <w:style w:type="character" w:customStyle="1" w:styleId="ref-vol">
    <w:name w:val="ref-vol"/>
    <w:basedOn w:val="DefaultParagraphFont"/>
    <w:rsid w:val="003527E6"/>
  </w:style>
  <w:style w:type="paragraph" w:styleId="Revision">
    <w:name w:val="Revision"/>
    <w:hidden/>
    <w:uiPriority w:val="99"/>
    <w:semiHidden/>
    <w:rsid w:val="003527E6"/>
    <w:pPr>
      <w:spacing w:after="0" w:line="240" w:lineRule="auto"/>
    </w:pPr>
    <w:rPr>
      <w:rFonts w:ascii="Times New Roman" w:eastAsia="Times New Roman" w:hAnsi="Times New Roman" w:cs="Times New Roman"/>
      <w:sz w:val="24"/>
      <w:szCs w:val="24"/>
    </w:rPr>
  </w:style>
  <w:style w:type="character" w:customStyle="1" w:styleId="label">
    <w:name w:val="label"/>
    <w:rsid w:val="003527E6"/>
  </w:style>
  <w:style w:type="paragraph" w:customStyle="1" w:styleId="12FigureSchemecaption">
    <w:name w:val="12 Figure/Scheme caption"/>
    <w:rsid w:val="003527E6"/>
    <w:pPr>
      <w:spacing w:before="20" w:after="120" w:line="180" w:lineRule="exact"/>
      <w:jc w:val="both"/>
    </w:pPr>
    <w:rPr>
      <w:rFonts w:ascii="Times New Roman" w:eastAsia="Times New Roman" w:hAnsi="Times New Roman" w:cs="Times New Roman"/>
      <w:noProof/>
      <w:sz w:val="16"/>
      <w:szCs w:val="20"/>
    </w:rPr>
  </w:style>
  <w:style w:type="character" w:customStyle="1" w:styleId="tl-lowest-section">
    <w:name w:val="tl-lowest-section"/>
    <w:rsid w:val="003527E6"/>
  </w:style>
  <w:style w:type="character" w:customStyle="1" w:styleId="article-articlebody">
    <w:name w:val="article-articlebody"/>
    <w:basedOn w:val="DefaultParagraphFont"/>
    <w:rsid w:val="003527E6"/>
  </w:style>
  <w:style w:type="character" w:styleId="PlaceholderText">
    <w:name w:val="Placeholder Text"/>
    <w:basedOn w:val="DefaultParagraphFont"/>
    <w:uiPriority w:val="99"/>
    <w:semiHidden/>
    <w:rsid w:val="003527E6"/>
    <w:rPr>
      <w:color w:val="808080"/>
    </w:rPr>
  </w:style>
  <w:style w:type="character" w:customStyle="1" w:styleId="word">
    <w:name w:val="word"/>
    <w:basedOn w:val="DefaultParagraphFont"/>
    <w:rsid w:val="003527E6"/>
  </w:style>
  <w:style w:type="paragraph" w:customStyle="1" w:styleId="Displayedquotation">
    <w:name w:val="Displayed quotation"/>
    <w:basedOn w:val="Normal"/>
    <w:qFormat/>
    <w:rsid w:val="003527E6"/>
    <w:pPr>
      <w:tabs>
        <w:tab w:val="left" w:pos="1077"/>
        <w:tab w:val="left" w:pos="1440"/>
        <w:tab w:val="left" w:pos="1797"/>
        <w:tab w:val="left" w:pos="2155"/>
        <w:tab w:val="left" w:pos="2512"/>
      </w:tabs>
      <w:spacing w:before="240" w:after="360" w:line="360" w:lineRule="auto"/>
      <w:ind w:left="709" w:right="425"/>
      <w:contextualSpacing/>
    </w:pPr>
    <w:rPr>
      <w:sz w:val="22"/>
      <w:lang w:val="en-GB" w:eastAsia="en-GB"/>
    </w:rPr>
  </w:style>
  <w:style w:type="character" w:customStyle="1" w:styleId="nd-word">
    <w:name w:val="nd-word"/>
    <w:basedOn w:val="DefaultParagraphFont"/>
    <w:rsid w:val="003527E6"/>
  </w:style>
  <w:style w:type="paragraph" w:customStyle="1" w:styleId="p">
    <w:name w:val="p"/>
    <w:basedOn w:val="Normal"/>
    <w:rsid w:val="003527E6"/>
    <w:pPr>
      <w:spacing w:before="100" w:beforeAutospacing="1" w:after="100" w:afterAutospacing="1"/>
    </w:pPr>
    <w:rPr>
      <w:lang w:val="en-IN" w:eastAsia="en-IN"/>
    </w:rPr>
  </w:style>
  <w:style w:type="paragraph" w:styleId="BodyText3">
    <w:name w:val="Body Text 3"/>
    <w:basedOn w:val="Normal"/>
    <w:link w:val="BodyText3Char"/>
    <w:rsid w:val="003527E6"/>
    <w:pPr>
      <w:autoSpaceDE w:val="0"/>
      <w:autoSpaceDN w:val="0"/>
      <w:adjustRightInd w:val="0"/>
      <w:spacing w:line="360" w:lineRule="auto"/>
      <w:jc w:val="both"/>
    </w:pPr>
    <w:rPr>
      <w:color w:val="000000"/>
      <w:u w:val="single"/>
    </w:rPr>
  </w:style>
  <w:style w:type="character" w:customStyle="1" w:styleId="BodyText3Char">
    <w:name w:val="Body Text 3 Char"/>
    <w:basedOn w:val="DefaultParagraphFont"/>
    <w:link w:val="BodyText3"/>
    <w:rsid w:val="003527E6"/>
    <w:rPr>
      <w:rFonts w:ascii="Times New Roman" w:eastAsia="Times New Roman" w:hAnsi="Times New Roman" w:cs="Times New Roman"/>
      <w:color w:val="000000"/>
      <w:sz w:val="24"/>
      <w:szCs w:val="24"/>
      <w:u w:val="single"/>
    </w:rPr>
  </w:style>
  <w:style w:type="character" w:customStyle="1" w:styleId="article-sentence">
    <w:name w:val="article-sentence"/>
    <w:basedOn w:val="DefaultParagraphFont"/>
    <w:rsid w:val="003527E6"/>
  </w:style>
  <w:style w:type="paragraph" w:customStyle="1" w:styleId="EndNoteBibliographyTitle">
    <w:name w:val="EndNote Bibliography Title"/>
    <w:basedOn w:val="Normal"/>
    <w:link w:val="EndNoteBibliographyTitleChar"/>
    <w:rsid w:val="003527E6"/>
    <w:pPr>
      <w:spacing w:line="259" w:lineRule="auto"/>
      <w:jc w:val="center"/>
    </w:pPr>
    <w:rPr>
      <w:rFonts w:ascii="Calibri" w:eastAsia="Calibri" w:hAnsi="Calibri"/>
      <w:noProof/>
      <w:sz w:val="22"/>
      <w:szCs w:val="22"/>
    </w:rPr>
  </w:style>
  <w:style w:type="character" w:customStyle="1" w:styleId="EndNoteBibliographyTitleChar">
    <w:name w:val="EndNote Bibliography Title Char"/>
    <w:basedOn w:val="DefaultParagraphFont"/>
    <w:link w:val="EndNoteBibliographyTitle"/>
    <w:rsid w:val="003527E6"/>
    <w:rPr>
      <w:rFonts w:ascii="Calibri" w:eastAsia="Calibri" w:hAnsi="Calibri" w:cs="Times New Roman"/>
      <w:noProof/>
    </w:rPr>
  </w:style>
  <w:style w:type="paragraph" w:customStyle="1" w:styleId="EndNoteBibliography">
    <w:name w:val="EndNote Bibliography"/>
    <w:basedOn w:val="Normal"/>
    <w:link w:val="EndNoteBibliographyChar"/>
    <w:rsid w:val="003527E6"/>
    <w:pPr>
      <w:spacing w:after="160"/>
      <w:jc w:val="both"/>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3527E6"/>
    <w:rPr>
      <w:rFonts w:ascii="Calibri" w:eastAsia="Calibri" w:hAnsi="Calibri" w:cs="Times New Roman"/>
      <w:noProof/>
    </w:rPr>
  </w:style>
  <w:style w:type="character" w:customStyle="1" w:styleId="cit">
    <w:name w:val="cit"/>
    <w:basedOn w:val="DefaultParagraphFont"/>
    <w:rsid w:val="003527E6"/>
  </w:style>
  <w:style w:type="character" w:customStyle="1" w:styleId="doi">
    <w:name w:val="doi"/>
    <w:basedOn w:val="DefaultParagraphFont"/>
    <w:rsid w:val="003527E6"/>
  </w:style>
  <w:style w:type="character" w:customStyle="1" w:styleId="fm-citation-ids-label">
    <w:name w:val="fm-citation-ids-label"/>
    <w:basedOn w:val="DefaultParagraphFont"/>
    <w:rsid w:val="003527E6"/>
  </w:style>
  <w:style w:type="character" w:customStyle="1" w:styleId="id-label">
    <w:name w:val="id-label"/>
    <w:basedOn w:val="DefaultParagraphFont"/>
    <w:rsid w:val="00E621C6"/>
  </w:style>
  <w:style w:type="character" w:customStyle="1" w:styleId="identifier">
    <w:name w:val="identifier"/>
    <w:basedOn w:val="DefaultParagraphFont"/>
    <w:rsid w:val="005539E2"/>
  </w:style>
</w:styles>
</file>

<file path=word/webSettings.xml><?xml version="1.0" encoding="utf-8"?>
<w:webSettings xmlns:r="http://schemas.openxmlformats.org/officeDocument/2006/relationships" xmlns:w="http://schemas.openxmlformats.org/wordprocessingml/2006/main">
  <w:divs>
    <w:div w:id="94448794">
      <w:bodyDiv w:val="1"/>
      <w:marLeft w:val="0"/>
      <w:marRight w:val="0"/>
      <w:marTop w:val="0"/>
      <w:marBottom w:val="0"/>
      <w:divBdr>
        <w:top w:val="none" w:sz="0" w:space="0" w:color="auto"/>
        <w:left w:val="none" w:sz="0" w:space="0" w:color="auto"/>
        <w:bottom w:val="none" w:sz="0" w:space="0" w:color="auto"/>
        <w:right w:val="none" w:sz="0" w:space="0" w:color="auto"/>
      </w:divBdr>
    </w:div>
    <w:div w:id="161051253">
      <w:bodyDiv w:val="1"/>
      <w:marLeft w:val="0"/>
      <w:marRight w:val="0"/>
      <w:marTop w:val="0"/>
      <w:marBottom w:val="0"/>
      <w:divBdr>
        <w:top w:val="none" w:sz="0" w:space="0" w:color="auto"/>
        <w:left w:val="none" w:sz="0" w:space="0" w:color="auto"/>
        <w:bottom w:val="none" w:sz="0" w:space="0" w:color="auto"/>
        <w:right w:val="none" w:sz="0" w:space="0" w:color="auto"/>
      </w:divBdr>
    </w:div>
    <w:div w:id="330916681">
      <w:bodyDiv w:val="1"/>
      <w:marLeft w:val="0"/>
      <w:marRight w:val="0"/>
      <w:marTop w:val="0"/>
      <w:marBottom w:val="0"/>
      <w:divBdr>
        <w:top w:val="none" w:sz="0" w:space="0" w:color="auto"/>
        <w:left w:val="none" w:sz="0" w:space="0" w:color="auto"/>
        <w:bottom w:val="none" w:sz="0" w:space="0" w:color="auto"/>
        <w:right w:val="none" w:sz="0" w:space="0" w:color="auto"/>
      </w:divBdr>
    </w:div>
    <w:div w:id="527723691">
      <w:bodyDiv w:val="1"/>
      <w:marLeft w:val="0"/>
      <w:marRight w:val="0"/>
      <w:marTop w:val="0"/>
      <w:marBottom w:val="0"/>
      <w:divBdr>
        <w:top w:val="none" w:sz="0" w:space="0" w:color="auto"/>
        <w:left w:val="none" w:sz="0" w:space="0" w:color="auto"/>
        <w:bottom w:val="none" w:sz="0" w:space="0" w:color="auto"/>
        <w:right w:val="none" w:sz="0" w:space="0" w:color="auto"/>
      </w:divBdr>
    </w:div>
    <w:div w:id="653604382">
      <w:bodyDiv w:val="1"/>
      <w:marLeft w:val="0"/>
      <w:marRight w:val="0"/>
      <w:marTop w:val="0"/>
      <w:marBottom w:val="0"/>
      <w:divBdr>
        <w:top w:val="none" w:sz="0" w:space="0" w:color="auto"/>
        <w:left w:val="none" w:sz="0" w:space="0" w:color="auto"/>
        <w:bottom w:val="none" w:sz="0" w:space="0" w:color="auto"/>
        <w:right w:val="none" w:sz="0" w:space="0" w:color="auto"/>
      </w:divBdr>
    </w:div>
    <w:div w:id="1079475923">
      <w:bodyDiv w:val="1"/>
      <w:marLeft w:val="0"/>
      <w:marRight w:val="0"/>
      <w:marTop w:val="0"/>
      <w:marBottom w:val="0"/>
      <w:divBdr>
        <w:top w:val="none" w:sz="0" w:space="0" w:color="auto"/>
        <w:left w:val="none" w:sz="0" w:space="0" w:color="auto"/>
        <w:bottom w:val="none" w:sz="0" w:space="0" w:color="auto"/>
        <w:right w:val="none" w:sz="0" w:space="0" w:color="auto"/>
      </w:divBdr>
    </w:div>
    <w:div w:id="1707759127">
      <w:bodyDiv w:val="1"/>
      <w:marLeft w:val="0"/>
      <w:marRight w:val="0"/>
      <w:marTop w:val="0"/>
      <w:marBottom w:val="0"/>
      <w:divBdr>
        <w:top w:val="none" w:sz="0" w:space="0" w:color="auto"/>
        <w:left w:val="none" w:sz="0" w:space="0" w:color="auto"/>
        <w:bottom w:val="none" w:sz="0" w:space="0" w:color="auto"/>
        <w:right w:val="none" w:sz="0" w:space="0" w:color="auto"/>
      </w:divBdr>
    </w:div>
    <w:div w:id="1765346588">
      <w:bodyDiv w:val="1"/>
      <w:marLeft w:val="0"/>
      <w:marRight w:val="0"/>
      <w:marTop w:val="0"/>
      <w:marBottom w:val="0"/>
      <w:divBdr>
        <w:top w:val="none" w:sz="0" w:space="0" w:color="auto"/>
        <w:left w:val="none" w:sz="0" w:space="0" w:color="auto"/>
        <w:bottom w:val="none" w:sz="0" w:space="0" w:color="auto"/>
        <w:right w:val="none" w:sz="0" w:space="0" w:color="auto"/>
      </w:divBdr>
    </w:div>
    <w:div w:id="19399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uptipowar51@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doi.org/10.1002/jps.23686"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doi.org/10.1155/2015/216375" TargetMode="External"/><Relationship Id="rId42" Type="http://schemas.openxmlformats.org/officeDocument/2006/relationships/hyperlink" Target="https://doi.org/10.1016/j.joad.2016.05.004" TargetMode="External"/><Relationship Id="rId47" Type="http://schemas.openxmlformats.org/officeDocument/2006/relationships/theme" Target="theme/theme1.xml"/><Relationship Id="rId7" Type="http://schemas.openxmlformats.org/officeDocument/2006/relationships/hyperlink" Target="javascript:void(0)"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doi.org/10.1016/j.ijpharm.2019.03.064" TargetMode="External"/><Relationship Id="rId38" Type="http://schemas.openxmlformats.org/officeDocument/2006/relationships/hyperlink" Target="https://doi.org/10.2147/IJN.S122729"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dx.doi.org/10.4103%2F2231-4040.82950" TargetMode="External"/><Relationship Id="rId41" Type="http://schemas.openxmlformats.org/officeDocument/2006/relationships/hyperlink" Target="https://doi.org/10.2147/ijn.s916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hyperlink" Target="https://doi.org/10.22159/ijap.2019v11i3.30578" TargetMode="External"/><Relationship Id="rId37" Type="http://schemas.openxmlformats.org/officeDocument/2006/relationships/hyperlink" Target="https://www.researchgate.net/deref/http%3A%2F%2Fdx.doi.org%2F10.15171%2Fapb.2016.013?_sg%5B0%5D=Ujq1hK3tYcTGjwu1uECiuh6F4QDHN7at8dlgMlsXoBTCq-l83H-hHdfD-ype9q7aBOFrvymZvKkut9iuAZ9tIrqDEw.KIcNBr2KWl8pBUNVrvjc4n4c1wtUbUN6XvsaGgIbdl5ixnkYECla3EXPc4GuNDWzcr99OoHkHOienG-eVSfp_A" TargetMode="External"/><Relationship Id="rId40" Type="http://schemas.openxmlformats.org/officeDocument/2006/relationships/hyperlink" Target="https://doi.org/10.3390/md10040727"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211/0022357023691" TargetMode="External"/><Relationship Id="rId36" Type="http://schemas.openxmlformats.org/officeDocument/2006/relationships/hyperlink" Target="https://doi.org/10.1111/j.1750-3841.2009.01457.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07/s12247-018-9314-4" TargetMode="External"/><Relationship Id="rId44" Type="http://schemas.openxmlformats.org/officeDocument/2006/relationships/hyperlink" Target="https://doi.org/10.1038/s41598-017-02523-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doi.org/10.1007/s00280-012-2062-0" TargetMode="External"/><Relationship Id="rId35" Type="http://schemas.openxmlformats.org/officeDocument/2006/relationships/hyperlink" Target="https://doi.org/10.1208/s12249-013-0043-1" TargetMode="External"/><Relationship Id="rId43" Type="http://schemas.openxmlformats.org/officeDocument/2006/relationships/hyperlink" Target="https://doi.org/10.1039/C6RA28676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702</TotalTime>
  <Pages>46</Pages>
  <Words>19217</Words>
  <Characters>109537</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Sopan Nangare</dc:creator>
  <cp:keywords/>
  <dc:description/>
  <cp:lastModifiedBy>Sopan Nangare</cp:lastModifiedBy>
  <cp:revision>46</cp:revision>
  <cp:lastPrinted>2021-03-08T06:17:00Z</cp:lastPrinted>
  <dcterms:created xsi:type="dcterms:W3CDTF">2021-01-26T10:16:00Z</dcterms:created>
  <dcterms:modified xsi:type="dcterms:W3CDTF">2021-03-18T16:35:00Z</dcterms:modified>
</cp:coreProperties>
</file>