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D7EA484" w14:textId="77777777" w:rsidR="002A08B5" w:rsidRDefault="002A08B5" w:rsidP="00266661">
      <w:pPr>
        <w:rPr>
          <w:b/>
        </w:rPr>
      </w:pPr>
    </w:p>
    <w:p w14:paraId="6810F5F3" w14:textId="0999DC17" w:rsidR="00271B3D" w:rsidRDefault="00266661" w:rsidP="00266661">
      <w:r w:rsidRPr="002A08B5">
        <w:rPr>
          <w:b/>
        </w:rPr>
        <w:t>Title</w:t>
      </w:r>
      <w:r w:rsidR="00BD6D3E">
        <w:rPr>
          <w:b/>
        </w:rPr>
        <w:t xml:space="preserve">: </w:t>
      </w:r>
      <w:r w:rsidRPr="003505D8">
        <w:t xml:space="preserve">Local Anesthetics </w:t>
      </w:r>
      <w:r w:rsidR="00244BB6" w:rsidRPr="003505D8">
        <w:t xml:space="preserve">Transfer </w:t>
      </w:r>
      <w:r w:rsidR="005B1580">
        <w:t>Across the Membrane: Reproducing</w:t>
      </w:r>
      <w:r w:rsidR="00A01B65">
        <w:t xml:space="preserve"> Octanol-Water Partition Coefficients by </w:t>
      </w:r>
      <w:r w:rsidR="00244BB6">
        <w:t xml:space="preserve">Solvent Reaction Field Methods </w:t>
      </w:r>
    </w:p>
    <w:p w14:paraId="6971B111" w14:textId="43881FBA" w:rsidR="00244BB6" w:rsidRDefault="0011645E" w:rsidP="00266661">
      <w:r>
        <w:rPr>
          <w:b/>
        </w:rPr>
        <w:t>Running</w:t>
      </w:r>
      <w:r w:rsidR="00244BB6" w:rsidRPr="003505D8">
        <w:rPr>
          <w:b/>
        </w:rPr>
        <w:t xml:space="preserve"> </w:t>
      </w:r>
      <w:r w:rsidR="0003157A">
        <w:rPr>
          <w:b/>
        </w:rPr>
        <w:t>T</w:t>
      </w:r>
      <w:r w:rsidR="00244BB6" w:rsidRPr="003505D8">
        <w:rPr>
          <w:b/>
        </w:rPr>
        <w:t>itle:</w:t>
      </w:r>
      <w:r w:rsidR="00244BB6" w:rsidRPr="003505D8">
        <w:t xml:space="preserve"> Transfer of Local Anesthetics</w:t>
      </w:r>
      <w:r w:rsidR="00244BB6">
        <w:t xml:space="preserve"> </w:t>
      </w:r>
      <w:r w:rsidR="00BA5007">
        <w:t>Across</w:t>
      </w:r>
      <w:r w:rsidR="00244BB6">
        <w:t xml:space="preserve"> the Membrane</w:t>
      </w:r>
    </w:p>
    <w:p w14:paraId="0CE0947E" w14:textId="77777777" w:rsidR="009E49BF" w:rsidRDefault="009E49BF" w:rsidP="00266661"/>
    <w:p w14:paraId="0C8EF9FA" w14:textId="42A94F42" w:rsidR="009E49BF" w:rsidRPr="002A08B5" w:rsidRDefault="00BA5007" w:rsidP="002A08B5">
      <w:pPr>
        <w:rPr>
          <w:b/>
        </w:rPr>
      </w:pPr>
      <w:r w:rsidRPr="002A08B5">
        <w:rPr>
          <w:b/>
        </w:rPr>
        <w:t>A</w:t>
      </w:r>
      <w:r w:rsidR="009E49BF" w:rsidRPr="002A08B5">
        <w:rPr>
          <w:b/>
        </w:rPr>
        <w:t>uthors and Affiliations</w:t>
      </w:r>
    </w:p>
    <w:p w14:paraId="2826DED3" w14:textId="6418B40D" w:rsidR="00266661" w:rsidRPr="003505D8" w:rsidRDefault="00266661" w:rsidP="00266661">
      <w:pPr>
        <w:rPr>
          <w:rFonts w:eastAsia="Times New Roman"/>
          <w:lang w:eastAsia="en-GB"/>
        </w:rPr>
      </w:pPr>
      <w:r w:rsidRPr="003505D8">
        <w:rPr>
          <w:rFonts w:eastAsia="Times New Roman"/>
          <w:lang w:eastAsia="en-GB"/>
        </w:rPr>
        <w:t>Hana Kav</w:t>
      </w:r>
      <w:r w:rsidR="00C725AD" w:rsidRPr="003505D8">
        <w:rPr>
          <w:rFonts w:eastAsia="Times New Roman"/>
          <w:lang w:eastAsia="en-GB"/>
        </w:rPr>
        <w:t>cic</w:t>
      </w:r>
      <w:r w:rsidR="00244BB6">
        <w:rPr>
          <w:rFonts w:eastAsia="Times New Roman"/>
          <w:lang w:eastAsia="en-GB"/>
        </w:rPr>
        <w:t xml:space="preserve">, </w:t>
      </w:r>
      <w:r w:rsidRPr="003505D8">
        <w:rPr>
          <w:rFonts w:eastAsia="Times New Roman"/>
          <w:lang w:eastAsia="en-GB"/>
        </w:rPr>
        <w:t xml:space="preserve">Nejc Umek, </w:t>
      </w:r>
      <w:r w:rsidR="00244BB6">
        <w:rPr>
          <w:rFonts w:eastAsia="Times New Roman"/>
          <w:lang w:eastAsia="en-GB"/>
        </w:rPr>
        <w:t xml:space="preserve">Domen Pregeljc, </w:t>
      </w:r>
      <w:r w:rsidRPr="003505D8">
        <w:rPr>
          <w:rFonts w:eastAsia="Times New Roman"/>
          <w:lang w:eastAsia="en-GB"/>
        </w:rPr>
        <w:t>Neli Vintar, Janez Mavri</w:t>
      </w:r>
    </w:p>
    <w:p w14:paraId="7F6DEF58" w14:textId="4985C359" w:rsidR="00266661" w:rsidRPr="003505D8" w:rsidRDefault="00836C7C" w:rsidP="00266661">
      <w:r>
        <w:t>Clinical Department for An</w:t>
      </w:r>
      <w:r w:rsidR="00C725AD" w:rsidRPr="003505D8">
        <w:t>esthesiology and Surgical Intensive Therapy of University Medical Center Ljubljana</w:t>
      </w:r>
      <w:r w:rsidR="00266661" w:rsidRPr="003505D8">
        <w:t>, Slovenia</w:t>
      </w:r>
      <w:r w:rsidR="00C725AD" w:rsidRPr="003505D8">
        <w:t xml:space="preserve"> (H.K., N.V.)</w:t>
      </w:r>
    </w:p>
    <w:p w14:paraId="444F5C9B" w14:textId="47BE5783" w:rsidR="00266661" w:rsidRPr="003505D8" w:rsidRDefault="00266661" w:rsidP="00266661">
      <w:r w:rsidRPr="003505D8">
        <w:t>Institute of Anatomy, Faculty of Medicine, University of Ljubljana, Slovenia</w:t>
      </w:r>
      <w:r w:rsidR="00C725AD" w:rsidRPr="003505D8">
        <w:t xml:space="preserve"> (N.U.)</w:t>
      </w:r>
    </w:p>
    <w:p w14:paraId="4652532A" w14:textId="1F601435" w:rsidR="00C725AD" w:rsidRDefault="00266661" w:rsidP="00266661">
      <w:r w:rsidRPr="003505D8">
        <w:t>Department of Anesthesiology and Reanimatology, Faculty of Medicine, University of Ljubljana, Slovenia</w:t>
      </w:r>
      <w:r w:rsidR="00C725AD" w:rsidRPr="003505D8">
        <w:t xml:space="preserve"> (</w:t>
      </w:r>
      <w:r w:rsidR="00311D32">
        <w:t xml:space="preserve">H.K., </w:t>
      </w:r>
      <w:r w:rsidR="00C725AD" w:rsidRPr="003505D8">
        <w:t>N.V.)</w:t>
      </w:r>
    </w:p>
    <w:p w14:paraId="43F406B3" w14:textId="56A54ECF" w:rsidR="0003157A" w:rsidRPr="003505D8" w:rsidRDefault="00385F74" w:rsidP="00266661">
      <w:r>
        <w:t xml:space="preserve">Department of Chemistry, </w:t>
      </w:r>
      <w:r w:rsidR="0003157A">
        <w:t>Imperial College London (D.P)</w:t>
      </w:r>
    </w:p>
    <w:p w14:paraId="44FD75B6" w14:textId="459DCDE0" w:rsidR="00271B3D" w:rsidRPr="003505D8" w:rsidRDefault="00C725AD" w:rsidP="00C725AD">
      <w:r w:rsidRPr="003505D8">
        <w:t>Lab</w:t>
      </w:r>
      <w:r w:rsidR="00266661" w:rsidRPr="003505D8">
        <w:t>oratory of Computational Biochemistry and Drug Design, National Institute of Chemistry, Ljubljana, Slovenia</w:t>
      </w:r>
      <w:r w:rsidRPr="003505D8">
        <w:t xml:space="preserve"> (</w:t>
      </w:r>
      <w:r w:rsidR="0003157A">
        <w:t xml:space="preserve">N.V, </w:t>
      </w:r>
      <w:r w:rsidRPr="003505D8">
        <w:t>J.M.)</w:t>
      </w:r>
    </w:p>
    <w:p w14:paraId="27BE94EC" w14:textId="5F6EE873" w:rsidR="00266661" w:rsidRDefault="00266661" w:rsidP="00C725AD">
      <w:r w:rsidRPr="003505D8">
        <w:rPr>
          <w:b/>
        </w:rPr>
        <w:t>Corresponding Author</w:t>
      </w:r>
      <w:r w:rsidR="00C725AD" w:rsidRPr="003505D8">
        <w:rPr>
          <w:b/>
        </w:rPr>
        <w:t>:</w:t>
      </w:r>
      <w:r w:rsidR="00C725AD" w:rsidRPr="003505D8">
        <w:t xml:space="preserve"> </w:t>
      </w:r>
      <w:r w:rsidRPr="003505D8">
        <w:t xml:space="preserve">Corresponding author: </w:t>
      </w:r>
      <w:r w:rsidR="00C725AD" w:rsidRPr="003505D8">
        <w:t>Janez Mavri</w:t>
      </w:r>
      <w:r w:rsidR="00244BB6">
        <w:t xml:space="preserve">, </w:t>
      </w:r>
      <w:r w:rsidR="00271B3D" w:rsidRPr="003505D8">
        <w:t xml:space="preserve">National Institute of Chemistry, Hajdrihova 19, SI-1001 Ljubljana, P.O.B. 660, Slovenia; email: </w:t>
      </w:r>
      <w:hyperlink r:id="rId9" w:history="1">
        <w:r w:rsidR="00311D32" w:rsidRPr="007B31A2">
          <w:rPr>
            <w:rStyle w:val="Hyperlink"/>
          </w:rPr>
          <w:t>janez.mavri@ki.si</w:t>
        </w:r>
      </w:hyperlink>
      <w:r w:rsidR="00271B3D" w:rsidRPr="003505D8">
        <w:t xml:space="preserve"> </w:t>
      </w:r>
    </w:p>
    <w:p w14:paraId="0297BB03" w14:textId="77777777" w:rsidR="00843A9D" w:rsidRPr="003505D8" w:rsidRDefault="00843A9D" w:rsidP="00266661"/>
    <w:p w14:paraId="11EE0157" w14:textId="77777777" w:rsidR="00843A9D" w:rsidRPr="003505D8" w:rsidRDefault="00843A9D" w:rsidP="00266661"/>
    <w:p w14:paraId="72B61044" w14:textId="77777777" w:rsidR="00843A9D" w:rsidRPr="003505D8" w:rsidRDefault="00843A9D" w:rsidP="00266661"/>
    <w:p w14:paraId="2EFE4463" w14:textId="77777777" w:rsidR="00932B00" w:rsidRPr="003505D8" w:rsidRDefault="00932B00">
      <w:pPr>
        <w:spacing w:line="240" w:lineRule="auto"/>
        <w:jc w:val="left"/>
      </w:pPr>
      <w:r w:rsidRPr="003505D8">
        <w:br w:type="page"/>
      </w:r>
    </w:p>
    <w:p w14:paraId="40BF16D3" w14:textId="77777777" w:rsidR="00A01B58" w:rsidRDefault="00A01B58" w:rsidP="002A08B5">
      <w:pPr>
        <w:rPr>
          <w:b/>
        </w:rPr>
        <w:sectPr w:rsidR="00A01B58" w:rsidSect="00DC14E3">
          <w:headerReference w:type="default" r:id="rId10"/>
          <w:footerReference w:type="even" r:id="rId11"/>
          <w:pgSz w:w="11906" w:h="16838" w:code="9"/>
          <w:pgMar w:top="1440" w:right="1440" w:bottom="1440" w:left="1440" w:header="720" w:footer="864" w:gutter="0"/>
          <w:cols w:space="720"/>
          <w:docGrid w:linePitch="326"/>
        </w:sectPr>
      </w:pPr>
    </w:p>
    <w:p w14:paraId="47863064" w14:textId="01F8CC37" w:rsidR="0099194D" w:rsidRPr="002A08B5" w:rsidRDefault="0099194D" w:rsidP="002A08B5">
      <w:pPr>
        <w:rPr>
          <w:b/>
        </w:rPr>
      </w:pPr>
      <w:bookmarkStart w:id="0" w:name="_GoBack"/>
      <w:bookmarkEnd w:id="0"/>
      <w:r w:rsidRPr="002A08B5">
        <w:rPr>
          <w:b/>
        </w:rPr>
        <w:lastRenderedPageBreak/>
        <w:t>A</w:t>
      </w:r>
      <w:r w:rsidR="00FC4B37" w:rsidRPr="002A08B5">
        <w:rPr>
          <w:b/>
        </w:rPr>
        <w:t>bstract</w:t>
      </w:r>
    </w:p>
    <w:p w14:paraId="25F12ABB" w14:textId="31F5E8EF" w:rsidR="00210915" w:rsidRDefault="00D34857" w:rsidP="005B1580">
      <w:r>
        <w:t>Local anesthetics are one of the most widely used drug classes in clinical practice. Like m</w:t>
      </w:r>
      <w:r w:rsidR="00BB0A83">
        <w:t>any</w:t>
      </w:r>
      <w:r>
        <w:t xml:space="preserve"> other</w:t>
      </w:r>
      <w:r w:rsidR="00BB0A83">
        <w:t xml:space="preserve"> biological molecules</w:t>
      </w:r>
      <w:r>
        <w:t xml:space="preserve">, </w:t>
      </w:r>
      <w:r w:rsidR="00BB0A83">
        <w:t xml:space="preserve">their properties </w:t>
      </w:r>
      <w:r w:rsidR="00EE1115">
        <w:t>are altered depending on</w:t>
      </w:r>
      <w:r w:rsidR="00BB0A83">
        <w:t xml:space="preserve"> their protonation status, which is dependent on the pH of the environment. </w:t>
      </w:r>
      <w:r w:rsidR="00355134" w:rsidRPr="003505D8">
        <w:t xml:space="preserve">We studied </w:t>
      </w:r>
      <w:r w:rsidR="00CE1BD6" w:rsidRPr="003505D8">
        <w:t xml:space="preserve">the </w:t>
      </w:r>
      <w:r w:rsidR="00355134" w:rsidRPr="003505D8">
        <w:t xml:space="preserve">transport </w:t>
      </w:r>
      <w:r w:rsidR="00AB6A2A">
        <w:t>energetics</w:t>
      </w:r>
      <w:r w:rsidR="0099336C" w:rsidRPr="003505D8">
        <w:t xml:space="preserve"> of</w:t>
      </w:r>
      <w:r w:rsidR="0033344E">
        <w:t xml:space="preserve"> seven local anesthetics</w:t>
      </w:r>
      <w:r w:rsidR="00355134" w:rsidRPr="003505D8">
        <w:t xml:space="preserve"> from extracellular fluid across </w:t>
      </w:r>
      <w:r w:rsidR="001C7814">
        <w:t xml:space="preserve">biological </w:t>
      </w:r>
      <w:r w:rsidR="00355134" w:rsidRPr="003505D8">
        <w:t xml:space="preserve">membrane to </w:t>
      </w:r>
      <w:r w:rsidR="00CE1BD6" w:rsidRPr="003505D8">
        <w:t xml:space="preserve">the </w:t>
      </w:r>
      <w:r w:rsidR="00355134" w:rsidRPr="003505D8">
        <w:t>axoplasm</w:t>
      </w:r>
      <w:r w:rsidR="00B97AF0" w:rsidRPr="003505D8">
        <w:t xml:space="preserve"> in order to understand the effect of pH value on their efficacy</w:t>
      </w:r>
      <w:r w:rsidR="0009757F">
        <w:t xml:space="preserve"> and other pharmaco</w:t>
      </w:r>
      <w:r w:rsidR="002A08B5">
        <w:t>-</w:t>
      </w:r>
      <w:r w:rsidR="0009757F">
        <w:t>dynamic properties.</w:t>
      </w:r>
      <w:r w:rsidR="00AB6A2A">
        <w:t xml:space="preserve"> </w:t>
      </w:r>
      <w:r w:rsidR="0084590D">
        <w:t>In this</w:t>
      </w:r>
      <w:r w:rsidR="00CE2A8E">
        <w:t xml:space="preserve"> </w:t>
      </w:r>
      <w:r w:rsidR="00210915">
        <w:t>w</w:t>
      </w:r>
      <w:r w:rsidR="00AB6A2A">
        <w:t>e applie</w:t>
      </w:r>
      <w:r w:rsidR="00210915">
        <w:t xml:space="preserve">d </w:t>
      </w:r>
      <w:r w:rsidR="0033344E">
        <w:t>three different</w:t>
      </w:r>
      <w:r w:rsidR="00210915">
        <w:t xml:space="preserve"> methods of solvent reaction field in conjunction with quantum chemical calculations to reproduce experimental values of </w:t>
      </w:r>
      <w:r w:rsidR="00A43B9E">
        <w:t>n-</w:t>
      </w:r>
      <w:r w:rsidR="00210915">
        <w:t xml:space="preserve">octanol/water </w:t>
      </w:r>
      <w:r w:rsidR="00534AFD">
        <w:t xml:space="preserve">partition coefficients </w:t>
      </w:r>
      <w:r w:rsidR="00210915">
        <w:t>for both neutral and protonated forms. Only the SMD method of Cramer and Truhlar</w:t>
      </w:r>
      <w:r w:rsidR="00532DD0">
        <w:t xml:space="preserve"> </w:t>
      </w:r>
      <w:r w:rsidR="00CE2A8E">
        <w:t xml:space="preserve">was able to </w:t>
      </w:r>
      <w:r w:rsidR="00210915">
        <w:t xml:space="preserve">reproduce experimental </w:t>
      </w:r>
      <w:r w:rsidR="00802FE0">
        <w:t>partition</w:t>
      </w:r>
      <w:r w:rsidR="00CE2A8E">
        <w:t xml:space="preserve"> coefficient</w:t>
      </w:r>
      <w:r w:rsidR="00770BFF">
        <w:t xml:space="preserve"> </w:t>
      </w:r>
      <w:r w:rsidR="00210915">
        <w:t>values. Results are discussed in terms of function of local anesthetics under physiological conditions and in the case of local acidosis.</w:t>
      </w:r>
    </w:p>
    <w:p w14:paraId="1EAD640B" w14:textId="77777777" w:rsidR="009E49BF" w:rsidRDefault="009E49BF" w:rsidP="005B1580"/>
    <w:p w14:paraId="0996329F" w14:textId="27F389E9" w:rsidR="00210915" w:rsidRPr="002A08B5" w:rsidRDefault="00BA5007" w:rsidP="002A08B5">
      <w:pPr>
        <w:rPr>
          <w:b/>
        </w:rPr>
      </w:pPr>
      <w:r w:rsidRPr="002A08B5">
        <w:rPr>
          <w:b/>
        </w:rPr>
        <w:t>Keywords</w:t>
      </w:r>
    </w:p>
    <w:p w14:paraId="5835EDE0" w14:textId="5C931BF6" w:rsidR="00BA5007" w:rsidRDefault="002A08B5" w:rsidP="005B1580">
      <w:r>
        <w:t>Local Anesthetics; Solvent Reaction Field Methods;</w:t>
      </w:r>
      <w:r w:rsidR="00BA5007">
        <w:t xml:space="preserve"> Distribution Coefficient</w:t>
      </w:r>
      <w:r w:rsidR="00D10835">
        <w:t>, Protonation states</w:t>
      </w:r>
    </w:p>
    <w:p w14:paraId="38D95750" w14:textId="2CB7E5A1" w:rsidR="008B30FB" w:rsidRPr="003505D8" w:rsidRDefault="00210915" w:rsidP="005B1580">
      <w:r>
        <w:t xml:space="preserve"> </w:t>
      </w:r>
    </w:p>
    <w:p w14:paraId="340EB1B4" w14:textId="77777777" w:rsidR="00D34857" w:rsidRDefault="00D34857" w:rsidP="005B1580">
      <w:r>
        <w:br w:type="page"/>
      </w:r>
    </w:p>
    <w:p w14:paraId="6FBB7DB7" w14:textId="7842F587" w:rsidR="0099194D" w:rsidRDefault="00C61B0E" w:rsidP="009E49BF">
      <w:pPr>
        <w:pStyle w:val="Heading1"/>
      </w:pPr>
      <w:r w:rsidRPr="00FB328E">
        <w:lastRenderedPageBreak/>
        <w:t>Introduction</w:t>
      </w:r>
      <w:r w:rsidR="005B1580">
        <w:tab/>
      </w:r>
    </w:p>
    <w:p w14:paraId="15BC6C5A" w14:textId="1985AD65" w:rsidR="00175DAA" w:rsidRDefault="00863887" w:rsidP="00E766CB">
      <w:pPr>
        <w:rPr>
          <w:rFonts w:eastAsia="Times"/>
        </w:rPr>
      </w:pPr>
      <w:r>
        <w:rPr>
          <w:lang w:val="en-GB" w:eastAsia="en-US"/>
        </w:rPr>
        <w:t>Local anaesthetics</w:t>
      </w:r>
      <w:r w:rsidR="00353C2E">
        <w:rPr>
          <w:lang w:val="en-GB" w:eastAsia="en-US"/>
        </w:rPr>
        <w:t xml:space="preserve"> are a class of compounds, developed from cocaine to expand its use as a numbing agent, while diminishing its unwanted </w:t>
      </w:r>
      <w:r w:rsidR="00363B32">
        <w:rPr>
          <w:lang w:val="en-GB" w:eastAsia="en-US"/>
        </w:rPr>
        <w:t xml:space="preserve">side </w:t>
      </w:r>
      <w:r w:rsidR="00353C2E">
        <w:rPr>
          <w:lang w:val="en-GB" w:eastAsia="en-US"/>
        </w:rPr>
        <w:t>effects</w:t>
      </w:r>
      <w:r w:rsidR="00D10835">
        <w:rPr>
          <w:lang w:val="en-GB" w:eastAsia="en-US"/>
        </w:rPr>
        <w:t xml:space="preserve"> (e.g. </w:t>
      </w:r>
      <w:r w:rsidR="0033344E" w:rsidRPr="0033344E">
        <w:rPr>
          <w:lang w:val="en-GB" w:eastAsia="en-US"/>
        </w:rPr>
        <w:t>disturbances in heart rhythm and heart attacks</w:t>
      </w:r>
      <w:r w:rsidR="0033344E">
        <w:rPr>
          <w:lang w:val="en-GB" w:eastAsia="en-US"/>
        </w:rPr>
        <w:t>,</w:t>
      </w:r>
      <w:r w:rsidR="0033344E" w:rsidRPr="0033344E">
        <w:rPr>
          <w:lang w:val="en-GB" w:eastAsia="en-US"/>
        </w:rPr>
        <w:t xml:space="preserve"> neurological effects</w:t>
      </w:r>
      <w:r w:rsidR="00D10835">
        <w:rPr>
          <w:lang w:val="en-GB" w:eastAsia="en-US"/>
        </w:rPr>
        <w:t>)</w:t>
      </w:r>
      <w:r w:rsidR="00353C2E">
        <w:rPr>
          <w:lang w:val="en-GB" w:eastAsia="en-US"/>
        </w:rPr>
        <w:t xml:space="preserve">. They are currently the only drug </w:t>
      </w:r>
      <w:r w:rsidR="0033344E">
        <w:rPr>
          <w:lang w:val="en-GB" w:eastAsia="en-US"/>
        </w:rPr>
        <w:t>class</w:t>
      </w:r>
      <w:r w:rsidR="00353C2E">
        <w:rPr>
          <w:lang w:val="en-GB" w:eastAsia="en-US"/>
        </w:rPr>
        <w:t xml:space="preserve"> able to provide safe and effective local anaesthesia and are widely used </w:t>
      </w:r>
      <w:r w:rsidR="00353C2E" w:rsidRPr="003505D8">
        <w:rPr>
          <w:rFonts w:eastAsia="Times"/>
        </w:rPr>
        <w:t>in medical and dental practice for pain control during surgical procedures and postoperative treatment</w:t>
      </w:r>
      <w:r w:rsidR="00353C2E">
        <w:rPr>
          <w:rFonts w:eastAsia="Times"/>
        </w:rPr>
        <w:t>.</w:t>
      </w:r>
      <w:r w:rsidR="00ED22B1">
        <w:rPr>
          <w:rFonts w:eastAsia="Times"/>
        </w:rPr>
        <w:fldChar w:fldCharType="begin" w:fldLock="1"/>
      </w:r>
      <w:r w:rsidR="00ED22B1">
        <w:rPr>
          <w:rFonts w:eastAsia="Times"/>
        </w:rPr>
        <w:instrText>ADDIN CSL_CITATION {"citationItems":[{"id":"ITEM-1","itemData":{"abstract":"Eighth edition. V. 1. Introduction -- Anesthetic physiology -- Anesthetic pharmacology -- Anesthesia management -- v. 2. Adult subspecialty management -- Pediatric anesthesia -- Postoperative care -- Critical care medicine -- Ancillary issues and responsibilities.","author":[{"dropping-particle":"","family":"Miller","given":"Ronald","non-dropping-particle":"","parse-names":false,"suffix":""},{"dropping-particle":"","family":"Eriksson","given":"Lars","non-dropping-particle":"","parse-names":false,"suffix":""},{"dropping-particle":"","family":"Fleisher","given":"Lee","non-dropping-particle":"","parse-names":false,"suffix":""},{"dropping-particle":"","family":"Wiener-Kronish","given":"Jeanine","non-dropping-particle":"","parse-names":false,"suffix":""},{"dropping-particle":"","family":"Cohen","given":"Neal","non-dropping-particle":"","parse-names":false,"suffix":""},{"dropping-particle":"","family":"Young","given":"William","non-dropping-particle":"","parse-names":false,"suffix":""}],"chapter-number":"36","container-title":"Miller's anesthesia","edition":"8th Editio","id":"ITEM-1","issued":{"date-parts":[["2014"]]},"page":"1-3576","publisher":"ELSEVIER Churchill Livingston","publisher-place":"Philadelphia","title":"Miller's anesthesia: Chapter 36 Local Anesthetics","type":"chapter"},"uris":["http://www.mendeley.com/documents/?uuid=9ae3134c-a0a5-45b0-988c-972f66b89bd6"]},{"id":"ITEM-2","itemData":{"DOI":"10.2344/0003-3006-59.2.90","ISSN":"0003-3006","abstract":"Local anesthetics have an impressive history of efficacy and safety in medical and dental practice. Their use is so routine, and adverse effects are so infrequent, that providers may understandably overlook many of their pharmacotherapeutic principles. The purpose of this continuing education article is to provide a review and update of essential pharmacology for the various local anesthetic formulations in current use. Technical considerations will be addressed in a subsequent article.","author":[{"dropping-particle":"","family":"Becker","given":"Daniel E","non-dropping-particle":"","parse-names":false,"suffix":""},{"dropping-particle":"","family":"Reed","given":"Kenneth L","non-dropping-particle":"","parse-names":false,"suffix":""}],"container-title":"Anesthesia Progress","id":"ITEM-2","issue":"2","issued":{"date-parts":[["2012"]]},"note":"Slab journal? Dentistry\nreview --&amp;gt; dobro\nVsebuje: Anestrhetic potency, time of onset, pKa relationship, solubility, toxicity","page":"90-102","title":"Local Anesthetics: Review of Pharmacological Considerations","type":"article","volume":"59"},"uris":["http://www.mendeley.com/documents/?uuid=cdc8157a-23e1-4658-a329-3ad0f0822b3b"]}],"mendeley":{"formattedCitation":"&lt;sup&gt;1,2&lt;/sup&gt;","plainTextFormattedCitation":"1,2","previouslyFormattedCitation":"&lt;sup&gt;1,2&lt;/sup&gt;"},"properties":{"noteIndex":0},"schema":"https://github.com/citation-style-language/schema/raw/master/csl-citation.json"}</w:instrText>
      </w:r>
      <w:r w:rsidR="00ED22B1">
        <w:rPr>
          <w:rFonts w:eastAsia="Times"/>
        </w:rPr>
        <w:fldChar w:fldCharType="separate"/>
      </w:r>
      <w:r w:rsidR="00ED22B1" w:rsidRPr="00ED22B1">
        <w:rPr>
          <w:rFonts w:eastAsia="Times"/>
          <w:noProof/>
          <w:vertAlign w:val="superscript"/>
        </w:rPr>
        <w:t>1,2</w:t>
      </w:r>
      <w:r w:rsidR="00ED22B1">
        <w:rPr>
          <w:rFonts w:eastAsia="Times"/>
        </w:rPr>
        <w:fldChar w:fldCharType="end"/>
      </w:r>
      <w:r w:rsidR="00ED22B1">
        <w:rPr>
          <w:rFonts w:eastAsia="Times"/>
        </w:rPr>
        <w:t xml:space="preserve"> </w:t>
      </w:r>
    </w:p>
    <w:p w14:paraId="26B935C3" w14:textId="3AC3783D" w:rsidR="00175DAA" w:rsidRDefault="00863887" w:rsidP="00175DAA">
      <w:pPr>
        <w:rPr>
          <w:rFonts w:eastAsia="Times"/>
        </w:rPr>
      </w:pPr>
      <w:r>
        <w:rPr>
          <w:rFonts w:eastAsia="Times"/>
        </w:rPr>
        <w:t>Most local anesthetics</w:t>
      </w:r>
      <w:r w:rsidR="00ED22B1">
        <w:rPr>
          <w:rFonts w:eastAsia="Times"/>
        </w:rPr>
        <w:t xml:space="preserve"> are weak bases with the acid dissociation constant (pK</w:t>
      </w:r>
      <w:r w:rsidR="00ED22B1" w:rsidRPr="000F6CF0">
        <w:rPr>
          <w:rFonts w:eastAsia="Times"/>
          <w:vertAlign w:val="subscript"/>
        </w:rPr>
        <w:t>a</w:t>
      </w:r>
      <w:r w:rsidR="00ED22B1">
        <w:rPr>
          <w:rFonts w:eastAsia="Times"/>
        </w:rPr>
        <w:t xml:space="preserve">) of 7 to 10. This suggests that at physiological pH of 7.4, both the protonated and neutral forms of the </w:t>
      </w:r>
      <w:r>
        <w:rPr>
          <w:rFonts w:eastAsia="Times"/>
        </w:rPr>
        <w:t xml:space="preserve">local anesthetics </w:t>
      </w:r>
      <w:r w:rsidR="00ED22B1">
        <w:rPr>
          <w:rFonts w:eastAsia="Times"/>
        </w:rPr>
        <w:t>molecules are present, the protonated form being more prevalent at lower pH.</w:t>
      </w:r>
      <w:r w:rsidR="00ED22B1">
        <w:rPr>
          <w:rFonts w:eastAsia="Times"/>
        </w:rPr>
        <w:fldChar w:fldCharType="begin" w:fldLock="1"/>
      </w:r>
      <w:r w:rsidR="00ED22B1">
        <w:rPr>
          <w:rFonts w:eastAsia="Times"/>
        </w:rPr>
        <w:instrText>ADDIN CSL_CITATION {"citationItems":[{"id":"ITEM-1","itemData":{"DOI":"10.1213/00000539-199008000-00008","ISSN":"0003-2999","PMID":"2375517","abstract":"Because local anesthetic molecules interact with ion channel proteins embedded in membranes to effect impulse blockade, and because their clinical potency often depends on both vascular absorption and distribution into the tissue surrounding the site of deposition, the ability to partition into these various compartments is an important determinant of local anesthetic action. Therefore, the hydrophobic nature of local anesthetics used clinically was characterized by the octanol:buffer partition coefficients of their charged (P+) and neutral (Po) species. This was accomplished by previously described optical methods in which direct spectrophotometric measurement of both the pH-dependent distribution coefficient (Q) and of the ionization permit calculation of the pKa and partition coefficients. The rates of alkaline hydrolysis of ester-linked molecules also were measured to assess potential interference of such hydrolysis with the physicochemical assays. Results indicate that the hydrophobicity of a local anesthetic is increased by manipulation of the molecular structure at three sites: (a) the aromatic ring; (b) the intermediate linking group; and (c) the tertiary amine. Po for the agents studied was 10(3)-10(5) times greater than P+. Although there is no systematic relationship between hydrophobicity and pKa, the latter is greater with ester-linked (pKa = 8.59-9.30) than with amide-linked (pKa = 7.92-8.21) local anesthetics. All of the charged species, with the exception of bupivacaine, selectively partition into the aqueous environment (P+ less than 1.0). The temperature dependence of partitioning of the local anesthetics, measured at 25 and 36 degrees C, indicates an entropy-driven hydrophobic uptake. Solutions buffered with bicarbonate and including 5% CO2 showed the same local anesthetic partitioning as that of CO2-free solutions, suggesting that potentiation of impulse blockade by CO2 is not due to increased membrane uptake. Correlations of physicochemical properties of local anesthetics with potencies on isolated nerve confirm that the more potent local anesthetics have greater octanol:buffer partition coefficients, and that the ester-linked local anesthetics are more potent than their amide-linked counterparts having the same hydrophobicities. The correlations of structure with potency also suggest that the extracellular protonated species may contribute to impulse blockade.","author":[{"dropping-particle":"","family":"Strichartz","given":"G R","non-dropping-particle":"","parse-names":false,"suffix":""},{"dropping-particle":"","family":"Sanchez","given":"V","non-dropping-particle":"","parse-names":false,"suffix":""},{"dropping-particle":"","family":"Arthur","given":"G R","non-dropping-particle":"","parse-names":false,"suffix":""},{"dropping-particle":"","family":"Chafetz","given":"R","non-dropping-particle":"","parse-names":false,"suffix":""},{"dropping-particle":"","family":"Martin","given":"D","non-dropping-particle":"","parse-names":false,"suffix":""}],"container-title":"Anesthesia and analgesia","id":"ITEM-1","issue":"2","issued":{"date-parts":[["1990","8"]]},"page":"158-170","title":"Fundamental properties of local anesthetics. II. Measured octanol:buffer partition coefficients and pKa values of clinically used drugs.","type":"article-journal","volume":"71"},"uris":["http://www.mendeley.com/documents/?uuid=7c1ecf95-cf25-4b6f-b6b7-bcc3293d6d4e"]}],"mendeley":{"formattedCitation":"&lt;sup&gt;3&lt;/sup&gt;","plainTextFormattedCitation":"3","previouslyFormattedCitation":"&lt;sup&gt;3&lt;/sup&gt;"},"properties":{"noteIndex":0},"schema":"https://github.com/citation-style-language/schema/raw/master/csl-citation.json"}</w:instrText>
      </w:r>
      <w:r w:rsidR="00ED22B1">
        <w:rPr>
          <w:rFonts w:eastAsia="Times"/>
        </w:rPr>
        <w:fldChar w:fldCharType="separate"/>
      </w:r>
      <w:r w:rsidR="00ED22B1" w:rsidRPr="00ED22B1">
        <w:rPr>
          <w:rFonts w:eastAsia="Times"/>
          <w:noProof/>
          <w:vertAlign w:val="superscript"/>
        </w:rPr>
        <w:t>3</w:t>
      </w:r>
      <w:r w:rsidR="00ED22B1">
        <w:rPr>
          <w:rFonts w:eastAsia="Times"/>
        </w:rPr>
        <w:fldChar w:fldCharType="end"/>
      </w:r>
      <w:r w:rsidR="00ED22B1">
        <w:rPr>
          <w:rFonts w:eastAsia="Times"/>
        </w:rPr>
        <w:t xml:space="preserve"> </w:t>
      </w:r>
      <w:r>
        <w:rPr>
          <w:rFonts w:eastAsia="Times"/>
        </w:rPr>
        <w:t xml:space="preserve">Local anesthetics </w:t>
      </w:r>
      <w:r w:rsidR="00ED22B1">
        <w:rPr>
          <w:rFonts w:eastAsia="Times"/>
        </w:rPr>
        <w:t xml:space="preserve">inhibit the </w:t>
      </w:r>
      <w:r w:rsidR="00ED22B1" w:rsidRPr="003505D8">
        <w:rPr>
          <w:rFonts w:eastAsia="Times"/>
        </w:rPr>
        <w:t xml:space="preserve">voltage-dependent sodium channels </w:t>
      </w:r>
      <w:r w:rsidR="00ED22B1">
        <w:rPr>
          <w:rFonts w:eastAsia="Times"/>
        </w:rPr>
        <w:t>and therefore block the transduction of the action potential along the neuron axon</w:t>
      </w:r>
      <w:r w:rsidR="00ED22B1" w:rsidRPr="003505D8">
        <w:rPr>
          <w:rFonts w:eastAsia="Times"/>
        </w:rPr>
        <w:t>.</w:t>
      </w:r>
      <w:r w:rsidR="00ED22B1" w:rsidRPr="003505D8">
        <w:rPr>
          <w:rFonts w:eastAsia="Times"/>
        </w:rPr>
        <w:fldChar w:fldCharType="begin" w:fldLock="1"/>
      </w:r>
      <w:r w:rsidR="00567B81">
        <w:rPr>
          <w:rFonts w:eastAsia="Times"/>
        </w:rPr>
        <w:instrText>ADDIN CSL_CITATION {"citationItems":[{"id":"ITEM-1","itemData":{"DOI":"10.1038/386724a0","ISSN":"00280836","abstract":"As oligodendrocytes wrap axons of the central nervous system (CNS) with insulating myelin sheaths, sodium channels that are initially continuously distributed along axons become segregated into regularly spaced gaps in the myelin called nodes of Ranvier. It is not known whether the regular spacing of nodes results from regularly spaced glial contacts or is instead intrinsically specified by the axonal cytoskeleton. Contact with Schwann cells induces clustering of sodium channels along the axons of peripheral neurons in vitro and in vivo. Similarly, it has been suggested that astrocyte contact induces clustering of sodium channels along CNS axons. Here we show that oligodendrocytes are necessary for clustering of sodium channels in vitro and in vivo. The induction, but not the maintenance, of sodium-channel clustering along the axons of highly purified rat retinal ganglion cells in culture depends on a protein secreted by oligodendrocytes. Surprisingly, the oligodendrocyte-induced clusters are regularly spaced at the predicted interval in the absence of glial-axonal contact. Mutant rats that are deficient in oligodendrocytes develop few axonal sodium channel clusters in vivo. These results demonstrate a crucial role for oligodendrocytes in inducing clustering of sodium channels.","author":[{"dropping-particle":"","family":"Kaplan","given":"M. R.","non-dropping-particle":"","parse-names":false,"suffix":""},{"dropping-particle":"","family":"Meyer-Franke","given":"A.","non-dropping-particle":"","parse-names":false,"suffix":""},{"dropping-particle":"","family":"Lambert","given":"S.","non-dropping-particle":"","parse-names":false,"suffix":""},{"dropping-particle":"","family":"Bennett","given":"V.","non-dropping-particle":"","parse-names":false,"suffix":""},{"dropping-particle":"","family":"Duncan","given":"I. D.","non-dropping-particle":"","parse-names":false,"suffix":""},{"dropping-particle":"","family":"Levinson","given":"S. R.","non-dropping-particle":"","parse-names":false,"suffix":""},{"dropping-particle":"","family":"Barres","given":"B. A.","non-dropping-particle":"","parse-names":false,"suffix":""}],"container-title":"Nature","id":"ITEM-1","issue":"6626","issued":{"date-parts":[["1997"]]},"page":"724-728","title":"Induction of sodium channel clustering by oligodendrocytes","type":"article","volume":"386"},"uris":["http://www.mendeley.com/documents/?uuid=3e9d2464-0a7b-410a-aa88-aefaa9c6c0ba","http://www.mendeley.com/documents/?uuid=8aa9ca18-c68f-44b0-9dca-ebade8af9801"]}],"mendeley":{"formattedCitation":"&lt;sup&gt;4&lt;/sup&gt;","plainTextFormattedCitation":"4","previouslyFormattedCitation":"&lt;sup&gt;4&lt;/sup&gt;"},"properties":{"noteIndex":0},"schema":"https://github.com/citation-style-language/schema/raw/master/csl-citation.json"}</w:instrText>
      </w:r>
      <w:r w:rsidR="00ED22B1" w:rsidRPr="003505D8">
        <w:rPr>
          <w:rFonts w:eastAsia="Times"/>
        </w:rPr>
        <w:fldChar w:fldCharType="separate"/>
      </w:r>
      <w:r w:rsidR="00ED22B1" w:rsidRPr="00ED22B1">
        <w:rPr>
          <w:rFonts w:eastAsia="Times"/>
          <w:noProof/>
          <w:vertAlign w:val="superscript"/>
        </w:rPr>
        <w:t>4</w:t>
      </w:r>
      <w:r w:rsidR="00ED22B1" w:rsidRPr="003505D8">
        <w:rPr>
          <w:rFonts w:eastAsia="Times"/>
        </w:rPr>
        <w:fldChar w:fldCharType="end"/>
      </w:r>
      <w:r w:rsidR="00ED22B1" w:rsidRPr="003505D8">
        <w:rPr>
          <w:rFonts w:eastAsia="Times"/>
        </w:rPr>
        <w:t xml:space="preserve"> The binding site for </w:t>
      </w:r>
      <w:r>
        <w:rPr>
          <w:rFonts w:eastAsia="Times"/>
        </w:rPr>
        <w:t xml:space="preserve">local anesthetics </w:t>
      </w:r>
      <w:r w:rsidR="00ED22B1">
        <w:rPr>
          <w:rFonts w:eastAsia="Times"/>
        </w:rPr>
        <w:t>molecules</w:t>
      </w:r>
      <w:r w:rsidR="00ED22B1" w:rsidRPr="003505D8">
        <w:rPr>
          <w:rFonts w:eastAsia="Times"/>
        </w:rPr>
        <w:t xml:space="preserve"> is </w:t>
      </w:r>
      <w:r w:rsidR="00ED22B1">
        <w:rPr>
          <w:rFonts w:eastAsia="Times"/>
        </w:rPr>
        <w:t>around</w:t>
      </w:r>
      <w:r w:rsidR="00ED22B1" w:rsidRPr="003505D8">
        <w:rPr>
          <w:rFonts w:eastAsia="Times"/>
        </w:rPr>
        <w:t xml:space="preserve"> the middle of the voltage</w:t>
      </w:r>
      <w:r w:rsidR="00ED22B1">
        <w:rPr>
          <w:rFonts w:eastAsia="Times"/>
        </w:rPr>
        <w:t>-</w:t>
      </w:r>
      <w:r w:rsidR="00ED22B1" w:rsidRPr="003505D8">
        <w:rPr>
          <w:rFonts w:eastAsia="Times"/>
        </w:rPr>
        <w:t>dependent sodium channel pore.</w:t>
      </w:r>
      <w:r w:rsidR="00ED22B1" w:rsidRPr="003505D8">
        <w:rPr>
          <w:rFonts w:eastAsia="Times"/>
        </w:rPr>
        <w:fldChar w:fldCharType="begin" w:fldLock="1"/>
      </w:r>
      <w:r w:rsidR="00567B81">
        <w:rPr>
          <w:rFonts w:eastAsia="Times"/>
        </w:rPr>
        <w:instrText>ADDIN CSL_CITATION {"citationItems":[{"id":"ITEM-1","itemData":{"DOI":"10.2174/1381612054546833","ISSN":"1381-6128 (Print)","PMID":"16101448","abstract":"Local anesthetic drugs interfere with excitation and conduction by action potentials in the nervous system and in the heart by blockade of the voltage-gated Na channel. Drug affinity varies with gating state of the channel. The drugs show low affinity at slow excitation rates, but high affinity when the channels are opened and inactivated during action potentials at high frequency, as they are during pain or during a cardiac arrhythmia. The drugs are thought to access their binding site in the inner pore by passage through the membrane and entry through the inner pore vestibule. There have been three major developments in the last decade that greatly increase our understanding of their mechanism of action. Firstly, amino acid residues critical to drug binding have been located by mutagenesis, and it is possible to develop a molecular model of the drug binding site. Secondly, a path for drug access directly from the outside has been characterized in the cardiac isoform of the channel. Thirdly, the hypothesis that high affinity binding stabilizes the fast inactivated conformation of the channel has been challenged. Rather, the drug may stabilize a slow inactivated state and immobilize the voltage sensor in domain III in its activated outward position. The combination of mutational study of the cloned Na channels and patch clamp offers the opportunity to understand the detailed molecular mechanism of drug action and to resolve drug structure-function.","author":[{"dropping-particle":"","family":"Fozzard","given":"H A","non-dropping-particle":"","parse-names":false,"suffix":""},{"dropping-particle":"","family":"Lee","given":"P J","non-dropping-particle":"","parse-names":false,"suffix":""},{"dropping-particle":"","family":"Lipkind","given":"G M","non-dropping-particle":"","parse-names":false,"suffix":""}],"container-title":"Current pharmaceutical design","id":"ITEM-1","issue":"21","issued":{"date-parts":[["2005"]]},"language":"eng","page":"2671-2686","publisher-place":"United Arab Emirates","title":"Mechanism of local anesthetic drug action on voltage-gated sodium channels.","type":"article-journal","volume":"11"},"uris":["http://www.mendeley.com/documents/?uuid=d6ca9868-3ce8-4d7a-8118-fa82faeb2b44","http://www.mendeley.com/documents/?uuid=f4371414-a267-482e-99de-9b7798170d27"]}],"mendeley":{"formattedCitation":"&lt;sup&gt;5&lt;/sup&gt;","plainTextFormattedCitation":"5","previouslyFormattedCitation":"&lt;sup&gt;5&lt;/sup&gt;"},"properties":{"noteIndex":0},"schema":"https://github.com/citation-style-language/schema/raw/master/csl-citation.json"}</w:instrText>
      </w:r>
      <w:r w:rsidR="00ED22B1" w:rsidRPr="003505D8">
        <w:rPr>
          <w:rFonts w:eastAsia="Times"/>
        </w:rPr>
        <w:fldChar w:fldCharType="separate"/>
      </w:r>
      <w:r w:rsidR="00ED22B1" w:rsidRPr="00ED22B1">
        <w:rPr>
          <w:rFonts w:eastAsia="Times"/>
          <w:noProof/>
          <w:vertAlign w:val="superscript"/>
        </w:rPr>
        <w:t>5</w:t>
      </w:r>
      <w:r w:rsidR="00ED22B1" w:rsidRPr="003505D8">
        <w:rPr>
          <w:rFonts w:eastAsia="Times"/>
        </w:rPr>
        <w:fldChar w:fldCharType="end"/>
      </w:r>
      <w:r w:rsidR="00ED22B1" w:rsidRPr="003505D8">
        <w:rPr>
          <w:rFonts w:eastAsia="Times"/>
        </w:rPr>
        <w:t xml:space="preserve"> </w:t>
      </w:r>
      <w:r w:rsidR="00ED22B1">
        <w:rPr>
          <w:rFonts w:eastAsia="Times"/>
        </w:rPr>
        <w:t>Experiments with quaternary compounds show that i</w:t>
      </w:r>
      <w:r w:rsidR="00ED22B1" w:rsidRPr="003505D8">
        <w:rPr>
          <w:rFonts w:eastAsia="Times"/>
        </w:rPr>
        <w:t xml:space="preserve">n order to efficiently inhibit the channel, it is necessary for local anesthetics to first cross </w:t>
      </w:r>
      <w:r w:rsidR="00ED22B1">
        <w:t>biological</w:t>
      </w:r>
      <w:r w:rsidR="00ED22B1" w:rsidRPr="003505D8">
        <w:rPr>
          <w:rFonts w:eastAsia="Times"/>
        </w:rPr>
        <w:t xml:space="preserve"> membrane in their neutral form, diffuse to the receptor site and reprotonate before binding to the channel.</w:t>
      </w:r>
      <w:r w:rsidR="00ED22B1" w:rsidRPr="003505D8">
        <w:rPr>
          <w:rFonts w:eastAsia="Times"/>
        </w:rPr>
        <w:fldChar w:fldCharType="begin" w:fldLock="1"/>
      </w:r>
      <w:r w:rsidR="00567B81">
        <w:rPr>
          <w:rFonts w:eastAsia="Times"/>
        </w:rPr>
        <w:instrText>ADDIN CSL_CITATION {"citationItems":[{"id":"ITEM-1","itemData":{"DOI":"10.1134/s1990747812010151","ISSN":"1990-7478","abstract":"Knowledge about the mechanism of impulse blockade by local anesthetics has evolved over the past four decades, from the realization that Na+ channels were inhibited to effect the impulse blockade to an identification of the amino acid residues within the Na+ channel that bind the local anesthetic molecule. Within this period appreciation has grown of the state-dependent nature of channel inhibition, with rapid binding and unbinding at relatively high affinity to the open state, and weaker binding to the closed resting state. Slow binding of high affinity for the inactivated state accounts for the salutary therapeutic as well as the toxic actions of diverse class I anti-arrhythmic agents, but may have little importance for impulse blockade, which requires concentrations high enough to block the resting state. At the molecular level, residues on the S6 transmembrane segments in three of the homologous domains of the channel appear to contribute to the binding of local anesthetics, with some contribution also from parts of the selectivity filter. Binding to the inactivated state, and perhaps the open state, involves some residues that are not identical to those that bind these drugs in the resting state, suggesting spatial flexibility in the \"binding site\". Questions remaining include the mechanism that links local anesthetic binding with the inhibition of gating charge movements, and the molecular nature of the theoretical \"hydrophobic pathway\" that may be critical for determining the recovery rates from blockade of closed channels, and thus account for both therapeutic and cardiotoxic actions.","author":[{"dropping-particle":"","family":"Wang","given":"G. -K.","non-dropping-particle":"","parse-names":false,"suffix":""},{"dropping-particle":"","family":"Strichartz","given":"G. R.","non-dropping-particle":"","parse-names":false,"suffix":""}],"container-title":"Biochemistry (Moscow) Supplement Series A: Membrane and Cell Biology","id":"ITEM-1","issue":"2","issued":{"date-parts":[["2012"]]},"note":"Review\nModulated recep hy, structure and function of Na channel\npH dependence, commentary on hille\n\nnič novega??","page":"120-127","title":"State-dependent inhibition of sodium channels by local anesthetics: A 40-year evolution","type":"article","volume":"6"},"uris":["http://www.mendeley.com/documents/?uuid=edfca71c-ee20-4777-88d0-a32c3820f731"]}],"mendeley":{"formattedCitation":"&lt;sup&gt;6&lt;/sup&gt;","plainTextFormattedCitation":"6","previouslyFormattedCitation":"&lt;sup&gt;6&lt;/sup&gt;"},"properties":{"noteIndex":0},"schema":"https://github.com/citation-style-language/schema/raw/master/csl-citation.json"}</w:instrText>
      </w:r>
      <w:r w:rsidR="00ED22B1" w:rsidRPr="003505D8">
        <w:rPr>
          <w:rFonts w:eastAsia="Times"/>
        </w:rPr>
        <w:fldChar w:fldCharType="separate"/>
      </w:r>
      <w:r w:rsidR="00ED22B1" w:rsidRPr="00ED22B1">
        <w:rPr>
          <w:rFonts w:eastAsia="Times"/>
          <w:noProof/>
          <w:vertAlign w:val="superscript"/>
        </w:rPr>
        <w:t>6</w:t>
      </w:r>
      <w:r w:rsidR="00ED22B1" w:rsidRPr="003505D8">
        <w:rPr>
          <w:rFonts w:eastAsia="Times"/>
        </w:rPr>
        <w:fldChar w:fldCharType="end"/>
      </w:r>
      <w:r w:rsidR="006D569E">
        <w:rPr>
          <w:rFonts w:eastAsia="Times"/>
        </w:rPr>
        <w:t xml:space="preserve"> </w:t>
      </w:r>
      <w:r w:rsidR="00175DAA">
        <w:rPr>
          <w:rFonts w:eastAsia="Times"/>
        </w:rPr>
        <w:t>It should be emphasized that experimental techniques involving local anesthetic equilibrium properties and transport across the neuron membrane are extremely demanding and provide only</w:t>
      </w:r>
      <w:r w:rsidR="002066E4">
        <w:rPr>
          <w:rFonts w:eastAsia="Times"/>
        </w:rPr>
        <w:t xml:space="preserve"> a</w:t>
      </w:r>
      <w:r w:rsidR="00175DAA">
        <w:rPr>
          <w:rFonts w:eastAsia="Times"/>
        </w:rPr>
        <w:t xml:space="preserve"> fraction of necessary data. In this respect</w:t>
      </w:r>
      <w:r w:rsidR="002066E4">
        <w:rPr>
          <w:rFonts w:eastAsia="Times"/>
        </w:rPr>
        <w:t>,</w:t>
      </w:r>
      <w:r w:rsidR="00175DAA">
        <w:rPr>
          <w:rFonts w:eastAsia="Times"/>
        </w:rPr>
        <w:t xml:space="preserve"> </w:t>
      </w:r>
      <w:r w:rsidR="00175DAA" w:rsidRPr="00E2542B">
        <w:rPr>
          <w:rFonts w:eastAsia="Times"/>
        </w:rPr>
        <w:t>n-</w:t>
      </w:r>
      <w:r w:rsidR="00175DAA">
        <w:rPr>
          <w:rFonts w:eastAsia="Times"/>
        </w:rPr>
        <w:t xml:space="preserve">octanol is a good approximation of neuron membrane, and </w:t>
      </w:r>
      <w:r w:rsidR="00E2542B">
        <w:rPr>
          <w:rFonts w:eastAsia="Times"/>
        </w:rPr>
        <w:t>n-</w:t>
      </w:r>
      <w:r w:rsidR="00175DAA">
        <w:rPr>
          <w:rFonts w:eastAsia="Times"/>
        </w:rPr>
        <w:t xml:space="preserve">octanol/water partition </w:t>
      </w:r>
      <w:r w:rsidR="00E2542B">
        <w:rPr>
          <w:rFonts w:eastAsia="Times"/>
        </w:rPr>
        <w:t xml:space="preserve">coefficient </w:t>
      </w:r>
      <w:r w:rsidR="00175DAA">
        <w:rPr>
          <w:rFonts w:eastAsia="Times"/>
        </w:rPr>
        <w:t xml:space="preserve">is an established property of a drug acting on the central nervous system to pass the </w:t>
      </w:r>
      <w:r w:rsidR="00175DAA" w:rsidRPr="009907CA">
        <w:rPr>
          <w:rFonts w:eastAsia="Times"/>
        </w:rPr>
        <w:t>hematoencephalic barrier</w:t>
      </w:r>
      <w:r w:rsidR="00175DAA">
        <w:rPr>
          <w:rFonts w:eastAsia="Times"/>
        </w:rPr>
        <w:t>.</w:t>
      </w:r>
      <w:r w:rsidR="00175DAA">
        <w:rPr>
          <w:rFonts w:eastAsia="Times"/>
        </w:rPr>
        <w:fldChar w:fldCharType="begin" w:fldLock="1"/>
      </w:r>
      <w:r w:rsidR="004919E7">
        <w:rPr>
          <w:rFonts w:eastAsia="Times"/>
        </w:rPr>
        <w:instrText>ADDIN CSL_CITATION {"citationItems":[{"id":"ITEM-1","itemData":{"DOI":"10.1021/cr60274a001","ISSN":"15206890","author":[{"dropping-particle":"","family":"Leo","given":"Albert","non-dropping-particle":"","parse-names":false,"suffix":""},{"dropping-particle":"","family":"Hansch","given":"Corwin","non-dropping-particle":"","parse-names":false,"suffix":""},{"dropping-particle":"","family":"Elkins","given":"David","non-dropping-particle":"","parse-names":false,"suffix":""}],"container-title":"Chemical Reviews","id":"ITEM-1","issued":{"date-parts":[["1971"]]},"title":"Partition coefficients and their uses","type":"article"},"uris":["http://www.mendeley.com/documents/?uuid=6fa43500-f597-4ce5-b474-fd029ab42316"]}],"mendeley":{"formattedCitation":"&lt;sup&gt;7&lt;/sup&gt;","plainTextFormattedCitation":"7","previouslyFormattedCitation":"&lt;sup&gt;7&lt;/sup&gt;"},"properties":{"noteIndex":0},"schema":"https://github.com/citation-style-language/schema/raw/master/csl-citation.json"}</w:instrText>
      </w:r>
      <w:r w:rsidR="00175DAA">
        <w:rPr>
          <w:rFonts w:eastAsia="Times"/>
        </w:rPr>
        <w:fldChar w:fldCharType="separate"/>
      </w:r>
      <w:r w:rsidR="00175DAA" w:rsidRPr="00175DAA">
        <w:rPr>
          <w:rFonts w:eastAsia="Times"/>
          <w:noProof/>
          <w:vertAlign w:val="superscript"/>
        </w:rPr>
        <w:t>7</w:t>
      </w:r>
      <w:r w:rsidR="00175DAA">
        <w:rPr>
          <w:rFonts w:eastAsia="Times"/>
        </w:rPr>
        <w:fldChar w:fldCharType="end"/>
      </w:r>
    </w:p>
    <w:p w14:paraId="467F29D9" w14:textId="3B62113C" w:rsidR="004919E7" w:rsidRDefault="00567B81" w:rsidP="00E766CB">
      <w:pPr>
        <w:rPr>
          <w:rFonts w:eastAsia="Times"/>
        </w:rPr>
      </w:pPr>
      <w:r>
        <w:rPr>
          <w:rFonts w:eastAsia="Times"/>
        </w:rPr>
        <w:t>While procedures done under local anesthesia are safer than general anesthesia</w:t>
      </w:r>
      <w:r w:rsidRPr="005229F8">
        <w:rPr>
          <w:rFonts w:eastAsia="Times"/>
        </w:rPr>
        <w:t xml:space="preserve">, there </w:t>
      </w:r>
      <w:r w:rsidR="005229F8" w:rsidRPr="005229F8">
        <w:rPr>
          <w:rFonts w:eastAsia="Times"/>
        </w:rPr>
        <w:t>remain</w:t>
      </w:r>
      <w:r w:rsidRPr="005229F8">
        <w:rPr>
          <w:rFonts w:eastAsia="Times"/>
        </w:rPr>
        <w:t xml:space="preserve"> </w:t>
      </w:r>
      <w:r w:rsidR="002066E4">
        <w:rPr>
          <w:rFonts w:eastAsia="Times"/>
        </w:rPr>
        <w:t>possible</w:t>
      </w:r>
      <w:r>
        <w:rPr>
          <w:rFonts w:eastAsia="Times"/>
        </w:rPr>
        <w:t xml:space="preserve"> complications, </w:t>
      </w:r>
      <w:r w:rsidR="002066E4">
        <w:rPr>
          <w:rFonts w:eastAsia="Times"/>
        </w:rPr>
        <w:t>including</w:t>
      </w:r>
      <w:r>
        <w:rPr>
          <w:rFonts w:eastAsia="Times"/>
        </w:rPr>
        <w:t xml:space="preserve"> the cardiotoxicity and neurotoxicity of certain local anesthetics.</w:t>
      </w:r>
      <w:r>
        <w:rPr>
          <w:rFonts w:eastAsia="Times"/>
        </w:rPr>
        <w:fldChar w:fldCharType="begin" w:fldLock="1"/>
      </w:r>
      <w:r w:rsidR="00175DAA">
        <w:rPr>
          <w:rFonts w:eastAsia="Times"/>
        </w:rPr>
        <w:instrText>ADDIN CSL_CITATION {"citationItems":[{"id":"ITEM-1","itemData":{"abstract":"Eighth edition. V. 1. Introduction -- Anesthetic physiology -- Anesthetic pharmacology -- Anesthesia management -- v. 2. Adult subspecialty management -- Pediatric anesthesia -- Postoperative care -- Critical care medicine -- Ancillary issues and responsibilities.","author":[{"dropping-particle":"","family":"Miller","given":"Ronald","non-dropping-particle":"","parse-names":false,"suffix":""},{"dropping-particle":"","family":"Eriksson","given":"Lars","non-dropping-particle":"","parse-names":false,"suffix":""},{"dropping-particle":"","family":"Fleisher","given":"Lee","non-dropping-particle":"","parse-names":false,"suffix":""},{"dropping-particle":"","family":"Wiener-Kronish","given":"Jeanine","non-dropping-particle":"","parse-names":false,"suffix":""},{"dropping-particle":"","family":"Cohen","given":"Neal","non-dropping-particle":"","parse-names":false,"suffix":""},{"dropping-particle":"","family":"Young","given":"William","non-dropping-particle":"","parse-names":false,"suffix":""}],"chapter-number":"36","container-title":"Miller's anesthesia","edition":"8th Editio","id":"ITEM-1","issued":{"date-parts":[["2014"]]},"page":"1-3576","publisher":"ELSEVIER Churchill Livingston","publisher-place":"Philadelphia","title":"Miller's anesthesia: Chapter 36 Local Anesthetics","type":"chapter"},"uris":["http://www.mendeley.com/documents/?uuid=9ae3134c-a0a5-45b0-988c-972f66b89bd6"]}],"mendeley":{"formattedCitation":"&lt;sup&gt;1&lt;/sup&gt;","plainTextFormattedCitation":"1","previouslyFormattedCitation":"&lt;sup&gt;1&lt;/sup&gt;"},"properties":{"noteIndex":0},"schema":"https://github.com/citation-style-language/schema/raw/master/csl-citation.json"}</w:instrText>
      </w:r>
      <w:r>
        <w:rPr>
          <w:rFonts w:eastAsia="Times"/>
        </w:rPr>
        <w:fldChar w:fldCharType="separate"/>
      </w:r>
      <w:r w:rsidRPr="00567B81">
        <w:rPr>
          <w:rFonts w:eastAsia="Times"/>
          <w:noProof/>
          <w:vertAlign w:val="superscript"/>
        </w:rPr>
        <w:t>1</w:t>
      </w:r>
      <w:r>
        <w:rPr>
          <w:rFonts w:eastAsia="Times"/>
        </w:rPr>
        <w:fldChar w:fldCharType="end"/>
      </w:r>
      <w:r>
        <w:rPr>
          <w:rFonts w:eastAsia="Times"/>
        </w:rPr>
        <w:t xml:space="preserve"> The success rate of the procedure is also substantially dependent on the skill level of the medical provider.</w:t>
      </w:r>
      <w:r>
        <w:rPr>
          <w:rFonts w:eastAsia="Times"/>
        </w:rPr>
        <w:fldChar w:fldCharType="begin" w:fldLock="1"/>
      </w:r>
      <w:r w:rsidR="00AF4DBB">
        <w:rPr>
          <w:rFonts w:eastAsia="Times"/>
        </w:rPr>
        <w:instrText>ADDIN CSL_CITATION {"citationItems":[{"id":"ITEM-1","itemData":{"DOI":"10.1007/s11916-019-0782-0","ISSN":"1531-3433","PMID":"31123919","abstract":"PURPOSE OF REVIEW Understanding the etiologies of the complications associated with regional anesthesia and implementing methods to reduce their occurrence provides an opportunity to foster safer practices in the delivery of regional anesthesia. RECENT FINDINGS Neurologic injuries following peripheral nerve block (PNB) and neuraxial blocks are rare, with most being transient. However, long-lasting and devastating sequelae can occur with regional anesthesia. Risk factors for neurologic injury following PNB include type of block, injection in the presence of deep sedation or general anesthesia, presence of existing neuropathy, mechanical trauma from the needle, pressure injury, intraneural injection, neuronal ischemia, iatrogenic injury related to surgery, and local anesthetic neurotoxicity. The present investigation discusses regional blocks, complications of regional blocks, risk factors, site-specific limitations, specific complications and how to prevent them from happening, avoiding complications in regional anesthesia, and the future of regional anesthesia.","author":[{"dropping-particle":"","family":"Helander","given":"Erik M.","non-dropping-particle":"","parse-names":false,"suffix":""},{"dropping-particle":"","family":"Kaye","given":"Aaron J.","non-dropping-particle":"","parse-names":false,"suffix":""},{"dropping-particle":"","family":"Eng","given":"Matthew R.","non-dropping-particle":"","parse-names":false,"suffix":""},{"dropping-particle":"","family":"Emelife","given":"Patrick I.","non-dropping-particle":"","parse-names":false,"suffix":""},{"dropping-particle":"","family":"Motejunas","given":"Mark W.","non-dropping-particle":"","parse-names":false,"suffix":""},{"dropping-particle":"","family":"Bonneval","given":"Lauren A.","non-dropping-particle":"","parse-names":false,"suffix":""},{"dropping-particle":"","family":"Terracciano","given":"Justin A.","non-dropping-particle":"","parse-names":false,"suffix":""},{"dropping-particle":"","family":"Cornett","given":"Elyse M.","non-dropping-particle":"","parse-names":false,"suffix":""},{"dropping-particle":"","family":"Kaye","given":"Alan D.","non-dropping-particle":"","parse-names":false,"suffix":""}],"container-title":"Current Pain and Headache Reports","id":"ITEM-1","issue":"6","issued":{"date-parts":[["2019","6","23"]]},"page":"43","title":"Regional Nerve Blocks—Best Practice Strategies for Reduction in Complications and Comprehensive Review","type":"article-journal","volume":"23"},"uris":["http://www.mendeley.com/documents/?uuid=3c831cb6-bd43-4b67-887d-4a36a2a1a7bf"]}],"mendeley":{"formattedCitation":"&lt;sup&gt;8&lt;/sup&gt;","plainTextFormattedCitation":"8","previouslyFormattedCitation":"&lt;sup&gt;8&lt;/sup&gt;"},"properties":{"noteIndex":0},"schema":"https://github.com/citation-style-language/schema/raw/master/csl-citation.json"}</w:instrText>
      </w:r>
      <w:r>
        <w:rPr>
          <w:rFonts w:eastAsia="Times"/>
        </w:rPr>
        <w:fldChar w:fldCharType="separate"/>
      </w:r>
      <w:r w:rsidR="00E6691C" w:rsidRPr="00E6691C">
        <w:rPr>
          <w:rFonts w:eastAsia="Times"/>
          <w:noProof/>
          <w:vertAlign w:val="superscript"/>
        </w:rPr>
        <w:t>8</w:t>
      </w:r>
      <w:r>
        <w:rPr>
          <w:rFonts w:eastAsia="Times"/>
        </w:rPr>
        <w:fldChar w:fldCharType="end"/>
      </w:r>
      <w:r>
        <w:rPr>
          <w:rFonts w:eastAsia="Times"/>
        </w:rPr>
        <w:t xml:space="preserve"> Broadening the therapeutic window, reducing the toxicity and fine-tuning the thermodynamic properties of local anesthetics are a few of the main goals </w:t>
      </w:r>
      <w:r w:rsidR="00175DAA">
        <w:rPr>
          <w:rFonts w:eastAsia="Times"/>
        </w:rPr>
        <w:t xml:space="preserve">that can be achieved by designing a novel local anesthetic compound. </w:t>
      </w:r>
      <w:r w:rsidR="004919E7">
        <w:rPr>
          <w:rFonts w:eastAsia="Times"/>
        </w:rPr>
        <w:t xml:space="preserve">An established </w:t>
      </w:r>
      <w:r w:rsidR="002066E4">
        <w:rPr>
          <w:rFonts w:eastAsia="Times"/>
        </w:rPr>
        <w:t xml:space="preserve">approach </w:t>
      </w:r>
      <w:r w:rsidR="004919E7">
        <w:rPr>
          <w:rFonts w:eastAsia="Times"/>
        </w:rPr>
        <w:t xml:space="preserve">in drug design is to use computational models, using quantum chemical calculations, to predict physiochemical and pharmacological properties of novel compounds </w:t>
      </w:r>
      <w:r w:rsidR="004919E7" w:rsidRPr="004919E7">
        <w:rPr>
          <w:rFonts w:eastAsia="Times"/>
          <w:i/>
          <w:iCs/>
        </w:rPr>
        <w:t>in silico</w:t>
      </w:r>
      <w:r w:rsidR="004919E7">
        <w:rPr>
          <w:rFonts w:eastAsia="Times"/>
        </w:rPr>
        <w:t>.</w:t>
      </w:r>
      <w:r w:rsidR="004919E7">
        <w:rPr>
          <w:rFonts w:eastAsia="Times"/>
        </w:rPr>
        <w:fldChar w:fldCharType="begin" w:fldLock="1"/>
      </w:r>
      <w:r w:rsidR="00AF4DBB">
        <w:rPr>
          <w:rFonts w:eastAsia="Times"/>
        </w:rPr>
        <w:instrText>ADDIN CSL_CITATION {"citationItems":[{"id":"ITEM-1","itemData":{"DOI":"10.1134/S0036024410130157","ISSN":"00360244","abstract":"The partition coefficients (logP) of nucleoside analogs determined by the difference in the free energies of hydration and solvation in water-saturated octanol using the thermodynamic integration method are reported. The logP values calculated in this approach are closer to the experimental values compared to other ab initio methods. Solvation free energy in water and octanol, free energy of cavity formation in water and Henry's constants, and some other parameters are estimated at the density functional theory (DFT) and Hartree-Fock level with 6-31G*, 6-31G, and 6-31+G basis sets. Surface area, mass, refractivity, volume, polarizability, and dipole moment are calculated for some drugs with HF and DFT methods. The results show that logP decreases with the decrease in polarizability and the increase in dipole moment. © 2010 Pleiades Publishing, Ltd.","author":[{"dropping-particle":"","family":"Bayat","given":"Z.","non-dropping-particle":"","parse-names":false,"suffix":""},{"dropping-particle":"","family":"Movaffagh","given":"J.","non-dropping-particle":"","parse-names":false,"suffix":""}],"container-title":"Russian Journal of Physical Chemistry A","id":"ITEM-1","issued":{"date-parts":[["2010"]]},"title":"Evaluation of the 1-octanol/water partition coefficient of nucleoside analogs via free energy estimated in quantum chemical calculations","type":"article-journal"},"uris":["http://www.mendeley.com/documents/?uuid=075ee049-2941-473c-8fd1-e55af841e97d"]},{"id":"ITEM-2","itemData":{"DOI":"10.1021/jm0495273","ISSN":"00222623","PMID":"15974600","abstract":"Mercaptopurine (6-MP), thioguanine (6-TG), and azathioprine (AZA) are purine antimetabolites introduced as anticancer or immunosuppressive drugs decades ago. Methylated AZA, called MAZA, is among the investigational drugs. The present study compares MAZA to the widely recognized drugs AZA, 6-MP, and 6-TG with respect to the ability of being transported across cell membranes. The obtained octanol/water phases partition coefficients and results of quantum chemical calculations predict the following sequence of hydrophobicity: MAZA &gt; AZA &gt; 6-TG &gt; 6-MP. © 2005 American Chemical Society.","author":[{"dropping-particle":"","family":"Hoffmann","given":"Marcin","non-dropping-particle":"","parse-names":false,"suffix":""},{"dropping-particle":"","family":"Chrzanowska","given":"Maria","non-dropping-particle":"","parse-names":false,"suffix":""},{"dropping-particle":"","family":"Hermann","given":"Tadeusz","non-dropping-particle":"","parse-names":false,"suffix":""},{"dropping-particle":"","family":"Rychlewski","given":"Jacek","non-dropping-particle":"","parse-names":false,"suffix":""}],"container-title":"Journal of Medicinal Chemistry","id":"ITEM-2","issued":{"date-parts":[["2005"]]},"title":"Modeling of purine derivatives transport across cell membranes based on their partition coefficient determination and quantum chemical calculations","type":"article-journal"},"uris":["http://www.mendeley.com/documents/?uuid=1f3a1c69-bb38-4b61-8d3a-2e128d673f4c"]}],"mendeley":{"formattedCitation":"&lt;sup&gt;9,10&lt;/sup&gt;","plainTextFormattedCitation":"9,10","previouslyFormattedCitation":"&lt;sup&gt;9,10&lt;/sup&gt;"},"properties":{"noteIndex":0},"schema":"https://github.com/citation-style-language/schema/raw/master/csl-citation.json"}</w:instrText>
      </w:r>
      <w:r w:rsidR="004919E7">
        <w:rPr>
          <w:rFonts w:eastAsia="Times"/>
        </w:rPr>
        <w:fldChar w:fldCharType="separate"/>
      </w:r>
      <w:r w:rsidR="00E6691C" w:rsidRPr="00E6691C">
        <w:rPr>
          <w:rFonts w:eastAsia="Times"/>
          <w:noProof/>
          <w:vertAlign w:val="superscript"/>
        </w:rPr>
        <w:t>9,10</w:t>
      </w:r>
      <w:r w:rsidR="004919E7">
        <w:rPr>
          <w:rFonts w:eastAsia="Times"/>
        </w:rPr>
        <w:fldChar w:fldCharType="end"/>
      </w:r>
      <w:r w:rsidR="00BB6C59">
        <w:rPr>
          <w:rFonts w:eastAsia="Times"/>
        </w:rPr>
        <w:t xml:space="preserve"> Understanding transport dynamics between aqueous and lipophilic environments could also provide new insight into mechanisms of slow release local anesthetics formulations, which appear to be less neurotoxic in animal models</w:t>
      </w:r>
      <w:r w:rsidR="00E6691C">
        <w:rPr>
          <w:rFonts w:eastAsia="Times"/>
        </w:rPr>
        <w:t>.</w:t>
      </w:r>
      <w:r w:rsidR="00E6691C">
        <w:rPr>
          <w:rFonts w:eastAsia="Times"/>
        </w:rPr>
        <w:fldChar w:fldCharType="begin" w:fldLock="1"/>
      </w:r>
      <w:r w:rsidR="00AF4DBB">
        <w:rPr>
          <w:rFonts w:eastAsia="Times"/>
        </w:rPr>
        <w:instrText>ADDIN CSL_CITATION {"citationItems":[{"id":"ITEM-1","itemData":{"DOI":"10.1186/s12917-020-02459-4","ISSN":"17466148","PMID":"32680505","abstract":"Background: Long-acting local anaesthetics (e.g. bupivacaine hydrochloride) or sustained-release formulations of bupivacaine (e.g. liposomal bupivacaine) may be neurotoxic when applied in the setting of diabetic neuropathy. The aim of the study was to assess neurotoxicity of bupivacaine and liposome bupivacaine in streptozotocin (STZ) - induced diabetic mice after sciatic nerve block. We used the reduction in fibre density and decreased myelination assessed by G-ratio (defined as axon diameter divided by large fibre diameter) as indicators of local anaesthetic neurotoxicity. Results: Diabetic mice had higher plasma levels of glucose (P &lt; 0.001) and significant differences in the tail flick and plantar test thermal latencies compared to healthy controls (P &lt; 0.001). In both diabetic and nondiabetic mice, sciatic nerve block with 0.25% bupivacaine HCl resulted in a significantly greater G-ratio and an axon diameter compared to nerves treated with 1.3% liposome bupivacaine or saline (0.9% sodium chloride) (P &lt; 0.01). Moreover, sciatic nerve block with 0.25% bupivacaine HCl resulted in lower fibre density and higher large fibre and axon diameters compared to the control (untreated) sciatic nerves in both STZ-induced diabetic (P &lt; 0.05) and nondiabetic mice (P &lt; 0.01). No evidence of acute or chronic inflammation was observed in any of the treatment groups. Conclusions: In our exploratory study the sciatic nerve block with bupivacaine HCl (7 mg/kg), but not liposome bupivacaine (35 mg/kg) or saline, resulted in histomorphometric indices of neurotoxicity. Histologic findings were similar in diabetic and healthy control mice.","author":[{"dropping-particle":"","family":"Markova","given":"Liljana","non-dropping-particle":"","parse-names":false,"suffix":""},{"dropping-particle":"","family":"Umek","given":"Nejc","non-dropping-particle":"","parse-names":false,"suffix":""},{"dropping-particle":"","family":"Horvat","given":"Simon","non-dropping-particle":"","parse-names":false,"suffix":""},{"dropping-particle":"","family":"Hadžić","given":"Admir","non-dropping-particle":"","parse-names":false,"suffix":""},{"dropping-particle":"","family":"Kuroda","given":"Max","non-dropping-particle":"","parse-names":false,"suffix":""},{"dropping-particle":"","family":"Pintarič","given":"Tatjana Stopar","non-dropping-particle":"","parse-names":false,"suffix":""},{"dropping-particle":"","family":"Mrak","given":"Vesna","non-dropping-particle":"","parse-names":false,"suffix":""},{"dropping-particle":"","family":"Cvetko","given":"Erika","non-dropping-particle":"","parse-names":false,"suffix":""}],"container-title":"BMC Veterinary Research","id":"ITEM-1","issued":{"date-parts":[["2020"]]},"title":"Neurotoxicity of bupivacaine and liposome bupivacaine after sciatic nerve block in healthy and streptozotocin-induced diabetic mice","type":"article-journal"},"uris":["http://www.mendeley.com/documents/?uuid=6dbd327c-018a-4740-8904-fefa80c98e6a"]}],"mendeley":{"formattedCitation":"&lt;sup&gt;11&lt;/sup&gt;","plainTextFormattedCitation":"11","previouslyFormattedCitation":"&lt;sup&gt;11&lt;/sup&gt;"},"properties":{"noteIndex":0},"schema":"https://github.com/citation-style-language/schema/raw/master/csl-citation.json"}</w:instrText>
      </w:r>
      <w:r w:rsidR="00E6691C">
        <w:rPr>
          <w:rFonts w:eastAsia="Times"/>
        </w:rPr>
        <w:fldChar w:fldCharType="separate"/>
      </w:r>
      <w:r w:rsidR="00E6691C" w:rsidRPr="00E6691C">
        <w:rPr>
          <w:rFonts w:eastAsia="Times"/>
          <w:noProof/>
          <w:vertAlign w:val="superscript"/>
        </w:rPr>
        <w:t>11</w:t>
      </w:r>
      <w:r w:rsidR="00E6691C">
        <w:rPr>
          <w:rFonts w:eastAsia="Times"/>
        </w:rPr>
        <w:fldChar w:fldCharType="end"/>
      </w:r>
    </w:p>
    <w:p w14:paraId="2FA71599" w14:textId="2A5CE9A5" w:rsidR="00E6691C" w:rsidRDefault="002066E4" w:rsidP="0084590D">
      <w:pPr>
        <w:rPr>
          <w:rFonts w:eastAsia="Times"/>
        </w:rPr>
      </w:pPr>
      <w:r>
        <w:lastRenderedPageBreak/>
        <w:t xml:space="preserve">The aim </w:t>
      </w:r>
      <w:r w:rsidR="0033344E">
        <w:t xml:space="preserve">of this article is to calculate </w:t>
      </w:r>
      <w:r w:rsidR="00E2542B" w:rsidRPr="00E2542B">
        <w:t>n-octanol/water partition coefficient</w:t>
      </w:r>
      <w:r w:rsidR="00E2542B">
        <w:t xml:space="preserve">s </w:t>
      </w:r>
      <w:r w:rsidR="0033344E">
        <w:t>for</w:t>
      </w:r>
      <w:r>
        <w:t xml:space="preserve"> a</w:t>
      </w:r>
      <w:r w:rsidR="0033344E">
        <w:t xml:space="preserve"> few representative local anesthetics in their neutral and protonated form</w:t>
      </w:r>
      <w:r>
        <w:t>s</w:t>
      </w:r>
      <w:r w:rsidR="0033344E">
        <w:t xml:space="preserve"> and critically compare them with the experimental values. </w:t>
      </w:r>
      <w:r w:rsidR="0033344E">
        <w:rPr>
          <w:rFonts w:eastAsia="Times"/>
        </w:rPr>
        <w:t>We</w:t>
      </w:r>
      <w:r w:rsidR="004919E7">
        <w:rPr>
          <w:rFonts w:eastAsia="Times"/>
        </w:rPr>
        <w:t xml:space="preserve"> calculated </w:t>
      </w:r>
      <w:r>
        <w:rPr>
          <w:rFonts w:eastAsia="Times"/>
        </w:rPr>
        <w:t xml:space="preserve">the </w:t>
      </w:r>
      <w:r w:rsidR="004919E7">
        <w:rPr>
          <w:rFonts w:eastAsia="Times"/>
        </w:rPr>
        <w:t xml:space="preserve">free energy of transfer </w:t>
      </w:r>
      <w:r>
        <w:rPr>
          <w:rFonts w:eastAsia="Times"/>
        </w:rPr>
        <w:t xml:space="preserve">using </w:t>
      </w:r>
      <w:r w:rsidR="004919E7">
        <w:rPr>
          <w:rFonts w:eastAsia="Times"/>
        </w:rPr>
        <w:t>the experimentally determined partition coefficients, provided by Strichartz et al.</w:t>
      </w:r>
      <w:r w:rsidR="004919E7">
        <w:rPr>
          <w:rFonts w:eastAsia="Times"/>
        </w:rPr>
        <w:fldChar w:fldCharType="begin" w:fldLock="1"/>
      </w:r>
      <w:r w:rsidR="002054DC">
        <w:rPr>
          <w:rFonts w:eastAsia="Times"/>
        </w:rPr>
        <w:instrText>ADDIN CSL_CITATION {"citationItems":[{"id":"ITEM-1","itemData":{"DOI":"10.1213/00000539-199008000-00008","ISSN":"0003-2999","PMID":"2375517","abstract":"Because local anesthetic molecules interact with ion channel proteins embedded in membranes to effect impulse blockade, and because their clinical potency often depends on both vascular absorption and distribution into the tissue surrounding the site of deposition, the ability to partition into these various compartments is an important determinant of local anesthetic action. Therefore, the hydrophobic nature of local anesthetics used clinically was characterized by the octanol:buffer partition coefficients of their charged (P+) and neutral (Po) species. This was accomplished by previously described optical methods in which direct spectrophotometric measurement of both the pH-dependent distribution coefficient (Q) and of the ionization permit calculation of the pKa and partition coefficients. The rates of alkaline hydrolysis of ester-linked molecules also were measured to assess potential interference of such hydrolysis with the physicochemical assays. Results indicate that the hydrophobicity of a local anesthetic is increased by manipulation of the molecular structure at three sites: (a) the aromatic ring; (b) the intermediate linking group; and (c) the tertiary amine. Po for the agents studied was 10(3)-10(5) times greater than P+. Although there is no systematic relationship between hydrophobicity and pKa, the latter is greater with ester-linked (pKa = 8.59-9.30) than with amide-linked (pKa = 7.92-8.21) local anesthetics. All of the charged species, with the exception of bupivacaine, selectively partition into the aqueous environment (P+ less than 1.0). The temperature dependence of partitioning of the local anesthetics, measured at 25 and 36 degrees C, indicates an entropy-driven hydrophobic uptake. Solutions buffered with bicarbonate and including 5% CO2 showed the same local anesthetic partitioning as that of CO2-free solutions, suggesting that potentiation of impulse blockade by CO2 is not due to increased membrane uptake. Correlations of physicochemical properties of local anesthetics with potencies on isolated nerve confirm that the more potent local anesthetics have greater octanol:buffer partition coefficients, and that the ester-linked local anesthetics are more potent than their amide-linked counterparts having the same hydrophobicities. The correlations of structure with potency also suggest that the extracellular protonated species may contribute to impulse blockade.","author":[{"dropping-particle":"","family":"Strichartz","given":"G R","non-dropping-particle":"","parse-names":false,"suffix":""},{"dropping-particle":"","family":"Sanchez","given":"V","non-dropping-particle":"","parse-names":false,"suffix":""},{"dropping-particle":"","family":"Arthur","given":"G R","non-dropping-particle":"","parse-names":false,"suffix":""},{"dropping-particle":"","family":"Chafetz","given":"R","non-dropping-particle":"","parse-names":false,"suffix":""},{"dropping-particle":"","family":"Martin","given":"D","non-dropping-particle":"","parse-names":false,"suffix":""}],"container-title":"Anesthesia and analgesia","id":"ITEM-1","issue":"2","issued":{"date-parts":[["1990","8"]]},"page":"158-170","title":"Fundamental properties of local anesthetics. II. Measured octanol:buffer partition coefficients and pKa values of clinically used drugs.","type":"article-journal","volume":"71"},"uris":["http://www.mendeley.com/documents/?uuid=7c1ecf95-cf25-4b6f-b6b7-bcc3293d6d4e"]}],"mendeley":{"formattedCitation":"&lt;sup&gt;3&lt;/sup&gt;","plainTextFormattedCitation":"3","previouslyFormattedCitation":"&lt;sup&gt;3&lt;/sup&gt;"},"properties":{"noteIndex":0},"schema":"https://github.com/citation-style-language/schema/raw/master/csl-citation.json"}</w:instrText>
      </w:r>
      <w:r w:rsidR="004919E7">
        <w:rPr>
          <w:rFonts w:eastAsia="Times"/>
        </w:rPr>
        <w:fldChar w:fldCharType="separate"/>
      </w:r>
      <w:r w:rsidR="004919E7" w:rsidRPr="004919E7">
        <w:rPr>
          <w:rFonts w:eastAsia="Times"/>
          <w:noProof/>
          <w:vertAlign w:val="superscript"/>
        </w:rPr>
        <w:t>3</w:t>
      </w:r>
      <w:r w:rsidR="004919E7">
        <w:rPr>
          <w:rFonts w:eastAsia="Times"/>
        </w:rPr>
        <w:fldChar w:fldCharType="end"/>
      </w:r>
      <w:r w:rsidR="004919E7">
        <w:rPr>
          <w:rFonts w:eastAsia="Times"/>
        </w:rPr>
        <w:t xml:space="preserve"> We compared </w:t>
      </w:r>
      <w:r w:rsidR="006F53D7">
        <w:rPr>
          <w:rFonts w:eastAsia="Times"/>
        </w:rPr>
        <w:t xml:space="preserve">experimental </w:t>
      </w:r>
      <w:r w:rsidR="004919E7">
        <w:rPr>
          <w:rFonts w:eastAsia="Times"/>
        </w:rPr>
        <w:t xml:space="preserve">values to the calculated </w:t>
      </w:r>
      <w:r w:rsidR="006F53D7">
        <w:rPr>
          <w:rFonts w:eastAsia="Times"/>
        </w:rPr>
        <w:t xml:space="preserve">values </w:t>
      </w:r>
      <w:r w:rsidR="004919E7">
        <w:rPr>
          <w:rFonts w:eastAsia="Times"/>
        </w:rPr>
        <w:t>by using quantum chemical calculations and various solvent reaction field methods</w:t>
      </w:r>
      <w:r w:rsidR="006814C8">
        <w:rPr>
          <w:rFonts w:eastAsia="Times"/>
        </w:rPr>
        <w:t>.</w:t>
      </w:r>
      <w:r w:rsidR="004919E7">
        <w:rPr>
          <w:rFonts w:eastAsia="Times"/>
        </w:rPr>
        <w:t xml:space="preserve"> The results are discussed in terms of their transport from extracellular fluid to the </w:t>
      </w:r>
      <w:r w:rsidR="002B3AC2">
        <w:rPr>
          <w:rFonts w:eastAsia="Times"/>
        </w:rPr>
        <w:t xml:space="preserve">axoplasm </w:t>
      </w:r>
      <w:r w:rsidR="004919E7">
        <w:rPr>
          <w:rFonts w:eastAsia="Times"/>
        </w:rPr>
        <w:t>and in the opposite direction</w:t>
      </w:r>
      <w:r w:rsidR="002B3AC2">
        <w:rPr>
          <w:rFonts w:eastAsia="Times"/>
        </w:rPr>
        <w:t>.</w:t>
      </w:r>
      <w:r w:rsidR="004919E7">
        <w:rPr>
          <w:rFonts w:eastAsia="Times"/>
        </w:rPr>
        <w:t xml:space="preserve"> </w:t>
      </w:r>
      <w:r w:rsidR="002B3AC2">
        <w:rPr>
          <w:rFonts w:eastAsia="Times"/>
        </w:rPr>
        <w:t>The former</w:t>
      </w:r>
      <w:r w:rsidR="004919E7">
        <w:rPr>
          <w:rFonts w:eastAsia="Times"/>
        </w:rPr>
        <w:t xml:space="preserve"> determine</w:t>
      </w:r>
      <w:r w:rsidR="002B3AC2">
        <w:rPr>
          <w:rFonts w:eastAsia="Times"/>
        </w:rPr>
        <w:t>s</w:t>
      </w:r>
      <w:r w:rsidR="004919E7">
        <w:rPr>
          <w:rFonts w:eastAsia="Times"/>
        </w:rPr>
        <w:t xml:space="preserve"> onset of action and </w:t>
      </w:r>
      <w:r w:rsidR="002B3AC2">
        <w:rPr>
          <w:rFonts w:eastAsia="Times"/>
        </w:rPr>
        <w:t xml:space="preserve">the latter defines the </w:t>
      </w:r>
      <w:r w:rsidR="004919E7">
        <w:rPr>
          <w:rFonts w:eastAsia="Times"/>
        </w:rPr>
        <w:t xml:space="preserve">duration of action. The role of Schwann cells is </w:t>
      </w:r>
      <w:r>
        <w:rPr>
          <w:rFonts w:eastAsia="Times"/>
        </w:rPr>
        <w:t xml:space="preserve">also </w:t>
      </w:r>
      <w:r w:rsidR="004919E7">
        <w:rPr>
          <w:rFonts w:eastAsia="Times"/>
        </w:rPr>
        <w:t>discussed.</w:t>
      </w:r>
      <w:r w:rsidR="00E6691C">
        <w:rPr>
          <w:rFonts w:eastAsia="Times"/>
        </w:rPr>
        <w:t xml:space="preserve"> </w:t>
      </w:r>
    </w:p>
    <w:p w14:paraId="1DC0BF3F" w14:textId="77777777" w:rsidR="0084590D" w:rsidRDefault="0084590D" w:rsidP="00175DAA">
      <w:pPr>
        <w:rPr>
          <w:rFonts w:eastAsia="Times"/>
        </w:rPr>
      </w:pPr>
    </w:p>
    <w:p w14:paraId="01A39CD1" w14:textId="77777777" w:rsidR="00BA5007" w:rsidRDefault="00BA5007" w:rsidP="005B1580">
      <w:pPr>
        <w:rPr>
          <w:rFonts w:eastAsia="Times"/>
          <w:b/>
        </w:rPr>
      </w:pPr>
      <w:r>
        <w:rPr>
          <w:rFonts w:eastAsia="Times"/>
          <w:b/>
        </w:rPr>
        <w:br w:type="page"/>
      </w:r>
    </w:p>
    <w:p w14:paraId="181EAB06" w14:textId="7CC3AD80" w:rsidR="00BF79CD" w:rsidRDefault="00BA5007" w:rsidP="002A08B5">
      <w:pPr>
        <w:pStyle w:val="Heading1"/>
      </w:pPr>
      <w:r w:rsidRPr="00BA5007">
        <w:lastRenderedPageBreak/>
        <w:t>Experimental</w:t>
      </w:r>
    </w:p>
    <w:p w14:paraId="3536C40E" w14:textId="149E4DE3" w:rsidR="00BF79CD" w:rsidRPr="003505D8" w:rsidRDefault="00BF79CD" w:rsidP="002A08B5">
      <w:pPr>
        <w:pStyle w:val="Heading2"/>
      </w:pPr>
      <w:r w:rsidRPr="003505D8">
        <w:t>Quantum chemical calculations</w:t>
      </w:r>
    </w:p>
    <w:p w14:paraId="3FAB9378" w14:textId="67D45DAF" w:rsidR="00644CC9" w:rsidRDefault="00BF79CD" w:rsidP="005B1580">
      <w:pPr>
        <w:rPr>
          <w:rFonts w:eastAsia="Times"/>
        </w:rPr>
      </w:pPr>
      <w:r>
        <w:t>W</w:t>
      </w:r>
      <w:r w:rsidRPr="003505D8">
        <w:t>e performed quantum chemical calculations of local anesthetic</w:t>
      </w:r>
      <w:r>
        <w:t>s</w:t>
      </w:r>
      <w:r w:rsidRPr="003505D8">
        <w:t xml:space="preserve"> along with various solvent reaction field methods. Structures of </w:t>
      </w:r>
      <w:r w:rsidR="006814C8">
        <w:t>all local anesthetics</w:t>
      </w:r>
      <w:r w:rsidRPr="003505D8">
        <w:t xml:space="preserve"> and their proton</w:t>
      </w:r>
      <w:r w:rsidR="002B3AC2">
        <w:t>ated</w:t>
      </w:r>
      <w:r w:rsidRPr="003505D8">
        <w:t xml:space="preserve"> analogs were built </w:t>
      </w:r>
      <w:r w:rsidRPr="003505D8">
        <w:rPr>
          <w:rFonts w:eastAsia="Times"/>
        </w:rPr>
        <w:t>using the Molden v5.8 software package.</w:t>
      </w:r>
      <w:r w:rsidRPr="003505D8">
        <w:fldChar w:fldCharType="begin" w:fldLock="1"/>
      </w:r>
      <w:r w:rsidR="00E6691C">
        <w:instrText>ADDIN CSL_CITATION {"citationItems":[{"id":"ITEM-1","itemData":{"ISSN":"0920-654X","PMID":"10721501","abstract":"Molden is a software package for pre- and postprocessing of computational chemistry program data. Interfacing to the ab initio programs Games-US/UK and Gaussian and to the semi-empirical package MOPAC is provided. The emphasis is on computation and visualization of electronic and molecular properties but, e.g., reaction pathways can be simulated as well. Some molecular properties of interest are processed directly from the output of the computational chemistry programs, others are calculated in MOLDEN before display. The package features different options to display MOLecular electronic DENsity, each focusing on a different structural aspect: molecular orbitals, electron density, molecular minus atomic density and the Laplacian of the electron density. To display difference density, either the spherically averaged atomic density or the oriented ground state atomic density can be used for a number of standard basis sets. The quantum mechanical electrostatic potential or a distributed multiple expansion derived electrostatic potential can be calculated and atomic charges can be fitted to these potentials calculated on Connolly surface(s). Reaction pathways and molecular vibrations can be visualized. Input structures can be generated with a Z-matrix editor. A variety of graphics languages is supported: XWindows, postscript, VRML and Povray format.","author":[{"dropping-particle":"","family":"Schaftenaar","given":"G","non-dropping-particle":"","parse-names":false,"suffix":""},{"dropping-particle":"","family":"Noordik","given":"J H","non-dropping-particle":"","parse-names":false,"suffix":""}],"container-title":"Journal of computer-aided molecular design","id":"ITEM-1","issue":"2","issued":{"date-parts":[["2000","2"]]},"page":"123-34","title":"Molden: a pre- and post-processing program for molecular and electronic structures.","type":"article-journal","volume":"14"},"uris":["http://www.mendeley.com/documents/?uuid=dae17eed-dbb5-3c86-8bee-a4ed0aca40f2","http://www.mendeley.com/documents/?uuid=96a4dd40-b390-4ca7-9761-d0003c51b9b0"]}],"mendeley":{"formattedCitation":"&lt;sup&gt;12&lt;/sup&gt;","plainTextFormattedCitation":"12","previouslyFormattedCitation":"&lt;sup&gt;12&lt;/sup&gt;"},"properties":{"noteIndex":0},"schema":"https://github.com/citation-style-language/schema/raw/master/csl-citation.json"}</w:instrText>
      </w:r>
      <w:r w:rsidRPr="003505D8">
        <w:fldChar w:fldCharType="separate"/>
      </w:r>
      <w:r w:rsidR="00BB6C59" w:rsidRPr="00BB6C59">
        <w:rPr>
          <w:noProof/>
          <w:vertAlign w:val="superscript"/>
        </w:rPr>
        <w:t>12</w:t>
      </w:r>
      <w:r w:rsidRPr="003505D8">
        <w:fldChar w:fldCharType="end"/>
      </w:r>
      <w:r w:rsidRPr="003505D8">
        <w:t xml:space="preserve"> </w:t>
      </w:r>
      <w:r w:rsidRPr="003505D8">
        <w:rPr>
          <w:rFonts w:eastAsia="Times"/>
        </w:rPr>
        <w:t>Calculations were performed with the Gaussian 16 software package.</w:t>
      </w:r>
      <w:r w:rsidRPr="003505D8">
        <w:rPr>
          <w:rFonts w:eastAsia="Times"/>
        </w:rPr>
        <w:fldChar w:fldCharType="begin" w:fldLock="1"/>
      </w:r>
      <w:r w:rsidR="00E6691C">
        <w:rPr>
          <w:rFonts w:eastAsia="Times"/>
        </w:rPr>
        <w:instrText>ADDIN CSL_CITATION {"citationItems":[{"id":"ITEM-1","itemData":{"abstract":"Monitoring studies find that the timing of spring bird migration has advanced in recent decades, especially in Europe. Results for autumn migration have been mixed. Using data from Powdermill Nature Reserve, a banding station in western Pennsylvania, USA, we report an analysis of migratory timing in 78 songbird species from 1961 to 2006. Spring migration became significantly earlier over the 46-year period, and autumn migration showed no overall change. There was much variation among species in phenological change, especially in autumn. Change in timing was unrelated to summer range (local vs. northern breeders) or the number of broods per year, but autumn migration became earlier in neotropical migrants and later in short-distance migrants. The migratory period for many species lengthened because late phases of migration remained unchanged or grew later as early phases became earlier. There was a negative correlation between spring and autumn in long-term change, and this caused dramatic adjustments in the amount of time between migrations: the intermigratory periods of 10 species increased or decreased by &gt;15 days. Year-to-year changes in timing were correlated with local temperature (detrended) and, in autumn, with a regional climate index (detrended North Atlantic Oscillation). These results illustrate a complex and dynamic annual cycle in songbirds, with responses to climate change differing among species and migration seasons","author":[{"dropping-particle":"","family":"Frisch","given":"M. J.","non-dropping-particle":"","parse-names":false,"suffix":""},{"dropping-particle":"","family":"Trucks","given":"G. W.","non-dropping-particle":"","parse-names":false,"suffix":""},{"dropping-particle":"","family":"Schlegel","given":"H. E.","non-dropping-particle":"","parse-names":false,"suffix":""},{"dropping-particle":"","family":"Scuseria","given":"G. E.","non-dropping-particle":"","parse-names":false,"suffix":""},{"dropping-particle":"","family":"Robb","given":"M. A.","non-dropping-particle":"","parse-names":false,"suffix":""},{"dropping-particle":"","family":"Cheeseman","given":"J. R.","non-dropping-particle":"","parse-names":false,"suffix":""},{"dropping-particle":"","family":"Scalmani","given":"G.","non-dropping-particle":"","parse-names":false,"suffix":""},{"dropping-particle":"","family":"Barone","given":"V.","non-dropping-particle":"","parse-names":false,"suffix":""},{"dropping-particle":"","family":"Petersson","given":"G.A.","non-dropping-particle":"","parse-names":false,"suffix":""},{"dropping-particle":"","family":"O.","given":"Farkas.","non-dropping-particle":"","parse-names":false,"suffix":""},{"dropping-particle":"","family":"Foresman","given":"J. B.","non-dropping-particle":"","parse-names":false,"suffix":""},{"dropping-particle":"","family":"Fox","given":"J. D.","non-dropping-particle":"","parse-names":false,"suffix":""}],"container-title":"Gaussian, Inc., Wallingford CT,","id":"ITEM-1","issued":{"date-parts":[["2016"]]},"title":"Gaussian 16","type":"article"},"uris":["http://www.mendeley.com/documents/?uuid=eae9d0a0-1b23-4879-a0ab-d0d18188a5e7"]}],"mendeley":{"formattedCitation":"&lt;sup&gt;13&lt;/sup&gt;","plainTextFormattedCitation":"13","previouslyFormattedCitation":"&lt;sup&gt;13&lt;/sup&gt;"},"properties":{"noteIndex":0},"schema":"https://github.com/citation-style-language/schema/raw/master/csl-citation.json"}</w:instrText>
      </w:r>
      <w:r w:rsidRPr="003505D8">
        <w:rPr>
          <w:rFonts w:eastAsia="Times"/>
        </w:rPr>
        <w:fldChar w:fldCharType="separate"/>
      </w:r>
      <w:r w:rsidR="00BB6C59" w:rsidRPr="00BB6C59">
        <w:rPr>
          <w:rFonts w:eastAsia="Times"/>
          <w:noProof/>
          <w:vertAlign w:val="superscript"/>
        </w:rPr>
        <w:t>13</w:t>
      </w:r>
      <w:r w:rsidRPr="003505D8">
        <w:rPr>
          <w:rFonts w:eastAsia="Times"/>
        </w:rPr>
        <w:fldChar w:fldCharType="end"/>
      </w:r>
      <w:r w:rsidRPr="003505D8">
        <w:rPr>
          <w:rFonts w:eastAsia="Times"/>
        </w:rPr>
        <w:t xml:space="preserve"> The initial geometries of structures were optimized at the M06-2X/6-31+G(d,p) level</w:t>
      </w:r>
      <w:r w:rsidR="002B3AC2">
        <w:rPr>
          <w:rFonts w:eastAsia="Times"/>
        </w:rPr>
        <w:t>,</w:t>
      </w:r>
      <w:r w:rsidRPr="003505D8">
        <w:rPr>
          <w:rFonts w:eastAsia="Times"/>
        </w:rPr>
        <w:t xml:space="preserve"> which is a good compromise between computational cost and  reliability of results. The effects of solvation were considered by applying various solvent reaction field methods including integral equation formalism variant (IEFPCM)</w:t>
      </w:r>
      <w:r w:rsidRPr="003505D8">
        <w:rPr>
          <w:rFonts w:eastAsia="Times"/>
        </w:rPr>
        <w:fldChar w:fldCharType="begin" w:fldLock="1"/>
      </w:r>
      <w:r w:rsidR="00E6691C">
        <w:rPr>
          <w:rFonts w:eastAsia="Times"/>
        </w:rPr>
        <w:instrText>ADDIN CSL_CITATION {"citationItems":[{"id":"ITEM-1","itemData":{"DOI":"10.1016/0301-0104(81)85090-2","ISSN":"0301-0104","abstract":"A method is presented which utilizes the calculation of the molecular electrostatic potential or the electric field at a discrete number of preselected points to evaluate the environmental effects of a solvent on the properties of a molecular system. No limitations are imposed on the composition and dimension of the solute, on the goodne</w:instrText>
      </w:r>
      <w:r w:rsidR="00E6691C" w:rsidRPr="004E3F1C">
        <w:rPr>
          <w:rFonts w:eastAsia="Times"/>
          <w:lang w:val="es-US"/>
        </w:rPr>
        <w:instrText>ss of the corresponding wavefunction, or on the shape of the cavity in the dielectric. Several levels of approximation, which evidence the effect of self-polarization of the system of surface charges, the influence of the tails of the solute charge distribution going beyond the limits of the cavity, and the effect of the polarization of the solute, are examined and discussed.","author":[{"dropping-particle":"","family":"Miertuš","given":"S.","non-dropping-particle":"","parse-names":false,"suffix":""},{"dropping-particle":"","family":"Scrocco","given":"E.","non-dropping-particle":"","parse-names":false,"suffix":""},{"dropping-particle":"","family":"Tomasi","given":"J.","non-dropping-particle":"","parse-names":false,"suffix":""}],"container-title":"Chemical Physics","id":"ITEM-1","issue":"1","issued":{"date-parts":[["1981","2"]]},"page":"117-129","publisher":"North-Hollan</w:instrText>
      </w:r>
      <w:r w:rsidR="00E6691C" w:rsidRPr="006C3B31">
        <w:rPr>
          <w:rFonts w:eastAsia="Times"/>
          <w:lang w:val="es-US"/>
        </w:rPr>
        <w:instrText>d","title":"Electrostatic interaction of a solute with a continuum. A direct utilizaion of AB initio molecular potentials for the prevision of solvent effects","type":"article-journal","volume":"55"},"uris":["http://www.mendeley.com/documents/?uuid=ab1660f7-1c3f-3545-ad28-2d3ae0845875","http://www.mendeley.com/documents/?uuid=a1bc2d49-d3bd-49d5-9135-dc8b42dc42d1"]}],"mendeley":{"formattedCitation":"&lt;sup&gt;14&lt;/sup&gt;","plainTextFormattedCitation":"14","previouslyFormattedCitation":"&lt;sup&gt;14&lt;/sup&gt;"},"properties":{"noteIndex":0},"schema":"https://github.com/citation-style-language/schema/raw/master/csl-citation.json"}</w:instrText>
      </w:r>
      <w:r w:rsidRPr="003505D8">
        <w:rPr>
          <w:rFonts w:eastAsia="Times"/>
        </w:rPr>
        <w:fldChar w:fldCharType="separate"/>
      </w:r>
      <w:r w:rsidR="00BB6C59" w:rsidRPr="00BB6C59">
        <w:rPr>
          <w:rFonts w:eastAsia="Times"/>
          <w:noProof/>
          <w:vertAlign w:val="superscript"/>
          <w:lang w:val="es-US"/>
        </w:rPr>
        <w:t>14</w:t>
      </w:r>
      <w:r w:rsidRPr="003505D8">
        <w:rPr>
          <w:rFonts w:eastAsia="Times"/>
        </w:rPr>
        <w:fldChar w:fldCharType="end"/>
      </w:r>
      <w:r w:rsidRPr="00836C7C">
        <w:rPr>
          <w:rFonts w:eastAsia="Times"/>
          <w:lang w:val="es-US"/>
        </w:rPr>
        <w:t>, conductor-like polarizable continuum model (CPCM)</w:t>
      </w:r>
      <w:r w:rsidRPr="003505D8">
        <w:rPr>
          <w:rFonts w:eastAsia="Times"/>
        </w:rPr>
        <w:fldChar w:fldCharType="begin" w:fldLock="1"/>
      </w:r>
      <w:r w:rsidR="00E6691C">
        <w:rPr>
          <w:rFonts w:eastAsia="Times"/>
          <w:lang w:val="es-US"/>
        </w:rPr>
        <w:instrText>ADDIN CSL_CITATION {"citationItems":[{"id":"ITEM-1","itemData":{"DOI":"10.1002/jcc.10189","ISSN":"01928651","PMID":"12666158","abstract":"The conductor-like solvation model, as developed in the framework of the polarizable continuum model (PCM), has been reformulated and newly implemented in order to compute energies, geometric structures, harmonic frequencies, and electronic properties in solution for any chemical system that can be studied in vacuo. Particular attention is devoted to large systems requiring suitable iterative algorithms to compute the solvation charges: the fast multipole method (FMM) has been extensively used to ensure a linear scaling of the computational times with the size of the solute. A number of test applications are presented to evaluate the performances of the method.","author":[{"dropping-particle":"","family":"Cossi","given":"Maurizio","non-dropping-particle":"","parse-names":false,"suffix":""},{"dropping-particle":"","family":"Rega","given":"Nadia","non-dropping-particle":"","parse-names":false,"suffix":""},{"dropping-particle":"","family":"Scalmani","given":"Giovanni","non-dropping-particle":"","parse-names":false,"suffix":""},{"dropping-particle":"","family":"Barone","given":"Vincenzo","non-dropping-particle":"","parse-names":false,"suffix":""}],"container-title":"Journal of Computational Chemistry","id":"ITEM-1","issue":"6","issued":{"date-parts":[["2003","4"]]},"page":"669-681","title":"Energies, structures, and electronic properties of molecules in solution with the C-PCM solvation model","type":"article-journal","volume":"24"},"uris":["http://www.mendeley.com/documents/?uuid=552b6229-05ef-3056-aeaf-cb253f679f08","http://www.mendeley.com/documents/?uuid=363d3d4b-43e4-4090-9225-a32b69315338"]}],"mendeley":{"formattedCitation":"&lt;sup&gt;15&lt;/sup&gt;","plainTextFormattedCitation":"15","previouslyFormattedCitation":"&lt;sup&gt;15&lt;/sup&gt;"},"properties":{"noteIndex":0},"schema":"https://github.com/citation-style-language/schema/raw/master/csl-citation.json"}</w:instrText>
      </w:r>
      <w:r w:rsidRPr="003505D8">
        <w:rPr>
          <w:rFonts w:eastAsia="Times"/>
        </w:rPr>
        <w:fldChar w:fldCharType="separate"/>
      </w:r>
      <w:r w:rsidR="00BB6C59" w:rsidRPr="00BB6C59">
        <w:rPr>
          <w:rFonts w:eastAsia="Times"/>
          <w:noProof/>
          <w:vertAlign w:val="superscript"/>
          <w:lang w:val="es-US"/>
        </w:rPr>
        <w:t>15</w:t>
      </w:r>
      <w:r w:rsidRPr="003505D8">
        <w:rPr>
          <w:rFonts w:eastAsia="Times"/>
        </w:rPr>
        <w:fldChar w:fldCharType="end"/>
      </w:r>
      <w:r w:rsidRPr="00836C7C">
        <w:rPr>
          <w:rFonts w:eastAsia="Times"/>
          <w:lang w:val="es-US"/>
        </w:rPr>
        <w:t xml:space="preserve"> and universal solvation model, based on density (SMD).</w:t>
      </w:r>
      <w:r w:rsidRPr="003505D8">
        <w:rPr>
          <w:rFonts w:eastAsia="Times"/>
        </w:rPr>
        <w:fldChar w:fldCharType="begin" w:fldLock="1"/>
      </w:r>
      <w:r w:rsidR="00E6691C">
        <w:rPr>
          <w:rFonts w:eastAsia="Times"/>
          <w:lang w:val="es-US"/>
        </w:rPr>
        <w:instrText>ADDIN CSL_CITATION {"citationItems":[{"id":"ITEM-1","itemData":{"DOI":"10.1021/jp810292n","ISSN":"15206106","PMID":"19366259","abstract":"We present a new continuum solvation model based on the quantum mechanical charge density of a solute molecule interacting with a continuum description of the solvent. The model is called SMD, where the \"D\" stands for \"density\" to denote that the full solute electron density is used without defining partial atomic charges. \"Continuum\" denotes that the solvent is not represented explicitly but rather as a dielectric medium with surface tension at the solute-solvent boundary. SMD is a universal solvation model, where \"universal\" denotes its applicability to any charged or uncharged solute in any solvent or liquid medium for which a few key descriptors are known (in particular, dielectric constant, refractive index, bulk surface tension, and acidity and basicity parameters). The model separates the observable solvation free energy into two main components. The first component is the bulk electrostatic contribution arising from a self-consistent reaction field treatment that involves the solution of the nonhomogeneous Poisson equation for electrostatics in terms of the integral-equation-formalism polarizable continuum model (IEF-PCM). The cavities for the bulk electrostatic calculation are defined by superpositions of nuclear-centered spheres. The second component is called the cavity-dispersion-solvent-structure term and is the contribution arising from short-range interactions between the solute and solvent molecules in the first solvation shell. This contribution is a sum of terms that are proportional (with geometry-dependent proportionality constants called atomic surface tensions) to the solvent-accessible surface areas of the individual atoms of the solute. The SMD model has been parametrized with a training set of 2821 solvation data including 112 aqueous ionic solvation free energies, 220 solvation free energies for 166 ions in acetonitrile, methanol, and dimethyl sulfoxide, 2346 solvation free energies for 318 neutral solutes in 91 solvents (90 nonaqueous organic solvents and water), and 143 transfer free energies for 93 neutral solutes between water and 15 organic solvents. The elements present in the solutes are</w:instrText>
      </w:r>
      <w:r w:rsidR="00E6691C" w:rsidRPr="006C3B31">
        <w:rPr>
          <w:rFonts w:eastAsia="Times"/>
        </w:rPr>
        <w:instrText xml:space="preserve"> H, C, N, O, F, Si, P, S, Cl, and Br. The SMD model employs a single set of parameters (intrinsic atomic Coulomb radii and atomic surface tension coefficients) optimized over six electronic structure methods: M05-2X/MIDI!6D, M05-2X/6-31G, M05-2X/6-31+G, M05-2X/cc-pVTZ, B3LYP/6-31G, and HF/6-31G. Although the SMD model has been parametrize…","author":[{"dropping-particle":"V","family":"Marenich","given":"Aleksandr","non-dropping-particle":"","parse-names":false,"suffix":""},{"dropping-particle":"","family":"Cramer","given":"Christopher J","non-dropping-particle":"","parse-names":false,"suffix":""},{"dropping-particle":"","family":"Truhlar","given":"Donald G","non-dropping-particle":"","parse-names":false,"suffix":""}],"container-title":"Journal of Physical Chemistry B","id":"ITEM-1","issue":"18","issued":{"date-parts":[["2009","5"]]},"page":"6378-6396","title":"Universal solvation model based on solute electron density and on a continuum model of the solvent defined by the bulk dielectric constant and atomic surface tensions","type":"article-journal","volume":"113"},"uris":["http://www.mendeley.com/documents/?uuid=09934d7e-ac10-3b29-a06f-85f589813fe1","http://www.mendeley.com/documents/?uuid=eb4209b5-b8b1-4a1c-9c99-52d206591658"]}],"mendeley":{"formattedCitation":"&lt;sup&gt;16&lt;/sup&gt;","plainTextFormattedCitation":"16","previouslyFormattedCitation":"&lt;sup&gt;16&lt;/sup&gt;"},"properties":{"noteIndex":0},"schema":"https://github.com/citation-style-language/schema/raw/master/csl-citation.json"}</w:instrText>
      </w:r>
      <w:r w:rsidRPr="003505D8">
        <w:rPr>
          <w:rFonts w:eastAsia="Times"/>
        </w:rPr>
        <w:fldChar w:fldCharType="separate"/>
      </w:r>
      <w:r w:rsidR="00BB6C59" w:rsidRPr="00BB6C59">
        <w:rPr>
          <w:rFonts w:eastAsia="Times"/>
          <w:noProof/>
          <w:vertAlign w:val="superscript"/>
        </w:rPr>
        <w:t>16</w:t>
      </w:r>
      <w:r w:rsidRPr="003505D8">
        <w:rPr>
          <w:rFonts w:eastAsia="Times"/>
        </w:rPr>
        <w:fldChar w:fldCharType="end"/>
      </w:r>
      <w:r w:rsidRPr="003505D8">
        <w:rPr>
          <w:rFonts w:eastAsia="Times"/>
        </w:rPr>
        <w:t xml:space="preserve"> </w:t>
      </w:r>
      <w:r w:rsidR="001D280C">
        <w:rPr>
          <w:rFonts w:eastAsia="Times"/>
        </w:rPr>
        <w:t>Please note that paramet</w:t>
      </w:r>
      <w:r w:rsidR="00384D58">
        <w:rPr>
          <w:rFonts w:eastAsia="Times"/>
        </w:rPr>
        <w:t>ers</w:t>
      </w:r>
      <w:r w:rsidR="001D280C">
        <w:rPr>
          <w:rFonts w:eastAsia="Times"/>
        </w:rPr>
        <w:t xml:space="preserve"> of  the SMD solvation models were obtained by fitting to </w:t>
      </w:r>
      <w:r w:rsidR="00384D58">
        <w:rPr>
          <w:rFonts w:eastAsia="Times"/>
        </w:rPr>
        <w:t xml:space="preserve">reproduce solvation free energies for </w:t>
      </w:r>
      <w:r w:rsidR="004F1A48">
        <w:rPr>
          <w:rFonts w:eastAsia="Times"/>
        </w:rPr>
        <w:t xml:space="preserve">a </w:t>
      </w:r>
      <w:r w:rsidR="00384D58">
        <w:rPr>
          <w:rFonts w:eastAsia="Times"/>
        </w:rPr>
        <w:t xml:space="preserve">large number of organic solutes in </w:t>
      </w:r>
      <w:r w:rsidR="001D280C">
        <w:rPr>
          <w:rFonts w:eastAsia="Times"/>
        </w:rPr>
        <w:t>various solvents including octanol</w:t>
      </w:r>
      <w:r w:rsidR="00384D58">
        <w:rPr>
          <w:rFonts w:eastAsia="Times"/>
        </w:rPr>
        <w:t>.</w:t>
      </w:r>
      <w:r w:rsidR="00C80B59">
        <w:rPr>
          <w:rFonts w:eastAsia="Times"/>
        </w:rPr>
        <w:fldChar w:fldCharType="begin" w:fldLock="1"/>
      </w:r>
      <w:r w:rsidR="00E6691C">
        <w:rPr>
          <w:rFonts w:eastAsia="Times"/>
        </w:rPr>
        <w:instrText>ADDIN CSL_CITATION {"citationItems":[{"id":"ITEM-1","itemData":{"DOI":"10.1021/jp810292n","ISSN":"15206106","PMID":"19366259","abstract":"We present a new continuum solvation model based on the quantum mechanical charge density of a solute molecule interacting with a continuum description of the solvent. The model is called SMD, where the \"D\" stands for \"density\" to denote that the full solute electron density is used without defining partial atomic charges. \"Continuum\" denotes that the solvent is not represented explicitly but rather as a dielectric medium with surface tension at the solute-solvent boundary. SMD is a universal solvation model, where \"universal\" denotes its applicability to any charged or uncharged solute in any solvent or liquid medium for which a few key descriptors are known (in particular, dielectric constant, refractive index, bulk surface tension, and acidity and basicity parameters). The model separates the observable solvation free energy into two main components. The first component is the bulk electrostatic contribution arising from a self-consistent reaction field treatment that involves the solution of the nonhomogeneous Poisson equation for electrostatics in terms of the integral-equation-formalism polarizable continuum model (IEF-PCM). The cavities for the bulk electrostatic calculation are defined by superpositions of nuclear-centered spheres. The second component is called the cavity-dispersion-solvent-structure term and is the contribution arising from short-range interactions between the solute and solvent molecules in the first solvation shell. This contribution is a sum of terms that are proportional (with geometry-dependent proportionality constants called atomic surface tensions) to the solvent-accessible surface areas of the individual atoms of the solute. The SMD model has been parametrized with a training set of 2821 solvation data including 112 aqueous ionic solvation free energies, 220 solvation free energies for 166 ions in acetonitrile, methanol, and dimethyl sulfoxide, 2346 solvation free energies for 318 neutral solutes in 91 solvents (90 nonaqueous organic solvents and water), and 143 transfer free energies for 93 neutral solutes between water and 15 organic solvents. The elements present in the solutes are H, C, N, O, F, Si, P, S, Cl, and Br. The SMD model employs a single set of parameters (intrinsic atomic Coulomb radii and atomic surface tension coefficients) optimized over six electronic structure methods: M05-2X/MIDI!6D, M05-2X/6-31G, M05-2X/6-31+G, M05-2X/cc-pVTZ, B3LYP/6-31G, and HF/6-31G. Although the SMD model has been parametrize…","author":[{"dropping-particle":"V","family":"Marenich","given":"Aleksandr","non-dropping-particle":"","parse-names":false,"suffix":""},{"dropping-particle":"","family":"Cramer","given":"Christopher J","non-dropping-particle":"","parse-names":false,"suffix":""},{"dropping-particle":"","family":"Truhlar","given":"Donald G","non-dropping-particle":"","parse-names":false,"suffix":""}],"container-title":"Journal of Physical Chemistry B","id":"ITEM-1","issue":"18","issued":{"date-parts":[["2009","5"]]},"page":"6378-6396","title":"Universal solvation model based on solute electron density and on a continuum model of the solvent defined by the bulk dielectric constant and atomic surface tensions","type":"article-journal","volume":"113"},"uris":["http://www.mendeley.com/documents/?uuid=eb4209b5-b8b1-4a1c-9c99-52d206591658"]}],"mendeley":{"formattedCitation":"&lt;sup&gt;16&lt;/sup&gt;","plainTextFormattedCitation":"16","previouslyFormattedCitation":"&lt;sup&gt;16&lt;/sup&gt;"},"properties":{"noteIndex":0},"schema":"https://github.com/citation-style-language/schema/raw/master/csl-citation.json"}</w:instrText>
      </w:r>
      <w:r w:rsidR="00C80B59">
        <w:rPr>
          <w:rFonts w:eastAsia="Times"/>
        </w:rPr>
        <w:fldChar w:fldCharType="separate"/>
      </w:r>
      <w:r w:rsidR="00BB6C59" w:rsidRPr="00BB6C59">
        <w:rPr>
          <w:rFonts w:eastAsia="Times"/>
          <w:noProof/>
          <w:vertAlign w:val="superscript"/>
        </w:rPr>
        <w:t>16</w:t>
      </w:r>
      <w:r w:rsidR="00C80B59">
        <w:rPr>
          <w:rFonts w:eastAsia="Times"/>
        </w:rPr>
        <w:fldChar w:fldCharType="end"/>
      </w:r>
      <w:r w:rsidR="00384D58">
        <w:rPr>
          <w:rFonts w:eastAsia="Times"/>
        </w:rPr>
        <w:t xml:space="preserve"> In the present study </w:t>
      </w:r>
      <w:r w:rsidR="00384D58">
        <w:rPr>
          <w:rFonts w:ascii="Times" w:eastAsia="Times" w:hAnsi="Times" w:cs="Times"/>
        </w:rPr>
        <w:t>t</w:t>
      </w:r>
      <w:r w:rsidRPr="003505D8">
        <w:rPr>
          <w:rFonts w:ascii="Times" w:eastAsia="Times" w:hAnsi="Times" w:cs="Times"/>
        </w:rPr>
        <w:t xml:space="preserve">wo solvents were considered: water with </w:t>
      </w:r>
      <w:r w:rsidR="004F1A48">
        <w:rPr>
          <w:rFonts w:ascii="Times" w:eastAsia="Times" w:hAnsi="Times" w:cs="Times"/>
        </w:rPr>
        <w:t xml:space="preserve">a </w:t>
      </w:r>
      <w:r w:rsidRPr="003505D8">
        <w:rPr>
          <w:rFonts w:ascii="Times" w:eastAsia="Times" w:hAnsi="Times" w:cs="Times"/>
        </w:rPr>
        <w:t>dielectric constant of 78.30 and n-octanol with a dielectric constant of 9.86</w:t>
      </w:r>
      <w:r>
        <w:rPr>
          <w:rFonts w:ascii="Times" w:eastAsia="Times" w:hAnsi="Times" w:cs="Times"/>
        </w:rPr>
        <w:t>.</w:t>
      </w:r>
      <w:r w:rsidRPr="003505D8">
        <w:rPr>
          <w:rFonts w:ascii="Times" w:eastAsia="Times" w:hAnsi="Times" w:cs="Times"/>
        </w:rPr>
        <w:t xml:space="preserve"> </w:t>
      </w:r>
      <w:r>
        <w:rPr>
          <w:rFonts w:ascii="Times" w:eastAsia="Times" w:hAnsi="Times" w:cs="Times"/>
        </w:rPr>
        <w:t>The latter</w:t>
      </w:r>
      <w:r w:rsidRPr="003505D8">
        <w:rPr>
          <w:rFonts w:ascii="Times" w:eastAsia="Times" w:hAnsi="Times" w:cs="Times"/>
        </w:rPr>
        <w:t xml:space="preserve"> is an established model </w:t>
      </w:r>
      <w:r w:rsidRPr="00037D7A">
        <w:rPr>
          <w:rFonts w:ascii="Times" w:eastAsia="Times" w:hAnsi="Times" w:cs="Times"/>
        </w:rPr>
        <w:t>for biological membrane</w:t>
      </w:r>
      <w:r w:rsidRPr="003505D8">
        <w:rPr>
          <w:rFonts w:ascii="Times" w:eastAsia="Times" w:hAnsi="Times" w:cs="Times"/>
        </w:rPr>
        <w:t>.</w:t>
      </w:r>
      <w:r w:rsidRPr="003505D8">
        <w:rPr>
          <w:rFonts w:ascii="Times" w:eastAsia="Times" w:hAnsi="Times" w:cs="Times"/>
        </w:rPr>
        <w:fldChar w:fldCharType="begin" w:fldLock="1"/>
      </w:r>
      <w:r w:rsidR="00E6691C">
        <w:rPr>
          <w:rFonts w:ascii="Times" w:eastAsia="Times" w:hAnsi="Times" w:cs="Times"/>
        </w:rPr>
        <w:instrText>ADDIN CSL_CITATION {"citationItems":[{"id":"ITEM-1","itemData":{"DOI":"10.4103/0975-7406.76461","ISSN":"09757406","PMID":"21430952","abstract":"Contact with many different biological membranes goes along the destiny of a drug after its systemic administration. From the circulating macrophage cells to the vessel endothelium, to more complex absorption barriers, the interaction of a biomolecule with these membranes largely affects its rate and time of biodistribution in the body and at the target sites. Therefore, investigating the phenomena occurring on the cell membranes, as well as their different interaction with drugs in the physiological or pathological conditions, is important to exploit the molecular basis of many diseases and to identify new potential therapeutic strategies. Of course, the complexity of the structure and functions of biological and cell membranes, has pushed researchers toward the proposition and validation of simpler two- and three-dimensional membrane models, whose utility and drawbacks will be discussed. This review also describes the analytical methods used to look at the interactions among bioactive compounds with biological membrane models, with a particular accent on the calorimetric techniques. These studies can be considered as a powerful tool for medicinal chemistry and pharmaceutical technology, in the steps of designing new drugs and optimizing the activity and safety profile of compounds already used in the therapy.","author":[{"dropping-particle":"","family":"Pignatello","given":"R","non-dropping-particle":"","parse-names":false,"suffix":""},{"dropping-particle":"","family":"Musumeci","given":"T","non-dropping-particle":"","parse-names":false,"suffix":""},{"dropping-particle":"","family":"Basile","given":"L","non-dropping-particle":"","parse-names":false,"suffix":""},{"dropping-particle":"","family":"Carbone","given":"C","non-dropping-particle":"","parse-names":false,"suffix":""},{"dropping-particle":"","family":"Puglisi","given":"G","non-dropping-particle":"","parse-names":false,"suffix":""}],"container-title":"Journal of Pharmacy and Bioallied Sciences","id":"ITEM-1","issue":"1","issued":{"date-parts":[["2011","1"]]},"page":"4-14","publisher":"Wolters Kluwer -- Medknow Publications","title":"Biomembrane models and drug-biomembrane interaction studies: Involvement in drug design and development","type":"article-journal","volume":"3"},"uris":["http://www.mendeley.com/documents/?uuid=2717bb48-f557-4fc6-8749-af7ff988705a"]},{"id":"ITEM-2","itemData":{"author":[{"dropping-particle":"","family":"Ritter","given":"James","non-dropping-particle":"","parse-names":false,"suffix":""},{"dropping-particle":"","family":"Flower","given":"Rod","non-dropping-particle":"","parse-names":false,"suffix":""},{"dropping-particle":"","family":"Henderson","given":"Graeme","non-dropping-particle":"","parse-names":false,"suffix":""},{"dropping-particle":"","family":"Rang","given":"Humphrey","non-dropping-particle":"","parse-names":false,"suffix":""}],"edition":"8th Editio","id":"ITEM-2","issued":{"date-parts":[["2015"]]},"number-of-pages":"1-776","publisher":"Churchill Livingstone","publisher-place":"London","title":"Rang &amp; Dale's Pharmacology, 8th Edition","type":"book"},"uris":["http://www.mendeley.com/documents/?uuid=fa8225da-0d85-4c5a-983f-46f774d8cd90"]}],"mendeley":{"formattedCitation":"&lt;sup&gt;17,18&lt;/sup&gt;","plainTextFormattedCitation":"17,18","previouslyFormattedCitation":"&lt;sup&gt;17,18&lt;/sup&gt;"},"properties":{"noteIndex":0},"schema":"https://github.com/citation-style-language/schema/raw/master/csl-citation.json"}</w:instrText>
      </w:r>
      <w:r w:rsidRPr="003505D8">
        <w:rPr>
          <w:rFonts w:ascii="Times" w:eastAsia="Times" w:hAnsi="Times" w:cs="Times"/>
        </w:rPr>
        <w:fldChar w:fldCharType="separate"/>
      </w:r>
      <w:r w:rsidR="00BB6C59" w:rsidRPr="00BB6C59">
        <w:rPr>
          <w:rFonts w:ascii="Times" w:eastAsia="Times" w:hAnsi="Times" w:cs="Times"/>
          <w:noProof/>
          <w:vertAlign w:val="superscript"/>
        </w:rPr>
        <w:t>17,18</w:t>
      </w:r>
      <w:r w:rsidRPr="003505D8">
        <w:rPr>
          <w:rFonts w:ascii="Times" w:eastAsia="Times" w:hAnsi="Times" w:cs="Times"/>
        </w:rPr>
        <w:fldChar w:fldCharType="end"/>
      </w:r>
      <w:r>
        <w:rPr>
          <w:rFonts w:ascii="Times" w:eastAsia="Times" w:hAnsi="Times" w:cs="Times"/>
        </w:rPr>
        <w:t xml:space="preserve"> </w:t>
      </w:r>
      <w:r w:rsidRPr="003505D8">
        <w:rPr>
          <w:rFonts w:eastAsia="Times"/>
        </w:rPr>
        <w:t>All structures were optimized by including the solvent reaction field.</w:t>
      </w:r>
      <w:r w:rsidRPr="003505D8">
        <w:rPr>
          <w:rFonts w:eastAsia="Times"/>
        </w:rPr>
        <w:fldChar w:fldCharType="begin" w:fldLock="1"/>
      </w:r>
      <w:r w:rsidR="00E6691C">
        <w:rPr>
          <w:rFonts w:eastAsia="Times"/>
        </w:rPr>
        <w:instrText>ADDIN CSL_CITATION {"citationItems":[{"id":"ITEM-1","itemData":{"DOI":"10.1002/prot.1106","ISBN":"0887-3585","ISSN":"08873585","PMID":"11484218","abstract":"Implicit models for evaluation of electrostatic energies in proteins include dielectric constants that represent effect of the protein environment. Unfortunately, the results obtained by such models are very sensitive to the value used for the dielectric constant. Furthermore, the factors that determine the optimal value of these constants are far from being obvious. This review considers the meaning of the protein dielectric constants and the ways to determine their optimal values. It is pointed out that typical benchmarks for validation of electrostatic models cannot discriminate between consistent and inconsistent models. In particular, the observed pK(a) values of surface groups can be reproduced correctly by models with entirely incorrect physical features. Thus, we introduce a discriminative benchmark that only includes residues whose pK(a) values are shifted significantly from their values in water. We also use the semimacroscopic version of the protein dipole Langevin dipole (PDLD/S) formulation to generate a series of models that move gradually from microscopic to fully macroscopic models. These include the linear response version of the PDLD/S models, Poisson Boltzmann (PB)-type models, and Tanford Kirkwwod (TK)-type models. Using our different models and the discriminative benchmark, we show that the protein dielectric constant, epsilon(p), is not a universal constant but simply a parameter that depends on the model used. It is also shown in agreement with our previous works that epsilon(p) represents the factors that are not considered explicitly. The use of a discriminative benchmark appears to help not only in identifying nonphysical models but also in analyzing effects that are not reproduced in an accurate way by consistent models. These include the effect of water penetration and the effect of the protein reorganization. Finally, we show that the optimal dielectric constant for self-energies is not the optimal constant for charge-charge interactions.","author":[{"dropping-particle":"","family":"Schutz","given":"Claudia N","non-dropping-particle":"","parse-names":false,"suffix":""},{"dropping-particle":"","family":"Warshel","given":"Arieh","non-dropping-particle":"","parse-names":false,"suffix":""}],"container-title":"Proteins: Structure, Function and Genetics","id":"ITEM-1","issue":"4","issued":{"date-parts":[["2001","9"]]},"page":"400-417","title":"What are the dielectric \"constants\" of proteins and how to validate electrostatic models?","type":"article-journal","volume":"44"},"uris":["http://www.mendeley.com/documents/?uuid=67a5ba47-3d26-38d3-a50f-c72075f550a7","http://www.mendeley.com/documents/?uuid=b46aa604-9b54-4678-9855-98ca4d589a95"]}],"mendeley":{"formattedCitation":"&lt;sup&gt;19&lt;/sup&gt;","plainTextFormattedCitation":"19","previouslyFormattedCitation":"&lt;sup&gt;19&lt;/sup&gt;"},"properties":{"noteIndex":0},"schema":"https://github.com/citation-style-language/schema/raw/master/csl-citation.json"}</w:instrText>
      </w:r>
      <w:r w:rsidRPr="003505D8">
        <w:rPr>
          <w:rFonts w:eastAsia="Times"/>
        </w:rPr>
        <w:fldChar w:fldCharType="separate"/>
      </w:r>
      <w:r w:rsidR="00BB6C59" w:rsidRPr="00BB6C59">
        <w:rPr>
          <w:rFonts w:eastAsia="Times"/>
          <w:noProof/>
          <w:vertAlign w:val="superscript"/>
        </w:rPr>
        <w:t>19</w:t>
      </w:r>
      <w:r w:rsidRPr="003505D8">
        <w:rPr>
          <w:rFonts w:eastAsia="Times"/>
        </w:rPr>
        <w:fldChar w:fldCharType="end"/>
      </w:r>
      <w:r w:rsidRPr="003505D8">
        <w:rPr>
          <w:rFonts w:eastAsia="Times"/>
        </w:rPr>
        <w:t xml:space="preserve"> By inclusion of </w:t>
      </w:r>
      <w:r>
        <w:rPr>
          <w:rFonts w:eastAsia="Times"/>
        </w:rPr>
        <w:t xml:space="preserve">the </w:t>
      </w:r>
      <w:r w:rsidRPr="003505D8">
        <w:rPr>
          <w:rFonts w:eastAsia="Times"/>
        </w:rPr>
        <w:t xml:space="preserve">solvent reaction field, the Born–Oppenheimer surface obtains meaning of </w:t>
      </w:r>
      <w:r w:rsidR="004F1A48">
        <w:rPr>
          <w:rFonts w:eastAsia="Times"/>
        </w:rPr>
        <w:t xml:space="preserve">a </w:t>
      </w:r>
      <w:r w:rsidRPr="003505D8">
        <w:rPr>
          <w:rFonts w:eastAsia="Times"/>
        </w:rPr>
        <w:t xml:space="preserve">free energy surface. For all minimized structures, a vibrational analysis was performed in the harmonic approximation. Calculated frequencies allowed for </w:t>
      </w:r>
      <w:r w:rsidR="006471E4">
        <w:rPr>
          <w:rFonts w:eastAsia="Times"/>
        </w:rPr>
        <w:t>thermodynamic corrections of free energies at 298.15 K</w:t>
      </w:r>
      <w:r w:rsidRPr="003505D8">
        <w:rPr>
          <w:rFonts w:eastAsia="Times"/>
        </w:rPr>
        <w:t xml:space="preserve">. </w:t>
      </w:r>
    </w:p>
    <w:p w14:paraId="414B6990" w14:textId="77777777" w:rsidR="006814C8" w:rsidRDefault="006814C8" w:rsidP="005B1580">
      <w:pPr>
        <w:rPr>
          <w:b/>
        </w:rPr>
      </w:pPr>
    </w:p>
    <w:p w14:paraId="16F6C989" w14:textId="5AB81B8D" w:rsidR="00BF79CD" w:rsidRDefault="00C36FF3" w:rsidP="002A08B5">
      <w:pPr>
        <w:pStyle w:val="Heading2"/>
      </w:pPr>
      <w:r w:rsidRPr="00C36FF3">
        <w:t xml:space="preserve">Distribution </w:t>
      </w:r>
      <w:r w:rsidR="00644CC9">
        <w:t xml:space="preserve">coefficient </w:t>
      </w:r>
      <w:r w:rsidRPr="00C36FF3">
        <w:t>of local anesth</w:t>
      </w:r>
      <w:r w:rsidR="0057603A">
        <w:t>etics between octanol and water</w:t>
      </w:r>
      <w:r w:rsidRPr="00C36FF3">
        <w:t xml:space="preserve"> </w:t>
      </w:r>
    </w:p>
    <w:p w14:paraId="28F94F2B" w14:textId="0E998BE9" w:rsidR="00396F9B" w:rsidRPr="002A0EFA" w:rsidRDefault="002C2266" w:rsidP="005B1580">
      <w:r>
        <w:t xml:space="preserve">Because </w:t>
      </w:r>
      <w:r w:rsidR="002A0EFA">
        <w:t xml:space="preserve">local anesthetics are weak bases with pKa values between </w:t>
      </w:r>
      <w:r w:rsidR="00616A11">
        <w:t xml:space="preserve">7 </w:t>
      </w:r>
      <w:r>
        <w:t xml:space="preserve">and </w:t>
      </w:r>
      <w:r w:rsidR="00616A11">
        <w:t>10</w:t>
      </w:r>
      <w:r>
        <w:t>,</w:t>
      </w:r>
      <w:r w:rsidR="00616A11">
        <w:t xml:space="preserve"> their protonation states are pH dependent. Since protonated species have much more favorable solvation energy in water than in octanol</w:t>
      </w:r>
      <w:r>
        <w:t>,</w:t>
      </w:r>
      <w:r w:rsidR="00616A11">
        <w:t xml:space="preserve"> it is anticipated that at acidic pH values</w:t>
      </w:r>
      <w:r>
        <w:t>,</w:t>
      </w:r>
      <w:r w:rsidR="00616A11">
        <w:t xml:space="preserve"> local anesthetics prefer to stay in aqueous phase, while at neutral and basic pH values they </w:t>
      </w:r>
      <w:r>
        <w:t>show a higher</w:t>
      </w:r>
      <w:r w:rsidR="00616A11">
        <w:t xml:space="preserve"> tendenc</w:t>
      </w:r>
      <w:r w:rsidR="0057603A">
        <w:t>y to stay in the octanol phase.</w:t>
      </w:r>
      <w:r w:rsidR="00C10B20">
        <w:t xml:space="preserve"> </w:t>
      </w:r>
      <w:r w:rsidR="00C10B20" w:rsidRPr="006C3B31">
        <w:rPr>
          <w:lang w:val="fr-FR"/>
        </w:rPr>
        <w:t xml:space="preserve">Stricharz </w:t>
      </w:r>
      <w:r w:rsidR="00D0591D" w:rsidRPr="006C3B31">
        <w:rPr>
          <w:lang w:val="fr-FR"/>
        </w:rPr>
        <w:t>et al.</w:t>
      </w:r>
      <w:r w:rsidR="00C80B59">
        <w:fldChar w:fldCharType="begin" w:fldLock="1"/>
      </w:r>
      <w:r w:rsidR="00ED22B1" w:rsidRPr="006C3B31">
        <w:rPr>
          <w:lang w:val="fr-FR"/>
        </w:rPr>
        <w:instrText>ADDIN CSL_CITATION {"citationItems":[{"id":"ITEM-1","itemData":{"DOI":"10.1213/00000539-199008000-00008","ISSN":"0003-2999","PMID":"2375517","abstract":"Because local anesthetic molecules interact with ion channel proteins embedded in membranes to effect impulse blockade, and because their clinical potency often depends on both vascular absorption and distribution into the tissue surrounding the site of deposition, the ability to partition into these various compartments is an important determinant of local anesthetic action. Therefore, the hydrophobic nature of local anesthetics used clinically was characterized by the octanol:buffer partition coefficients of their charged (P+) and neutral (Po) species. This was accomplished by previously described optical methods in which direct spectrophotometric measurement of both the pH-dependent distribution coefficient (Q) and of the ionization permit calculation of the pKa and partition coefficients. The rates of alkaline hydrolysis of ester-linked molecules also were measured to assess potential interference of such hydrolysis with the physicochemical assays. Results indicate that the hydrophobicity of a local anesthetic is increased by manipulation of the molecular structure at three sites: (a) the aromatic ring; (b) the intermediate linking group; and (c) the tertiary amine. Po for the agents studied was 10(3)-10(5) times greater than P+. Although there is no systematic relationship between hydrophobicity and pKa, the latter is greater with ester-linked (pKa = 8.59-9.30) than with amide-linked (pKa = 7.92-8.21) local anesthetics. All of the charged species, with the exception of bupivacaine, selectively partition into the aqueous environment (P+ less than 1.0). The temperature dependence of partitioning of the local anesthetics, measured at 25 and 36 degrees C, indicates an entropy-driven hydrophobic uptake. Solutions buffered with bicarbonate and including 5% CO2 showed the same local anesthetic partitioning as that of CO2-free solutions, suggesting that potentiation of impulse blockade by CO2 is not due to increased membrane uptake. Correlations of physicochemical properties of local anesthetics with potencies on isolated nerve confirm that the more potent local anesthetics have greater octanol:buffer partition coefficients, and that the ester-linked local anesthetics are more potent than their amide-linked counterparts having the same hydrophobicities. The correlations of structure with potency also suggest that the extracellular protonated species may contribute to impulse blockade.","author":[{"dropping-particle":"","family":"Strichartz","given":"G R","non-dropping-particle":"","parse-names":false,"suffix":""},{"dropping-particle":"","family":"Sanchez","given":"V","non-dropping-particle":"","parse-names":false,"suffix":""},{"dropping-particle":"","family":"Arthur","given":"G R","non-dropping-particle":"","parse-names":false,"suffix":""},{"dropping-particle":"","family":"Chafetz","given":"R","non-dropping-particle":"","parse-names":false,"suffix":""},{"dropping-particle":"","family":"Martin","given":"D","non-dropping-particle":"","parse-names":false,"suffix":""}],"container-title":"Anesthesia and analgesia","id":"ITEM-1","issue":"2","issued":{"date-parts":[["1990","8"]]},"page":"158-170","title":"Fundamental properties of local anesthetics. II. Measured octanol:buffer partition coefficients and pKa values of clinically used drugs.","type":"article-journal","volume":"71"},"uris":["http://www.mendeley.com/documents/?uuid=7c1ecf95-cf25-4b6f-b6b7-bcc3293d6d4e"]}],"mendeley":{"formattedCitation":"&lt;sup&gt;3&lt;/sup&gt;","plainTextFormattedCitation":"3","previouslyFormattedCitation":"&lt;sup&gt;3&lt;/sup&gt;"},"properties":{"noteIndex":0},"schema":"https://github.com/citation-style-language/schema/raw/master/csl-citation.json"}</w:instrText>
      </w:r>
      <w:r w:rsidR="00C80B59">
        <w:fldChar w:fldCharType="separate"/>
      </w:r>
      <w:r w:rsidR="00ED22B1" w:rsidRPr="006C3B31">
        <w:rPr>
          <w:noProof/>
          <w:vertAlign w:val="superscript"/>
          <w:lang w:val="fr-FR"/>
        </w:rPr>
        <w:t>3</w:t>
      </w:r>
      <w:r w:rsidR="00C80B59">
        <w:fldChar w:fldCharType="end"/>
      </w:r>
      <w:r w:rsidR="00C80B59" w:rsidRPr="006C3B31">
        <w:rPr>
          <w:lang w:val="fr-FR"/>
        </w:rPr>
        <w:t xml:space="preserve"> </w:t>
      </w:r>
      <w:r w:rsidR="00863887" w:rsidRPr="006C3B31">
        <w:rPr>
          <w:lang w:val="fr-FR"/>
        </w:rPr>
        <w:t xml:space="preserve">performed measurements of </w:t>
      </w:r>
      <w:r w:rsidR="00863887" w:rsidRPr="006C3B31">
        <w:rPr>
          <w:rFonts w:eastAsia="Times"/>
          <w:lang w:val="fr-FR"/>
        </w:rPr>
        <w:t>local anesthetic</w:t>
      </w:r>
      <w:r w:rsidR="00C10B20" w:rsidRPr="006C3B31">
        <w:rPr>
          <w:lang w:val="fr-FR"/>
        </w:rPr>
        <w:t xml:space="preserve"> partition between octanol and water buffer at extremely acidic pH and extremely basic pH, providing partition coefficients</w:t>
      </w:r>
      <w:r w:rsidR="00B47C8E">
        <w:rPr>
          <w:lang w:val="fr-FR"/>
        </w:rPr>
        <w:t xml:space="preserve"> data</w:t>
      </w:r>
      <w:r w:rsidR="00C10B20" w:rsidRPr="006C3B31">
        <w:rPr>
          <w:lang w:val="fr-FR"/>
        </w:rPr>
        <w:t xml:space="preserve"> for protonated </w:t>
      </w:r>
      <w:r w:rsidR="00863887" w:rsidRPr="006C3B31">
        <w:rPr>
          <w:rFonts w:eastAsia="Times"/>
          <w:lang w:val="fr-FR"/>
        </w:rPr>
        <w:t>local anesthetics</w:t>
      </w:r>
      <w:r w:rsidR="00C10B20" w:rsidRPr="006C3B31">
        <w:rPr>
          <w:lang w:val="fr-FR"/>
        </w:rPr>
        <w:t xml:space="preserve"> </w:t>
      </w:r>
      <w:r w:rsidR="0033344E" w:rsidRPr="006C3B31">
        <w:rPr>
          <w:lang w:val="fr-FR"/>
        </w:rPr>
        <w:t>[</w:t>
      </w:r>
      <w:r w:rsidR="00BF2E0D" w:rsidRPr="006C3B31">
        <w:rPr>
          <w:lang w:val="fr-FR"/>
        </w:rPr>
        <w:t>L</w:t>
      </w:r>
      <w:r w:rsidR="0033344E" w:rsidRPr="006C3B31">
        <w:rPr>
          <w:lang w:val="fr-FR"/>
        </w:rPr>
        <w:t>A</w:t>
      </w:r>
      <w:r w:rsidR="00BF2E0D" w:rsidRPr="006C3B31">
        <w:rPr>
          <w:vertAlign w:val="superscript"/>
          <w:lang w:val="fr-FR"/>
        </w:rPr>
        <w:t>+</w:t>
      </w:r>
      <w:r w:rsidR="0033344E" w:rsidRPr="006C3B31">
        <w:rPr>
          <w:lang w:val="fr-FR"/>
        </w:rPr>
        <w:t>]</w:t>
      </w:r>
      <w:r w:rsidR="00BF2E0D" w:rsidRPr="006C3B31">
        <w:rPr>
          <w:lang w:val="fr-FR"/>
        </w:rPr>
        <w:t xml:space="preserve"> </w:t>
      </w:r>
      <w:r w:rsidR="00C10B20" w:rsidRPr="006C3B31">
        <w:rPr>
          <w:lang w:val="fr-FR"/>
        </w:rPr>
        <w:t xml:space="preserve">and neutral </w:t>
      </w:r>
      <w:r w:rsidR="00863887" w:rsidRPr="006C3B31">
        <w:rPr>
          <w:rFonts w:eastAsia="Times"/>
          <w:lang w:val="fr-FR"/>
        </w:rPr>
        <w:t>local anesthetics</w:t>
      </w:r>
      <w:r w:rsidR="00BF2E0D" w:rsidRPr="006C3B31">
        <w:rPr>
          <w:lang w:val="fr-FR"/>
        </w:rPr>
        <w:t xml:space="preserve"> </w:t>
      </w:r>
      <w:r w:rsidR="0033344E" w:rsidRPr="006C3B31">
        <w:rPr>
          <w:lang w:val="fr-FR"/>
        </w:rPr>
        <w:t>[</w:t>
      </w:r>
      <w:r w:rsidR="00BF2E0D" w:rsidRPr="006C3B31">
        <w:rPr>
          <w:lang w:val="fr-FR"/>
        </w:rPr>
        <w:t>L</w:t>
      </w:r>
      <w:r w:rsidR="0033344E" w:rsidRPr="006C3B31">
        <w:rPr>
          <w:lang w:val="fr-FR"/>
        </w:rPr>
        <w:t>A</w:t>
      </w:r>
      <w:r w:rsidR="00BF2E0D" w:rsidRPr="006C3B31">
        <w:rPr>
          <w:vertAlign w:val="superscript"/>
          <w:lang w:val="fr-FR"/>
        </w:rPr>
        <w:t>0</w:t>
      </w:r>
      <w:r w:rsidR="0033344E" w:rsidRPr="006C3B31">
        <w:rPr>
          <w:lang w:val="fr-FR"/>
        </w:rPr>
        <w:t>]</w:t>
      </w:r>
      <w:r w:rsidR="00C10B20" w:rsidRPr="006C3B31">
        <w:rPr>
          <w:lang w:val="fr-FR"/>
        </w:rPr>
        <w:t xml:space="preserve">, respectively.  </w:t>
      </w:r>
      <w:r w:rsidR="00C10B20">
        <w:t>For the pH values between the two extreme cases</w:t>
      </w:r>
      <w:r w:rsidR="00B47C8E">
        <w:t>,</w:t>
      </w:r>
      <w:r w:rsidR="00C10B20">
        <w:t xml:space="preserve"> that provided </w:t>
      </w:r>
      <w:r w:rsidR="00B47C8E">
        <w:t xml:space="preserve">an </w:t>
      </w:r>
      <w:r w:rsidR="00C10B20">
        <w:t xml:space="preserve">analytical expression of distribution coefficients </w:t>
      </w:r>
      <w:r w:rsidR="00BF2E0D">
        <w:t xml:space="preserve">Q </w:t>
      </w:r>
      <w:r w:rsidR="00C10B20">
        <w:t xml:space="preserve">that </w:t>
      </w:r>
      <w:r w:rsidR="00B47C8E">
        <w:t xml:space="preserve">is </w:t>
      </w:r>
      <w:r w:rsidR="00C10B20">
        <w:t>pH and pK</w:t>
      </w:r>
      <w:r w:rsidR="00C10B20" w:rsidRPr="00C10B20">
        <w:rPr>
          <w:vertAlign w:val="subscript"/>
        </w:rPr>
        <w:t>a</w:t>
      </w:r>
      <w:r w:rsidR="00C10B20">
        <w:t xml:space="preserve"> dependent.</w:t>
      </w:r>
    </w:p>
    <w:p w14:paraId="3A199D1C" w14:textId="6C7156C2" w:rsidR="00BF2E0D" w:rsidRDefault="00BF2E0D" w:rsidP="005B1580">
      <w:r>
        <w:lastRenderedPageBreak/>
        <w:t xml:space="preserve">Distribution coefficient </w:t>
      </w:r>
      <w:r w:rsidR="00F45EA9">
        <w:t>[</w:t>
      </w:r>
      <w:r>
        <w:t>Q</w:t>
      </w:r>
      <w:r w:rsidR="00F45EA9">
        <w:t>]</w:t>
      </w:r>
      <w:r>
        <w:t xml:space="preserve"> is </w:t>
      </w:r>
      <w:r w:rsidR="00F45EA9">
        <w:t xml:space="preserve">an equilibrium constant and a measure of free energy. It is defined as a </w:t>
      </w:r>
      <w:r>
        <w:t xml:space="preserve">ratio of concentrations of local </w:t>
      </w:r>
      <w:r w:rsidR="00F45EA9">
        <w:t>anesthetics</w:t>
      </w:r>
      <w:r>
        <w:t xml:space="preserve"> in </w:t>
      </w:r>
      <w:r w:rsidR="00F45EA9">
        <w:t>water and in octanol, both protonated [L</w:t>
      </w:r>
      <w:r w:rsidR="0033344E">
        <w:t>A</w:t>
      </w:r>
      <w:r w:rsidR="00F45EA9" w:rsidRPr="00F45EA9">
        <w:rPr>
          <w:vertAlign w:val="superscript"/>
        </w:rPr>
        <w:t>+</w:t>
      </w:r>
      <w:r w:rsidR="00F45EA9">
        <w:t>] and neutral [L</w:t>
      </w:r>
      <w:r w:rsidR="0033344E">
        <w:t>A</w:t>
      </w:r>
      <w:r w:rsidR="00F45EA9" w:rsidRPr="00F45EA9">
        <w:rPr>
          <w:vertAlign w:val="superscript"/>
        </w:rPr>
        <w:t>0</w:t>
      </w:r>
      <w:r w:rsidR="00F45EA9">
        <w:t>]:</w:t>
      </w:r>
    </w:p>
    <w:p w14:paraId="270F8DCC" w14:textId="77777777" w:rsidR="00F45EA9" w:rsidRDefault="00F45EA9" w:rsidP="002A08B5">
      <w:pPr>
        <w:jc w:val="center"/>
      </w:pPr>
    </w:p>
    <w:p w14:paraId="501B1756" w14:textId="513DC28A" w:rsidR="00BF79CD" w:rsidRDefault="00BF2E0D" w:rsidP="002A08B5">
      <w:pPr>
        <w:jc w:val="center"/>
      </w:pPr>
      <m:oMath>
        <m:r>
          <w:rPr>
            <w:rFonts w:ascii="Cambria Math" w:hAnsi="Cambria Math"/>
          </w:rPr>
          <m:t>Q=</m:t>
        </m:r>
        <m:f>
          <m:fPr>
            <m:ctrlPr>
              <w:rPr>
                <w:rFonts w:ascii="Cambria Math" w:hAnsi="Cambria Math"/>
                <w:i/>
              </w:rPr>
            </m:ctrlPr>
          </m:fPr>
          <m:num>
            <m:sSub>
              <m:sSubPr>
                <m:ctrlPr>
                  <w:rPr>
                    <w:rFonts w:ascii="Cambria Math" w:hAnsi="Cambria Math"/>
                    <w:i/>
                  </w:rPr>
                </m:ctrlPr>
              </m:sSubPr>
              <m:e>
                <m:d>
                  <m:dPr>
                    <m:begChr m:val="["/>
                    <m:endChr m:val="]"/>
                    <m:ctrlPr>
                      <w:rPr>
                        <w:rFonts w:ascii="Cambria Math" w:hAnsi="Cambria Math"/>
                        <w:i/>
                      </w:rPr>
                    </m:ctrlPr>
                  </m:dPr>
                  <m:e>
                    <m:sSup>
                      <m:sSupPr>
                        <m:ctrlPr>
                          <w:rPr>
                            <w:rFonts w:ascii="Cambria Math" w:hAnsi="Cambria Math"/>
                            <w:i/>
                          </w:rPr>
                        </m:ctrlPr>
                      </m:sSupPr>
                      <m:e>
                        <m:r>
                          <w:rPr>
                            <w:rFonts w:ascii="Cambria Math" w:hAnsi="Cambria Math"/>
                          </w:rPr>
                          <m:t>LA</m:t>
                        </m:r>
                      </m:e>
                      <m:sup>
                        <m:r>
                          <w:rPr>
                            <w:rFonts w:ascii="Cambria Math" w:hAnsi="Cambria Math"/>
                          </w:rPr>
                          <m:t>0</m:t>
                        </m:r>
                      </m:sup>
                    </m:sSup>
                  </m:e>
                </m:d>
              </m:e>
              <m:sub>
                <m:r>
                  <w:rPr>
                    <w:rFonts w:ascii="Cambria Math" w:hAnsi="Cambria Math"/>
                  </w:rPr>
                  <m:t>o</m:t>
                </m:r>
              </m:sub>
            </m:sSub>
            <m:r>
              <w:rPr>
                <w:rFonts w:ascii="Cambria Math" w:hAnsi="Cambria Math"/>
              </w:rPr>
              <m:t>+</m:t>
            </m:r>
            <m:sSub>
              <m:sSubPr>
                <m:ctrlPr>
                  <w:rPr>
                    <w:rFonts w:ascii="Cambria Math" w:hAnsi="Cambria Math"/>
                    <w:i/>
                  </w:rPr>
                </m:ctrlPr>
              </m:sSubPr>
              <m:e>
                <m:d>
                  <m:dPr>
                    <m:begChr m:val="["/>
                    <m:endChr m:val="]"/>
                    <m:ctrlPr>
                      <w:rPr>
                        <w:rFonts w:ascii="Cambria Math" w:hAnsi="Cambria Math"/>
                        <w:i/>
                      </w:rPr>
                    </m:ctrlPr>
                  </m:dPr>
                  <m:e>
                    <m:sSup>
                      <m:sSupPr>
                        <m:ctrlPr>
                          <w:rPr>
                            <w:rFonts w:ascii="Cambria Math" w:hAnsi="Cambria Math"/>
                            <w:i/>
                          </w:rPr>
                        </m:ctrlPr>
                      </m:sSupPr>
                      <m:e>
                        <m:r>
                          <w:rPr>
                            <w:rFonts w:ascii="Cambria Math" w:hAnsi="Cambria Math"/>
                          </w:rPr>
                          <m:t>LA</m:t>
                        </m:r>
                      </m:e>
                      <m:sup>
                        <m:r>
                          <w:rPr>
                            <w:rFonts w:ascii="Cambria Math" w:hAnsi="Cambria Math"/>
                          </w:rPr>
                          <m:t>+</m:t>
                        </m:r>
                      </m:sup>
                    </m:sSup>
                  </m:e>
                </m:d>
              </m:e>
              <m:sub>
                <m:r>
                  <w:rPr>
                    <w:rFonts w:ascii="Cambria Math" w:hAnsi="Cambria Math"/>
                  </w:rPr>
                  <m:t>o</m:t>
                </m:r>
              </m:sub>
            </m:sSub>
          </m:num>
          <m:den>
            <m:sSub>
              <m:sSubPr>
                <m:ctrlPr>
                  <w:rPr>
                    <w:rFonts w:ascii="Cambria Math" w:hAnsi="Cambria Math"/>
                    <w:i/>
                  </w:rPr>
                </m:ctrlPr>
              </m:sSubPr>
              <m:e>
                <m:sSup>
                  <m:sSupPr>
                    <m:ctrlPr>
                      <w:rPr>
                        <w:rFonts w:ascii="Cambria Math" w:hAnsi="Cambria Math"/>
                        <w:i/>
                      </w:rPr>
                    </m:ctrlPr>
                  </m:sSupPr>
                  <m:e>
                    <m:r>
                      <w:rPr>
                        <w:rFonts w:ascii="Cambria Math" w:hAnsi="Cambria Math"/>
                      </w:rPr>
                      <m:t>[LA</m:t>
                    </m:r>
                  </m:e>
                  <m:sup>
                    <m:r>
                      <w:rPr>
                        <w:rFonts w:ascii="Cambria Math" w:hAnsi="Cambria Math"/>
                      </w:rPr>
                      <m:t xml:space="preserve">0 </m:t>
                    </m:r>
                  </m:sup>
                </m:sSup>
                <m:r>
                  <w:rPr>
                    <w:rFonts w:ascii="Cambria Math" w:hAnsi="Cambria Math"/>
                  </w:rPr>
                  <m:t>]</m:t>
                </m:r>
              </m:e>
              <m:sub>
                <m:r>
                  <w:rPr>
                    <w:rFonts w:ascii="Cambria Math" w:hAnsi="Cambria Math"/>
                  </w:rPr>
                  <m:t>w</m:t>
                </m:r>
              </m:sub>
            </m:sSub>
            <m:r>
              <w:rPr>
                <w:rFonts w:ascii="Cambria Math" w:hAnsi="Cambria Math"/>
              </w:rPr>
              <m:t>+</m:t>
            </m:r>
            <m:sSub>
              <m:sSubPr>
                <m:ctrlPr>
                  <w:rPr>
                    <w:rFonts w:ascii="Cambria Math" w:hAnsi="Cambria Math"/>
                    <w:i/>
                  </w:rPr>
                </m:ctrlPr>
              </m:sSubPr>
              <m:e>
                <m:sSup>
                  <m:sSupPr>
                    <m:ctrlPr>
                      <w:rPr>
                        <w:rFonts w:ascii="Cambria Math" w:hAnsi="Cambria Math"/>
                        <w:i/>
                      </w:rPr>
                    </m:ctrlPr>
                  </m:sSupPr>
                  <m:e>
                    <m:r>
                      <w:rPr>
                        <w:rFonts w:ascii="Cambria Math" w:hAnsi="Cambria Math"/>
                      </w:rPr>
                      <m:t>[LA</m:t>
                    </m:r>
                  </m:e>
                  <m:sup>
                    <m:r>
                      <w:rPr>
                        <w:rFonts w:ascii="Cambria Math" w:hAnsi="Cambria Math"/>
                      </w:rPr>
                      <m:t>+</m:t>
                    </m:r>
                  </m:sup>
                </m:sSup>
                <m:r>
                  <w:rPr>
                    <w:rFonts w:ascii="Cambria Math" w:hAnsi="Cambria Math"/>
                  </w:rPr>
                  <m:t>]</m:t>
                </m:r>
              </m:e>
              <m:sub>
                <m:r>
                  <w:rPr>
                    <w:rFonts w:ascii="Cambria Math" w:hAnsi="Cambria Math"/>
                  </w:rPr>
                  <m:t>w</m:t>
                </m:r>
              </m:sub>
            </m:sSub>
          </m:den>
        </m:f>
      </m:oMath>
      <w:r w:rsidR="002A08B5">
        <w:tab/>
        <w:t>(1)</w:t>
      </w:r>
    </w:p>
    <w:p w14:paraId="51FD0337" w14:textId="77777777" w:rsidR="00BF79CD" w:rsidRDefault="00BF79CD" w:rsidP="005B1580"/>
    <w:p w14:paraId="4EB37028" w14:textId="4C88C391" w:rsidR="00BF2E0D" w:rsidRDefault="00BF2E0D" w:rsidP="005B1580">
      <w:r>
        <w:t>where [L</w:t>
      </w:r>
      <w:r w:rsidR="0033344E">
        <w:t>A</w:t>
      </w:r>
      <w:r w:rsidRPr="006D1047">
        <w:rPr>
          <w:vertAlign w:val="superscript"/>
        </w:rPr>
        <w:t>0</w:t>
      </w:r>
      <w:r>
        <w:t>]</w:t>
      </w:r>
      <w:r w:rsidRPr="006D1047">
        <w:rPr>
          <w:vertAlign w:val="subscript"/>
        </w:rPr>
        <w:t>o</w:t>
      </w:r>
      <w:r>
        <w:t xml:space="preserve"> stands for concentration of neutral form of local anesthetic in n-octanol, [L</w:t>
      </w:r>
      <w:r w:rsidR="0033344E">
        <w:t>A</w:t>
      </w:r>
      <w:r w:rsidRPr="006D1047">
        <w:rPr>
          <w:vertAlign w:val="superscript"/>
        </w:rPr>
        <w:t>0</w:t>
      </w:r>
      <w:r>
        <w:t>]</w:t>
      </w:r>
      <w:r w:rsidR="00AB2804">
        <w:rPr>
          <w:vertAlign w:val="subscript"/>
        </w:rPr>
        <w:t>w</w:t>
      </w:r>
      <w:r>
        <w:t xml:space="preserve"> for </w:t>
      </w:r>
      <w:r w:rsidR="00B47C8E">
        <w:t xml:space="preserve">its </w:t>
      </w:r>
      <w:r>
        <w:t>concentration in the aqueous solution, [L</w:t>
      </w:r>
      <w:r w:rsidR="0033344E">
        <w:t>A</w:t>
      </w:r>
      <w:r>
        <w:rPr>
          <w:vertAlign w:val="superscript"/>
        </w:rPr>
        <w:t>+</w:t>
      </w:r>
      <w:r>
        <w:t>]</w:t>
      </w:r>
      <w:r w:rsidRPr="006D1047">
        <w:rPr>
          <w:vertAlign w:val="subscript"/>
        </w:rPr>
        <w:t>o</w:t>
      </w:r>
      <w:r>
        <w:t xml:space="preserve"> </w:t>
      </w:r>
      <w:r w:rsidR="00B47C8E">
        <w:t xml:space="preserve">is the </w:t>
      </w:r>
      <w:r>
        <w:t xml:space="preserve">concentration of </w:t>
      </w:r>
      <w:r w:rsidR="00B47C8E">
        <w:t xml:space="preserve">the </w:t>
      </w:r>
      <w:r>
        <w:t>protonated form of local anesthetic in n-octanol, and [L</w:t>
      </w:r>
      <w:r w:rsidR="0033344E">
        <w:t>A</w:t>
      </w:r>
      <w:r>
        <w:rPr>
          <w:vertAlign w:val="superscript"/>
        </w:rPr>
        <w:t>+</w:t>
      </w:r>
      <w:r>
        <w:t>]</w:t>
      </w:r>
      <w:r w:rsidR="00AB2804">
        <w:rPr>
          <w:vertAlign w:val="subscript"/>
        </w:rPr>
        <w:t>w</w:t>
      </w:r>
      <w:r>
        <w:t xml:space="preserve"> </w:t>
      </w:r>
      <w:r w:rsidR="00B47C8E">
        <w:t xml:space="preserve">is </w:t>
      </w:r>
      <w:r>
        <w:t xml:space="preserve">the concentration in the aqueous solution. </w:t>
      </w:r>
    </w:p>
    <w:p w14:paraId="4B7106AC" w14:textId="1E7DC2D6" w:rsidR="00DD2FF3" w:rsidRDefault="00F45EA9" w:rsidP="005B1580">
      <w:r>
        <w:t xml:space="preserve">If we expand the </w:t>
      </w:r>
      <w:r w:rsidR="00DD2FF3">
        <w:t>nominator and denominator o</w:t>
      </w:r>
      <w:r w:rsidR="00B47C8E">
        <w:t>n</w:t>
      </w:r>
      <w:r w:rsidR="00DD2FF3">
        <w:t xml:space="preserve"> the right side of the equation by a factor of 1/[L</w:t>
      </w:r>
      <w:r w:rsidR="0033344E">
        <w:t>A</w:t>
      </w:r>
      <w:r w:rsidR="00DD2FF3">
        <w:rPr>
          <w:vertAlign w:val="superscript"/>
        </w:rPr>
        <w:t>0</w:t>
      </w:r>
      <w:r w:rsidR="00DD2FF3">
        <w:t>]</w:t>
      </w:r>
      <w:r w:rsidR="00AB2804">
        <w:rPr>
          <w:vertAlign w:val="subscript"/>
        </w:rPr>
        <w:t>w</w:t>
      </w:r>
      <w:r w:rsidR="00DD2FF3">
        <w:t xml:space="preserve">, we </w:t>
      </w:r>
      <w:r w:rsidR="00B47C8E">
        <w:t>obtain</w:t>
      </w:r>
      <w:r w:rsidR="00DD2FF3">
        <w:t xml:space="preserve">: </w:t>
      </w:r>
    </w:p>
    <w:p w14:paraId="6050E03E" w14:textId="5670EE77" w:rsidR="00BF2E0D" w:rsidRPr="000B5FAA" w:rsidRDefault="00BF2E0D" w:rsidP="00C80B59">
      <w:pPr>
        <w:jc w:val="center"/>
      </w:pPr>
      <m:oMath>
        <m:r>
          <w:rPr>
            <w:rFonts w:ascii="Cambria Math" w:hAnsi="Cambria Math"/>
          </w:rPr>
          <m:t>Q=</m:t>
        </m:r>
        <m:f>
          <m:fPr>
            <m:ctrlPr>
              <w:rPr>
                <w:rFonts w:ascii="Cambria Math" w:hAnsi="Cambria Math"/>
                <w:i/>
              </w:rPr>
            </m:ctrlPr>
          </m:fPr>
          <m:num>
            <m:sSub>
              <m:sSubPr>
                <m:ctrlPr>
                  <w:rPr>
                    <w:rFonts w:ascii="Cambria Math" w:hAnsi="Cambria Math"/>
                    <w:i/>
                  </w:rPr>
                </m:ctrlPr>
              </m:sSubPr>
              <m:e>
                <m:d>
                  <m:dPr>
                    <m:begChr m:val="["/>
                    <m:endChr m:val="]"/>
                    <m:ctrlPr>
                      <w:rPr>
                        <w:rFonts w:ascii="Cambria Math" w:hAnsi="Cambria Math"/>
                        <w:i/>
                      </w:rPr>
                    </m:ctrlPr>
                  </m:dPr>
                  <m:e>
                    <m:sSup>
                      <m:sSupPr>
                        <m:ctrlPr>
                          <w:rPr>
                            <w:rFonts w:ascii="Cambria Math" w:hAnsi="Cambria Math"/>
                            <w:i/>
                          </w:rPr>
                        </m:ctrlPr>
                      </m:sSupPr>
                      <m:e>
                        <m:r>
                          <w:rPr>
                            <w:rFonts w:ascii="Cambria Math" w:hAnsi="Cambria Math"/>
                          </w:rPr>
                          <m:t>LA</m:t>
                        </m:r>
                      </m:e>
                      <m:sup>
                        <m:r>
                          <w:rPr>
                            <w:rFonts w:ascii="Cambria Math" w:hAnsi="Cambria Math"/>
                          </w:rPr>
                          <m:t>0</m:t>
                        </m:r>
                      </m:sup>
                    </m:sSup>
                  </m:e>
                </m:d>
              </m:e>
              <m:sub>
                <m:r>
                  <w:rPr>
                    <w:rFonts w:ascii="Cambria Math" w:hAnsi="Cambria Math"/>
                  </w:rPr>
                  <m:t>o</m:t>
                </m:r>
              </m:sub>
            </m:sSub>
            <m:r>
              <w:rPr>
                <w:rFonts w:ascii="Cambria Math" w:hAnsi="Cambria Math"/>
              </w:rPr>
              <m:t>/</m:t>
            </m:r>
            <m:sSub>
              <m:sSubPr>
                <m:ctrlPr>
                  <w:rPr>
                    <w:rFonts w:ascii="Cambria Math" w:hAnsi="Cambria Math"/>
                    <w:i/>
                  </w:rPr>
                </m:ctrlPr>
              </m:sSubPr>
              <m:e>
                <m:r>
                  <w:rPr>
                    <w:rFonts w:ascii="Cambria Math" w:hAnsi="Cambria Math"/>
                  </w:rPr>
                  <m:t>[</m:t>
                </m:r>
                <m:sSup>
                  <m:sSupPr>
                    <m:ctrlPr>
                      <w:rPr>
                        <w:rFonts w:ascii="Cambria Math" w:hAnsi="Cambria Math"/>
                        <w:i/>
                      </w:rPr>
                    </m:ctrlPr>
                  </m:sSupPr>
                  <m:e>
                    <m:r>
                      <w:rPr>
                        <w:rFonts w:ascii="Cambria Math" w:hAnsi="Cambria Math"/>
                      </w:rPr>
                      <m:t>LA</m:t>
                    </m:r>
                  </m:e>
                  <m:sup>
                    <m:r>
                      <w:rPr>
                        <w:rFonts w:ascii="Cambria Math" w:hAnsi="Cambria Math"/>
                      </w:rPr>
                      <m:t>0</m:t>
                    </m:r>
                  </m:sup>
                </m:sSup>
                <m:r>
                  <w:rPr>
                    <w:rFonts w:ascii="Cambria Math" w:hAnsi="Cambria Math"/>
                  </w:rPr>
                  <m:t>]</m:t>
                </m:r>
              </m:e>
              <m:sub>
                <m:r>
                  <w:rPr>
                    <w:rFonts w:ascii="Cambria Math" w:hAnsi="Cambria Math"/>
                  </w:rPr>
                  <m:t>w</m:t>
                </m:r>
              </m:sub>
            </m:sSub>
            <m:r>
              <w:rPr>
                <w:rFonts w:ascii="Cambria Math" w:hAnsi="Cambria Math"/>
              </w:rPr>
              <m:t>+</m:t>
            </m:r>
            <m:sSub>
              <m:sSubPr>
                <m:ctrlPr>
                  <w:rPr>
                    <w:rFonts w:ascii="Cambria Math" w:hAnsi="Cambria Math"/>
                    <w:i/>
                  </w:rPr>
                </m:ctrlPr>
              </m:sSubPr>
              <m:e>
                <m:r>
                  <w:rPr>
                    <w:rFonts w:ascii="Cambria Math" w:hAnsi="Cambria Math"/>
                  </w:rPr>
                  <m:t>[</m:t>
                </m:r>
                <m:sSup>
                  <m:sSupPr>
                    <m:ctrlPr>
                      <w:rPr>
                        <w:rFonts w:ascii="Cambria Math" w:hAnsi="Cambria Math"/>
                        <w:i/>
                      </w:rPr>
                    </m:ctrlPr>
                  </m:sSupPr>
                  <m:e>
                    <m:r>
                      <w:rPr>
                        <w:rFonts w:ascii="Cambria Math" w:hAnsi="Cambria Math"/>
                      </w:rPr>
                      <m:t>LA</m:t>
                    </m:r>
                  </m:e>
                  <m:sup>
                    <m:r>
                      <w:rPr>
                        <w:rFonts w:ascii="Cambria Math" w:hAnsi="Cambria Math"/>
                      </w:rPr>
                      <m:t>+</m:t>
                    </m:r>
                  </m:sup>
                </m:sSup>
                <m:r>
                  <w:rPr>
                    <w:rFonts w:ascii="Cambria Math" w:hAnsi="Cambria Math"/>
                  </w:rPr>
                  <m:t>]</m:t>
                </m:r>
              </m:e>
              <m:sub>
                <m:r>
                  <w:rPr>
                    <w:rFonts w:ascii="Cambria Math" w:hAnsi="Cambria Math"/>
                  </w:rPr>
                  <m:t xml:space="preserve">o </m:t>
                </m:r>
              </m:sub>
            </m:sSub>
            <m:r>
              <w:rPr>
                <w:rFonts w:ascii="Cambria Math" w:hAnsi="Cambria Math"/>
              </w:rPr>
              <m:t>/</m:t>
            </m:r>
            <m:sSub>
              <m:sSubPr>
                <m:ctrlPr>
                  <w:rPr>
                    <w:rFonts w:ascii="Cambria Math" w:hAnsi="Cambria Math"/>
                    <w:i/>
                  </w:rPr>
                </m:ctrlPr>
              </m:sSubPr>
              <m:e>
                <m:r>
                  <w:rPr>
                    <w:rFonts w:ascii="Cambria Math" w:hAnsi="Cambria Math"/>
                  </w:rPr>
                  <m:t>[</m:t>
                </m:r>
                <m:sSup>
                  <m:sSupPr>
                    <m:ctrlPr>
                      <w:rPr>
                        <w:rFonts w:ascii="Cambria Math" w:hAnsi="Cambria Math"/>
                        <w:i/>
                      </w:rPr>
                    </m:ctrlPr>
                  </m:sSupPr>
                  <m:e>
                    <m:r>
                      <w:rPr>
                        <w:rFonts w:ascii="Cambria Math" w:hAnsi="Cambria Math"/>
                      </w:rPr>
                      <m:t>LA</m:t>
                    </m:r>
                  </m:e>
                  <m:sup>
                    <m:r>
                      <w:rPr>
                        <w:rFonts w:ascii="Cambria Math" w:hAnsi="Cambria Math"/>
                      </w:rPr>
                      <m:t>0</m:t>
                    </m:r>
                  </m:sup>
                </m:sSup>
                <m:r>
                  <w:rPr>
                    <w:rFonts w:ascii="Cambria Math" w:hAnsi="Cambria Math"/>
                  </w:rPr>
                  <m:t>]</m:t>
                </m:r>
              </m:e>
              <m:sub>
                <m:r>
                  <w:rPr>
                    <w:rFonts w:ascii="Cambria Math" w:hAnsi="Cambria Math"/>
                  </w:rPr>
                  <m:t>w</m:t>
                </m:r>
              </m:sub>
            </m:sSub>
          </m:num>
          <m:den>
            <m:r>
              <w:rPr>
                <w:rFonts w:ascii="Cambria Math" w:hAnsi="Cambria Math"/>
              </w:rPr>
              <m:t>1+</m:t>
            </m:r>
            <m:sSub>
              <m:sSubPr>
                <m:ctrlPr>
                  <w:rPr>
                    <w:rFonts w:ascii="Cambria Math" w:hAnsi="Cambria Math"/>
                    <w:i/>
                  </w:rPr>
                </m:ctrlPr>
              </m:sSubPr>
              <m:e>
                <m:sSup>
                  <m:sSupPr>
                    <m:ctrlPr>
                      <w:rPr>
                        <w:rFonts w:ascii="Cambria Math" w:hAnsi="Cambria Math"/>
                        <w:i/>
                      </w:rPr>
                    </m:ctrlPr>
                  </m:sSupPr>
                  <m:e>
                    <m:r>
                      <w:rPr>
                        <w:rFonts w:ascii="Cambria Math" w:hAnsi="Cambria Math"/>
                      </w:rPr>
                      <m:t>[LA</m:t>
                    </m:r>
                  </m:e>
                  <m:sup>
                    <m:r>
                      <w:rPr>
                        <w:rFonts w:ascii="Cambria Math" w:hAnsi="Cambria Math"/>
                      </w:rPr>
                      <m:t>+</m:t>
                    </m:r>
                  </m:sup>
                </m:sSup>
                <m:r>
                  <w:rPr>
                    <w:rFonts w:ascii="Cambria Math" w:hAnsi="Cambria Math"/>
                  </w:rPr>
                  <m:t>]</m:t>
                </m:r>
              </m:e>
              <m:sub>
                <m:r>
                  <w:rPr>
                    <w:rFonts w:ascii="Cambria Math" w:hAnsi="Cambria Math"/>
                  </w:rPr>
                  <m:t>w</m:t>
                </m:r>
              </m:sub>
            </m:sSub>
            <m:r>
              <w:rPr>
                <w:rFonts w:ascii="Cambria Math" w:hAnsi="Cambria Math"/>
              </w:rPr>
              <m:t>/</m:t>
            </m:r>
            <m:sSub>
              <m:sSubPr>
                <m:ctrlPr>
                  <w:rPr>
                    <w:rFonts w:ascii="Cambria Math" w:hAnsi="Cambria Math"/>
                    <w:i/>
                  </w:rPr>
                </m:ctrlPr>
              </m:sSubPr>
              <m:e>
                <m:r>
                  <w:rPr>
                    <w:rFonts w:ascii="Cambria Math" w:hAnsi="Cambria Math"/>
                  </w:rPr>
                  <m:t>[</m:t>
                </m:r>
                <m:sSup>
                  <m:sSupPr>
                    <m:ctrlPr>
                      <w:rPr>
                        <w:rFonts w:ascii="Cambria Math" w:hAnsi="Cambria Math"/>
                        <w:i/>
                      </w:rPr>
                    </m:ctrlPr>
                  </m:sSupPr>
                  <m:e>
                    <m:r>
                      <w:rPr>
                        <w:rFonts w:ascii="Cambria Math" w:hAnsi="Cambria Math"/>
                      </w:rPr>
                      <m:t>LA</m:t>
                    </m:r>
                  </m:e>
                  <m:sup>
                    <m:r>
                      <w:rPr>
                        <w:rFonts w:ascii="Cambria Math" w:hAnsi="Cambria Math"/>
                      </w:rPr>
                      <m:t>0</m:t>
                    </m:r>
                  </m:sup>
                </m:sSup>
                <m:r>
                  <w:rPr>
                    <w:rFonts w:ascii="Cambria Math" w:hAnsi="Cambria Math"/>
                  </w:rPr>
                  <m:t>]</m:t>
                </m:r>
              </m:e>
              <m:sub>
                <m:r>
                  <w:rPr>
                    <w:rFonts w:ascii="Cambria Math" w:hAnsi="Cambria Math"/>
                  </w:rPr>
                  <m:t>w</m:t>
                </m:r>
              </m:sub>
            </m:sSub>
          </m:den>
        </m:f>
      </m:oMath>
      <w:r w:rsidR="00C80B59">
        <w:tab/>
        <w:t>(2)</w:t>
      </w:r>
    </w:p>
    <w:p w14:paraId="19B78C02" w14:textId="77777777" w:rsidR="00BF2E0D" w:rsidRDefault="00BF2E0D" w:rsidP="005B1580"/>
    <w:p w14:paraId="3B0C8BC9" w14:textId="586E8C6F" w:rsidR="00DD2FF3" w:rsidRDefault="00DD2FF3" w:rsidP="005B1580">
      <w:r>
        <w:t>Partition coefficient of neutral species [P</w:t>
      </w:r>
      <w:r>
        <w:rPr>
          <w:vertAlign w:val="superscript"/>
        </w:rPr>
        <w:t>0</w:t>
      </w:r>
      <w:r>
        <w:t>] is the ratio of neutral local anesthetic in n-octanol and water; [L</w:t>
      </w:r>
      <w:r w:rsidR="0033344E">
        <w:t>A</w:t>
      </w:r>
      <w:r w:rsidRPr="00DD2FF3">
        <w:rPr>
          <w:vertAlign w:val="superscript"/>
        </w:rPr>
        <w:t>0</w:t>
      </w:r>
      <w:r>
        <w:t>]</w:t>
      </w:r>
      <w:r w:rsidRPr="00DD2FF3">
        <w:rPr>
          <w:vertAlign w:val="subscript"/>
        </w:rPr>
        <w:t>o</w:t>
      </w:r>
      <w:r>
        <w:t>/[L</w:t>
      </w:r>
      <w:r w:rsidR="0033344E">
        <w:t>A</w:t>
      </w:r>
      <w:r w:rsidRPr="00DD2FF3">
        <w:rPr>
          <w:vertAlign w:val="superscript"/>
        </w:rPr>
        <w:t>0</w:t>
      </w:r>
      <w:r>
        <w:t>]</w:t>
      </w:r>
      <w:r w:rsidR="00AB2804">
        <w:rPr>
          <w:vertAlign w:val="subscript"/>
        </w:rPr>
        <w:t>w</w:t>
      </w:r>
      <w:r>
        <w:t>. Similarly, the partition coefficient of protonated species [P</w:t>
      </w:r>
      <w:r w:rsidRPr="00DD2FF3">
        <w:rPr>
          <w:vertAlign w:val="superscript"/>
        </w:rPr>
        <w:t>+</w:t>
      </w:r>
      <w:r>
        <w:t>] is the ratio of protonated local anesthetic in n-octanol and water; [L</w:t>
      </w:r>
      <w:r w:rsidR="0033344E">
        <w:t>A</w:t>
      </w:r>
      <w:r>
        <w:rPr>
          <w:vertAlign w:val="superscript"/>
        </w:rPr>
        <w:t>+</w:t>
      </w:r>
      <w:r>
        <w:t>]</w:t>
      </w:r>
      <w:r w:rsidRPr="00DD2FF3">
        <w:rPr>
          <w:vertAlign w:val="subscript"/>
        </w:rPr>
        <w:t>o</w:t>
      </w:r>
      <w:r>
        <w:t>/[L</w:t>
      </w:r>
      <w:r w:rsidR="0033344E">
        <w:t>A</w:t>
      </w:r>
      <w:r>
        <w:rPr>
          <w:vertAlign w:val="superscript"/>
        </w:rPr>
        <w:t>+</w:t>
      </w:r>
      <w:r>
        <w:t>]</w:t>
      </w:r>
      <w:r w:rsidR="00AB2804">
        <w:rPr>
          <w:vertAlign w:val="subscript"/>
        </w:rPr>
        <w:t>w</w:t>
      </w:r>
      <w:r>
        <w:t>. When we introduce these variables, we get the compact form of the equation:</w:t>
      </w:r>
    </w:p>
    <w:p w14:paraId="7B3A6E18" w14:textId="263402F3" w:rsidR="00BF2E0D" w:rsidRDefault="00BF2E0D" w:rsidP="005B1580"/>
    <w:p w14:paraId="0B9E9944" w14:textId="0BED6698" w:rsidR="00BF2E0D" w:rsidRPr="000B5FAA" w:rsidRDefault="00BF2E0D" w:rsidP="00C80B59">
      <w:pPr>
        <w:jc w:val="center"/>
      </w:pPr>
      <m:oMath>
        <m:r>
          <w:rPr>
            <w:rFonts w:ascii="Cambria Math" w:hAnsi="Cambria Math"/>
          </w:rPr>
          <m:t>Q=</m:t>
        </m:r>
        <m:f>
          <m:fPr>
            <m:ctrlPr>
              <w:rPr>
                <w:rFonts w:ascii="Cambria Math" w:hAnsi="Cambria Math"/>
                <w:i/>
              </w:rPr>
            </m:ctrlPr>
          </m:fPr>
          <m:num>
            <m:sSup>
              <m:sSupPr>
                <m:ctrlPr>
                  <w:rPr>
                    <w:rFonts w:ascii="Cambria Math" w:hAnsi="Cambria Math"/>
                    <w:i/>
                  </w:rPr>
                </m:ctrlPr>
              </m:sSupPr>
              <m:e>
                <m:r>
                  <w:rPr>
                    <w:rFonts w:ascii="Cambria Math" w:hAnsi="Cambria Math"/>
                  </w:rPr>
                  <m:t>P</m:t>
                </m:r>
              </m:e>
              <m:sup>
                <m:r>
                  <w:rPr>
                    <w:rFonts w:ascii="Cambria Math" w:hAnsi="Cambria Math"/>
                  </w:rPr>
                  <m:t>0</m:t>
                </m:r>
              </m:sup>
            </m:sSup>
            <m:r>
              <w:rPr>
                <w:rFonts w:ascii="Cambria Math" w:hAnsi="Cambria Math"/>
              </w:rPr>
              <m:t>+</m:t>
            </m:r>
            <m:sSub>
              <m:sSubPr>
                <m:ctrlPr>
                  <w:rPr>
                    <w:rFonts w:ascii="Cambria Math" w:hAnsi="Cambria Math"/>
                    <w:i/>
                  </w:rPr>
                </m:ctrlPr>
              </m:sSubPr>
              <m:e>
                <m:sSup>
                  <m:sSupPr>
                    <m:ctrlPr>
                      <w:rPr>
                        <w:rFonts w:ascii="Cambria Math" w:hAnsi="Cambria Math"/>
                        <w:i/>
                      </w:rPr>
                    </m:ctrlPr>
                  </m:sSupPr>
                  <m:e>
                    <m:r>
                      <w:rPr>
                        <w:rFonts w:ascii="Cambria Math" w:hAnsi="Cambria Math"/>
                      </w:rPr>
                      <m:t>P</m:t>
                    </m:r>
                  </m:e>
                  <m:sup>
                    <m:r>
                      <w:rPr>
                        <w:rFonts w:ascii="Cambria Math" w:hAnsi="Cambria Math"/>
                      </w:rPr>
                      <m:t>+</m:t>
                    </m:r>
                  </m:sup>
                </m:sSup>
                <m:r>
                  <w:rPr>
                    <w:rFonts w:ascii="Cambria Math" w:hAnsi="Cambria Math"/>
                  </w:rPr>
                  <m:t>[</m:t>
                </m:r>
                <m:sSup>
                  <m:sSupPr>
                    <m:ctrlPr>
                      <w:rPr>
                        <w:rFonts w:ascii="Cambria Math" w:hAnsi="Cambria Math"/>
                        <w:i/>
                      </w:rPr>
                    </m:ctrlPr>
                  </m:sSupPr>
                  <m:e>
                    <m:r>
                      <w:rPr>
                        <w:rFonts w:ascii="Cambria Math" w:hAnsi="Cambria Math"/>
                      </w:rPr>
                      <m:t>LA</m:t>
                    </m:r>
                  </m:e>
                  <m:sup>
                    <m:r>
                      <w:rPr>
                        <w:rFonts w:ascii="Cambria Math" w:hAnsi="Cambria Math"/>
                      </w:rPr>
                      <m:t>+</m:t>
                    </m:r>
                  </m:sup>
                </m:sSup>
                <m:r>
                  <w:rPr>
                    <w:rFonts w:ascii="Cambria Math" w:hAnsi="Cambria Math"/>
                  </w:rPr>
                  <m:t>]</m:t>
                </m:r>
              </m:e>
              <m:sub>
                <m:r>
                  <w:rPr>
                    <w:rFonts w:ascii="Cambria Math" w:hAnsi="Cambria Math"/>
                  </w:rPr>
                  <m:t>w</m:t>
                </m:r>
              </m:sub>
            </m:sSub>
            <m:r>
              <w:rPr>
                <w:rFonts w:ascii="Cambria Math" w:hAnsi="Cambria Math"/>
              </w:rPr>
              <m:t>/</m:t>
            </m:r>
            <m:sSub>
              <m:sSubPr>
                <m:ctrlPr>
                  <w:rPr>
                    <w:rFonts w:ascii="Cambria Math" w:hAnsi="Cambria Math"/>
                    <w:i/>
                  </w:rPr>
                </m:ctrlPr>
              </m:sSubPr>
              <m:e>
                <m:r>
                  <w:rPr>
                    <w:rFonts w:ascii="Cambria Math" w:hAnsi="Cambria Math"/>
                  </w:rPr>
                  <m:t>[</m:t>
                </m:r>
                <m:sSup>
                  <m:sSupPr>
                    <m:ctrlPr>
                      <w:rPr>
                        <w:rFonts w:ascii="Cambria Math" w:hAnsi="Cambria Math"/>
                        <w:i/>
                      </w:rPr>
                    </m:ctrlPr>
                  </m:sSupPr>
                  <m:e>
                    <m:r>
                      <w:rPr>
                        <w:rFonts w:ascii="Cambria Math" w:hAnsi="Cambria Math"/>
                      </w:rPr>
                      <m:t>LA</m:t>
                    </m:r>
                  </m:e>
                  <m:sup>
                    <m:r>
                      <w:rPr>
                        <w:rFonts w:ascii="Cambria Math" w:hAnsi="Cambria Math"/>
                      </w:rPr>
                      <m:t>0</m:t>
                    </m:r>
                  </m:sup>
                </m:sSup>
                <m:r>
                  <w:rPr>
                    <w:rFonts w:ascii="Cambria Math" w:hAnsi="Cambria Math"/>
                  </w:rPr>
                  <m:t>]</m:t>
                </m:r>
              </m:e>
              <m:sub>
                <m:r>
                  <w:rPr>
                    <w:rFonts w:ascii="Cambria Math" w:hAnsi="Cambria Math"/>
                  </w:rPr>
                  <m:t>w</m:t>
                </m:r>
              </m:sub>
            </m:sSub>
          </m:num>
          <m:den>
            <m:r>
              <w:rPr>
                <w:rFonts w:ascii="Cambria Math" w:hAnsi="Cambria Math"/>
              </w:rPr>
              <m:t>1+</m:t>
            </m:r>
            <m:sSub>
              <m:sSubPr>
                <m:ctrlPr>
                  <w:rPr>
                    <w:rFonts w:ascii="Cambria Math" w:hAnsi="Cambria Math"/>
                    <w:i/>
                  </w:rPr>
                </m:ctrlPr>
              </m:sSubPr>
              <m:e>
                <m:sSup>
                  <m:sSupPr>
                    <m:ctrlPr>
                      <w:rPr>
                        <w:rFonts w:ascii="Cambria Math" w:hAnsi="Cambria Math"/>
                        <w:i/>
                      </w:rPr>
                    </m:ctrlPr>
                  </m:sSupPr>
                  <m:e>
                    <m:r>
                      <w:rPr>
                        <w:rFonts w:ascii="Cambria Math" w:hAnsi="Cambria Math"/>
                      </w:rPr>
                      <m:t>[LA</m:t>
                    </m:r>
                  </m:e>
                  <m:sup>
                    <m:r>
                      <w:rPr>
                        <w:rFonts w:ascii="Cambria Math" w:hAnsi="Cambria Math"/>
                      </w:rPr>
                      <m:t>+</m:t>
                    </m:r>
                  </m:sup>
                </m:sSup>
                <m:r>
                  <w:rPr>
                    <w:rFonts w:ascii="Cambria Math" w:hAnsi="Cambria Math"/>
                  </w:rPr>
                  <m:t>]</m:t>
                </m:r>
              </m:e>
              <m:sub>
                <m:r>
                  <w:rPr>
                    <w:rFonts w:ascii="Cambria Math" w:hAnsi="Cambria Math"/>
                  </w:rPr>
                  <m:t>w</m:t>
                </m:r>
              </m:sub>
            </m:sSub>
            <m:r>
              <w:rPr>
                <w:rFonts w:ascii="Cambria Math" w:hAnsi="Cambria Math"/>
              </w:rPr>
              <m:t>/</m:t>
            </m:r>
            <m:sSub>
              <m:sSubPr>
                <m:ctrlPr>
                  <w:rPr>
                    <w:rFonts w:ascii="Cambria Math" w:hAnsi="Cambria Math"/>
                    <w:i/>
                  </w:rPr>
                </m:ctrlPr>
              </m:sSubPr>
              <m:e>
                <m:r>
                  <w:rPr>
                    <w:rFonts w:ascii="Cambria Math" w:hAnsi="Cambria Math"/>
                  </w:rPr>
                  <m:t>[</m:t>
                </m:r>
                <m:sSup>
                  <m:sSupPr>
                    <m:ctrlPr>
                      <w:rPr>
                        <w:rFonts w:ascii="Cambria Math" w:hAnsi="Cambria Math"/>
                        <w:i/>
                      </w:rPr>
                    </m:ctrlPr>
                  </m:sSupPr>
                  <m:e>
                    <m:r>
                      <w:rPr>
                        <w:rFonts w:ascii="Cambria Math" w:hAnsi="Cambria Math"/>
                      </w:rPr>
                      <m:t>LA</m:t>
                    </m:r>
                  </m:e>
                  <m:sup>
                    <m:r>
                      <w:rPr>
                        <w:rFonts w:ascii="Cambria Math" w:hAnsi="Cambria Math"/>
                      </w:rPr>
                      <m:t>0</m:t>
                    </m:r>
                  </m:sup>
                </m:sSup>
                <m:r>
                  <w:rPr>
                    <w:rFonts w:ascii="Cambria Math" w:hAnsi="Cambria Math"/>
                  </w:rPr>
                  <m:t>]</m:t>
                </m:r>
              </m:e>
              <m:sub>
                <m:r>
                  <w:rPr>
                    <w:rFonts w:ascii="Cambria Math" w:hAnsi="Cambria Math"/>
                  </w:rPr>
                  <m:t>w</m:t>
                </m:r>
              </m:sub>
            </m:sSub>
          </m:den>
        </m:f>
      </m:oMath>
      <w:r w:rsidR="00C80B59">
        <w:tab/>
      </w:r>
      <w:r w:rsidR="00C80B59">
        <w:tab/>
        <w:t>(3)</w:t>
      </w:r>
    </w:p>
    <w:p w14:paraId="3CF837FF" w14:textId="77777777" w:rsidR="00C81171" w:rsidRDefault="00C81171" w:rsidP="005B1580"/>
    <w:p w14:paraId="2DC8599A" w14:textId="59A85DA3" w:rsidR="00BF2E0D" w:rsidRDefault="00BF2E0D" w:rsidP="005B1580">
      <w:r>
        <w:t xml:space="preserve">By considering the relation </w:t>
      </w:r>
      <w:r w:rsidRPr="00197C6B">
        <w:rPr>
          <w:i/>
        </w:rPr>
        <w:t>ln(x) = ln(10)log(x)</w:t>
      </w:r>
      <w:r>
        <w:t xml:space="preserve"> and introducing a new variable </w:t>
      </w:r>
      <w:r w:rsidRPr="00197C6B">
        <w:rPr>
          <w:i/>
        </w:rPr>
        <w:t>log β = pH – pK</w:t>
      </w:r>
      <w:r w:rsidRPr="00197C6B">
        <w:rPr>
          <w:i/>
          <w:vertAlign w:val="subscript"/>
        </w:rPr>
        <w:t>a</w:t>
      </w:r>
      <w:r w:rsidR="00EE7DD5">
        <w:t>,</w:t>
      </w:r>
      <w:r>
        <w:t xml:space="preserve"> it is possible to write an equation for local anesthetic distribution coefficient as a function of pH and pK</w:t>
      </w:r>
      <w:r w:rsidRPr="00197C6B">
        <w:rPr>
          <w:vertAlign w:val="subscript"/>
        </w:rPr>
        <w:t>a</w:t>
      </w:r>
      <w:r>
        <w:t>.</w:t>
      </w:r>
    </w:p>
    <w:p w14:paraId="0D2FC44D" w14:textId="348A4169" w:rsidR="00BF2E0D" w:rsidRPr="00197C6B" w:rsidRDefault="00BF2E0D" w:rsidP="00C80B59">
      <w:pPr>
        <w:jc w:val="center"/>
      </w:pPr>
      <m:oMath>
        <m:r>
          <w:rPr>
            <w:rFonts w:ascii="Cambria Math" w:hAnsi="Cambria Math"/>
          </w:rPr>
          <m:t>Q=</m:t>
        </m:r>
        <m:f>
          <m:fPr>
            <m:ctrlPr>
              <w:rPr>
                <w:rFonts w:ascii="Cambria Math" w:hAnsi="Cambria Math"/>
                <w:i/>
              </w:rPr>
            </m:ctrlPr>
          </m:fPr>
          <m:num>
            <m:sSup>
              <m:sSupPr>
                <m:ctrlPr>
                  <w:rPr>
                    <w:rFonts w:ascii="Cambria Math" w:hAnsi="Cambria Math"/>
                    <w:i/>
                  </w:rPr>
                </m:ctrlPr>
              </m:sSupPr>
              <m:e>
                <m:r>
                  <w:rPr>
                    <w:rFonts w:ascii="Cambria Math" w:hAnsi="Cambria Math"/>
                  </w:rPr>
                  <m:t>P</m:t>
                </m:r>
              </m:e>
              <m:sup>
                <m:r>
                  <w:rPr>
                    <w:rFonts w:ascii="Cambria Math" w:hAnsi="Cambria Math"/>
                  </w:rPr>
                  <m:t>0</m:t>
                </m:r>
              </m:sup>
            </m:sSup>
            <m:r>
              <w:rPr>
                <w:rFonts w:ascii="Cambria Math" w:hAnsi="Cambria Math"/>
              </w:rPr>
              <m:t>+</m:t>
            </m:r>
            <m:sSup>
              <m:sSupPr>
                <m:ctrlPr>
                  <w:rPr>
                    <w:rFonts w:ascii="Cambria Math" w:hAnsi="Cambria Math"/>
                    <w:i/>
                  </w:rPr>
                </m:ctrlPr>
              </m:sSupPr>
              <m:e>
                <m:r>
                  <w:rPr>
                    <w:rFonts w:ascii="Cambria Math" w:hAnsi="Cambria Math"/>
                  </w:rPr>
                  <m:t>P</m:t>
                </m:r>
              </m:e>
              <m:sup>
                <m:r>
                  <w:rPr>
                    <w:rFonts w:ascii="Cambria Math" w:hAnsi="Cambria Math"/>
                  </w:rPr>
                  <m:t xml:space="preserve">+ </m:t>
                </m:r>
              </m:sup>
            </m:sSup>
            <m:sSup>
              <m:sSupPr>
                <m:ctrlPr>
                  <w:rPr>
                    <w:rFonts w:ascii="Cambria Math" w:hAnsi="Cambria Math"/>
                    <w:i/>
                  </w:rPr>
                </m:ctrlPr>
              </m:sSupPr>
              <m:e>
                <m:r>
                  <w:rPr>
                    <w:rFonts w:ascii="Cambria Math" w:hAnsi="Cambria Math"/>
                  </w:rPr>
                  <m:t>10</m:t>
                </m:r>
              </m:e>
              <m:sup>
                <m:sSub>
                  <m:sSubPr>
                    <m:ctrlPr>
                      <w:rPr>
                        <w:rFonts w:ascii="Cambria Math" w:hAnsi="Cambria Math"/>
                        <w:i/>
                      </w:rPr>
                    </m:ctrlPr>
                  </m:sSubPr>
                  <m:e>
                    <m:r>
                      <w:rPr>
                        <w:rFonts w:ascii="Cambria Math" w:hAnsi="Cambria Math"/>
                      </w:rPr>
                      <m:t>pK</m:t>
                    </m:r>
                  </m:e>
                  <m:sub>
                    <m:r>
                      <w:rPr>
                        <w:rFonts w:ascii="Cambria Math" w:hAnsi="Cambria Math"/>
                      </w:rPr>
                      <m:t>a</m:t>
                    </m:r>
                  </m:sub>
                </m:sSub>
                <m:r>
                  <w:rPr>
                    <w:rFonts w:ascii="Cambria Math" w:hAnsi="Cambria Math"/>
                  </w:rPr>
                  <m:t>-pH</m:t>
                </m:r>
              </m:sup>
            </m:sSup>
          </m:num>
          <m:den>
            <m:r>
              <w:rPr>
                <w:rFonts w:ascii="Cambria Math" w:hAnsi="Cambria Math"/>
              </w:rPr>
              <m:t>1+</m:t>
            </m:r>
            <m:sSup>
              <m:sSupPr>
                <m:ctrlPr>
                  <w:rPr>
                    <w:rFonts w:ascii="Cambria Math" w:hAnsi="Cambria Math"/>
                    <w:i/>
                  </w:rPr>
                </m:ctrlPr>
              </m:sSupPr>
              <m:e>
                <m:r>
                  <w:rPr>
                    <w:rFonts w:ascii="Cambria Math" w:hAnsi="Cambria Math"/>
                  </w:rPr>
                  <m:t>10</m:t>
                </m:r>
              </m:e>
              <m:sup>
                <m:sSub>
                  <m:sSubPr>
                    <m:ctrlPr>
                      <w:rPr>
                        <w:rFonts w:ascii="Cambria Math" w:hAnsi="Cambria Math"/>
                        <w:i/>
                      </w:rPr>
                    </m:ctrlPr>
                  </m:sSubPr>
                  <m:e>
                    <m:r>
                      <w:rPr>
                        <w:rFonts w:ascii="Cambria Math" w:hAnsi="Cambria Math"/>
                      </w:rPr>
                      <m:t>pK</m:t>
                    </m:r>
                  </m:e>
                  <m:sub>
                    <m:r>
                      <w:rPr>
                        <w:rFonts w:ascii="Cambria Math" w:hAnsi="Cambria Math"/>
                      </w:rPr>
                      <m:t>a</m:t>
                    </m:r>
                  </m:sub>
                </m:sSub>
                <m:r>
                  <w:rPr>
                    <w:rFonts w:ascii="Cambria Math" w:hAnsi="Cambria Math"/>
                  </w:rPr>
                  <m:t>-pH</m:t>
                </m:r>
              </m:sup>
            </m:sSup>
          </m:den>
        </m:f>
        <m:r>
          <w:rPr>
            <w:rFonts w:ascii="Cambria Math" w:hAnsi="Cambria Math"/>
          </w:rPr>
          <m:t xml:space="preserve">= </m:t>
        </m:r>
        <m:f>
          <m:fPr>
            <m:ctrlPr>
              <w:rPr>
                <w:rFonts w:ascii="Cambria Math" w:hAnsi="Cambria Math"/>
                <w:i/>
              </w:rPr>
            </m:ctrlPr>
          </m:fPr>
          <m:num>
            <m:sSup>
              <m:sSupPr>
                <m:ctrlPr>
                  <w:rPr>
                    <w:rFonts w:ascii="Cambria Math" w:hAnsi="Cambria Math"/>
                    <w:i/>
                  </w:rPr>
                </m:ctrlPr>
              </m:sSupPr>
              <m:e>
                <m:r>
                  <w:rPr>
                    <w:rFonts w:ascii="Cambria Math" w:hAnsi="Cambria Math"/>
                  </w:rPr>
                  <m:t>P</m:t>
                </m:r>
              </m:e>
              <m:sup>
                <m:r>
                  <w:rPr>
                    <w:rFonts w:ascii="Cambria Math" w:hAnsi="Cambria Math"/>
                  </w:rPr>
                  <m:t>0</m:t>
                </m:r>
              </m:sup>
            </m:sSup>
            <m:r>
              <w:rPr>
                <w:rFonts w:ascii="Cambria Math" w:hAnsi="Cambria Math"/>
              </w:rPr>
              <m:t>+β</m:t>
            </m:r>
            <m:sSup>
              <m:sSupPr>
                <m:ctrlPr>
                  <w:rPr>
                    <w:rFonts w:ascii="Cambria Math" w:hAnsi="Cambria Math"/>
                    <w:i/>
                  </w:rPr>
                </m:ctrlPr>
              </m:sSupPr>
              <m:e>
                <m:r>
                  <w:rPr>
                    <w:rFonts w:ascii="Cambria Math" w:hAnsi="Cambria Math"/>
                  </w:rPr>
                  <m:t>P</m:t>
                </m:r>
              </m:e>
              <m:sup>
                <m:r>
                  <w:rPr>
                    <w:rFonts w:ascii="Cambria Math" w:hAnsi="Cambria Math"/>
                  </w:rPr>
                  <m:t xml:space="preserve">+ </m:t>
                </m:r>
              </m:sup>
            </m:sSup>
          </m:num>
          <m:den>
            <m:r>
              <w:rPr>
                <w:rFonts w:ascii="Cambria Math" w:hAnsi="Cambria Math"/>
              </w:rPr>
              <m:t>1+β</m:t>
            </m:r>
          </m:den>
        </m:f>
      </m:oMath>
      <w:r w:rsidR="00C80B59">
        <w:tab/>
        <w:t>(4)</w:t>
      </w:r>
    </w:p>
    <w:p w14:paraId="3745731E" w14:textId="77777777" w:rsidR="00C81171" w:rsidRDefault="00C81171" w:rsidP="005B1580"/>
    <w:p w14:paraId="1C5F7210" w14:textId="77777777" w:rsidR="00543C15" w:rsidRDefault="00543C15" w:rsidP="005B1580"/>
    <w:p w14:paraId="155AEEDD" w14:textId="7E096A03" w:rsidR="00543C15" w:rsidRDefault="00543C15" w:rsidP="005B1580">
      <w:r>
        <w:lastRenderedPageBreak/>
        <w:t>Since distribution coefficient is an e</w:t>
      </w:r>
      <w:r w:rsidR="00BF2E0D">
        <w:t>quilibrium constant</w:t>
      </w:r>
      <w:r>
        <w:t xml:space="preserve">, we can calculate the corresponding difference </w:t>
      </w:r>
      <w:r w:rsidR="00EE7DD5">
        <w:t xml:space="preserve">in </w:t>
      </w:r>
      <w:r>
        <w:t xml:space="preserve">free energy of transfer from aqueous solution with certain pH value to the membrane, which is also the difference </w:t>
      </w:r>
      <w:r w:rsidR="00EE7DD5">
        <w:t xml:space="preserve">between </w:t>
      </w:r>
      <w:r>
        <w:t xml:space="preserve">the two energies of solvation. The equation </w:t>
      </w:r>
      <w:r w:rsidR="00EE7DD5">
        <w:t>reads</w:t>
      </w:r>
      <w:r>
        <w:t>:</w:t>
      </w:r>
    </w:p>
    <w:p w14:paraId="7E748B9B" w14:textId="77777777" w:rsidR="004916F0" w:rsidRDefault="004916F0" w:rsidP="005B1580"/>
    <w:p w14:paraId="67AA8960" w14:textId="33A06DE0" w:rsidR="00BF2E0D" w:rsidRDefault="00BF2E0D" w:rsidP="00C80B59">
      <w:pPr>
        <w:jc w:val="center"/>
      </w:pPr>
      <m:oMath>
        <m:r>
          <w:rPr>
            <w:rFonts w:ascii="Cambria Math" w:hAnsi="Cambria Math"/>
          </w:rPr>
          <m:t>ΔG= -</m:t>
        </m:r>
        <m:sSub>
          <m:sSubPr>
            <m:ctrlPr>
              <w:rPr>
                <w:rFonts w:ascii="Cambria Math" w:hAnsi="Cambria Math"/>
                <w:i/>
              </w:rPr>
            </m:ctrlPr>
          </m:sSubPr>
          <m:e>
            <m:r>
              <w:rPr>
                <w:rFonts w:ascii="Cambria Math" w:hAnsi="Cambria Math"/>
              </w:rPr>
              <m:t>k</m:t>
            </m:r>
          </m:e>
          <m:sub>
            <m:r>
              <w:rPr>
                <w:rFonts w:ascii="Cambria Math" w:hAnsi="Cambria Math"/>
              </w:rPr>
              <m:t>B</m:t>
            </m:r>
          </m:sub>
        </m:sSub>
        <m:r>
          <w:rPr>
            <w:rFonts w:ascii="Cambria Math" w:hAnsi="Cambria Math"/>
          </w:rPr>
          <m:t>TlnQ=-</m:t>
        </m:r>
        <m:sSub>
          <m:sSubPr>
            <m:ctrlPr>
              <w:rPr>
                <w:rFonts w:ascii="Cambria Math" w:hAnsi="Cambria Math"/>
                <w:i/>
              </w:rPr>
            </m:ctrlPr>
          </m:sSubPr>
          <m:e>
            <m:r>
              <w:rPr>
                <w:rFonts w:ascii="Cambria Math" w:hAnsi="Cambria Math"/>
              </w:rPr>
              <m:t>k</m:t>
            </m:r>
          </m:e>
          <m:sub>
            <m:r>
              <w:rPr>
                <w:rFonts w:ascii="Cambria Math" w:hAnsi="Cambria Math"/>
              </w:rPr>
              <m:t>B</m:t>
            </m:r>
          </m:sub>
        </m:sSub>
        <m:r>
          <w:rPr>
            <w:rFonts w:ascii="Cambria Math" w:hAnsi="Cambria Math"/>
          </w:rPr>
          <m:t xml:space="preserve">Tln </m:t>
        </m:r>
        <m:f>
          <m:fPr>
            <m:ctrlPr>
              <w:rPr>
                <w:rFonts w:ascii="Cambria Math" w:hAnsi="Cambria Math"/>
                <w:i/>
              </w:rPr>
            </m:ctrlPr>
          </m:fPr>
          <m:num>
            <m:sSup>
              <m:sSupPr>
                <m:ctrlPr>
                  <w:rPr>
                    <w:rFonts w:ascii="Cambria Math" w:hAnsi="Cambria Math"/>
                    <w:i/>
                  </w:rPr>
                </m:ctrlPr>
              </m:sSupPr>
              <m:e>
                <m:r>
                  <w:rPr>
                    <w:rFonts w:ascii="Cambria Math" w:hAnsi="Cambria Math"/>
                  </w:rPr>
                  <m:t>P</m:t>
                </m:r>
              </m:e>
              <m:sup>
                <m:r>
                  <w:rPr>
                    <w:rFonts w:ascii="Cambria Math" w:hAnsi="Cambria Math"/>
                  </w:rPr>
                  <m:t>0</m:t>
                </m:r>
              </m:sup>
            </m:sSup>
            <m:r>
              <w:rPr>
                <w:rFonts w:ascii="Cambria Math" w:hAnsi="Cambria Math"/>
              </w:rPr>
              <m:t>+</m:t>
            </m:r>
            <m:sSup>
              <m:sSupPr>
                <m:ctrlPr>
                  <w:rPr>
                    <w:rFonts w:ascii="Cambria Math" w:hAnsi="Cambria Math"/>
                    <w:i/>
                  </w:rPr>
                </m:ctrlPr>
              </m:sSupPr>
              <m:e>
                <m:r>
                  <w:rPr>
                    <w:rFonts w:ascii="Cambria Math" w:hAnsi="Cambria Math"/>
                  </w:rPr>
                  <m:t>P</m:t>
                </m:r>
              </m:e>
              <m:sup>
                <m:r>
                  <w:rPr>
                    <w:rFonts w:ascii="Cambria Math" w:hAnsi="Cambria Math"/>
                  </w:rPr>
                  <m:t xml:space="preserve">+ </m:t>
                </m:r>
              </m:sup>
            </m:sSup>
            <m:sSup>
              <m:sSupPr>
                <m:ctrlPr>
                  <w:rPr>
                    <w:rFonts w:ascii="Cambria Math" w:hAnsi="Cambria Math"/>
                    <w:i/>
                  </w:rPr>
                </m:ctrlPr>
              </m:sSupPr>
              <m:e>
                <m:r>
                  <w:rPr>
                    <w:rFonts w:ascii="Cambria Math" w:hAnsi="Cambria Math"/>
                  </w:rPr>
                  <m:t>10</m:t>
                </m:r>
              </m:e>
              <m:sup>
                <m:sSub>
                  <m:sSubPr>
                    <m:ctrlPr>
                      <w:rPr>
                        <w:rFonts w:ascii="Cambria Math" w:hAnsi="Cambria Math"/>
                        <w:i/>
                      </w:rPr>
                    </m:ctrlPr>
                  </m:sSubPr>
                  <m:e>
                    <m:r>
                      <w:rPr>
                        <w:rFonts w:ascii="Cambria Math" w:hAnsi="Cambria Math"/>
                      </w:rPr>
                      <m:t>pK</m:t>
                    </m:r>
                  </m:e>
                  <m:sub>
                    <m:r>
                      <w:rPr>
                        <w:rFonts w:ascii="Cambria Math" w:hAnsi="Cambria Math"/>
                      </w:rPr>
                      <m:t>a</m:t>
                    </m:r>
                  </m:sub>
                </m:sSub>
                <m:r>
                  <w:rPr>
                    <w:rFonts w:ascii="Cambria Math" w:hAnsi="Cambria Math"/>
                  </w:rPr>
                  <m:t>-pH</m:t>
                </m:r>
              </m:sup>
            </m:sSup>
          </m:num>
          <m:den>
            <m:r>
              <w:rPr>
                <w:rFonts w:ascii="Cambria Math" w:hAnsi="Cambria Math"/>
              </w:rPr>
              <m:t>1+</m:t>
            </m:r>
            <m:sSup>
              <m:sSupPr>
                <m:ctrlPr>
                  <w:rPr>
                    <w:rFonts w:ascii="Cambria Math" w:hAnsi="Cambria Math"/>
                    <w:i/>
                  </w:rPr>
                </m:ctrlPr>
              </m:sSupPr>
              <m:e>
                <m:r>
                  <w:rPr>
                    <w:rFonts w:ascii="Cambria Math" w:hAnsi="Cambria Math"/>
                  </w:rPr>
                  <m:t>10</m:t>
                </m:r>
              </m:e>
              <m:sup>
                <m:sSub>
                  <m:sSubPr>
                    <m:ctrlPr>
                      <w:rPr>
                        <w:rFonts w:ascii="Cambria Math" w:hAnsi="Cambria Math"/>
                        <w:i/>
                      </w:rPr>
                    </m:ctrlPr>
                  </m:sSubPr>
                  <m:e>
                    <m:r>
                      <w:rPr>
                        <w:rFonts w:ascii="Cambria Math" w:hAnsi="Cambria Math"/>
                      </w:rPr>
                      <m:t>pK</m:t>
                    </m:r>
                  </m:e>
                  <m:sub>
                    <m:r>
                      <w:rPr>
                        <w:rFonts w:ascii="Cambria Math" w:hAnsi="Cambria Math"/>
                      </w:rPr>
                      <m:t>a</m:t>
                    </m:r>
                  </m:sub>
                </m:sSub>
                <m:r>
                  <w:rPr>
                    <w:rFonts w:ascii="Cambria Math" w:hAnsi="Cambria Math"/>
                  </w:rPr>
                  <m:t>-pH</m:t>
                </m:r>
              </m:sup>
            </m:sSup>
          </m:den>
        </m:f>
        <m:r>
          <w:rPr>
            <w:rFonts w:ascii="Cambria Math" w:hAnsi="Cambria Math"/>
          </w:rPr>
          <m:t>=-</m:t>
        </m:r>
        <m:sSub>
          <m:sSubPr>
            <m:ctrlPr>
              <w:rPr>
                <w:rFonts w:ascii="Cambria Math" w:hAnsi="Cambria Math"/>
                <w:i/>
              </w:rPr>
            </m:ctrlPr>
          </m:sSubPr>
          <m:e>
            <m:r>
              <w:rPr>
                <w:rFonts w:ascii="Cambria Math" w:hAnsi="Cambria Math"/>
              </w:rPr>
              <m:t>k</m:t>
            </m:r>
          </m:e>
          <m:sub>
            <m:r>
              <w:rPr>
                <w:rFonts w:ascii="Cambria Math" w:hAnsi="Cambria Math"/>
              </w:rPr>
              <m:t>B</m:t>
            </m:r>
          </m:sub>
        </m:sSub>
        <m:r>
          <w:rPr>
            <w:rFonts w:ascii="Cambria Math" w:hAnsi="Cambria Math"/>
          </w:rPr>
          <m:t>Tln</m:t>
        </m:r>
        <m:f>
          <m:fPr>
            <m:ctrlPr>
              <w:rPr>
                <w:rFonts w:ascii="Cambria Math" w:hAnsi="Cambria Math"/>
                <w:i/>
              </w:rPr>
            </m:ctrlPr>
          </m:fPr>
          <m:num>
            <m:sSup>
              <m:sSupPr>
                <m:ctrlPr>
                  <w:rPr>
                    <w:rFonts w:ascii="Cambria Math" w:hAnsi="Cambria Math"/>
                    <w:i/>
                  </w:rPr>
                </m:ctrlPr>
              </m:sSupPr>
              <m:e>
                <m:r>
                  <w:rPr>
                    <w:rFonts w:ascii="Cambria Math" w:hAnsi="Cambria Math"/>
                  </w:rPr>
                  <m:t>P</m:t>
                </m:r>
              </m:e>
              <m:sup>
                <m:r>
                  <w:rPr>
                    <w:rFonts w:ascii="Cambria Math" w:hAnsi="Cambria Math"/>
                  </w:rPr>
                  <m:t>0</m:t>
                </m:r>
              </m:sup>
            </m:sSup>
            <m:r>
              <w:rPr>
                <w:rFonts w:ascii="Cambria Math" w:hAnsi="Cambria Math"/>
              </w:rPr>
              <m:t>+β</m:t>
            </m:r>
            <m:sSup>
              <m:sSupPr>
                <m:ctrlPr>
                  <w:rPr>
                    <w:rFonts w:ascii="Cambria Math" w:hAnsi="Cambria Math"/>
                    <w:i/>
                  </w:rPr>
                </m:ctrlPr>
              </m:sSupPr>
              <m:e>
                <m:r>
                  <w:rPr>
                    <w:rFonts w:ascii="Cambria Math" w:hAnsi="Cambria Math"/>
                  </w:rPr>
                  <m:t>P</m:t>
                </m:r>
              </m:e>
              <m:sup>
                <m:r>
                  <w:rPr>
                    <w:rFonts w:ascii="Cambria Math" w:hAnsi="Cambria Math"/>
                  </w:rPr>
                  <m:t xml:space="preserve">+ </m:t>
                </m:r>
              </m:sup>
            </m:sSup>
          </m:num>
          <m:den>
            <m:r>
              <w:rPr>
                <w:rFonts w:ascii="Cambria Math" w:hAnsi="Cambria Math"/>
              </w:rPr>
              <m:t>1+β</m:t>
            </m:r>
          </m:den>
        </m:f>
      </m:oMath>
      <w:r>
        <w:t xml:space="preserve"> </w:t>
      </w:r>
      <w:r w:rsidR="00C80B59">
        <w:tab/>
        <w:t>(5)</w:t>
      </w:r>
    </w:p>
    <w:p w14:paraId="7A287C05" w14:textId="77777777" w:rsidR="00C81171" w:rsidRDefault="00C81171" w:rsidP="005B1580"/>
    <w:p w14:paraId="3DFF6AF8" w14:textId="77777777" w:rsidR="00BA5007" w:rsidRDefault="00BA5007" w:rsidP="005B1580">
      <w:pPr>
        <w:rPr>
          <w:b/>
        </w:rPr>
      </w:pPr>
      <w:r>
        <w:rPr>
          <w:b/>
        </w:rPr>
        <w:br w:type="page"/>
      </w:r>
    </w:p>
    <w:p w14:paraId="1D76C6B9" w14:textId="79E414D0" w:rsidR="00D0591D" w:rsidRDefault="00E12CBE" w:rsidP="009E49BF">
      <w:pPr>
        <w:pStyle w:val="Heading1"/>
      </w:pPr>
      <w:r w:rsidRPr="00E12CBE">
        <w:lastRenderedPageBreak/>
        <w:t>Results</w:t>
      </w:r>
    </w:p>
    <w:p w14:paraId="0D8DEC31" w14:textId="1271DD17" w:rsidR="00D0591D" w:rsidRDefault="00D0591D" w:rsidP="005B1580">
      <w:r>
        <w:t xml:space="preserve">Experimental </w:t>
      </w:r>
      <w:r w:rsidRPr="00A62492">
        <w:t>pK</w:t>
      </w:r>
      <w:r w:rsidRPr="00A62492">
        <w:rPr>
          <w:vertAlign w:val="subscript"/>
        </w:rPr>
        <w:t>a</w:t>
      </w:r>
      <w:r w:rsidRPr="00A62492">
        <w:t xml:space="preserve"> values</w:t>
      </w:r>
      <w:r>
        <w:t>,</w:t>
      </w:r>
      <w:r w:rsidRPr="00A62492">
        <w:t xml:space="preserve"> </w:t>
      </w:r>
      <w:r w:rsidR="00E2542B" w:rsidRPr="00E2542B">
        <w:t>n-octanol/water partition coefficient</w:t>
      </w:r>
      <w:r w:rsidR="00E2542B">
        <w:t>s</w:t>
      </w:r>
      <w:r w:rsidR="00E2542B" w:rsidRPr="00E2542B">
        <w:t xml:space="preserve"> </w:t>
      </w:r>
      <w:r>
        <w:t xml:space="preserve">and calculated free energy differences </w:t>
      </w:r>
      <w:r w:rsidRPr="00A62492">
        <w:t xml:space="preserve">for studied </w:t>
      </w:r>
      <w:r>
        <w:t>local anesthetics are collected in Table 1. Please note that all experimental values are from the article of Stricharz et al.</w:t>
      </w:r>
      <w:r w:rsidR="00C80B59">
        <w:fldChar w:fldCharType="begin" w:fldLock="1"/>
      </w:r>
      <w:r w:rsidR="00ED22B1">
        <w:instrText>ADDIN CSL_CITATION {"citationItems":[{"id":"ITEM-1","itemData":{"DOI":"10.1213/00000539-199008000-00008","ISSN":"0003-2999","PMID":"2375517","abstract":"Because local anesthetic molecules interact with ion channel proteins embedded in membranes to effect impulse blockade, and because their clinical potency often depends on both vascular absorption and distribution into the tissue surrounding the site of deposition, the ability to partition into these various compartments is an important determinant of local anesthetic action. Therefore, the hydrophobic nature of local anesthetics used clinically was characterized by the octanol:buffer partition coefficients of their charged (P+) and neutral (Po) species. This was accomplished by previously described optical methods in which direct spectrophotometric measurement of both the pH-dependent distribution coefficient (Q) and of the ionization permit calculation of the pKa and partition coefficients. The rates of alkaline hydrolysis of ester-linked molecules also were measured to assess potential interference of such hydrolysis with the physicochemical assays. Results indicate that the hydrophobicity of a local anesthetic is increased by manipulation of the molecular structure at three sites: (a) the aromatic ring; (b) the intermediate linking group; and (c) the tertiary amine. Po for the agents studied was 10(3)-10(5) times greater than P+. Although there is no systematic relationship between hydrophobicity and pKa, the latter is greater with ester-linked (pKa = 8.59-9.30) than with amide-linked (pKa = 7.92-8.21) local anesthetics. All of the charged species, with the exception of bupivacaine, selectively partition into the aqueous environment (P+ less than 1.0). The temperature dependence of partitioning of the local anesthetics, measured at 25 and 36 degrees C, indicates an entropy-driven hydrophobic uptake. Solutions buffered with bicarbonate and including 5% CO2 showed the same local anesthetic partitioning as that of CO2-free solutions, suggesting that potentiation of impulse blockade by CO2 is not due to increased membrane uptake. Correlations of physicochemical properties of local anesthetics with potencies on isolated nerve confirm that the more potent local anesthetics have greater octanol:buffer partition coefficients, and that the ester-linked local anesthetics are more potent than their amide-linked counterparts having the same hydrophobicities. The correlations of structure with potency also suggest that the extracellular protonated species may contribute to impulse blockade.","author":[{"dropping-particle":"","family":"Strichartz","given":"G R","non-dropping-particle":"","parse-names":false,"suffix":""},{"dropping-particle":"","family":"Sanchez","given":"V","non-dropping-particle":"","parse-names":false,"suffix":""},{"dropping-particle":"","family":"Arthur","given":"G R","non-dropping-particle":"","parse-names":false,"suffix":""},{"dropping-particle":"","family":"Chafetz","given":"R","non-dropping-particle":"","parse-names":false,"suffix":""},{"dropping-particle":"","family":"Martin","given":"D","non-dropping-particle":"","parse-names":false,"suffix":""}],"container-title":"Anesthesia and analgesia","id":"ITEM-1","issue":"2","issued":{"date-parts":[["1990","8"]]},"page":"158-170","title":"Fundamental properties of local anesthetics. II. Measured octanol:buffer partition coefficients and pKa values of clinically used drugs.","type":"article-journal","volume":"71"},"uris":["http://www.mendeley.com/documents/?uuid=7c1ecf95-cf25-4b6f-b6b7-bcc3293d6d4e"]}],"mendeley":{"formattedCitation":"&lt;sup&gt;3&lt;/sup&gt;","plainTextFormattedCitation":"3","previouslyFormattedCitation":"&lt;sup&gt;3&lt;/sup&gt;"},"properties":{"noteIndex":0},"schema":"https://github.com/citation-style-language/schema/raw/master/csl-citation.json"}</w:instrText>
      </w:r>
      <w:r w:rsidR="00C80B59">
        <w:fldChar w:fldCharType="separate"/>
      </w:r>
      <w:r w:rsidR="00ED22B1" w:rsidRPr="00ED22B1">
        <w:rPr>
          <w:noProof/>
          <w:vertAlign w:val="superscript"/>
        </w:rPr>
        <w:t>3</w:t>
      </w:r>
      <w:r w:rsidR="00C80B59">
        <w:fldChar w:fldCharType="end"/>
      </w:r>
    </w:p>
    <w:p w14:paraId="67E21466" w14:textId="77777777" w:rsidR="00C81171" w:rsidRDefault="00C81171" w:rsidP="005B1580">
      <w:pPr>
        <w:rPr>
          <w:b/>
        </w:rPr>
      </w:pPr>
    </w:p>
    <w:p w14:paraId="6853F7D5" w14:textId="139B1A4B" w:rsidR="00D0591D" w:rsidRDefault="00D0591D" w:rsidP="005B1580">
      <w:r>
        <w:rPr>
          <w:b/>
        </w:rPr>
        <w:t>T</w:t>
      </w:r>
      <w:r w:rsidRPr="000809FD">
        <w:rPr>
          <w:b/>
        </w:rPr>
        <w:t>able 1:</w:t>
      </w:r>
      <w:r>
        <w:t xml:space="preserve"> </w:t>
      </w:r>
      <w:r w:rsidRPr="002B5843">
        <w:rPr>
          <w:b/>
          <w:bCs/>
        </w:rPr>
        <w:t>Experimental pK</w:t>
      </w:r>
      <w:r w:rsidRPr="002B5843">
        <w:rPr>
          <w:b/>
          <w:bCs/>
          <w:vertAlign w:val="subscript"/>
        </w:rPr>
        <w:t>a</w:t>
      </w:r>
      <w:r w:rsidRPr="002B5843">
        <w:rPr>
          <w:b/>
          <w:bCs/>
        </w:rPr>
        <w:t xml:space="preserve"> (acid dissociation constant) values, </w:t>
      </w:r>
      <w:r w:rsidR="00E2542B" w:rsidRPr="002B5843">
        <w:rPr>
          <w:b/>
          <w:bCs/>
        </w:rPr>
        <w:t>n-octanol/water partition coefficients</w:t>
      </w:r>
      <w:r w:rsidRPr="002B5843">
        <w:rPr>
          <w:b/>
          <w:bCs/>
        </w:rPr>
        <w:t xml:space="preserve"> and calculated free energy differences for studied local anesthetics</w:t>
      </w:r>
      <w:r>
        <w:t xml:space="preserve">. </w:t>
      </w:r>
      <w:r w:rsidRPr="00A62492">
        <w:t>pK</w:t>
      </w:r>
      <w:r w:rsidRPr="00D0591D">
        <w:rPr>
          <w:vertAlign w:val="subscript"/>
        </w:rPr>
        <w:t>a</w:t>
      </w:r>
      <w:r w:rsidRPr="000809FD">
        <w:rPr>
          <w:vertAlign w:val="superscript"/>
        </w:rPr>
        <w:t>exp</w:t>
      </w:r>
      <w:r w:rsidRPr="00A62492">
        <w:t xml:space="preserve"> values </w:t>
      </w:r>
      <w:r>
        <w:t xml:space="preserve">refer to the experimentally calculated acid dissociation constants and </w:t>
      </w:r>
      <w:r w:rsidRPr="00A62492">
        <w:t>were determined by</w:t>
      </w:r>
      <w:r>
        <w:t xml:space="preserve"> the </w:t>
      </w:r>
      <w:r w:rsidRPr="00A62492">
        <w:t>spectrophotometrical method. All experiments were performed at 25</w:t>
      </w:r>
      <w:r w:rsidR="00EE7DD5">
        <w:t xml:space="preserve"> °</w:t>
      </w:r>
      <w:r w:rsidRPr="00A62492">
        <w:t>C.</w:t>
      </w:r>
      <w:r>
        <w:t xml:space="preserve"> P</w:t>
      </w:r>
      <w:r w:rsidRPr="000809FD">
        <w:rPr>
          <w:vertAlign w:val="superscript"/>
        </w:rPr>
        <w:t>0</w:t>
      </w:r>
      <w:r>
        <w:t xml:space="preserve"> is the </w:t>
      </w:r>
      <w:r w:rsidRPr="000809FD">
        <w:t>n-octanol/water partition coefficient</w:t>
      </w:r>
      <w:r>
        <w:t xml:space="preserve"> for the neutr</w:t>
      </w:r>
      <w:r w:rsidR="00863887">
        <w:t>al form of local anesthetic</w:t>
      </w:r>
      <w:r>
        <w:t>, P</w:t>
      </w:r>
      <w:r w:rsidRPr="000809FD">
        <w:rPr>
          <w:vertAlign w:val="superscript"/>
        </w:rPr>
        <w:t>+</w:t>
      </w:r>
      <w:r>
        <w:t xml:space="preserve"> is the protonated form.</w:t>
      </w:r>
      <w:r w:rsidRPr="00A62492">
        <w:t xml:space="preserve"> ΔG</w:t>
      </w:r>
      <w:r w:rsidRPr="00A62492">
        <w:rPr>
          <w:vertAlign w:val="subscript"/>
        </w:rPr>
        <w:t>wo</w:t>
      </w:r>
      <w:r w:rsidRPr="00A62492">
        <w:rPr>
          <w:vertAlign w:val="superscript"/>
        </w:rPr>
        <w:t>0</w:t>
      </w:r>
      <w:r w:rsidRPr="00A62492">
        <w:t xml:space="preserve"> refers to free energy </w:t>
      </w:r>
      <w:r w:rsidR="00863887">
        <w:t xml:space="preserve">for transfer of unprotonated </w:t>
      </w:r>
      <w:r w:rsidR="00863887">
        <w:rPr>
          <w:rFonts w:eastAsia="Times"/>
        </w:rPr>
        <w:t>local anesthetics</w:t>
      </w:r>
      <w:r w:rsidRPr="00A62492">
        <w:t xml:space="preserve"> from water to n-octanol, while ΔG</w:t>
      </w:r>
      <w:r w:rsidRPr="00A62492">
        <w:rPr>
          <w:vertAlign w:val="subscript"/>
        </w:rPr>
        <w:t>wo</w:t>
      </w:r>
      <w:r w:rsidRPr="00A62492">
        <w:rPr>
          <w:vertAlign w:val="superscript"/>
        </w:rPr>
        <w:t>+</w:t>
      </w:r>
      <w:r w:rsidRPr="00A62492">
        <w:t xml:space="preserve"> is the corresponding value for protonated species.</w:t>
      </w:r>
    </w:p>
    <w:p w14:paraId="43CAB88D" w14:textId="77777777" w:rsidR="00270FC4" w:rsidRDefault="00270FC4" w:rsidP="005B1580"/>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85" w:type="dxa"/>
          <w:bottom w:w="28" w:type="dxa"/>
          <w:right w:w="85" w:type="dxa"/>
        </w:tblCellMar>
        <w:tblLook w:val="04A0" w:firstRow="1" w:lastRow="0" w:firstColumn="1" w:lastColumn="0" w:noHBand="0" w:noVBand="1"/>
      </w:tblPr>
      <w:tblGrid>
        <w:gridCol w:w="1883"/>
        <w:gridCol w:w="1219"/>
        <w:gridCol w:w="1219"/>
        <w:gridCol w:w="1219"/>
        <w:gridCol w:w="1219"/>
        <w:gridCol w:w="1219"/>
        <w:gridCol w:w="1218"/>
      </w:tblGrid>
      <w:tr w:rsidR="00270FC4" w:rsidRPr="00F40447" w14:paraId="527177B1" w14:textId="77777777" w:rsidTr="00A755C0">
        <w:trPr>
          <w:trHeight w:val="598"/>
        </w:trPr>
        <w:tc>
          <w:tcPr>
            <w:tcW w:w="1023" w:type="pct"/>
            <w:tcBorders>
              <w:bottom w:val="single" w:sz="12" w:space="0" w:color="auto"/>
            </w:tcBorders>
            <w:vAlign w:val="bottom"/>
          </w:tcPr>
          <w:p w14:paraId="623209D1" w14:textId="77777777" w:rsidR="00270FC4" w:rsidRPr="00F40447" w:rsidRDefault="00270FC4" w:rsidP="00A755C0"/>
          <w:p w14:paraId="34AF8E4A" w14:textId="77777777" w:rsidR="00270FC4" w:rsidRPr="00F40447" w:rsidRDefault="00270FC4" w:rsidP="00A755C0">
            <w:pPr>
              <w:rPr>
                <w:b/>
              </w:rPr>
            </w:pPr>
            <w:r w:rsidRPr="00F40447">
              <w:rPr>
                <w:b/>
              </w:rPr>
              <w:t>Local anesthetic</w:t>
            </w:r>
          </w:p>
        </w:tc>
        <w:tc>
          <w:tcPr>
            <w:tcW w:w="663" w:type="pct"/>
            <w:tcBorders>
              <w:bottom w:val="single" w:sz="12" w:space="0" w:color="auto"/>
            </w:tcBorders>
            <w:vAlign w:val="bottom"/>
          </w:tcPr>
          <w:p w14:paraId="4DF26DEC" w14:textId="77777777" w:rsidR="00270FC4" w:rsidRPr="00F40447" w:rsidRDefault="00270FC4" w:rsidP="00A755C0">
            <w:pPr>
              <w:jc w:val="left"/>
              <w:rPr>
                <w:b/>
              </w:rPr>
            </w:pPr>
            <w:r>
              <w:rPr>
                <w:b/>
              </w:rPr>
              <w:t>Type</w:t>
            </w:r>
          </w:p>
        </w:tc>
        <w:tc>
          <w:tcPr>
            <w:tcW w:w="663" w:type="pct"/>
            <w:tcBorders>
              <w:bottom w:val="single" w:sz="12" w:space="0" w:color="auto"/>
            </w:tcBorders>
            <w:vAlign w:val="bottom"/>
          </w:tcPr>
          <w:p w14:paraId="686FC3AF" w14:textId="77777777" w:rsidR="00270FC4" w:rsidRPr="00F40447" w:rsidRDefault="00270FC4" w:rsidP="00A755C0">
            <w:pPr>
              <w:rPr>
                <w:b/>
                <w:vertAlign w:val="superscript"/>
              </w:rPr>
            </w:pPr>
            <w:r w:rsidRPr="00F40447">
              <w:rPr>
                <w:b/>
              </w:rPr>
              <w:t>pK</w:t>
            </w:r>
            <w:r w:rsidRPr="00F40447">
              <w:rPr>
                <w:b/>
                <w:vertAlign w:val="subscript"/>
              </w:rPr>
              <w:t>a</w:t>
            </w:r>
            <w:r w:rsidRPr="00F40447">
              <w:rPr>
                <w:b/>
                <w:vertAlign w:val="superscript"/>
              </w:rPr>
              <w:t>exp</w:t>
            </w:r>
          </w:p>
        </w:tc>
        <w:tc>
          <w:tcPr>
            <w:tcW w:w="663" w:type="pct"/>
            <w:tcBorders>
              <w:bottom w:val="single" w:sz="12" w:space="0" w:color="auto"/>
            </w:tcBorders>
            <w:vAlign w:val="bottom"/>
          </w:tcPr>
          <w:p w14:paraId="22B2FF52" w14:textId="77777777" w:rsidR="00270FC4" w:rsidRPr="00F40447" w:rsidRDefault="00270FC4" w:rsidP="00A755C0">
            <w:pPr>
              <w:rPr>
                <w:b/>
              </w:rPr>
            </w:pPr>
            <w:r w:rsidRPr="00F40447">
              <w:rPr>
                <w:b/>
              </w:rPr>
              <w:t>P</w:t>
            </w:r>
            <w:r w:rsidRPr="00F40447">
              <w:rPr>
                <w:b/>
                <w:vertAlign w:val="superscript"/>
              </w:rPr>
              <w:t>0</w:t>
            </w:r>
          </w:p>
        </w:tc>
        <w:tc>
          <w:tcPr>
            <w:tcW w:w="663" w:type="pct"/>
            <w:tcBorders>
              <w:bottom w:val="single" w:sz="12" w:space="0" w:color="auto"/>
            </w:tcBorders>
            <w:vAlign w:val="bottom"/>
          </w:tcPr>
          <w:p w14:paraId="47F9B219" w14:textId="77777777" w:rsidR="00270FC4" w:rsidRPr="00F40447" w:rsidRDefault="00270FC4" w:rsidP="00A755C0">
            <w:pPr>
              <w:rPr>
                <w:b/>
              </w:rPr>
            </w:pPr>
            <w:r w:rsidRPr="00F40447">
              <w:rPr>
                <w:b/>
              </w:rPr>
              <w:t>P</w:t>
            </w:r>
            <w:r w:rsidRPr="00F40447">
              <w:rPr>
                <w:b/>
                <w:vertAlign w:val="superscript"/>
              </w:rPr>
              <w:t>+</w:t>
            </w:r>
          </w:p>
        </w:tc>
        <w:tc>
          <w:tcPr>
            <w:tcW w:w="663" w:type="pct"/>
            <w:tcBorders>
              <w:bottom w:val="single" w:sz="12" w:space="0" w:color="auto"/>
            </w:tcBorders>
            <w:vAlign w:val="bottom"/>
          </w:tcPr>
          <w:p w14:paraId="51324398" w14:textId="77777777" w:rsidR="00270FC4" w:rsidRPr="00F40447" w:rsidRDefault="00270FC4" w:rsidP="00A755C0">
            <w:pPr>
              <w:rPr>
                <w:b/>
                <w:vertAlign w:val="superscript"/>
              </w:rPr>
            </w:pPr>
            <w:r w:rsidRPr="00F40447">
              <w:rPr>
                <w:b/>
              </w:rPr>
              <w:t>ΔG</w:t>
            </w:r>
            <w:r w:rsidRPr="00F40447">
              <w:rPr>
                <w:b/>
                <w:vertAlign w:val="subscript"/>
              </w:rPr>
              <w:t>wo</w:t>
            </w:r>
            <w:r w:rsidRPr="00F40447">
              <w:rPr>
                <w:b/>
                <w:vertAlign w:val="superscript"/>
              </w:rPr>
              <w:t>0</w:t>
            </w:r>
          </w:p>
          <w:p w14:paraId="1058083F" w14:textId="77777777" w:rsidR="00270FC4" w:rsidRPr="00F40447" w:rsidRDefault="00270FC4" w:rsidP="00A755C0">
            <w:r w:rsidRPr="00F40447">
              <w:t>(kcal mol</w:t>
            </w:r>
            <w:r w:rsidRPr="00F40447">
              <w:rPr>
                <w:vertAlign w:val="superscript"/>
              </w:rPr>
              <w:t>-1</w:t>
            </w:r>
            <w:r w:rsidRPr="00F40447">
              <w:t>)</w:t>
            </w:r>
          </w:p>
        </w:tc>
        <w:tc>
          <w:tcPr>
            <w:tcW w:w="662" w:type="pct"/>
            <w:tcBorders>
              <w:bottom w:val="single" w:sz="12" w:space="0" w:color="auto"/>
            </w:tcBorders>
            <w:vAlign w:val="bottom"/>
          </w:tcPr>
          <w:p w14:paraId="1C410D30" w14:textId="77777777" w:rsidR="00270FC4" w:rsidRPr="00F40447" w:rsidRDefault="00270FC4" w:rsidP="00A755C0">
            <w:pPr>
              <w:rPr>
                <w:b/>
                <w:vertAlign w:val="superscript"/>
              </w:rPr>
            </w:pPr>
            <w:r w:rsidRPr="00F40447">
              <w:rPr>
                <w:b/>
              </w:rPr>
              <w:t>ΔG</w:t>
            </w:r>
            <w:r w:rsidRPr="00F40447">
              <w:rPr>
                <w:b/>
                <w:vertAlign w:val="subscript"/>
              </w:rPr>
              <w:t>wo</w:t>
            </w:r>
            <w:r w:rsidRPr="00F40447">
              <w:rPr>
                <w:b/>
                <w:vertAlign w:val="superscript"/>
              </w:rPr>
              <w:t>+</w:t>
            </w:r>
          </w:p>
          <w:p w14:paraId="06A3BC0A" w14:textId="77777777" w:rsidR="00270FC4" w:rsidRPr="00F40447" w:rsidRDefault="00270FC4" w:rsidP="00A755C0">
            <w:r w:rsidRPr="00F40447">
              <w:t>(kcal mol</w:t>
            </w:r>
            <w:r w:rsidRPr="00F40447">
              <w:rPr>
                <w:vertAlign w:val="superscript"/>
              </w:rPr>
              <w:t>-1</w:t>
            </w:r>
            <w:r w:rsidRPr="00F40447">
              <w:t>)</w:t>
            </w:r>
          </w:p>
        </w:tc>
      </w:tr>
      <w:tr w:rsidR="00270FC4" w:rsidRPr="00F40447" w14:paraId="337A770D" w14:textId="77777777" w:rsidTr="00A755C0">
        <w:trPr>
          <w:trHeight w:val="52"/>
        </w:trPr>
        <w:tc>
          <w:tcPr>
            <w:tcW w:w="1023" w:type="pct"/>
            <w:vAlign w:val="center"/>
          </w:tcPr>
          <w:p w14:paraId="660993A5" w14:textId="77777777" w:rsidR="00270FC4" w:rsidRPr="00F40447" w:rsidRDefault="00270FC4" w:rsidP="00A755C0">
            <w:r>
              <w:t>Procaine</w:t>
            </w:r>
          </w:p>
        </w:tc>
        <w:tc>
          <w:tcPr>
            <w:tcW w:w="663" w:type="pct"/>
          </w:tcPr>
          <w:p w14:paraId="187212AF" w14:textId="77777777" w:rsidR="00270FC4" w:rsidRPr="00F40447" w:rsidRDefault="00270FC4" w:rsidP="00A755C0">
            <w:r>
              <w:t>ester</w:t>
            </w:r>
          </w:p>
        </w:tc>
        <w:tc>
          <w:tcPr>
            <w:tcW w:w="663" w:type="pct"/>
            <w:vAlign w:val="center"/>
          </w:tcPr>
          <w:p w14:paraId="6B439312" w14:textId="77777777" w:rsidR="00270FC4" w:rsidRPr="00F40447" w:rsidRDefault="00270FC4" w:rsidP="00A755C0">
            <w:r>
              <w:t>9.06</w:t>
            </w:r>
          </w:p>
        </w:tc>
        <w:tc>
          <w:tcPr>
            <w:tcW w:w="663" w:type="pct"/>
            <w:vAlign w:val="center"/>
          </w:tcPr>
          <w:p w14:paraId="1A6E0F07" w14:textId="77777777" w:rsidR="00270FC4" w:rsidRPr="00F40447" w:rsidRDefault="00270FC4" w:rsidP="00A755C0">
            <w:r>
              <w:t>81</w:t>
            </w:r>
          </w:p>
        </w:tc>
        <w:tc>
          <w:tcPr>
            <w:tcW w:w="663" w:type="pct"/>
            <w:vAlign w:val="center"/>
          </w:tcPr>
          <w:p w14:paraId="0B435231" w14:textId="77777777" w:rsidR="00270FC4" w:rsidRPr="00F40447" w:rsidRDefault="00270FC4" w:rsidP="00A755C0">
            <w:r>
              <w:t>0.002</w:t>
            </w:r>
          </w:p>
        </w:tc>
        <w:tc>
          <w:tcPr>
            <w:tcW w:w="663" w:type="pct"/>
            <w:vAlign w:val="center"/>
          </w:tcPr>
          <w:p w14:paraId="30B4E2B1" w14:textId="77777777" w:rsidR="00270FC4" w:rsidRPr="00F40447" w:rsidRDefault="00270FC4" w:rsidP="00A755C0">
            <w:r>
              <w:t>-2.60</w:t>
            </w:r>
          </w:p>
        </w:tc>
        <w:tc>
          <w:tcPr>
            <w:tcW w:w="662" w:type="pct"/>
            <w:vAlign w:val="center"/>
          </w:tcPr>
          <w:p w14:paraId="26695F51" w14:textId="77777777" w:rsidR="00270FC4" w:rsidRPr="00F40447" w:rsidRDefault="00270FC4" w:rsidP="00A755C0">
            <w:r>
              <w:t>3.68</w:t>
            </w:r>
          </w:p>
        </w:tc>
      </w:tr>
      <w:tr w:rsidR="00270FC4" w:rsidRPr="00F40447" w14:paraId="5A1CF77C" w14:textId="77777777" w:rsidTr="00A755C0">
        <w:trPr>
          <w:trHeight w:val="52"/>
        </w:trPr>
        <w:tc>
          <w:tcPr>
            <w:tcW w:w="1023" w:type="pct"/>
            <w:vAlign w:val="center"/>
          </w:tcPr>
          <w:p w14:paraId="7C35F247" w14:textId="38E0AB00" w:rsidR="00270FC4" w:rsidRPr="00F40447" w:rsidRDefault="00270FC4" w:rsidP="00A755C0">
            <w:r>
              <w:t>2</w:t>
            </w:r>
            <w:r w:rsidR="00EE7DD5">
              <w:t>-</w:t>
            </w:r>
            <w:r>
              <w:t>chloroprocaine</w:t>
            </w:r>
          </w:p>
        </w:tc>
        <w:tc>
          <w:tcPr>
            <w:tcW w:w="663" w:type="pct"/>
          </w:tcPr>
          <w:p w14:paraId="3C9C95B7" w14:textId="77777777" w:rsidR="00270FC4" w:rsidRPr="00F40447" w:rsidRDefault="00270FC4" w:rsidP="00A755C0">
            <w:r>
              <w:t>ester</w:t>
            </w:r>
          </w:p>
        </w:tc>
        <w:tc>
          <w:tcPr>
            <w:tcW w:w="663" w:type="pct"/>
            <w:vAlign w:val="center"/>
          </w:tcPr>
          <w:p w14:paraId="5E285423" w14:textId="77777777" w:rsidR="00270FC4" w:rsidRPr="00F40447" w:rsidRDefault="00270FC4" w:rsidP="00A755C0">
            <w:r>
              <w:t>9.30</w:t>
            </w:r>
          </w:p>
        </w:tc>
        <w:tc>
          <w:tcPr>
            <w:tcW w:w="663" w:type="pct"/>
            <w:vAlign w:val="center"/>
          </w:tcPr>
          <w:p w14:paraId="4C30A791" w14:textId="77777777" w:rsidR="00270FC4" w:rsidRPr="00F40447" w:rsidRDefault="00270FC4" w:rsidP="00A755C0">
            <w:r>
              <w:t>720</w:t>
            </w:r>
          </w:p>
        </w:tc>
        <w:tc>
          <w:tcPr>
            <w:tcW w:w="663" w:type="pct"/>
            <w:vAlign w:val="center"/>
          </w:tcPr>
          <w:p w14:paraId="01995240" w14:textId="77777777" w:rsidR="00270FC4" w:rsidRPr="00F40447" w:rsidRDefault="00270FC4" w:rsidP="00A755C0">
            <w:r>
              <w:t>0.026</w:t>
            </w:r>
          </w:p>
        </w:tc>
        <w:tc>
          <w:tcPr>
            <w:tcW w:w="663" w:type="pct"/>
            <w:vAlign w:val="center"/>
          </w:tcPr>
          <w:p w14:paraId="71F51C4A" w14:textId="77777777" w:rsidR="00270FC4" w:rsidRPr="00F40447" w:rsidRDefault="00270FC4" w:rsidP="00A755C0">
            <w:r>
              <w:t>-3.90</w:t>
            </w:r>
          </w:p>
        </w:tc>
        <w:tc>
          <w:tcPr>
            <w:tcW w:w="662" w:type="pct"/>
            <w:vAlign w:val="center"/>
          </w:tcPr>
          <w:p w14:paraId="634B482E" w14:textId="77777777" w:rsidR="00270FC4" w:rsidRPr="00F40447" w:rsidRDefault="00270FC4" w:rsidP="00A755C0">
            <w:r>
              <w:t>2.16</w:t>
            </w:r>
          </w:p>
        </w:tc>
      </w:tr>
      <w:tr w:rsidR="00270FC4" w:rsidRPr="00F40447" w14:paraId="38C97948" w14:textId="77777777" w:rsidTr="00A755C0">
        <w:trPr>
          <w:trHeight w:val="42"/>
        </w:trPr>
        <w:tc>
          <w:tcPr>
            <w:tcW w:w="1023" w:type="pct"/>
            <w:vAlign w:val="center"/>
          </w:tcPr>
          <w:p w14:paraId="244F23AB" w14:textId="77777777" w:rsidR="00270FC4" w:rsidRPr="00F40447" w:rsidRDefault="00270FC4" w:rsidP="00A755C0">
            <w:r w:rsidRPr="00F40447">
              <w:t>Lidocaine</w:t>
            </w:r>
          </w:p>
        </w:tc>
        <w:tc>
          <w:tcPr>
            <w:tcW w:w="663" w:type="pct"/>
          </w:tcPr>
          <w:p w14:paraId="0B1825E0" w14:textId="77777777" w:rsidR="00270FC4" w:rsidRPr="00F40447" w:rsidRDefault="00270FC4" w:rsidP="00A755C0">
            <w:r>
              <w:t>amide</w:t>
            </w:r>
          </w:p>
        </w:tc>
        <w:tc>
          <w:tcPr>
            <w:tcW w:w="663" w:type="pct"/>
            <w:vAlign w:val="center"/>
          </w:tcPr>
          <w:p w14:paraId="3871B22E" w14:textId="77777777" w:rsidR="00270FC4" w:rsidRPr="00F40447" w:rsidRDefault="00270FC4" w:rsidP="00A755C0">
            <w:r w:rsidRPr="00F40447">
              <w:t>8.19</w:t>
            </w:r>
          </w:p>
        </w:tc>
        <w:tc>
          <w:tcPr>
            <w:tcW w:w="663" w:type="pct"/>
            <w:vAlign w:val="center"/>
          </w:tcPr>
          <w:p w14:paraId="7CCD6433" w14:textId="77777777" w:rsidR="00270FC4" w:rsidRPr="00F40447" w:rsidRDefault="00270FC4" w:rsidP="00A755C0">
            <w:r w:rsidRPr="00F40447">
              <w:t>304</w:t>
            </w:r>
          </w:p>
        </w:tc>
        <w:tc>
          <w:tcPr>
            <w:tcW w:w="663" w:type="pct"/>
            <w:vAlign w:val="center"/>
          </w:tcPr>
          <w:p w14:paraId="6E8A0265" w14:textId="77777777" w:rsidR="00270FC4" w:rsidRPr="00F40447" w:rsidRDefault="00270FC4" w:rsidP="00A755C0">
            <w:r w:rsidRPr="00F40447">
              <w:t>0.06</w:t>
            </w:r>
          </w:p>
        </w:tc>
        <w:tc>
          <w:tcPr>
            <w:tcW w:w="663" w:type="pct"/>
            <w:vAlign w:val="center"/>
          </w:tcPr>
          <w:p w14:paraId="3F8ABEEC" w14:textId="77777777" w:rsidR="00270FC4" w:rsidRPr="00F40447" w:rsidRDefault="00270FC4" w:rsidP="00A755C0">
            <w:r w:rsidRPr="00F40447">
              <w:t>-3.38</w:t>
            </w:r>
          </w:p>
        </w:tc>
        <w:tc>
          <w:tcPr>
            <w:tcW w:w="662" w:type="pct"/>
            <w:vAlign w:val="center"/>
          </w:tcPr>
          <w:p w14:paraId="48CB42AB" w14:textId="77777777" w:rsidR="00270FC4" w:rsidRPr="00F40447" w:rsidRDefault="00270FC4" w:rsidP="00A755C0">
            <w:r w:rsidRPr="00F40447">
              <w:t>1.66</w:t>
            </w:r>
          </w:p>
        </w:tc>
      </w:tr>
      <w:tr w:rsidR="00270FC4" w:rsidRPr="00F40447" w14:paraId="692467AB" w14:textId="77777777" w:rsidTr="00A755C0">
        <w:trPr>
          <w:trHeight w:val="52"/>
        </w:trPr>
        <w:tc>
          <w:tcPr>
            <w:tcW w:w="1023" w:type="pct"/>
            <w:vAlign w:val="center"/>
          </w:tcPr>
          <w:p w14:paraId="243E8CDC" w14:textId="77777777" w:rsidR="00270FC4" w:rsidRPr="00F40447" w:rsidRDefault="00270FC4" w:rsidP="00A755C0">
            <w:r w:rsidRPr="00F40447">
              <w:t>Bupivacaine</w:t>
            </w:r>
          </w:p>
        </w:tc>
        <w:tc>
          <w:tcPr>
            <w:tcW w:w="663" w:type="pct"/>
          </w:tcPr>
          <w:p w14:paraId="0EAE9543" w14:textId="77777777" w:rsidR="00270FC4" w:rsidRPr="00F40447" w:rsidRDefault="00270FC4" w:rsidP="00A755C0">
            <w:r>
              <w:t>amide</w:t>
            </w:r>
          </w:p>
        </w:tc>
        <w:tc>
          <w:tcPr>
            <w:tcW w:w="663" w:type="pct"/>
            <w:vAlign w:val="center"/>
          </w:tcPr>
          <w:p w14:paraId="5AA0EDCD" w14:textId="77777777" w:rsidR="00270FC4" w:rsidRPr="00F40447" w:rsidRDefault="00270FC4" w:rsidP="00A755C0">
            <w:r w:rsidRPr="00F40447">
              <w:t>8.21</w:t>
            </w:r>
          </w:p>
        </w:tc>
        <w:tc>
          <w:tcPr>
            <w:tcW w:w="663" w:type="pct"/>
            <w:vAlign w:val="center"/>
          </w:tcPr>
          <w:p w14:paraId="6ACFAFBB" w14:textId="77777777" w:rsidR="00270FC4" w:rsidRPr="00F40447" w:rsidRDefault="00270FC4" w:rsidP="00A755C0">
            <w:r w:rsidRPr="00F40447">
              <w:t>2565</w:t>
            </w:r>
          </w:p>
        </w:tc>
        <w:tc>
          <w:tcPr>
            <w:tcW w:w="663" w:type="pct"/>
            <w:vAlign w:val="center"/>
          </w:tcPr>
          <w:p w14:paraId="3C95861B" w14:textId="77777777" w:rsidR="00270FC4" w:rsidRPr="00F40447" w:rsidRDefault="00270FC4" w:rsidP="00A755C0">
            <w:r w:rsidRPr="00F40447">
              <w:t>1.5</w:t>
            </w:r>
          </w:p>
        </w:tc>
        <w:tc>
          <w:tcPr>
            <w:tcW w:w="663" w:type="pct"/>
            <w:vAlign w:val="center"/>
          </w:tcPr>
          <w:p w14:paraId="4F46864F" w14:textId="77777777" w:rsidR="00270FC4" w:rsidRPr="00F40447" w:rsidRDefault="00270FC4" w:rsidP="00A755C0">
            <w:r w:rsidRPr="00F40447">
              <w:t>-4.65</w:t>
            </w:r>
          </w:p>
        </w:tc>
        <w:tc>
          <w:tcPr>
            <w:tcW w:w="662" w:type="pct"/>
            <w:vAlign w:val="center"/>
          </w:tcPr>
          <w:p w14:paraId="5F9B6FFF" w14:textId="77777777" w:rsidR="00270FC4" w:rsidRPr="00F40447" w:rsidRDefault="00270FC4" w:rsidP="00A755C0">
            <w:r w:rsidRPr="00F40447">
              <w:t>-0.24</w:t>
            </w:r>
          </w:p>
        </w:tc>
      </w:tr>
      <w:tr w:rsidR="00270FC4" w:rsidRPr="00F40447" w14:paraId="719888D4" w14:textId="77777777" w:rsidTr="00A755C0">
        <w:trPr>
          <w:trHeight w:val="52"/>
        </w:trPr>
        <w:tc>
          <w:tcPr>
            <w:tcW w:w="1023" w:type="pct"/>
            <w:vAlign w:val="center"/>
          </w:tcPr>
          <w:p w14:paraId="34AA09C0" w14:textId="77777777" w:rsidR="00270FC4" w:rsidRPr="00F40447" w:rsidRDefault="00270FC4" w:rsidP="00A755C0">
            <w:r w:rsidRPr="00F40447">
              <w:t>Etidocaine</w:t>
            </w:r>
          </w:p>
        </w:tc>
        <w:tc>
          <w:tcPr>
            <w:tcW w:w="663" w:type="pct"/>
          </w:tcPr>
          <w:p w14:paraId="7A44E389" w14:textId="77777777" w:rsidR="00270FC4" w:rsidRPr="00F40447" w:rsidRDefault="00270FC4" w:rsidP="00A755C0">
            <w:r>
              <w:t>amide</w:t>
            </w:r>
          </w:p>
        </w:tc>
        <w:tc>
          <w:tcPr>
            <w:tcW w:w="663" w:type="pct"/>
            <w:vAlign w:val="center"/>
          </w:tcPr>
          <w:p w14:paraId="3FDA0857" w14:textId="77777777" w:rsidR="00270FC4" w:rsidRPr="00F40447" w:rsidRDefault="00270FC4" w:rsidP="00A755C0">
            <w:r w:rsidRPr="00F40447">
              <w:t>8.11</w:t>
            </w:r>
          </w:p>
        </w:tc>
        <w:tc>
          <w:tcPr>
            <w:tcW w:w="663" w:type="pct"/>
            <w:vAlign w:val="center"/>
          </w:tcPr>
          <w:p w14:paraId="2A7EB7F7" w14:textId="77777777" w:rsidR="00270FC4" w:rsidRPr="00F40447" w:rsidRDefault="00270FC4" w:rsidP="00A755C0">
            <w:r w:rsidRPr="00F40447">
              <w:t>4900</w:t>
            </w:r>
          </w:p>
        </w:tc>
        <w:tc>
          <w:tcPr>
            <w:tcW w:w="663" w:type="pct"/>
            <w:vAlign w:val="center"/>
          </w:tcPr>
          <w:p w14:paraId="5A6447B6" w14:textId="77777777" w:rsidR="00270FC4" w:rsidRPr="00F40447" w:rsidRDefault="00270FC4" w:rsidP="00A755C0">
            <w:r w:rsidRPr="00F40447">
              <w:t>0.48</w:t>
            </w:r>
          </w:p>
        </w:tc>
        <w:tc>
          <w:tcPr>
            <w:tcW w:w="663" w:type="pct"/>
            <w:vAlign w:val="center"/>
          </w:tcPr>
          <w:p w14:paraId="541FE7CF" w14:textId="77777777" w:rsidR="00270FC4" w:rsidRPr="00F40447" w:rsidRDefault="00270FC4" w:rsidP="00A755C0">
            <w:r w:rsidRPr="00F40447">
              <w:t>-5.03</w:t>
            </w:r>
          </w:p>
        </w:tc>
        <w:tc>
          <w:tcPr>
            <w:tcW w:w="662" w:type="pct"/>
            <w:vAlign w:val="center"/>
          </w:tcPr>
          <w:p w14:paraId="670CD01B" w14:textId="77777777" w:rsidR="00270FC4" w:rsidRPr="00F40447" w:rsidRDefault="00270FC4" w:rsidP="00A755C0">
            <w:r w:rsidRPr="00F40447">
              <w:t>0.43</w:t>
            </w:r>
          </w:p>
        </w:tc>
      </w:tr>
      <w:tr w:rsidR="00270FC4" w:rsidRPr="00F40447" w14:paraId="55F61E60" w14:textId="77777777" w:rsidTr="00A755C0">
        <w:trPr>
          <w:trHeight w:val="52"/>
        </w:trPr>
        <w:tc>
          <w:tcPr>
            <w:tcW w:w="1023" w:type="pct"/>
            <w:vAlign w:val="center"/>
          </w:tcPr>
          <w:p w14:paraId="03C611E0" w14:textId="77777777" w:rsidR="00270FC4" w:rsidRPr="00F40447" w:rsidRDefault="00270FC4" w:rsidP="00A755C0">
            <w:r>
              <w:t>Mepivacaine</w:t>
            </w:r>
          </w:p>
        </w:tc>
        <w:tc>
          <w:tcPr>
            <w:tcW w:w="663" w:type="pct"/>
          </w:tcPr>
          <w:p w14:paraId="60A85E5E" w14:textId="77777777" w:rsidR="00270FC4" w:rsidRPr="00F40447" w:rsidRDefault="00270FC4" w:rsidP="00A755C0">
            <w:r>
              <w:t>amide</w:t>
            </w:r>
          </w:p>
        </w:tc>
        <w:tc>
          <w:tcPr>
            <w:tcW w:w="663" w:type="pct"/>
            <w:vAlign w:val="center"/>
          </w:tcPr>
          <w:p w14:paraId="36392B7E" w14:textId="77777777" w:rsidR="00270FC4" w:rsidRPr="00F40447" w:rsidRDefault="00270FC4" w:rsidP="00A755C0">
            <w:r>
              <w:t>7.92</w:t>
            </w:r>
          </w:p>
        </w:tc>
        <w:tc>
          <w:tcPr>
            <w:tcW w:w="663" w:type="pct"/>
            <w:vAlign w:val="center"/>
          </w:tcPr>
          <w:p w14:paraId="4A465777" w14:textId="77777777" w:rsidR="00270FC4" w:rsidRPr="00F40447" w:rsidRDefault="00270FC4" w:rsidP="00A755C0">
            <w:r>
              <w:t>90</w:t>
            </w:r>
          </w:p>
        </w:tc>
        <w:tc>
          <w:tcPr>
            <w:tcW w:w="663" w:type="pct"/>
            <w:vAlign w:val="center"/>
          </w:tcPr>
          <w:p w14:paraId="07965024" w14:textId="77777777" w:rsidR="00270FC4" w:rsidRPr="00F40447" w:rsidRDefault="00270FC4" w:rsidP="00A755C0">
            <w:r>
              <w:t>0.09</w:t>
            </w:r>
          </w:p>
        </w:tc>
        <w:tc>
          <w:tcPr>
            <w:tcW w:w="663" w:type="pct"/>
            <w:vAlign w:val="center"/>
          </w:tcPr>
          <w:p w14:paraId="2C8D3BBD" w14:textId="77777777" w:rsidR="00270FC4" w:rsidRPr="00F40447" w:rsidRDefault="00270FC4" w:rsidP="00A755C0">
            <w:r>
              <w:t>-2.66</w:t>
            </w:r>
          </w:p>
        </w:tc>
        <w:tc>
          <w:tcPr>
            <w:tcW w:w="662" w:type="pct"/>
            <w:vAlign w:val="center"/>
          </w:tcPr>
          <w:p w14:paraId="41398027" w14:textId="77777777" w:rsidR="00270FC4" w:rsidRPr="00F40447" w:rsidRDefault="00270FC4" w:rsidP="00A755C0">
            <w:r>
              <w:t>1.43</w:t>
            </w:r>
          </w:p>
        </w:tc>
      </w:tr>
      <w:tr w:rsidR="00270FC4" w:rsidRPr="00F40447" w14:paraId="69B0B8A6" w14:textId="77777777" w:rsidTr="00A755C0">
        <w:trPr>
          <w:trHeight w:val="52"/>
        </w:trPr>
        <w:tc>
          <w:tcPr>
            <w:tcW w:w="1023" w:type="pct"/>
            <w:vAlign w:val="center"/>
          </w:tcPr>
          <w:p w14:paraId="5DF82A48" w14:textId="77777777" w:rsidR="00270FC4" w:rsidRPr="00F40447" w:rsidRDefault="00270FC4" w:rsidP="00A755C0">
            <w:r>
              <w:t>Ropivacaine</w:t>
            </w:r>
          </w:p>
        </w:tc>
        <w:tc>
          <w:tcPr>
            <w:tcW w:w="663" w:type="pct"/>
          </w:tcPr>
          <w:p w14:paraId="147AEB18" w14:textId="77777777" w:rsidR="00270FC4" w:rsidRPr="00F40447" w:rsidRDefault="00270FC4" w:rsidP="00A755C0">
            <w:r>
              <w:t>amide</w:t>
            </w:r>
          </w:p>
        </w:tc>
        <w:tc>
          <w:tcPr>
            <w:tcW w:w="663" w:type="pct"/>
            <w:vAlign w:val="center"/>
          </w:tcPr>
          <w:p w14:paraId="4A99B084" w14:textId="77777777" w:rsidR="00270FC4" w:rsidRPr="00F40447" w:rsidRDefault="00270FC4" w:rsidP="00A755C0">
            <w:r>
              <w:t>8.16</w:t>
            </w:r>
          </w:p>
        </w:tc>
        <w:tc>
          <w:tcPr>
            <w:tcW w:w="663" w:type="pct"/>
            <w:vAlign w:val="center"/>
          </w:tcPr>
          <w:p w14:paraId="051585A8" w14:textId="77777777" w:rsidR="00270FC4" w:rsidRPr="00F40447" w:rsidRDefault="00270FC4" w:rsidP="00A755C0">
            <w:r>
              <w:t>775</w:t>
            </w:r>
          </w:p>
        </w:tc>
        <w:tc>
          <w:tcPr>
            <w:tcW w:w="663" w:type="pct"/>
            <w:vAlign w:val="center"/>
          </w:tcPr>
          <w:p w14:paraId="25B53F5F" w14:textId="77777777" w:rsidR="00270FC4" w:rsidRPr="00F40447" w:rsidRDefault="00270FC4" w:rsidP="00A755C0">
            <w:r>
              <w:t>0.46</w:t>
            </w:r>
          </w:p>
        </w:tc>
        <w:tc>
          <w:tcPr>
            <w:tcW w:w="663" w:type="pct"/>
            <w:vAlign w:val="center"/>
          </w:tcPr>
          <w:p w14:paraId="354CE1F9" w14:textId="77777777" w:rsidR="00270FC4" w:rsidRPr="00F40447" w:rsidRDefault="00270FC4" w:rsidP="00A755C0">
            <w:r>
              <w:t>-3.94</w:t>
            </w:r>
          </w:p>
        </w:tc>
        <w:tc>
          <w:tcPr>
            <w:tcW w:w="662" w:type="pct"/>
            <w:vAlign w:val="center"/>
          </w:tcPr>
          <w:p w14:paraId="6185EBB7" w14:textId="77777777" w:rsidR="00270FC4" w:rsidRPr="00F40447" w:rsidRDefault="00270FC4" w:rsidP="00A755C0">
            <w:r>
              <w:t>0.46</w:t>
            </w:r>
          </w:p>
        </w:tc>
      </w:tr>
    </w:tbl>
    <w:p w14:paraId="77CDCFB7" w14:textId="77777777" w:rsidR="002B5843" w:rsidRDefault="002B5843" w:rsidP="005B1580"/>
    <w:p w14:paraId="183DAB0D" w14:textId="16889DEC" w:rsidR="000F5C4B" w:rsidRDefault="002B5843" w:rsidP="005B1580">
      <w:r>
        <w:t xml:space="preserve">Neutral local anesthetics generally prefer membrane environment, whereas their protonated counterparts generally prefer water. </w:t>
      </w:r>
      <w:r w:rsidR="005229F8">
        <w:t xml:space="preserve">Neutral etidocaine is 4900 times more likely to be in octanol than in water, while this number is only 304 for lidocaine. For protonated species, the situation is basically reversed as they prefer aqueous environment. Protonated lidocaine is 16.7 times more likely to be in water than in octanol, while protonated etidocaine is 2.1 times more likely to be in water than in octanol. An exception is protonated bupivacaine, which still </w:t>
      </w:r>
      <w:r w:rsidR="005229F8">
        <w:lastRenderedPageBreak/>
        <w:t xml:space="preserve">prefers membrane environment. Ester linked local anesthetics share the same attributes with amide-linked ones. Neutral procaine and neutral 2-chloroprocaine are 81 and 720 times more likely to be found in the membrane than in aqueous environment, respectively. </w:t>
      </w:r>
      <w:r w:rsidR="005229F8" w:rsidRPr="00A755C0">
        <w:t xml:space="preserve">Protonated </w:t>
      </w:r>
      <w:r w:rsidR="005229F8">
        <w:t>procaine</w:t>
      </w:r>
      <w:r w:rsidR="005229F8" w:rsidRPr="00A755C0">
        <w:t xml:space="preserve"> is </w:t>
      </w:r>
      <w:r w:rsidR="005229F8">
        <w:t>500</w:t>
      </w:r>
      <w:r w:rsidR="005229F8" w:rsidRPr="00A755C0">
        <w:t xml:space="preserve"> times more likely to be in water than in octanol, while protonated </w:t>
      </w:r>
      <w:r w:rsidR="005229F8">
        <w:t>2-chloroprocaine</w:t>
      </w:r>
      <w:r w:rsidR="005229F8" w:rsidRPr="00A755C0">
        <w:t xml:space="preserve"> is </w:t>
      </w:r>
      <w:r w:rsidR="005229F8">
        <w:t>38</w:t>
      </w:r>
      <w:r w:rsidR="005229F8" w:rsidRPr="00A755C0">
        <w:t xml:space="preserve"> times more likely to be in water than in octanol.</w:t>
      </w:r>
    </w:p>
    <w:p w14:paraId="2EB45296" w14:textId="121F2CCC" w:rsidR="00270FC4" w:rsidRDefault="002B5843" w:rsidP="005B1580">
      <w:r w:rsidRPr="002B5843">
        <w:t>Calculated free energies for transfer of neutral and protonated local anesthetics from water to n-octanol</w:t>
      </w:r>
      <w:r>
        <w:t>, calculated with three</w:t>
      </w:r>
      <w:r w:rsidRPr="002B5843">
        <w:t xml:space="preserve"> solvent reaction field methods</w:t>
      </w:r>
      <w:r>
        <w:t xml:space="preserve">, </w:t>
      </w:r>
      <w:r w:rsidRPr="002B5843">
        <w:t>IEFPCM</w:t>
      </w:r>
      <w:r>
        <w:t>, C</w:t>
      </w:r>
      <w:r w:rsidRPr="002B5843">
        <w:t>PCM</w:t>
      </w:r>
      <w:r>
        <w:t xml:space="preserve"> and SMD, are collected in Table 2. Free</w:t>
      </w:r>
      <w:r w:rsidRPr="002B5843">
        <w:t xml:space="preserve"> energies for transfer</w:t>
      </w:r>
      <w:r>
        <w:t xml:space="preserve"> from water to octanol, calculated from experimental results of Strichartz are added for comparison. </w:t>
      </w:r>
    </w:p>
    <w:p w14:paraId="51063B37" w14:textId="77777777" w:rsidR="0045357C" w:rsidRDefault="0045357C" w:rsidP="005B1580"/>
    <w:p w14:paraId="1EFF9603" w14:textId="2ED4ED51" w:rsidR="00592318" w:rsidRPr="00A62492" w:rsidRDefault="00592318" w:rsidP="005B1580">
      <w:r>
        <w:rPr>
          <w:b/>
        </w:rPr>
        <w:t>Table 2</w:t>
      </w:r>
      <w:r w:rsidRPr="002B5843">
        <w:rPr>
          <w:b/>
        </w:rPr>
        <w:t xml:space="preserve">: Calculated free energies for transfer of neutral and protonated </w:t>
      </w:r>
      <w:r w:rsidR="002B5843" w:rsidRPr="002B5843">
        <w:rPr>
          <w:b/>
        </w:rPr>
        <w:t>local anesthetics</w:t>
      </w:r>
      <w:r w:rsidRPr="002B5843">
        <w:rPr>
          <w:b/>
        </w:rPr>
        <w:t xml:space="preserve"> from water to n-octanol.</w:t>
      </w:r>
      <w:r>
        <w:t xml:space="preserve"> </w:t>
      </w:r>
      <w:r w:rsidRPr="00A62492">
        <w:t xml:space="preserve">Three solvent reaction field methods were used. </w:t>
      </w:r>
      <w:r w:rsidRPr="00BC7100">
        <w:t>ΔG</w:t>
      </w:r>
      <w:r w:rsidRPr="00BC7100">
        <w:rPr>
          <w:vertAlign w:val="subscript"/>
        </w:rPr>
        <w:t>wo</w:t>
      </w:r>
      <w:r w:rsidRPr="00BC7100">
        <w:rPr>
          <w:vertAlign w:val="superscript"/>
        </w:rPr>
        <w:t>0</w:t>
      </w:r>
      <w:r>
        <w:t xml:space="preserve"> and </w:t>
      </w:r>
      <w:r w:rsidRPr="00BC7100">
        <w:t>ΔG</w:t>
      </w:r>
      <w:r w:rsidRPr="00BC7100">
        <w:rPr>
          <w:vertAlign w:val="subscript"/>
        </w:rPr>
        <w:t>wo</w:t>
      </w:r>
      <w:r>
        <w:rPr>
          <w:vertAlign w:val="superscript"/>
        </w:rPr>
        <w:t>+</w:t>
      </w:r>
      <w:r>
        <w:t xml:space="preserve"> refer to calculated free energies for </w:t>
      </w:r>
      <w:r w:rsidRPr="009A5211">
        <w:t xml:space="preserve">transfer of neutral and protonated </w:t>
      </w:r>
      <w:r w:rsidR="00863887">
        <w:t>local anesthetics</w:t>
      </w:r>
      <w:r w:rsidRPr="009A5211">
        <w:t xml:space="preserve"> from water to n-octanol</w:t>
      </w:r>
      <w:r>
        <w:t>.</w:t>
      </w:r>
      <w:r w:rsidRPr="00A62492">
        <w:t xml:space="preserve"> Experimental free energy values </w:t>
      </w:r>
      <w:r w:rsidR="00863887">
        <w:t>for transfer of local anesthetic</w:t>
      </w:r>
      <w:r>
        <w:t>s in their neutral and protonated form from water to n-octanol (</w:t>
      </w:r>
      <w:r w:rsidRPr="00BC7100">
        <w:t>ΔG</w:t>
      </w:r>
      <w:r w:rsidRPr="00BC7100">
        <w:rPr>
          <w:vertAlign w:val="subscript"/>
        </w:rPr>
        <w:t>wo</w:t>
      </w:r>
      <w:r w:rsidRPr="00BC7100">
        <w:rPr>
          <w:vertAlign w:val="superscript"/>
        </w:rPr>
        <w:t>0</w:t>
      </w:r>
      <w:r w:rsidRPr="00BC7100">
        <w:t>(exp)</w:t>
      </w:r>
      <w:r>
        <w:t xml:space="preserve"> and </w:t>
      </w:r>
      <w:r w:rsidRPr="00BC7100">
        <w:t>ΔG</w:t>
      </w:r>
      <w:r w:rsidRPr="00BC7100">
        <w:rPr>
          <w:vertAlign w:val="subscript"/>
        </w:rPr>
        <w:t>wo</w:t>
      </w:r>
      <w:r>
        <w:rPr>
          <w:vertAlign w:val="superscript"/>
        </w:rPr>
        <w:t>+</w:t>
      </w:r>
      <w:r w:rsidRPr="00BC7100">
        <w:t>(exp</w:t>
      </w:r>
      <w:r>
        <w:t xml:space="preserve">), respectively) </w:t>
      </w:r>
      <w:r w:rsidRPr="00A62492">
        <w:t xml:space="preserve">are calculated from </w:t>
      </w:r>
      <w:r>
        <w:t xml:space="preserve">experimental </w:t>
      </w:r>
      <w:r w:rsidR="00E2542B">
        <w:rPr>
          <w:rFonts w:eastAsia="Times"/>
        </w:rPr>
        <w:t>n-octanol/water partition coefficients</w:t>
      </w:r>
      <w:r w:rsidRPr="00A62492">
        <w:t>.</w:t>
      </w:r>
      <w:r w:rsidR="002B5843">
        <w:fldChar w:fldCharType="begin" w:fldLock="1"/>
      </w:r>
      <w:r w:rsidR="002B5843">
        <w:instrText>ADDIN CSL_CITATION {"citationItems":[{"id":"ITEM-1","itemData":{"DOI":"10.1213/00000539-199008000-00008","ISSN":"0003-2999","PMID":"2375517","abstract":"Because local anesthetic molecules interact with ion channel proteins embedded in membranes to effect impulse blockade, and because their clinical potency often depends on both vascular absorption and distribution into the tissue surrounding the site of deposition, the ability to partition into these various compartments is an important determinant of local anesthetic action. Therefore, the hydrophobic nature of local anesthetics used clinically was characterized by the octanol:buffer partition coefficients of their charged (P+) and neutral (Po) species. This was accomplished by previously described optical methods in which direct spectrophotometric measurement of both the pH-dependent distribution coefficient (Q) and of the ionization permit calculation of the pKa and partition coefficients. The rates of alkaline hydrolysis of ester-linked molecules also were measured to assess potential interference of such hydrolysis with the physicochemical assays. Results indicate that the hydrophobicity of a local anesthetic is increased by manipulation of the molecular structure at three sites: (a) the aromatic ring; (b) the intermediate linking group; and (c) the tertiary amine. Po for the agents studied was 10(3)-10(5) times greater than P+. Although there is no systematic relationship between hydrophobicity and pKa, the latter is greater with ester-linked (pKa = 8.59-9.30) than with amide-linked (pKa = 7.92-8.21) local anesthetics. All of the charged species, with the exception of bupivacaine, selectively partition into the aqueous environment (P+ less than 1.0). The temperature dependence of partitioning of the local anesthetics, measured at 25 and 36 degrees C, indicates an entropy-driven hydrophobic uptake. Solutions buffered with bicarbonate and including 5% CO2 showed the same local anesthetic partitioning as that of CO2-free solutions, suggesting that potentiation of impulse blockade by CO2 is not due to increased membrane uptake. Correlations of physicochemical properties of local anesthetics with potencies on isolated nerve confirm that the more potent local anesthetics have greater octanol:buffer partition coefficients, and that the ester-linked local anesthetics are more potent than their amide-linked counterparts having the same hydrophobicities. The correlations of structure with potency also suggest that the extracellular protonated species may contribute to impulse blockade.","author":[{"dropping-particle":"","family":"Strichartz","given":"G R","non-dropping-particle":"","parse-names":false,"suffix":""},{"dropping-particle":"","family":"Sanchez","given":"V","non-dropping-particle":"","parse-names":false,"suffix":""},{"dropping-particle":"","family":"Arthur","given":"G R","non-dropping-particle":"","parse-names":false,"suffix":""},{"dropping-particle":"","family":"Chafetz","given":"R","non-dropping-particle":"","parse-names":false,"suffix":""},{"dropping-particle":"","family":"Martin","given":"D","non-dropping-particle":"","parse-names":false,"suffix":""}],"container-title":"Anesthesia and analgesia","id":"ITEM-1","issue":"2","issued":{"date-parts":[["1990","8"]]},"page":"158-170","title":"Fundamental properties of local anesthetics. II. Measured octanol:buffer partition coefficients and pKa values of clinically used drugs.","type":"article-journal","volume":"71"},"uris":["http://www.mendeley.com/documents/?uuid=7c1ecf95-cf25-4b6f-b6b7-bcc3293d6d4e"]}],"mendeley":{"formattedCitation":"&lt;sup&gt;3&lt;/sup&gt;","plainTextFormattedCitation":"3"},"properties":{"noteIndex":0},"schema":"https://github.com/citation-style-language/schema/raw/master/csl-citation.json"}</w:instrText>
      </w:r>
      <w:r w:rsidR="002B5843">
        <w:fldChar w:fldCharType="separate"/>
      </w:r>
      <w:r w:rsidR="002B5843" w:rsidRPr="002B5843">
        <w:rPr>
          <w:noProof/>
          <w:vertAlign w:val="superscript"/>
        </w:rPr>
        <w:t>3</w:t>
      </w:r>
      <w:r w:rsidR="002B5843">
        <w:fldChar w:fldCharType="end"/>
      </w:r>
      <w:r w:rsidR="00C26CA1">
        <w:t xml:space="preserve"> All values are given in </w:t>
      </w:r>
      <w:r w:rsidR="00432F07" w:rsidRPr="00C26CA1">
        <w:t>kcal mol</w:t>
      </w:r>
      <w:r w:rsidR="00432F07" w:rsidRPr="00432F07">
        <w:rPr>
          <w:vertAlign w:val="superscript"/>
        </w:rPr>
        <w:t>-1</w:t>
      </w:r>
      <w:r w:rsidR="00C26CA1">
        <w:t>.</w:t>
      </w:r>
      <w:r>
        <w:t xml:space="preserve"> </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57" w:type="dxa"/>
          <w:left w:w="57" w:type="dxa"/>
          <w:bottom w:w="28" w:type="dxa"/>
          <w:right w:w="57" w:type="dxa"/>
        </w:tblCellMar>
        <w:tblLook w:val="04A0" w:firstRow="1" w:lastRow="0" w:firstColumn="1" w:lastColumn="0" w:noHBand="0" w:noVBand="1"/>
      </w:tblPr>
      <w:tblGrid>
        <w:gridCol w:w="1862"/>
        <w:gridCol w:w="724"/>
        <w:gridCol w:w="1007"/>
        <w:gridCol w:w="717"/>
        <w:gridCol w:w="865"/>
        <w:gridCol w:w="790"/>
        <w:gridCol w:w="927"/>
        <w:gridCol w:w="1124"/>
        <w:gridCol w:w="1124"/>
      </w:tblGrid>
      <w:tr w:rsidR="00270FC4" w:rsidRPr="009A5211" w14:paraId="2A1DF2E5" w14:textId="77777777" w:rsidTr="00A755C0">
        <w:trPr>
          <w:trHeight w:val="25"/>
        </w:trPr>
        <w:tc>
          <w:tcPr>
            <w:tcW w:w="1019" w:type="pct"/>
            <w:vAlign w:val="center"/>
          </w:tcPr>
          <w:p w14:paraId="3D98A00F" w14:textId="77777777" w:rsidR="00270FC4" w:rsidRPr="009A5211" w:rsidRDefault="00270FC4" w:rsidP="00A755C0"/>
        </w:tc>
        <w:tc>
          <w:tcPr>
            <w:tcW w:w="2751" w:type="pct"/>
            <w:gridSpan w:val="6"/>
            <w:tcBorders>
              <w:bottom w:val="single" w:sz="4" w:space="0" w:color="auto"/>
            </w:tcBorders>
            <w:vAlign w:val="bottom"/>
          </w:tcPr>
          <w:p w14:paraId="234124E9" w14:textId="77777777" w:rsidR="00270FC4" w:rsidRPr="00BC7100" w:rsidRDefault="00270FC4" w:rsidP="00A755C0">
            <w:pPr>
              <w:jc w:val="center"/>
              <w:rPr>
                <w:b/>
              </w:rPr>
            </w:pPr>
            <w:r w:rsidRPr="00BC7100">
              <w:rPr>
                <w:rFonts w:eastAsia="Times"/>
                <w:b/>
                <w:lang w:val="nl-NL"/>
              </w:rPr>
              <w:t>Solvent Reaction Field Method</w:t>
            </w:r>
          </w:p>
        </w:tc>
        <w:tc>
          <w:tcPr>
            <w:tcW w:w="615" w:type="pct"/>
            <w:vAlign w:val="center"/>
          </w:tcPr>
          <w:p w14:paraId="1531C0BC" w14:textId="77777777" w:rsidR="00270FC4" w:rsidRPr="009A5211" w:rsidRDefault="00270FC4" w:rsidP="00A755C0"/>
        </w:tc>
        <w:tc>
          <w:tcPr>
            <w:tcW w:w="615" w:type="pct"/>
            <w:vAlign w:val="center"/>
          </w:tcPr>
          <w:p w14:paraId="30BBA7B7" w14:textId="77777777" w:rsidR="00270FC4" w:rsidRPr="009A5211" w:rsidRDefault="00270FC4" w:rsidP="00A755C0"/>
        </w:tc>
      </w:tr>
      <w:tr w:rsidR="00270FC4" w:rsidRPr="009A5211" w14:paraId="1B2BB25D" w14:textId="77777777" w:rsidTr="00A755C0">
        <w:trPr>
          <w:trHeight w:val="224"/>
        </w:trPr>
        <w:tc>
          <w:tcPr>
            <w:tcW w:w="1019" w:type="pct"/>
            <w:vAlign w:val="center"/>
          </w:tcPr>
          <w:p w14:paraId="59FC05BE" w14:textId="77777777" w:rsidR="00270FC4" w:rsidRPr="009A5211" w:rsidRDefault="00270FC4" w:rsidP="00A755C0"/>
        </w:tc>
        <w:tc>
          <w:tcPr>
            <w:tcW w:w="947" w:type="pct"/>
            <w:gridSpan w:val="2"/>
            <w:tcBorders>
              <w:top w:val="single" w:sz="4" w:space="0" w:color="auto"/>
              <w:bottom w:val="single" w:sz="4" w:space="0" w:color="auto"/>
            </w:tcBorders>
            <w:vAlign w:val="bottom"/>
          </w:tcPr>
          <w:p w14:paraId="34753FF6" w14:textId="77777777" w:rsidR="00270FC4" w:rsidRPr="009A5211" w:rsidRDefault="00270FC4" w:rsidP="00A755C0">
            <w:pPr>
              <w:jc w:val="center"/>
              <w:rPr>
                <w:rFonts w:eastAsia="Times"/>
                <w:lang w:val="nl-NL"/>
              </w:rPr>
            </w:pPr>
            <w:r w:rsidRPr="009A5211">
              <w:rPr>
                <w:rFonts w:eastAsia="Times"/>
                <w:lang w:val="nl-NL"/>
              </w:rPr>
              <w:t>M06-2X/6-31+G(d,p)</w:t>
            </w:r>
          </w:p>
          <w:p w14:paraId="11239677" w14:textId="77777777" w:rsidR="00270FC4" w:rsidRPr="006C3B31" w:rsidRDefault="00270FC4" w:rsidP="00A755C0">
            <w:pPr>
              <w:jc w:val="center"/>
              <w:rPr>
                <w:lang w:val="nl-NL"/>
              </w:rPr>
            </w:pPr>
            <w:r w:rsidRPr="009A5211">
              <w:rPr>
                <w:rFonts w:eastAsia="Times"/>
                <w:lang w:val="nl-NL"/>
              </w:rPr>
              <w:t>IEFPCM</w:t>
            </w:r>
          </w:p>
        </w:tc>
        <w:tc>
          <w:tcPr>
            <w:tcW w:w="865" w:type="pct"/>
            <w:gridSpan w:val="2"/>
            <w:tcBorders>
              <w:top w:val="single" w:sz="4" w:space="0" w:color="auto"/>
              <w:bottom w:val="single" w:sz="4" w:space="0" w:color="auto"/>
            </w:tcBorders>
            <w:vAlign w:val="bottom"/>
          </w:tcPr>
          <w:p w14:paraId="1D4FFB65" w14:textId="77777777" w:rsidR="00270FC4" w:rsidRPr="009A5211" w:rsidRDefault="00270FC4" w:rsidP="00A755C0">
            <w:pPr>
              <w:jc w:val="center"/>
              <w:rPr>
                <w:rFonts w:eastAsia="Times"/>
                <w:lang w:val="nl-NL"/>
              </w:rPr>
            </w:pPr>
            <w:r w:rsidRPr="009A5211">
              <w:rPr>
                <w:rFonts w:eastAsia="Times"/>
                <w:lang w:val="nl-NL"/>
              </w:rPr>
              <w:t>M06-2X/6-31+G(d,p)</w:t>
            </w:r>
          </w:p>
          <w:p w14:paraId="206C12F5" w14:textId="77777777" w:rsidR="00270FC4" w:rsidRPr="009A5211" w:rsidRDefault="00270FC4" w:rsidP="00A755C0">
            <w:pPr>
              <w:jc w:val="center"/>
            </w:pPr>
            <w:r w:rsidRPr="009A5211">
              <w:rPr>
                <w:rFonts w:eastAsia="Times"/>
                <w:lang w:val="nl-NL"/>
              </w:rPr>
              <w:t>CPCM</w:t>
            </w:r>
          </w:p>
        </w:tc>
        <w:tc>
          <w:tcPr>
            <w:tcW w:w="939" w:type="pct"/>
            <w:gridSpan w:val="2"/>
            <w:tcBorders>
              <w:top w:val="single" w:sz="4" w:space="0" w:color="auto"/>
              <w:bottom w:val="single" w:sz="4" w:space="0" w:color="auto"/>
            </w:tcBorders>
            <w:vAlign w:val="center"/>
          </w:tcPr>
          <w:p w14:paraId="6D1FFC7F" w14:textId="77777777" w:rsidR="00270FC4" w:rsidRPr="009A5211" w:rsidRDefault="00270FC4" w:rsidP="00A755C0">
            <w:pPr>
              <w:jc w:val="center"/>
              <w:rPr>
                <w:lang w:val="nl-NL"/>
              </w:rPr>
            </w:pPr>
            <w:r w:rsidRPr="009A5211">
              <w:rPr>
                <w:rFonts w:eastAsia="Times"/>
                <w:lang w:val="nl-NL"/>
              </w:rPr>
              <w:t>M06-2X/6-31+G(d,p)</w:t>
            </w:r>
          </w:p>
          <w:p w14:paraId="7F267684" w14:textId="77777777" w:rsidR="00270FC4" w:rsidRPr="009A5211" w:rsidRDefault="00270FC4" w:rsidP="00A755C0">
            <w:pPr>
              <w:jc w:val="center"/>
            </w:pPr>
            <w:r w:rsidRPr="009A5211">
              <w:rPr>
                <w:lang w:val="nl-NL"/>
              </w:rPr>
              <w:t>SMD</w:t>
            </w:r>
          </w:p>
        </w:tc>
        <w:tc>
          <w:tcPr>
            <w:tcW w:w="615" w:type="pct"/>
            <w:vAlign w:val="center"/>
          </w:tcPr>
          <w:p w14:paraId="019D92D4" w14:textId="77777777" w:rsidR="00270FC4" w:rsidRPr="009A5211" w:rsidRDefault="00270FC4" w:rsidP="00A755C0"/>
        </w:tc>
        <w:tc>
          <w:tcPr>
            <w:tcW w:w="615" w:type="pct"/>
            <w:vAlign w:val="center"/>
          </w:tcPr>
          <w:p w14:paraId="15167FA6" w14:textId="77777777" w:rsidR="00270FC4" w:rsidRPr="009A5211" w:rsidRDefault="00270FC4" w:rsidP="00A755C0"/>
        </w:tc>
      </w:tr>
      <w:tr w:rsidR="00270FC4" w:rsidRPr="009A5211" w14:paraId="0A14FE60" w14:textId="77777777" w:rsidTr="00A755C0">
        <w:trPr>
          <w:trHeight w:val="60"/>
        </w:trPr>
        <w:tc>
          <w:tcPr>
            <w:tcW w:w="1019" w:type="pct"/>
            <w:tcBorders>
              <w:bottom w:val="single" w:sz="12" w:space="0" w:color="auto"/>
            </w:tcBorders>
            <w:vAlign w:val="center"/>
          </w:tcPr>
          <w:p w14:paraId="76665B75" w14:textId="77777777" w:rsidR="00270FC4" w:rsidRPr="009A5211" w:rsidRDefault="00270FC4" w:rsidP="00A755C0">
            <w:r>
              <w:rPr>
                <w:b/>
              </w:rPr>
              <w:t>L</w:t>
            </w:r>
            <w:r w:rsidRPr="009A5211">
              <w:rPr>
                <w:b/>
              </w:rPr>
              <w:t xml:space="preserve">ocal </w:t>
            </w:r>
            <w:r>
              <w:rPr>
                <w:b/>
              </w:rPr>
              <w:t>A</w:t>
            </w:r>
            <w:r w:rsidRPr="009A5211">
              <w:rPr>
                <w:b/>
              </w:rPr>
              <w:t>nesthetic</w:t>
            </w:r>
          </w:p>
        </w:tc>
        <w:tc>
          <w:tcPr>
            <w:tcW w:w="396" w:type="pct"/>
            <w:tcBorders>
              <w:top w:val="single" w:sz="4" w:space="0" w:color="auto"/>
              <w:bottom w:val="single" w:sz="12" w:space="0" w:color="auto"/>
            </w:tcBorders>
            <w:vAlign w:val="center"/>
          </w:tcPr>
          <w:p w14:paraId="4FCF8C81" w14:textId="77777777" w:rsidR="00270FC4" w:rsidRPr="009A5211" w:rsidRDefault="00270FC4" w:rsidP="00A755C0">
            <w:r w:rsidRPr="009A5211">
              <w:rPr>
                <w:b/>
              </w:rPr>
              <w:t>ΔG</w:t>
            </w:r>
            <w:r w:rsidRPr="009A5211">
              <w:rPr>
                <w:b/>
                <w:vertAlign w:val="subscript"/>
              </w:rPr>
              <w:t>wo</w:t>
            </w:r>
            <w:r w:rsidRPr="009A5211">
              <w:rPr>
                <w:b/>
                <w:vertAlign w:val="superscript"/>
              </w:rPr>
              <w:t>0</w:t>
            </w:r>
          </w:p>
        </w:tc>
        <w:tc>
          <w:tcPr>
            <w:tcW w:w="551" w:type="pct"/>
            <w:tcBorders>
              <w:top w:val="single" w:sz="4" w:space="0" w:color="auto"/>
              <w:bottom w:val="single" w:sz="12" w:space="0" w:color="auto"/>
            </w:tcBorders>
            <w:vAlign w:val="bottom"/>
          </w:tcPr>
          <w:p w14:paraId="684E0FCC" w14:textId="77777777" w:rsidR="00270FC4" w:rsidRPr="009A5211" w:rsidRDefault="00270FC4" w:rsidP="00A755C0">
            <w:r w:rsidRPr="009A5211">
              <w:rPr>
                <w:b/>
              </w:rPr>
              <w:t>ΔG</w:t>
            </w:r>
            <w:r w:rsidRPr="009A5211">
              <w:rPr>
                <w:b/>
                <w:vertAlign w:val="subscript"/>
              </w:rPr>
              <w:t>wo</w:t>
            </w:r>
            <w:r w:rsidRPr="009A5211">
              <w:rPr>
                <w:b/>
                <w:vertAlign w:val="superscript"/>
              </w:rPr>
              <w:t>+</w:t>
            </w:r>
          </w:p>
        </w:tc>
        <w:tc>
          <w:tcPr>
            <w:tcW w:w="392" w:type="pct"/>
            <w:tcBorders>
              <w:top w:val="single" w:sz="4" w:space="0" w:color="auto"/>
              <w:bottom w:val="single" w:sz="12" w:space="0" w:color="auto"/>
            </w:tcBorders>
            <w:vAlign w:val="center"/>
          </w:tcPr>
          <w:p w14:paraId="15C0E445" w14:textId="77777777" w:rsidR="00270FC4" w:rsidRPr="009A5211" w:rsidRDefault="00270FC4" w:rsidP="00A755C0">
            <w:r w:rsidRPr="009A5211">
              <w:rPr>
                <w:b/>
              </w:rPr>
              <w:t>Δ</w:t>
            </w:r>
            <w:r w:rsidRPr="009A5211">
              <w:rPr>
                <w:b/>
                <w:lang w:val="nl-NL"/>
              </w:rPr>
              <w:t>G</w:t>
            </w:r>
            <w:r w:rsidRPr="009A5211">
              <w:rPr>
                <w:b/>
                <w:vertAlign w:val="subscript"/>
                <w:lang w:val="nl-NL"/>
              </w:rPr>
              <w:t>wo</w:t>
            </w:r>
            <w:r w:rsidRPr="009A5211">
              <w:rPr>
                <w:b/>
                <w:vertAlign w:val="superscript"/>
                <w:lang w:val="nl-NL"/>
              </w:rPr>
              <w:t>0</w:t>
            </w:r>
          </w:p>
        </w:tc>
        <w:tc>
          <w:tcPr>
            <w:tcW w:w="473" w:type="pct"/>
            <w:tcBorders>
              <w:top w:val="single" w:sz="4" w:space="0" w:color="auto"/>
              <w:bottom w:val="single" w:sz="12" w:space="0" w:color="auto"/>
            </w:tcBorders>
            <w:vAlign w:val="center"/>
          </w:tcPr>
          <w:p w14:paraId="2401F8C5" w14:textId="77777777" w:rsidR="00270FC4" w:rsidRPr="009A5211" w:rsidRDefault="00270FC4" w:rsidP="00A755C0">
            <w:r w:rsidRPr="009A5211">
              <w:rPr>
                <w:b/>
              </w:rPr>
              <w:t>Δ</w:t>
            </w:r>
            <w:r w:rsidRPr="009A5211">
              <w:rPr>
                <w:b/>
                <w:lang w:val="nl-NL"/>
              </w:rPr>
              <w:t>G</w:t>
            </w:r>
            <w:r w:rsidRPr="009A5211">
              <w:rPr>
                <w:b/>
                <w:vertAlign w:val="subscript"/>
                <w:lang w:val="nl-NL"/>
              </w:rPr>
              <w:t>wo</w:t>
            </w:r>
            <w:r w:rsidRPr="009A5211">
              <w:rPr>
                <w:b/>
                <w:vertAlign w:val="superscript"/>
                <w:lang w:val="nl-NL"/>
              </w:rPr>
              <w:t>+</w:t>
            </w:r>
          </w:p>
        </w:tc>
        <w:tc>
          <w:tcPr>
            <w:tcW w:w="432" w:type="pct"/>
            <w:tcBorders>
              <w:top w:val="single" w:sz="4" w:space="0" w:color="auto"/>
              <w:bottom w:val="single" w:sz="12" w:space="0" w:color="auto"/>
            </w:tcBorders>
            <w:vAlign w:val="center"/>
          </w:tcPr>
          <w:p w14:paraId="7AB15EE7" w14:textId="77777777" w:rsidR="00270FC4" w:rsidRPr="009A5211" w:rsidRDefault="00270FC4" w:rsidP="00A755C0">
            <w:r w:rsidRPr="009A5211">
              <w:rPr>
                <w:b/>
              </w:rPr>
              <w:t>Δ</w:t>
            </w:r>
            <w:r w:rsidRPr="009A5211">
              <w:rPr>
                <w:b/>
                <w:lang w:val="nl-NL"/>
              </w:rPr>
              <w:t>G</w:t>
            </w:r>
            <w:r w:rsidRPr="009A5211">
              <w:rPr>
                <w:b/>
                <w:vertAlign w:val="subscript"/>
                <w:lang w:val="nl-NL"/>
              </w:rPr>
              <w:t>wo</w:t>
            </w:r>
            <w:r w:rsidRPr="009A5211">
              <w:rPr>
                <w:b/>
                <w:vertAlign w:val="superscript"/>
                <w:lang w:val="nl-NL"/>
              </w:rPr>
              <w:t>0</w:t>
            </w:r>
          </w:p>
        </w:tc>
        <w:tc>
          <w:tcPr>
            <w:tcW w:w="507" w:type="pct"/>
            <w:tcBorders>
              <w:top w:val="single" w:sz="4" w:space="0" w:color="auto"/>
              <w:bottom w:val="single" w:sz="12" w:space="0" w:color="auto"/>
            </w:tcBorders>
            <w:vAlign w:val="center"/>
          </w:tcPr>
          <w:p w14:paraId="0192ACBF" w14:textId="77777777" w:rsidR="00270FC4" w:rsidRPr="009A5211" w:rsidRDefault="00270FC4" w:rsidP="00A755C0">
            <w:r w:rsidRPr="009A5211">
              <w:rPr>
                <w:b/>
              </w:rPr>
              <w:t>Δ</w:t>
            </w:r>
            <w:r w:rsidRPr="009A5211">
              <w:rPr>
                <w:b/>
                <w:lang w:val="nl-NL"/>
              </w:rPr>
              <w:t>G</w:t>
            </w:r>
            <w:r w:rsidRPr="009A5211">
              <w:rPr>
                <w:b/>
                <w:vertAlign w:val="subscript"/>
                <w:lang w:val="nl-NL"/>
              </w:rPr>
              <w:t>wo</w:t>
            </w:r>
            <w:r w:rsidRPr="009A5211">
              <w:rPr>
                <w:b/>
                <w:vertAlign w:val="superscript"/>
                <w:lang w:val="nl-NL"/>
              </w:rPr>
              <w:t>+</w:t>
            </w:r>
          </w:p>
        </w:tc>
        <w:tc>
          <w:tcPr>
            <w:tcW w:w="615" w:type="pct"/>
            <w:tcBorders>
              <w:bottom w:val="single" w:sz="12" w:space="0" w:color="auto"/>
            </w:tcBorders>
            <w:vAlign w:val="center"/>
          </w:tcPr>
          <w:p w14:paraId="72F9D35B" w14:textId="77777777" w:rsidR="00270FC4" w:rsidRPr="009A5211" w:rsidRDefault="00270FC4" w:rsidP="00A755C0">
            <w:r w:rsidRPr="009A5211">
              <w:rPr>
                <w:b/>
              </w:rPr>
              <w:t>ΔG</w:t>
            </w:r>
            <w:r w:rsidRPr="009A5211">
              <w:rPr>
                <w:b/>
                <w:vertAlign w:val="subscript"/>
              </w:rPr>
              <w:t>wo</w:t>
            </w:r>
            <w:r w:rsidRPr="009A5211">
              <w:rPr>
                <w:b/>
                <w:vertAlign w:val="superscript"/>
              </w:rPr>
              <w:t>0</w:t>
            </w:r>
            <w:r w:rsidRPr="009A5211">
              <w:rPr>
                <w:b/>
              </w:rPr>
              <w:t>(exp)</w:t>
            </w:r>
          </w:p>
        </w:tc>
        <w:tc>
          <w:tcPr>
            <w:tcW w:w="615" w:type="pct"/>
            <w:tcBorders>
              <w:bottom w:val="single" w:sz="12" w:space="0" w:color="auto"/>
            </w:tcBorders>
            <w:vAlign w:val="center"/>
          </w:tcPr>
          <w:p w14:paraId="752E3E32" w14:textId="77777777" w:rsidR="00270FC4" w:rsidRPr="009A5211" w:rsidRDefault="00270FC4" w:rsidP="00A755C0">
            <w:r w:rsidRPr="009A5211">
              <w:rPr>
                <w:b/>
              </w:rPr>
              <w:t>ΔG</w:t>
            </w:r>
            <w:r w:rsidRPr="009A5211">
              <w:rPr>
                <w:b/>
                <w:vertAlign w:val="subscript"/>
              </w:rPr>
              <w:t>wo</w:t>
            </w:r>
            <w:r w:rsidRPr="009A5211">
              <w:rPr>
                <w:b/>
                <w:vertAlign w:val="superscript"/>
              </w:rPr>
              <w:t>+</w:t>
            </w:r>
            <w:r w:rsidRPr="009A5211">
              <w:rPr>
                <w:b/>
              </w:rPr>
              <w:t>(exp)</w:t>
            </w:r>
          </w:p>
        </w:tc>
      </w:tr>
      <w:tr w:rsidR="00270FC4" w:rsidRPr="009A5211" w14:paraId="20074B61" w14:textId="77777777" w:rsidTr="00A755C0">
        <w:trPr>
          <w:trHeight w:val="70"/>
        </w:trPr>
        <w:tc>
          <w:tcPr>
            <w:tcW w:w="1019" w:type="pct"/>
            <w:vAlign w:val="center"/>
          </w:tcPr>
          <w:p w14:paraId="626F663D" w14:textId="77777777" w:rsidR="00270FC4" w:rsidRDefault="00270FC4" w:rsidP="00A755C0">
            <w:r>
              <w:t>Procaine</w:t>
            </w:r>
          </w:p>
        </w:tc>
        <w:tc>
          <w:tcPr>
            <w:tcW w:w="396" w:type="pct"/>
            <w:vAlign w:val="center"/>
          </w:tcPr>
          <w:p w14:paraId="66B2294B" w14:textId="77777777" w:rsidR="00270FC4" w:rsidRPr="009A5211" w:rsidRDefault="00270FC4" w:rsidP="00A755C0">
            <w:r>
              <w:t>1.71</w:t>
            </w:r>
          </w:p>
        </w:tc>
        <w:tc>
          <w:tcPr>
            <w:tcW w:w="551" w:type="pct"/>
            <w:vAlign w:val="center"/>
          </w:tcPr>
          <w:p w14:paraId="5BE71B1B" w14:textId="77777777" w:rsidR="00270FC4" w:rsidRPr="009A5211" w:rsidRDefault="00270FC4" w:rsidP="00A755C0">
            <w:r>
              <w:t>5.73</w:t>
            </w:r>
          </w:p>
        </w:tc>
        <w:tc>
          <w:tcPr>
            <w:tcW w:w="392" w:type="pct"/>
            <w:vAlign w:val="center"/>
          </w:tcPr>
          <w:p w14:paraId="4C07B41F" w14:textId="77777777" w:rsidR="00270FC4" w:rsidRPr="009A5211" w:rsidRDefault="00270FC4" w:rsidP="00A755C0">
            <w:r>
              <w:t>1.18</w:t>
            </w:r>
          </w:p>
        </w:tc>
        <w:tc>
          <w:tcPr>
            <w:tcW w:w="473" w:type="pct"/>
            <w:vAlign w:val="center"/>
          </w:tcPr>
          <w:p w14:paraId="5E95F6E1" w14:textId="77777777" w:rsidR="00270FC4" w:rsidRPr="009A5211" w:rsidRDefault="00270FC4" w:rsidP="00A755C0">
            <w:r>
              <w:t>4.73</w:t>
            </w:r>
          </w:p>
        </w:tc>
        <w:tc>
          <w:tcPr>
            <w:tcW w:w="432" w:type="pct"/>
            <w:vAlign w:val="center"/>
          </w:tcPr>
          <w:p w14:paraId="3A2D0BFA" w14:textId="6EC9B7F0" w:rsidR="00270FC4" w:rsidRPr="009A5211" w:rsidRDefault="000918C7" w:rsidP="00A755C0">
            <w:r w:rsidRPr="00534AFD">
              <w:t>-1.78</w:t>
            </w:r>
          </w:p>
        </w:tc>
        <w:tc>
          <w:tcPr>
            <w:tcW w:w="507" w:type="pct"/>
            <w:vAlign w:val="center"/>
          </w:tcPr>
          <w:p w14:paraId="6D31416C" w14:textId="77777777" w:rsidR="00270FC4" w:rsidRPr="009A5211" w:rsidRDefault="00270FC4" w:rsidP="00A755C0">
            <w:r>
              <w:t>1.08</w:t>
            </w:r>
          </w:p>
        </w:tc>
        <w:tc>
          <w:tcPr>
            <w:tcW w:w="615" w:type="pct"/>
            <w:vAlign w:val="center"/>
          </w:tcPr>
          <w:p w14:paraId="15A7B0A4" w14:textId="77777777" w:rsidR="00270FC4" w:rsidRPr="009A5211" w:rsidRDefault="00270FC4" w:rsidP="00A755C0">
            <w:r>
              <w:t>-2.60</w:t>
            </w:r>
          </w:p>
        </w:tc>
        <w:tc>
          <w:tcPr>
            <w:tcW w:w="615" w:type="pct"/>
            <w:vAlign w:val="center"/>
          </w:tcPr>
          <w:p w14:paraId="5D304656" w14:textId="77777777" w:rsidR="00270FC4" w:rsidRPr="009A5211" w:rsidRDefault="00270FC4" w:rsidP="00A755C0">
            <w:r>
              <w:t>3.68</w:t>
            </w:r>
          </w:p>
        </w:tc>
      </w:tr>
      <w:tr w:rsidR="00270FC4" w:rsidRPr="009A5211" w14:paraId="5F7B5F1F" w14:textId="77777777" w:rsidTr="00A755C0">
        <w:trPr>
          <w:trHeight w:val="70"/>
        </w:trPr>
        <w:tc>
          <w:tcPr>
            <w:tcW w:w="1019" w:type="pct"/>
            <w:vAlign w:val="center"/>
          </w:tcPr>
          <w:p w14:paraId="52E37E8F" w14:textId="2975C218" w:rsidR="00270FC4" w:rsidRDefault="00270FC4" w:rsidP="00A755C0">
            <w:r>
              <w:t>2</w:t>
            </w:r>
            <w:r w:rsidR="00B74B68">
              <w:t>-</w:t>
            </w:r>
            <w:r>
              <w:t>chloroprocaine</w:t>
            </w:r>
          </w:p>
        </w:tc>
        <w:tc>
          <w:tcPr>
            <w:tcW w:w="396" w:type="pct"/>
            <w:vAlign w:val="center"/>
          </w:tcPr>
          <w:p w14:paraId="7C7B283C" w14:textId="77777777" w:rsidR="00270FC4" w:rsidRPr="009A5211" w:rsidRDefault="00270FC4" w:rsidP="00A755C0">
            <w:r>
              <w:t>1.47</w:t>
            </w:r>
          </w:p>
        </w:tc>
        <w:tc>
          <w:tcPr>
            <w:tcW w:w="551" w:type="pct"/>
            <w:vAlign w:val="center"/>
          </w:tcPr>
          <w:p w14:paraId="1BC38268" w14:textId="77777777" w:rsidR="00270FC4" w:rsidRPr="009A5211" w:rsidRDefault="00270FC4" w:rsidP="00A755C0">
            <w:r>
              <w:t>6.50</w:t>
            </w:r>
          </w:p>
        </w:tc>
        <w:tc>
          <w:tcPr>
            <w:tcW w:w="392" w:type="pct"/>
            <w:vAlign w:val="center"/>
          </w:tcPr>
          <w:p w14:paraId="366E85F5" w14:textId="77777777" w:rsidR="00270FC4" w:rsidRPr="009A5211" w:rsidRDefault="00270FC4" w:rsidP="00A755C0">
            <w:r>
              <w:t>1.25</w:t>
            </w:r>
          </w:p>
        </w:tc>
        <w:tc>
          <w:tcPr>
            <w:tcW w:w="473" w:type="pct"/>
            <w:vAlign w:val="center"/>
          </w:tcPr>
          <w:p w14:paraId="4915C7FE" w14:textId="77777777" w:rsidR="00270FC4" w:rsidRPr="009A5211" w:rsidRDefault="00270FC4" w:rsidP="00A755C0">
            <w:r>
              <w:t>4.92</w:t>
            </w:r>
          </w:p>
        </w:tc>
        <w:tc>
          <w:tcPr>
            <w:tcW w:w="432" w:type="pct"/>
            <w:vAlign w:val="center"/>
          </w:tcPr>
          <w:p w14:paraId="63A639C2" w14:textId="77777777" w:rsidR="00270FC4" w:rsidRPr="009A5211" w:rsidRDefault="00270FC4" w:rsidP="00A755C0">
            <w:r>
              <w:t>-0.94</w:t>
            </w:r>
          </w:p>
        </w:tc>
        <w:tc>
          <w:tcPr>
            <w:tcW w:w="507" w:type="pct"/>
            <w:vAlign w:val="center"/>
          </w:tcPr>
          <w:p w14:paraId="7B02A32F" w14:textId="77777777" w:rsidR="00270FC4" w:rsidRPr="009A5211" w:rsidRDefault="00270FC4" w:rsidP="00A755C0">
            <w:r>
              <w:t>-0.09</w:t>
            </w:r>
          </w:p>
        </w:tc>
        <w:tc>
          <w:tcPr>
            <w:tcW w:w="615" w:type="pct"/>
            <w:vAlign w:val="center"/>
          </w:tcPr>
          <w:p w14:paraId="2F3B4EDE" w14:textId="77777777" w:rsidR="00270FC4" w:rsidRPr="009A5211" w:rsidRDefault="00270FC4" w:rsidP="00A755C0">
            <w:r>
              <w:t>-3.90</w:t>
            </w:r>
          </w:p>
        </w:tc>
        <w:tc>
          <w:tcPr>
            <w:tcW w:w="615" w:type="pct"/>
            <w:vAlign w:val="center"/>
          </w:tcPr>
          <w:p w14:paraId="114D59D1" w14:textId="77777777" w:rsidR="00270FC4" w:rsidRPr="009A5211" w:rsidRDefault="00270FC4" w:rsidP="00A755C0">
            <w:r>
              <w:t>2.16</w:t>
            </w:r>
          </w:p>
        </w:tc>
      </w:tr>
      <w:tr w:rsidR="00270FC4" w:rsidRPr="009A5211" w14:paraId="75BC2E03" w14:textId="77777777" w:rsidTr="00A755C0">
        <w:trPr>
          <w:trHeight w:val="50"/>
        </w:trPr>
        <w:tc>
          <w:tcPr>
            <w:tcW w:w="1019" w:type="pct"/>
            <w:vAlign w:val="center"/>
          </w:tcPr>
          <w:p w14:paraId="1AFD0AF2" w14:textId="77777777" w:rsidR="00270FC4" w:rsidRPr="009A5211" w:rsidRDefault="00270FC4" w:rsidP="00A755C0">
            <w:r>
              <w:t>L</w:t>
            </w:r>
            <w:r w:rsidRPr="009A5211">
              <w:t>idocaine</w:t>
            </w:r>
          </w:p>
        </w:tc>
        <w:tc>
          <w:tcPr>
            <w:tcW w:w="396" w:type="pct"/>
            <w:vAlign w:val="center"/>
          </w:tcPr>
          <w:p w14:paraId="7899A1DB" w14:textId="77777777" w:rsidR="00270FC4" w:rsidRPr="009A5211" w:rsidRDefault="00270FC4" w:rsidP="00A755C0">
            <w:r w:rsidRPr="009A5211">
              <w:t>1.37</w:t>
            </w:r>
          </w:p>
        </w:tc>
        <w:tc>
          <w:tcPr>
            <w:tcW w:w="551" w:type="pct"/>
            <w:vAlign w:val="center"/>
          </w:tcPr>
          <w:p w14:paraId="38E33463" w14:textId="77777777" w:rsidR="00270FC4" w:rsidRPr="009A5211" w:rsidRDefault="00270FC4" w:rsidP="00A755C0">
            <w:r w:rsidRPr="009A5211">
              <w:t>5.94</w:t>
            </w:r>
          </w:p>
        </w:tc>
        <w:tc>
          <w:tcPr>
            <w:tcW w:w="392" w:type="pct"/>
            <w:vAlign w:val="center"/>
          </w:tcPr>
          <w:p w14:paraId="7F5D8E1B" w14:textId="77777777" w:rsidR="00270FC4" w:rsidRPr="009A5211" w:rsidRDefault="00270FC4" w:rsidP="00A755C0">
            <w:r w:rsidRPr="009A5211">
              <w:t>1.34</w:t>
            </w:r>
          </w:p>
        </w:tc>
        <w:tc>
          <w:tcPr>
            <w:tcW w:w="473" w:type="pct"/>
            <w:vAlign w:val="center"/>
          </w:tcPr>
          <w:p w14:paraId="4321A156" w14:textId="77777777" w:rsidR="00270FC4" w:rsidRPr="009A5211" w:rsidRDefault="00270FC4" w:rsidP="00A755C0">
            <w:r w:rsidRPr="009A5211">
              <w:t>5.28</w:t>
            </w:r>
          </w:p>
        </w:tc>
        <w:tc>
          <w:tcPr>
            <w:tcW w:w="432" w:type="pct"/>
            <w:vAlign w:val="center"/>
          </w:tcPr>
          <w:p w14:paraId="7C374012" w14:textId="77777777" w:rsidR="00270FC4" w:rsidRPr="009A5211" w:rsidRDefault="00270FC4" w:rsidP="00A755C0">
            <w:r w:rsidRPr="009A5211">
              <w:t>-4.14</w:t>
            </w:r>
          </w:p>
        </w:tc>
        <w:tc>
          <w:tcPr>
            <w:tcW w:w="507" w:type="pct"/>
            <w:vAlign w:val="center"/>
          </w:tcPr>
          <w:p w14:paraId="6EA1FEF4" w14:textId="77777777" w:rsidR="00270FC4" w:rsidRPr="009A5211" w:rsidRDefault="00270FC4" w:rsidP="00A755C0">
            <w:r w:rsidRPr="009A5211">
              <w:t>1.69</w:t>
            </w:r>
          </w:p>
        </w:tc>
        <w:tc>
          <w:tcPr>
            <w:tcW w:w="615" w:type="pct"/>
            <w:vAlign w:val="center"/>
          </w:tcPr>
          <w:p w14:paraId="57BEBFC4" w14:textId="77777777" w:rsidR="00270FC4" w:rsidRPr="009A5211" w:rsidRDefault="00270FC4" w:rsidP="00A755C0">
            <w:r w:rsidRPr="009A5211">
              <w:t>-3.38</w:t>
            </w:r>
          </w:p>
        </w:tc>
        <w:tc>
          <w:tcPr>
            <w:tcW w:w="615" w:type="pct"/>
            <w:vAlign w:val="center"/>
          </w:tcPr>
          <w:p w14:paraId="4BCF960C" w14:textId="77777777" w:rsidR="00270FC4" w:rsidRPr="009A5211" w:rsidRDefault="00270FC4" w:rsidP="00A755C0">
            <w:r w:rsidRPr="009A5211">
              <w:t>1.66</w:t>
            </w:r>
          </w:p>
        </w:tc>
      </w:tr>
      <w:tr w:rsidR="00270FC4" w:rsidRPr="009A5211" w14:paraId="5815FE81" w14:textId="77777777" w:rsidTr="00A755C0">
        <w:trPr>
          <w:trHeight w:val="70"/>
        </w:trPr>
        <w:tc>
          <w:tcPr>
            <w:tcW w:w="1019" w:type="pct"/>
            <w:vAlign w:val="center"/>
          </w:tcPr>
          <w:p w14:paraId="4F3E1942" w14:textId="77777777" w:rsidR="00270FC4" w:rsidRPr="009A5211" w:rsidRDefault="00270FC4" w:rsidP="00A755C0">
            <w:r>
              <w:t>B</w:t>
            </w:r>
            <w:r w:rsidRPr="009A5211">
              <w:t>upivacaine</w:t>
            </w:r>
          </w:p>
        </w:tc>
        <w:tc>
          <w:tcPr>
            <w:tcW w:w="396" w:type="pct"/>
            <w:vAlign w:val="center"/>
          </w:tcPr>
          <w:p w14:paraId="1C5BCFAC" w14:textId="77777777" w:rsidR="00270FC4" w:rsidRPr="009A5211" w:rsidRDefault="00270FC4" w:rsidP="00A755C0">
            <w:r w:rsidRPr="009A5211">
              <w:t>1.81</w:t>
            </w:r>
          </w:p>
        </w:tc>
        <w:tc>
          <w:tcPr>
            <w:tcW w:w="551" w:type="pct"/>
            <w:vAlign w:val="center"/>
          </w:tcPr>
          <w:p w14:paraId="093AB308" w14:textId="77777777" w:rsidR="00270FC4" w:rsidRPr="009A5211" w:rsidRDefault="00270FC4" w:rsidP="00A755C0">
            <w:r w:rsidRPr="009A5211">
              <w:t>4.95</w:t>
            </w:r>
          </w:p>
        </w:tc>
        <w:tc>
          <w:tcPr>
            <w:tcW w:w="392" w:type="pct"/>
            <w:vAlign w:val="center"/>
          </w:tcPr>
          <w:p w14:paraId="2BF30091" w14:textId="77777777" w:rsidR="00270FC4" w:rsidRPr="009A5211" w:rsidRDefault="00270FC4" w:rsidP="00A755C0">
            <w:r w:rsidRPr="009A5211">
              <w:t>1.96</w:t>
            </w:r>
          </w:p>
        </w:tc>
        <w:tc>
          <w:tcPr>
            <w:tcW w:w="473" w:type="pct"/>
            <w:vAlign w:val="center"/>
          </w:tcPr>
          <w:p w14:paraId="2469792B" w14:textId="77777777" w:rsidR="00270FC4" w:rsidRPr="009A5211" w:rsidRDefault="00270FC4" w:rsidP="00A755C0">
            <w:r w:rsidRPr="009A5211">
              <w:t>4.47</w:t>
            </w:r>
          </w:p>
        </w:tc>
        <w:tc>
          <w:tcPr>
            <w:tcW w:w="432" w:type="pct"/>
            <w:vAlign w:val="center"/>
          </w:tcPr>
          <w:p w14:paraId="7D5A2CD3" w14:textId="77777777" w:rsidR="00270FC4" w:rsidRPr="009A5211" w:rsidRDefault="00270FC4" w:rsidP="00A755C0">
            <w:r w:rsidRPr="009A5211">
              <w:t>-3.68</w:t>
            </w:r>
          </w:p>
        </w:tc>
        <w:tc>
          <w:tcPr>
            <w:tcW w:w="507" w:type="pct"/>
            <w:vAlign w:val="center"/>
          </w:tcPr>
          <w:p w14:paraId="0776A26D" w14:textId="77777777" w:rsidR="00270FC4" w:rsidRPr="009A5211" w:rsidRDefault="00270FC4" w:rsidP="00A755C0">
            <w:r w:rsidRPr="009A5211">
              <w:t>-2.05</w:t>
            </w:r>
          </w:p>
        </w:tc>
        <w:tc>
          <w:tcPr>
            <w:tcW w:w="615" w:type="pct"/>
            <w:vAlign w:val="center"/>
          </w:tcPr>
          <w:p w14:paraId="6D41E82B" w14:textId="77777777" w:rsidR="00270FC4" w:rsidRPr="009A5211" w:rsidRDefault="00270FC4" w:rsidP="00A755C0">
            <w:r w:rsidRPr="009A5211">
              <w:t>-4.65</w:t>
            </w:r>
          </w:p>
        </w:tc>
        <w:tc>
          <w:tcPr>
            <w:tcW w:w="615" w:type="pct"/>
            <w:vAlign w:val="center"/>
          </w:tcPr>
          <w:p w14:paraId="147498C8" w14:textId="77777777" w:rsidR="00270FC4" w:rsidRPr="009A5211" w:rsidRDefault="00270FC4" w:rsidP="00A755C0">
            <w:r w:rsidRPr="009A5211">
              <w:t>-0.24</w:t>
            </w:r>
          </w:p>
        </w:tc>
      </w:tr>
      <w:tr w:rsidR="00270FC4" w:rsidRPr="009A5211" w14:paraId="6DF484F1" w14:textId="77777777" w:rsidTr="00A755C0">
        <w:trPr>
          <w:trHeight w:val="70"/>
        </w:trPr>
        <w:tc>
          <w:tcPr>
            <w:tcW w:w="1019" w:type="pct"/>
            <w:vAlign w:val="center"/>
          </w:tcPr>
          <w:p w14:paraId="5ED19080" w14:textId="77777777" w:rsidR="00270FC4" w:rsidRPr="009A5211" w:rsidRDefault="00270FC4" w:rsidP="00A755C0">
            <w:r>
              <w:t>E</w:t>
            </w:r>
            <w:r w:rsidRPr="009A5211">
              <w:t>tidocaine</w:t>
            </w:r>
          </w:p>
        </w:tc>
        <w:tc>
          <w:tcPr>
            <w:tcW w:w="396" w:type="pct"/>
            <w:vAlign w:val="center"/>
          </w:tcPr>
          <w:p w14:paraId="28A15F16" w14:textId="77777777" w:rsidR="00270FC4" w:rsidRPr="009A5211" w:rsidRDefault="00270FC4" w:rsidP="00A755C0">
            <w:r w:rsidRPr="009A5211">
              <w:t>1.21</w:t>
            </w:r>
          </w:p>
        </w:tc>
        <w:tc>
          <w:tcPr>
            <w:tcW w:w="551" w:type="pct"/>
            <w:vAlign w:val="center"/>
          </w:tcPr>
          <w:p w14:paraId="51C987A3" w14:textId="77777777" w:rsidR="00270FC4" w:rsidRPr="009A5211" w:rsidRDefault="00270FC4" w:rsidP="00A755C0">
            <w:r w:rsidRPr="009A5211">
              <w:t>5.62</w:t>
            </w:r>
          </w:p>
        </w:tc>
        <w:tc>
          <w:tcPr>
            <w:tcW w:w="392" w:type="pct"/>
            <w:vAlign w:val="center"/>
          </w:tcPr>
          <w:p w14:paraId="3B655E58" w14:textId="77777777" w:rsidR="00270FC4" w:rsidRPr="009A5211" w:rsidRDefault="00270FC4" w:rsidP="00A755C0">
            <w:r w:rsidRPr="009A5211">
              <w:t>0.79</w:t>
            </w:r>
          </w:p>
        </w:tc>
        <w:tc>
          <w:tcPr>
            <w:tcW w:w="473" w:type="pct"/>
            <w:vAlign w:val="center"/>
          </w:tcPr>
          <w:p w14:paraId="3AE11F8D" w14:textId="77777777" w:rsidR="00270FC4" w:rsidRPr="009A5211" w:rsidRDefault="00270FC4" w:rsidP="00A755C0">
            <w:r w:rsidRPr="009A5211">
              <w:t>4.93</w:t>
            </w:r>
          </w:p>
        </w:tc>
        <w:tc>
          <w:tcPr>
            <w:tcW w:w="432" w:type="pct"/>
            <w:vAlign w:val="center"/>
          </w:tcPr>
          <w:p w14:paraId="698425EF" w14:textId="77777777" w:rsidR="00270FC4" w:rsidRPr="009A5211" w:rsidRDefault="00270FC4" w:rsidP="00A755C0">
            <w:r w:rsidRPr="009A5211">
              <w:t>-5.19</w:t>
            </w:r>
          </w:p>
        </w:tc>
        <w:tc>
          <w:tcPr>
            <w:tcW w:w="507" w:type="pct"/>
            <w:vAlign w:val="center"/>
          </w:tcPr>
          <w:p w14:paraId="0DB02721" w14:textId="77777777" w:rsidR="00270FC4" w:rsidRPr="009A5211" w:rsidRDefault="00270FC4" w:rsidP="00A755C0">
            <w:r w:rsidRPr="009A5211">
              <w:t>1.38</w:t>
            </w:r>
          </w:p>
        </w:tc>
        <w:tc>
          <w:tcPr>
            <w:tcW w:w="615" w:type="pct"/>
            <w:vAlign w:val="center"/>
          </w:tcPr>
          <w:p w14:paraId="39D9E6A5" w14:textId="77777777" w:rsidR="00270FC4" w:rsidRPr="009A5211" w:rsidRDefault="00270FC4" w:rsidP="00A755C0">
            <w:r w:rsidRPr="009A5211">
              <w:t>-5.03</w:t>
            </w:r>
          </w:p>
        </w:tc>
        <w:tc>
          <w:tcPr>
            <w:tcW w:w="615" w:type="pct"/>
            <w:vAlign w:val="center"/>
          </w:tcPr>
          <w:p w14:paraId="7772109E" w14:textId="77777777" w:rsidR="00270FC4" w:rsidRPr="009A5211" w:rsidRDefault="00270FC4" w:rsidP="00A755C0">
            <w:r w:rsidRPr="009A5211">
              <w:t>0.43</w:t>
            </w:r>
          </w:p>
        </w:tc>
      </w:tr>
      <w:tr w:rsidR="00270FC4" w:rsidRPr="009A5211" w14:paraId="2DBA0F14" w14:textId="77777777" w:rsidTr="00A755C0">
        <w:trPr>
          <w:trHeight w:val="70"/>
        </w:trPr>
        <w:tc>
          <w:tcPr>
            <w:tcW w:w="1019" w:type="pct"/>
            <w:vAlign w:val="center"/>
          </w:tcPr>
          <w:p w14:paraId="589D0204" w14:textId="77777777" w:rsidR="00270FC4" w:rsidRDefault="00270FC4" w:rsidP="00A755C0">
            <w:r>
              <w:t>Mepivacaine</w:t>
            </w:r>
          </w:p>
        </w:tc>
        <w:tc>
          <w:tcPr>
            <w:tcW w:w="396" w:type="pct"/>
            <w:vAlign w:val="center"/>
          </w:tcPr>
          <w:p w14:paraId="1A634605" w14:textId="77777777" w:rsidR="00270FC4" w:rsidRPr="009A5211" w:rsidRDefault="00270FC4" w:rsidP="00A755C0">
            <w:r>
              <w:t>1.09</w:t>
            </w:r>
          </w:p>
        </w:tc>
        <w:tc>
          <w:tcPr>
            <w:tcW w:w="551" w:type="pct"/>
            <w:vAlign w:val="center"/>
          </w:tcPr>
          <w:p w14:paraId="6D81FD3D" w14:textId="77777777" w:rsidR="00270FC4" w:rsidRPr="009A5211" w:rsidRDefault="00270FC4" w:rsidP="00A755C0">
            <w:r>
              <w:t>6.11</w:t>
            </w:r>
          </w:p>
        </w:tc>
        <w:tc>
          <w:tcPr>
            <w:tcW w:w="392" w:type="pct"/>
            <w:vAlign w:val="center"/>
          </w:tcPr>
          <w:p w14:paraId="2EDCFBAE" w14:textId="77777777" w:rsidR="00270FC4" w:rsidRPr="009A5211" w:rsidRDefault="00270FC4" w:rsidP="00A755C0">
            <w:r>
              <w:t>0.50</w:t>
            </w:r>
          </w:p>
        </w:tc>
        <w:tc>
          <w:tcPr>
            <w:tcW w:w="473" w:type="pct"/>
            <w:vAlign w:val="center"/>
          </w:tcPr>
          <w:p w14:paraId="6EB0190D" w14:textId="77777777" w:rsidR="00270FC4" w:rsidRPr="009A5211" w:rsidRDefault="00270FC4" w:rsidP="00A755C0">
            <w:r>
              <w:t>4.94</w:t>
            </w:r>
          </w:p>
        </w:tc>
        <w:tc>
          <w:tcPr>
            <w:tcW w:w="432" w:type="pct"/>
            <w:vAlign w:val="center"/>
          </w:tcPr>
          <w:p w14:paraId="74BDF591" w14:textId="77777777" w:rsidR="00270FC4" w:rsidRPr="009A5211" w:rsidRDefault="00270FC4" w:rsidP="00A755C0">
            <w:r>
              <w:t>-3.62</w:t>
            </w:r>
          </w:p>
        </w:tc>
        <w:tc>
          <w:tcPr>
            <w:tcW w:w="507" w:type="pct"/>
            <w:vAlign w:val="center"/>
          </w:tcPr>
          <w:p w14:paraId="3682A09B" w14:textId="77777777" w:rsidR="00270FC4" w:rsidRPr="009A5211" w:rsidRDefault="00270FC4" w:rsidP="00A755C0">
            <w:r>
              <w:t>-3.72</w:t>
            </w:r>
          </w:p>
        </w:tc>
        <w:tc>
          <w:tcPr>
            <w:tcW w:w="615" w:type="pct"/>
            <w:vAlign w:val="center"/>
          </w:tcPr>
          <w:p w14:paraId="4C58278F" w14:textId="77777777" w:rsidR="00270FC4" w:rsidRPr="009A5211" w:rsidRDefault="00270FC4" w:rsidP="00A755C0">
            <w:r>
              <w:t>-2.66</w:t>
            </w:r>
          </w:p>
        </w:tc>
        <w:tc>
          <w:tcPr>
            <w:tcW w:w="615" w:type="pct"/>
            <w:vAlign w:val="center"/>
          </w:tcPr>
          <w:p w14:paraId="6CF27D33" w14:textId="77777777" w:rsidR="00270FC4" w:rsidRPr="009A5211" w:rsidRDefault="00270FC4" w:rsidP="00A755C0">
            <w:r>
              <w:t>1.43</w:t>
            </w:r>
          </w:p>
        </w:tc>
      </w:tr>
      <w:tr w:rsidR="00270FC4" w:rsidRPr="009A5211" w14:paraId="727B7C1E" w14:textId="77777777" w:rsidTr="00A755C0">
        <w:trPr>
          <w:trHeight w:val="70"/>
        </w:trPr>
        <w:tc>
          <w:tcPr>
            <w:tcW w:w="1019" w:type="pct"/>
            <w:vAlign w:val="center"/>
          </w:tcPr>
          <w:p w14:paraId="55E14E5A" w14:textId="77777777" w:rsidR="00270FC4" w:rsidRDefault="00270FC4" w:rsidP="00A755C0">
            <w:r>
              <w:t>Ropivacaine</w:t>
            </w:r>
          </w:p>
        </w:tc>
        <w:tc>
          <w:tcPr>
            <w:tcW w:w="396" w:type="pct"/>
            <w:vAlign w:val="center"/>
          </w:tcPr>
          <w:p w14:paraId="3F87B59A" w14:textId="77777777" w:rsidR="00270FC4" w:rsidRPr="009A5211" w:rsidRDefault="00270FC4" w:rsidP="00A755C0">
            <w:r>
              <w:t>2.18</w:t>
            </w:r>
          </w:p>
        </w:tc>
        <w:tc>
          <w:tcPr>
            <w:tcW w:w="551" w:type="pct"/>
            <w:vAlign w:val="center"/>
          </w:tcPr>
          <w:p w14:paraId="544EA5CB" w14:textId="77777777" w:rsidR="00270FC4" w:rsidRPr="009A5211" w:rsidRDefault="00270FC4" w:rsidP="00A755C0">
            <w:r>
              <w:t>5.32</w:t>
            </w:r>
          </w:p>
        </w:tc>
        <w:tc>
          <w:tcPr>
            <w:tcW w:w="392" w:type="pct"/>
            <w:vAlign w:val="center"/>
          </w:tcPr>
          <w:p w14:paraId="683B3635" w14:textId="77777777" w:rsidR="00270FC4" w:rsidRPr="009A5211" w:rsidRDefault="00270FC4" w:rsidP="00A755C0">
            <w:r>
              <w:t>1.21</w:t>
            </w:r>
          </w:p>
        </w:tc>
        <w:tc>
          <w:tcPr>
            <w:tcW w:w="473" w:type="pct"/>
            <w:vAlign w:val="center"/>
          </w:tcPr>
          <w:p w14:paraId="429B8AD0" w14:textId="77777777" w:rsidR="00270FC4" w:rsidRPr="009A5211" w:rsidRDefault="00270FC4" w:rsidP="00A755C0">
            <w:r>
              <w:t>4.95</w:t>
            </w:r>
          </w:p>
        </w:tc>
        <w:tc>
          <w:tcPr>
            <w:tcW w:w="432" w:type="pct"/>
            <w:vAlign w:val="center"/>
          </w:tcPr>
          <w:p w14:paraId="64291531" w14:textId="77777777" w:rsidR="00270FC4" w:rsidRPr="009A5211" w:rsidRDefault="00270FC4" w:rsidP="00A755C0">
            <w:r>
              <w:t>-3.61</w:t>
            </w:r>
          </w:p>
        </w:tc>
        <w:tc>
          <w:tcPr>
            <w:tcW w:w="507" w:type="pct"/>
            <w:vAlign w:val="center"/>
          </w:tcPr>
          <w:p w14:paraId="171EEB85" w14:textId="77777777" w:rsidR="00270FC4" w:rsidRPr="009A5211" w:rsidRDefault="00270FC4" w:rsidP="00A755C0">
            <w:r>
              <w:t>-1.36</w:t>
            </w:r>
          </w:p>
        </w:tc>
        <w:tc>
          <w:tcPr>
            <w:tcW w:w="615" w:type="pct"/>
            <w:vAlign w:val="center"/>
          </w:tcPr>
          <w:p w14:paraId="183E0451" w14:textId="77777777" w:rsidR="00270FC4" w:rsidRPr="009A5211" w:rsidRDefault="00270FC4" w:rsidP="00A755C0">
            <w:r>
              <w:t>-3.94</w:t>
            </w:r>
          </w:p>
        </w:tc>
        <w:tc>
          <w:tcPr>
            <w:tcW w:w="615" w:type="pct"/>
            <w:vAlign w:val="center"/>
          </w:tcPr>
          <w:p w14:paraId="1E385758" w14:textId="77777777" w:rsidR="00270FC4" w:rsidRPr="009A5211" w:rsidRDefault="00270FC4" w:rsidP="00A755C0">
            <w:r>
              <w:t>0.46</w:t>
            </w:r>
          </w:p>
        </w:tc>
      </w:tr>
    </w:tbl>
    <w:p w14:paraId="50595F77" w14:textId="0F28BFED" w:rsidR="00592318" w:rsidRPr="00A62492" w:rsidRDefault="000F5C4B" w:rsidP="005B1580">
      <w:r>
        <w:lastRenderedPageBreak/>
        <w:t xml:space="preserve">The range of difference between experimental results and the results from IEFPCM method is between 4.31 and 6.46 </w:t>
      </w:r>
      <w:r w:rsidRPr="00C26CA1">
        <w:t>kcal mol</w:t>
      </w:r>
      <w:r w:rsidRPr="00432F07">
        <w:rPr>
          <w:vertAlign w:val="superscript"/>
        </w:rPr>
        <w:t>-1</w:t>
      </w:r>
      <w:r>
        <w:t xml:space="preserve"> for neutral from and between 2.05 and 5.19 </w:t>
      </w:r>
      <w:r w:rsidRPr="00C26CA1">
        <w:t>kcal mol</w:t>
      </w:r>
      <w:r w:rsidRPr="00432F07">
        <w:rPr>
          <w:vertAlign w:val="superscript"/>
        </w:rPr>
        <w:t>-1</w:t>
      </w:r>
      <w:r>
        <w:t xml:space="preserve"> for protonated from. The range of difference for CPCM method is between 3.16 and 6.61 </w:t>
      </w:r>
      <w:r w:rsidRPr="00C26CA1">
        <w:t>kcal mol</w:t>
      </w:r>
      <w:r w:rsidRPr="00432F07">
        <w:rPr>
          <w:vertAlign w:val="superscript"/>
        </w:rPr>
        <w:t>-1</w:t>
      </w:r>
      <w:r>
        <w:t xml:space="preserve"> for neutral from and between 1.05 and 4.71 </w:t>
      </w:r>
      <w:r w:rsidRPr="00C26CA1">
        <w:t>kcal mol</w:t>
      </w:r>
      <w:r w:rsidRPr="00432F07">
        <w:rPr>
          <w:vertAlign w:val="superscript"/>
        </w:rPr>
        <w:t>-1</w:t>
      </w:r>
      <w:r>
        <w:t xml:space="preserve"> for protonated from. The range of difference for SMD method is between 0.16 and 2.96 </w:t>
      </w:r>
      <w:r w:rsidRPr="00C26CA1">
        <w:t>kcal mol</w:t>
      </w:r>
      <w:r w:rsidRPr="00432F07">
        <w:rPr>
          <w:vertAlign w:val="superscript"/>
        </w:rPr>
        <w:t>-1</w:t>
      </w:r>
      <w:r>
        <w:t xml:space="preserve"> for neutral from and between 0.03 and 5.15 </w:t>
      </w:r>
      <w:r w:rsidRPr="00C26CA1">
        <w:t>kcal mol</w:t>
      </w:r>
      <w:r w:rsidRPr="00432F07">
        <w:rPr>
          <w:vertAlign w:val="superscript"/>
        </w:rPr>
        <w:t>-1</w:t>
      </w:r>
      <w:r>
        <w:t xml:space="preserve"> for protonated from. </w:t>
      </w:r>
    </w:p>
    <w:p w14:paraId="43393621" w14:textId="77777777" w:rsidR="00592318" w:rsidRPr="00A62492" w:rsidRDefault="00592318" w:rsidP="005B1580">
      <w:pPr>
        <w:rPr>
          <w:rFonts w:eastAsia="Times New Roman"/>
        </w:rPr>
      </w:pPr>
    </w:p>
    <w:p w14:paraId="0A23098D" w14:textId="77777777" w:rsidR="00C81171" w:rsidRDefault="00C81171">
      <w:pPr>
        <w:spacing w:after="0" w:line="240" w:lineRule="auto"/>
        <w:jc w:val="left"/>
        <w:rPr>
          <w:rFonts w:eastAsia="ヒラギノ角ゴ Pro W3"/>
          <w:b/>
          <w:color w:val="000000"/>
          <w:szCs w:val="28"/>
          <w:lang w:val="en-GB" w:eastAsia="en-US"/>
        </w:rPr>
      </w:pPr>
      <w:r>
        <w:br w:type="page"/>
      </w:r>
    </w:p>
    <w:p w14:paraId="044E77AD" w14:textId="67357DAB" w:rsidR="00592318" w:rsidRDefault="00592318" w:rsidP="009E49BF">
      <w:pPr>
        <w:pStyle w:val="Heading1"/>
      </w:pPr>
      <w:r>
        <w:lastRenderedPageBreak/>
        <w:t>Discussion</w:t>
      </w:r>
    </w:p>
    <w:p w14:paraId="70E14242" w14:textId="519341A2" w:rsidR="00AB5BA6" w:rsidRDefault="000A69B3" w:rsidP="005B1580">
      <w:r>
        <w:t xml:space="preserve">Our comparison of free energies of solvation, calculated by three different solvation methods </w:t>
      </w:r>
      <w:r w:rsidR="005434B0">
        <w:t xml:space="preserve">implemented </w:t>
      </w:r>
      <w:r>
        <w:t>in Gauss</w:t>
      </w:r>
      <w:r w:rsidR="005434B0">
        <w:t>ian 16</w:t>
      </w:r>
      <w:r>
        <w:t>, and free energies calculated from experimental results of Strichartz et al</w:t>
      </w:r>
      <w:r w:rsidR="004E3F1C">
        <w:t>.</w:t>
      </w:r>
      <w:r>
        <w:t xml:space="preserve">, show that the best solvation model for predicting </w:t>
      </w:r>
      <w:r w:rsidR="006814C8">
        <w:t>partition coefficient</w:t>
      </w:r>
      <w:r w:rsidR="00B74B68">
        <w:t>s</w:t>
      </w:r>
      <w:r w:rsidR="006814C8">
        <w:t xml:space="preserve"> is the </w:t>
      </w:r>
      <w:r w:rsidR="006814C8" w:rsidRPr="006814C8">
        <w:t>SMD method of Cramer and Truhlar</w:t>
      </w:r>
      <w:r w:rsidR="006814C8">
        <w:t>.</w:t>
      </w:r>
      <w:r w:rsidR="005434B0">
        <w:t xml:space="preserve"> </w:t>
      </w:r>
    </w:p>
    <w:p w14:paraId="6737DA78" w14:textId="771A9427" w:rsidR="00AF2049" w:rsidRDefault="00AD23D7" w:rsidP="005B1580">
      <w:pPr>
        <w:rPr>
          <w:rFonts w:eastAsia="Times"/>
        </w:rPr>
      </w:pPr>
      <w:r>
        <w:t xml:space="preserve">Experimental data </w:t>
      </w:r>
      <w:r w:rsidR="00AB5BA6">
        <w:t>(</w:t>
      </w:r>
      <w:r>
        <w:t>Table 1</w:t>
      </w:r>
      <w:r w:rsidR="00AB5BA6">
        <w:t>)</w:t>
      </w:r>
      <w:r>
        <w:t xml:space="preserve"> clear</w:t>
      </w:r>
      <w:r w:rsidR="00863887">
        <w:t>ly demonstrate that all local anesthetics</w:t>
      </w:r>
      <w:r>
        <w:t xml:space="preserve"> in their neutral form strongly prefer octanol over water. </w:t>
      </w:r>
      <w:r w:rsidR="00315FA6">
        <w:t>Therefore, a</w:t>
      </w:r>
      <w:r>
        <w:rPr>
          <w:rFonts w:eastAsia="Times"/>
        </w:rPr>
        <w:t>t physiological conditions</w:t>
      </w:r>
      <w:r w:rsidR="00B74B68">
        <w:rPr>
          <w:rFonts w:eastAsia="Times"/>
        </w:rPr>
        <w:t>,</w:t>
      </w:r>
      <w:r w:rsidR="00315FA6">
        <w:rPr>
          <w:rFonts w:eastAsia="Times"/>
        </w:rPr>
        <w:t xml:space="preserve"> the</w:t>
      </w:r>
      <w:r>
        <w:rPr>
          <w:rFonts w:eastAsia="Times"/>
        </w:rPr>
        <w:t xml:space="preserve"> membrane does not represent a barrier for transfer of local anesthetics from extracellular liquid to axoplasm since their population in the membrane is increased rather than decreased. </w:t>
      </w:r>
    </w:p>
    <w:p w14:paraId="5F04BD9C" w14:textId="0F938030" w:rsidR="00AF4DBB" w:rsidRDefault="00DA4686" w:rsidP="005B1580">
      <w:pPr>
        <w:rPr>
          <w:rFonts w:eastAsia="Times"/>
        </w:rPr>
      </w:pPr>
      <w:r>
        <w:rPr>
          <w:rFonts w:eastAsia="Times"/>
        </w:rPr>
        <w:t>L</w:t>
      </w:r>
      <w:r w:rsidR="00AF4DBB" w:rsidRPr="00AF4DBB">
        <w:rPr>
          <w:rFonts w:eastAsia="Times"/>
        </w:rPr>
        <w:t>ocal anesthetics are less effective when applied to inflamed tissue.</w:t>
      </w:r>
      <w:r w:rsidR="00AF4DBB">
        <w:rPr>
          <w:rFonts w:eastAsia="Times"/>
        </w:rPr>
        <w:fldChar w:fldCharType="begin" w:fldLock="1"/>
      </w:r>
      <w:r w:rsidR="005229F8">
        <w:rPr>
          <w:rFonts w:eastAsia="Times"/>
        </w:rPr>
        <w:instrText>ADDIN CSL_CITATION {"citationItems":[{"id":"ITEM-1","itemData":{"PMID":"17072256","abstract":"Correct identification of the causes of dental anesthetic failure is essential in order to adopt the required measures for successful anesthesia. A review is made of the factors implicated in locoregional anesthesia failure, such as a bifid inferior alveolar nerve, retromolar foramen associated to accessory innervation, double or accessory mental foramen, the relation between the infiltration technique and bone density, accessory innervation in the case of the mylohyoid nerve and first cervical branches, cross innervation of the incisors, inactivity in the presence of tissue inflammation, inactive anesthetic solutions, an incorrect technique, and subjective perception on the part of particularly anxious patients. The therapeutic options available in the event such problems are encountered in routine clinical practice are commented.","author":[{"dropping-particle":"","family":"Boronat López","given":"Araceli","non-dropping-particle":"","parse-names":false,"suffix":""},{"dropping-particle":"","family":"Peñarrocha Diago","given":"Miguel","non-dropping-particle":"","parse-names":false,"suffix":""}],"container-title":"Medicina oral, patologia oral y cirugia bucal","id":"ITEM-1","issue":"6","issued":{"date-parts":[["2006","11"]]},"page":"E510-E513","title":"Failure of locoregional anesthesia in dental practice. Review of the literature.","type":"article-journal","volume":"11"},"uris":["http://www.mendeley.com/documents/?uuid=966cf9cf-3531-4f02-9361-c77ed7db8a0b"]},{"id":"ITEM-2","itemData":{"PMID":"10825834","abstract":"Analgesia is essential for successful completion of modern dental procedures. Standard inferior alveolar nerve block (IANB) is the primary method used to achieve mandibular analgesia. Difficulty experienced in obtaining satisfactory analgesia after IANB, especially of an acutely inflamed mandibular molar, remains a common clinical problem. Even when a proper technique is employed, clinical studies show that IANB fails in approximately 30% to 45% of cases. The reasons for failure are not fully understood. Anatomical considerations and abnormal physiological responses in the presence of inflammation as explanations for IANB failure are discussed in this paper.","author":[{"dropping-particle":"","family":"Potocnik","given":"I","non-dropping-particle":"","parse-names":false,"suffix":""},{"dropping-particle":"","family":"Bajrović","given":"F","non-dropping-particle":"","parse-names":false,"suffix":""}],"container-title":"Endodontics &amp; dental traumatology","id":"ITEM-2","issue":"6","issued":{"date-parts":[["1999","12"]]},"page":"247-251","title":"Failure of inferior alveolar nerve block in endodontics.","type":"article-journal","volume":"15"},"uris":["http://www.mendeley.com/documents/?uuid=2645f739-d5fd-4a14-8abb-2d1bd7357a50"]},{"id":"ITEM-3","itemData":{"PMID":"22096346","abstract":"The presence of inflammation decreases local anesthetic efficacy, especially in dental anesthesia. Although inflammatory acidosis is most frequently cited as the cause of such clinical phenomena, this has not been experimentally proved. We verified the acidosis mechanism by studying the drug and membrane lipid interaction under acidic conditions together with proposing an alternative hypothesis. Liposomes and nerve cell model membranes consisting of phospholipids and cholesterol were treated at different pH with lidocaine, prilocaine and bupivacaine (0.05%-0.2%, w/v). Their membrane-interactive potencies were compared by the induced-changes in membrane fluidity. Local anesthetics fluidized phosphatidylcholine membranes with the potency being significantly lower at pH 6.4 than at pH 7.4 (p &lt; 0.01), supporting the acidosis theory. However, they greatly fluidized nerve cell model membranes even at pH 6.4 corresponding to inflamed tissues, challenging the conventional mechanism. Local anesthetics acted on phosphatidylserine liposomes, as well as nerve cell model membranes, at pH 6.4 with almost the same potency as that at pH 7.4, but not on phosphatidylcholine, phosphatidylethanolamine and sphingomyelin liposomes. Since the positively charged anesthetic molecules are able to interact with nerve cell membranes by ion-paring with anionic components like phosphatidylserine, tissue acidosis is not essentially responsible for the local anesthetic failure associated with inflammation. The effects of local anesthetics on nerve cell model membranes were inhibited by treating with peroxynitrite (50 μM), suggesting that inflammatory cells producing peroxynitrite may affect local anesthesia.","author":[{"dropping-particle":"","family":"Ueno","given":"Takahiro","non-dropping-particle":"","parse-names":false,"suffix":""},{"dropping-particle":"","family":"Tsuchiya","given":"Hironori","non-dropping-particle":"","parse-names":false,"suffix":""},{"dropping-particle":"","family":"Mizogami","given":"Maki","non-dropping-particle":"","parse-names":false,"suffix":""},{"dropping-particle":"","family":"Takakura","given":"Ko","non-dropping-particle":"","parse-names":false,"suffix":""}],"container-title":"Journal of inflammation research","id":"ITEM-3","issued":{"date-parts":[["2008"]]},"page":"41-48","publisher":"Dove Press","title":"Local anesthetic failure associated with inflammation: verification of the acidosis mechanism and the hypothetic participation of inflammatory peroxynitrite.","type":"article-journal","volume":"1"},"uris":["http://www.mendeley.com/documents/?uuid=604544ed-1442-4daa-ad07-c25fca3e947d"]}],"mendeley":{"formattedCitation":"&lt;sup&gt;20–22&lt;/sup&gt;","plainTextFormattedCitation":"20–22","previouslyFormattedCitation":"&lt;sup&gt;20–22&lt;/sup&gt;"},"properties":{"noteIndex":0},"schema":"https://github.com/citation-style-language/schema/raw/master/csl-citation.json"}</w:instrText>
      </w:r>
      <w:r w:rsidR="00AF4DBB">
        <w:rPr>
          <w:rFonts w:eastAsia="Times"/>
        </w:rPr>
        <w:fldChar w:fldCharType="separate"/>
      </w:r>
      <w:r w:rsidR="005229F8" w:rsidRPr="005229F8">
        <w:rPr>
          <w:rFonts w:eastAsia="Times"/>
          <w:noProof/>
          <w:vertAlign w:val="superscript"/>
        </w:rPr>
        <w:t>20–22</w:t>
      </w:r>
      <w:r w:rsidR="00AF4DBB">
        <w:rPr>
          <w:rFonts w:eastAsia="Times"/>
        </w:rPr>
        <w:fldChar w:fldCharType="end"/>
      </w:r>
      <w:r w:rsidR="00AF4DBB" w:rsidRPr="00AF4DBB">
        <w:rPr>
          <w:rFonts w:eastAsia="Times"/>
        </w:rPr>
        <w:t xml:space="preserve"> Under inflammatory conditions, the pH of the extracellular fluid is lowered by 0.5 to 1 pH unit giving rise to shifted equilibrium for local anesthetics between the extracellular fluid and axoplasm.</w:t>
      </w:r>
      <w:r w:rsidR="00AF4DBB">
        <w:rPr>
          <w:rFonts w:eastAsia="Times"/>
        </w:rPr>
        <w:fldChar w:fldCharType="begin" w:fldLock="1"/>
      </w:r>
      <w:r w:rsidR="005229F8">
        <w:rPr>
          <w:rFonts w:eastAsia="Times"/>
        </w:rPr>
        <w:instrText>ADDIN CSL_CITATION {"citationItems":[{"id":"ITEM-1","itemData":{"PMID":"2435877","abstract":"The lowering of tissue pH in inflammation is generally accepted as the important mechanism for the failure of local anaesthesia in inflamed tissues. However, studies relating to pH changes in inflammation are scant in the literature and more importantly the findings are inconsistent. The purpose of this study is therefore to re-evaluate the pH changes using more reliable models of inflammation and pH measurement techniques. Wistar rats were used in the study. The inflammatory model used was based on the air pouch granuloma technique. Carrageenan, dextran and staphylococcus aureus were used as irritants and the pH measurements were made with a miniaturised glass tissue pH electrode designed by Roche. Results showed only a small lowering of pH in inflammation, of the order of about 0.5 pH unit. It may be possible that even such a small pH reduction would affect the buffer capacity of the tissues rendering the local anaesthetics less effective, but this needs to be confirmed with further studies.","author":[{"dropping-particle":"","family":"Punnia-Moorthy","given":"A","non-dropping-particle":"","parse-names":false,"suffix":""}],"container-title":"Journal of oral pathology","id":"ITEM-1","issue":"1","issued":{"date-parts":[["1987","1"]]},"page":"36-44","title":"Evaluation of pH changes in inflammation of the subcutaneous air pouch lining in the rat, induced by carrageenan, dextran and Staphylococcus aureus.","type":"article-journal","volume":"16"},"uris":["http://www.mendeley.com/documents/?uuid=1720e459-3f75-410e-9aec-ea81037413d7"]}],"mendeley":{"formattedCitation":"&lt;sup&gt;23&lt;/sup&gt;","plainTextFormattedCitation":"23","previouslyFormattedCitation":"&lt;sup&gt;23&lt;/sup&gt;"},"properties":{"noteIndex":0},"schema":"https://github.com/citation-style-language/schema/raw/master/csl-citation.json"}</w:instrText>
      </w:r>
      <w:r w:rsidR="00AF4DBB">
        <w:rPr>
          <w:rFonts w:eastAsia="Times"/>
        </w:rPr>
        <w:fldChar w:fldCharType="separate"/>
      </w:r>
      <w:r w:rsidR="005229F8" w:rsidRPr="005229F8">
        <w:rPr>
          <w:rFonts w:eastAsia="Times"/>
          <w:noProof/>
          <w:vertAlign w:val="superscript"/>
        </w:rPr>
        <w:t>23</w:t>
      </w:r>
      <w:r w:rsidR="00AF4DBB">
        <w:rPr>
          <w:rFonts w:eastAsia="Times"/>
        </w:rPr>
        <w:fldChar w:fldCharType="end"/>
      </w:r>
      <w:r w:rsidR="00AF4DBB" w:rsidRPr="00AF4DBB">
        <w:rPr>
          <w:rFonts w:eastAsia="Times"/>
        </w:rPr>
        <w:t xml:space="preserve"> </w:t>
      </w:r>
      <w:r>
        <w:rPr>
          <w:rFonts w:eastAsia="Times"/>
        </w:rPr>
        <w:t>Concomitantly</w:t>
      </w:r>
      <w:r w:rsidR="00AF4DBB" w:rsidRPr="00AF4DBB">
        <w:rPr>
          <w:rFonts w:eastAsia="Times"/>
        </w:rPr>
        <w:t>, intracellular pH does not change significantly</w:t>
      </w:r>
      <w:r>
        <w:rPr>
          <w:rFonts w:eastAsia="Times"/>
        </w:rPr>
        <w:t>, but stays at a pH value of around 7.1</w:t>
      </w:r>
      <w:r w:rsidR="00AF4DBB" w:rsidRPr="00AF4DBB">
        <w:rPr>
          <w:rFonts w:eastAsia="Times"/>
        </w:rPr>
        <w:t>.</w:t>
      </w:r>
      <w:r w:rsidR="00AF4DBB">
        <w:rPr>
          <w:rFonts w:eastAsia="Times"/>
        </w:rPr>
        <w:fldChar w:fldCharType="begin" w:fldLock="1"/>
      </w:r>
      <w:r w:rsidR="005229F8">
        <w:rPr>
          <w:rFonts w:eastAsia="Times"/>
        </w:rPr>
        <w:instrText>ADDIN CSL_CITATION {"citationItems":[{"id":"ITEM-1","itemData":{"DOI":"10.1113/jphysiol.1958.sp005998","ISSN":"0022-3751 (Print)","PMID":"13564418","author":[{"dropping-particle":"","family":"Caldwell","given":"P.C.","non-dropping-particle":"","parse-names":false,"suffix":""}],"container-title":"The Journal of physiology","id":"ITEM-1","issue":"1","issued":{"date-parts":[["1958","6"]]},"language":"eng","page":"22-62","publisher-place":"England","title":"Studies on the internal pH of large muscle and nerve fibres.","type":"article-journal","volume":"142"},"uris":["http://www.mendeley.com/documents/?uuid=b9d4b640-6cf1-41b8-90fb-f468ba4f1f23"]},{"id":"ITEM-2","itemData":{"DOI":"10.1042/bj2500001","PMID":"2965576","author":[{"dropping-particle":"","family":"Madshus","given":"I H","non-dropping-particle":"","parse-names":false,"suffix":""}],"container-title":"The Biochemical journal","id":"ITEM-2","issue":"1","issued":{"date-parts":[["1988","2"]]},"page":"1-8","title":"Regulation of intracellular pH in eukaryotic cells.","type":"article-journal","volume":"250"},"uris":["http://www.mendeley.com/documents/?uuid=37176c8f-80e3-4bd9-9c02-60132bca1e42"]}],"mendeley":{"formattedCitation":"&lt;sup&gt;24,25&lt;/sup&gt;","plainTextFormattedCitation":"24,25","previouslyFormattedCitation":"&lt;sup&gt;24,25&lt;/sup&gt;"},"properties":{"noteIndex":0},"schema":"https://github.com/citation-style-language/schema/raw/master/csl-citation.json"}</w:instrText>
      </w:r>
      <w:r w:rsidR="00AF4DBB">
        <w:rPr>
          <w:rFonts w:eastAsia="Times"/>
        </w:rPr>
        <w:fldChar w:fldCharType="separate"/>
      </w:r>
      <w:r w:rsidR="005229F8" w:rsidRPr="005229F8">
        <w:rPr>
          <w:rFonts w:eastAsia="Times"/>
          <w:noProof/>
          <w:vertAlign w:val="superscript"/>
        </w:rPr>
        <w:t>24,25</w:t>
      </w:r>
      <w:r w:rsidR="00AF4DBB">
        <w:rPr>
          <w:rFonts w:eastAsia="Times"/>
        </w:rPr>
        <w:fldChar w:fldCharType="end"/>
      </w:r>
      <w:r w:rsidR="00AF4DBB" w:rsidRPr="00AF4DBB">
        <w:rPr>
          <w:rFonts w:eastAsia="Times"/>
        </w:rPr>
        <w:t xml:space="preserve"> </w:t>
      </w:r>
      <w:r w:rsidR="00B74B68">
        <w:rPr>
          <w:rFonts w:eastAsia="Times"/>
        </w:rPr>
        <w:t>This results in</w:t>
      </w:r>
      <w:r>
        <w:rPr>
          <w:rFonts w:eastAsia="Times"/>
        </w:rPr>
        <w:t xml:space="preserve"> the storage capacity of the membrane and Schwann cells constituting myelin sheath and hydrophobic parts of other cells in the vicinity </w:t>
      </w:r>
      <w:r w:rsidR="00B74B68">
        <w:rPr>
          <w:rFonts w:eastAsia="Times"/>
        </w:rPr>
        <w:t xml:space="preserve">being </w:t>
      </w:r>
      <w:r>
        <w:rPr>
          <w:rFonts w:eastAsia="Times"/>
        </w:rPr>
        <w:t xml:space="preserve">significantly decreased. Preliminary calculations reveal that the storage capacity is decreased </w:t>
      </w:r>
      <w:r w:rsidR="00B74B68">
        <w:rPr>
          <w:rFonts w:eastAsia="Times"/>
        </w:rPr>
        <w:t xml:space="preserve">by </w:t>
      </w:r>
      <w:r>
        <w:rPr>
          <w:rFonts w:eastAsia="Times"/>
        </w:rPr>
        <w:t xml:space="preserve">a factor of about 3.5 relative to the physiological value. This is a plausible explanation </w:t>
      </w:r>
      <w:r w:rsidR="00B74B68">
        <w:rPr>
          <w:rFonts w:eastAsia="Times"/>
        </w:rPr>
        <w:t xml:space="preserve">for </w:t>
      </w:r>
      <w:r>
        <w:rPr>
          <w:rFonts w:eastAsia="Times"/>
        </w:rPr>
        <w:t xml:space="preserve">why local anesthetics are significantly less effective when applied to inflamed tissue. </w:t>
      </w:r>
      <w:r w:rsidR="00AF4DBB" w:rsidRPr="00AF4DBB">
        <w:rPr>
          <w:rFonts w:eastAsia="Times"/>
        </w:rPr>
        <w:t xml:space="preserve">This concept is supported by </w:t>
      </w:r>
      <w:r w:rsidR="0086057A">
        <w:rPr>
          <w:rFonts w:eastAsia="Times"/>
        </w:rPr>
        <w:t xml:space="preserve">the </w:t>
      </w:r>
      <w:r w:rsidR="00AF4DBB" w:rsidRPr="00AF4DBB">
        <w:rPr>
          <w:rFonts w:eastAsia="Times"/>
        </w:rPr>
        <w:t xml:space="preserve">clinical application of co-administration of sodium bicarbonate that elevates the extracellular pH and allows for </w:t>
      </w:r>
      <w:r>
        <w:rPr>
          <w:rFonts w:eastAsia="Times"/>
        </w:rPr>
        <w:t>increase in storage capacity of surrounding tissue</w:t>
      </w:r>
      <w:r w:rsidR="00AF4DBB" w:rsidRPr="00AF4DBB">
        <w:rPr>
          <w:rFonts w:eastAsia="Times"/>
        </w:rPr>
        <w:t>.</w:t>
      </w:r>
      <w:r w:rsidR="00AF4DBB">
        <w:rPr>
          <w:rFonts w:eastAsia="Times"/>
        </w:rPr>
        <w:fldChar w:fldCharType="begin" w:fldLock="1"/>
      </w:r>
      <w:r w:rsidR="005229F8">
        <w:rPr>
          <w:rFonts w:eastAsia="Times"/>
        </w:rPr>
        <w:instrText>ADDIN CSL_CITATION {"citationItems":[{"id":"ITEM-1","itemData":{"DOI":"10.1007/s10006-018-0730-x","ISSN":"18651569","author":[{"dropping-particle":"","family":"Gupta","given":"Savina","non-dropping-particle":"","parse-names":false,"suffix":""},{"dropping-particle":"","family":"Kumar","given":"Ashok","non-dropping-particle":"","parse-names":false,"suffix":""},{"dropping-particle":"","family":"Sharma","given":"Amit Kumar","non-dropping-particle":"","parse-names":false,"suffix":""},{"dropping-particle":"","family":"Purohit","given":"Jeetendra","non-dropping-particle":"","parse-names":false,"suffix":""},{"dropping-particle":"","family":"Narula","given":"Jai Singh","non-dropping-particle":"","parse-names":false,"suffix":""}],"container-title":"Oral and Maxillofacial Surgery","id":"ITEM-1","issue":"4","issued":{"date-parts":[["2018"]]},"page":"451-455","title":"Sodium bicarbonate: an adjunct to painless palatal anesthesia","type":"article","volume":"22"},"uris":["http://www.mendeley.com/documents/?uuid=7c65bcb6-0b77-4bb1-9916-5c5b83ad27d6"]},{"id":"ITEM-2","itemData":{"DOI":"10.17245/jdapm.2018.18.3.129","ISSN":"2383-9309 (Print)","PMID":"29984317","abstract":"INTRODUCTION: This systematic review evaluated the use of buffered versus  non-buffered lidocaine to increase the efficacy of inferior alveolar nerve block (IANB). MATERIALS AND METHODS: Randomized, double-blinded studies from PubMed, Web of Science, Cochrane Library, Embase, and ProQuest were identified. Two of the authors assessed the studies for risk of bias. Outcomes included onset time, injection pain on a visual analog scale (VAS), percentage of painless injections, and anesthetic success rate of IANB. RESULTS: The search strategy yielded 19 references. Eleven could be included in meta-analyses. Risk of bias was unclear in ten and high in one study. Buffered lidocaine showed 48 seconds faster onset time (95% confidence interval [CI], -42.06 to -54.40; P &lt; 0.001) and 5.0 units lower (on a scale 0-100) VAS injection pain (95% CI, -9.13 to -0.77; P=0.02) than non-buffered. No significant difference was found on percentage of people with painless injection (P = 0.059), nor success rate (P = 0.290). CONCLUSION: Buffered lidocaine significantly decreased onset time and injection pain (VAS) compared with non-buffered lidocaine in IANB. However due to statistical heterogeneity and low sample size, quality of the evidence was low to moderate, additional studies with larger numbers of participants and low risk of bias are needed to confirm these results.","author":[{"dropping-particle":"","family":"Guo","given":"Jing","non-dropping-particle":"","parse-names":false,"suffix":""},{"dropping-particle":"","family":"Yin","given":"Kaifeng","non-dropping-particle":"","parse-names":false,"suffix":""},{"dropping-particle":"","family":"Roges","given":"Rafael","non-dropping-particle":"","parse-names":false,"suffix":""},{"dropping-particle":"","family":"Enciso","given":"Reyes","non-dropping-particle":"","parse-names":false,"suffix":""}],"container-title":"Journal of dental anesthesia and pain medicine","id":"ITEM-2","issue":"3","issued":{"date-parts":[["2018","6"]]},"language":"eng","page":"129-142","title":"Efficacy of sodium bicarbonate buffered versus non-buffered lidocaine with  epinephrine in inferior alveolar nerve block: A meta-analysis.","type":"article-journal","volume":"18"},"uris":["http://www.mendeley.com/documents/?uuid=be14baae-915a-4550-a3ce-1a0c8370219f"]},{"id":"ITEM-3","itemData":{"DOI":"10.2146/ajhp130336","ISSN":"15352900","PMID":"24534592","abstract":"PURPOSE: The therapeutic rationale, clinical effectiveness, and potential adverse effects of medications used in combination with local anesthetics for peripheral nerve block therapy are reviewed.\\n\\nSUMMARY: A wide range of agents have been tested as adjuncts to peripheral nerve blocks, which are commonly performed for regional anesthesia during or after hand or arm surgery, neck or spine surgery, and other procedures. Studies to determine the comparative merits of nerve block adjuncts are complicated by the wide variety of coadministered local anesthetics and sites of administration and by the heterogeneity of primary endpoints. Sodium bicarbonate has been shown to speed the onset of mepivacaine nerve blocks but delay the onset of others. Epinephrine has been shown to prolong sensory nerve blockade and delay systemic uptake of local anesthetics, thus reducing the risk of anesthetic toxicity. Tramadol, buprenorphine, dexamethasone, and clonidine appear to be effective additives in some situations. Midazolam, magnesium, dexmedetomidine, and ketamine cannot be routinely recommended as nerve block additives due to a dearth of supportive data, modest efficacy, and (in the case of ketamine) significant adverse effects. Recent studies suggest that administering additives intravenously or intramuscularly can provide many of the benefits of perineural administration while reducing the potential for neurotoxicity, contamination, and other hazards.\\n\\nCONCLUSION: Some additives to local anesthetics can hasten the onset of nerve block, prolong block duration, or reduce toxicity. On the other hand, poorly selected or unnecessary additives may not have the desired effect and may even expose patients to unnecessary risks.","author":[{"dropping-particle":"","family":"Bailard","given":"Neil S.","non-dropping-particle":"","parse-names":false,"suffix":""},{"dropping-particle":"","family":"Ortiz","given":"Jaime","non-dropping-particle":"","parse-names":false,"suffix":""},{"dropping-particle":"","family":"Flores","given":"Roland A.","non-dropping-particle":"","parse-names":false,"suffix":""}],"container-title":"American Journal of Health-System Pharmacy","id":"ITEM-3","issue":"5","issued":{"date-parts":[["2014","3"]]},"page":"373-385","title":"Additives to local anesthetics for peripheral nerve blocks: Evidence, limitations, and recommendations","type":"article-journal","volume":"71"},"uris":["http://www.mendeley.com/documents/?uuid=7219ada4-4fa9-43d3-9cad-ba889ed400dd"]}],"mendeley":{"formattedCitation":"&lt;sup&gt;26–28&lt;/sup&gt;","plainTextFormattedCitation":"26–28","previouslyFormattedCitation":"&lt;sup&gt;26–28&lt;/sup&gt;"},"properties":{"noteIndex":0},"schema":"https://github.com/citation-style-language/schema/raw/master/csl-citation.json"}</w:instrText>
      </w:r>
      <w:r w:rsidR="00AF4DBB">
        <w:rPr>
          <w:rFonts w:eastAsia="Times"/>
        </w:rPr>
        <w:fldChar w:fldCharType="separate"/>
      </w:r>
      <w:r w:rsidR="005229F8" w:rsidRPr="005229F8">
        <w:rPr>
          <w:rFonts w:eastAsia="Times"/>
          <w:noProof/>
          <w:vertAlign w:val="superscript"/>
        </w:rPr>
        <w:t>26–28</w:t>
      </w:r>
      <w:r w:rsidR="00AF4DBB">
        <w:rPr>
          <w:rFonts w:eastAsia="Times"/>
        </w:rPr>
        <w:fldChar w:fldCharType="end"/>
      </w:r>
      <w:r>
        <w:rPr>
          <w:rFonts w:eastAsia="Times"/>
        </w:rPr>
        <w:t xml:space="preserve"> The body reacts to inflammation by vasodilation, increasing blood flow through the affected area, removing more local anesthetic molecules </w:t>
      </w:r>
      <w:r w:rsidR="002638C0">
        <w:rPr>
          <w:rFonts w:eastAsia="Times"/>
        </w:rPr>
        <w:t xml:space="preserve">from target tissue, which could provide an </w:t>
      </w:r>
      <w:r w:rsidR="00AB2804">
        <w:rPr>
          <w:rFonts w:eastAsia="Times"/>
        </w:rPr>
        <w:t>additional</w:t>
      </w:r>
      <w:r w:rsidR="002638C0">
        <w:rPr>
          <w:rFonts w:eastAsia="Times"/>
        </w:rPr>
        <w:t xml:space="preserve"> explanation for diminished efficacy and duration of action.</w:t>
      </w:r>
      <w:r w:rsidR="002F1242">
        <w:rPr>
          <w:rFonts w:eastAsia="Times"/>
        </w:rPr>
        <w:fldChar w:fldCharType="begin" w:fldLock="1"/>
      </w:r>
      <w:r w:rsidR="005229F8">
        <w:rPr>
          <w:rFonts w:eastAsia="Times"/>
        </w:rPr>
        <w:instrText>ADDIN CSL_CITATION {"citationItems":[{"id":"ITEM-1","itemData":{"DOI":"10.1016/j.tcm.2005.10.002","ISSN":"10501738","PMID":"16387625","abstract":"The importance of inflammation in the pathogenesis of atherosclerosis is well established. The vascular endothelium contributes to and is affected by the inflammatory process. For example, a variety of cytokines have the ability to \"activate\" the endothelium and thereby promote expression of adhesion molecules and chemotactic factors that accelerate the inflammatory process and direct accumulation of leukocytes to specific sites in the arterial tree. In experimental systems, activation of endothelial cells is also associated with a loss of the biologic activity of endothelium-derived nitric oxide, an effect that accelerates the inflammatory process and also promotes local thrombosis and impairs local control of vasomotor tone. Consistent with these experimental studies, recent studies have provided evidence that inflammation is associated with an impairment of nitric oxide-dependent responses in human subjects. This article will review the experimental and clinical studies that support the relevance of inflammation to nitric oxide bioactivity in human atherosclerosis. © 2006, Elsevier Inc.","author":[{"dropping-particle":"","family":"Huang","given":"Alex L.","non-dropping-particle":"","parse-names":false,"suffix":""},{"dropping-particle":"","family":"Vita","given":"Joseph A.","non-dropping-particle":"","parse-names":false,"suffix":""}],"container-title":"Trends in Cardiovascular Medicine","id":"ITEM-1","issued":{"date-parts":[["2006"]]},"title":"Effects of systemic inflammation on endothelium-dependent vasodilation","type":"article"},"uris":["http://www.mendeley.com/documents/?uuid=75da7f69-d870-42cd-b587-3a85b746197c"]}],"mendeley":{"formattedCitation":"&lt;sup&gt;29&lt;/sup&gt;","plainTextFormattedCitation":"29","previouslyFormattedCitation":"&lt;sup&gt;29&lt;/sup&gt;"},"properties":{"noteIndex":0},"schema":"https://github.com/citation-style-language/schema/raw/master/csl-citation.json"}</w:instrText>
      </w:r>
      <w:r w:rsidR="002F1242">
        <w:rPr>
          <w:rFonts w:eastAsia="Times"/>
        </w:rPr>
        <w:fldChar w:fldCharType="separate"/>
      </w:r>
      <w:r w:rsidR="005229F8" w:rsidRPr="005229F8">
        <w:rPr>
          <w:rFonts w:eastAsia="Times"/>
          <w:noProof/>
          <w:vertAlign w:val="superscript"/>
        </w:rPr>
        <w:t>29</w:t>
      </w:r>
      <w:r w:rsidR="002F1242">
        <w:rPr>
          <w:rFonts w:eastAsia="Times"/>
        </w:rPr>
        <w:fldChar w:fldCharType="end"/>
      </w:r>
      <w:r w:rsidR="002F1242">
        <w:rPr>
          <w:rFonts w:eastAsia="Times"/>
        </w:rPr>
        <w:t xml:space="preserve"> </w:t>
      </w:r>
      <w:r w:rsidR="002638C0">
        <w:rPr>
          <w:rFonts w:eastAsia="Times"/>
        </w:rPr>
        <w:t xml:space="preserve"> </w:t>
      </w:r>
    </w:p>
    <w:p w14:paraId="195183DD" w14:textId="494EE8FF" w:rsidR="00F91269" w:rsidRDefault="00AD23D7" w:rsidP="005229F8">
      <w:r>
        <w:t>We performed the calculations with three solvent reaction field methods</w:t>
      </w:r>
      <w:r w:rsidR="0086057A">
        <w:t>, namely</w:t>
      </w:r>
      <w:r>
        <w:t xml:space="preserve"> </w:t>
      </w:r>
      <w:r w:rsidRPr="00EC2D9F">
        <w:rPr>
          <w:rFonts w:eastAsia="Times"/>
        </w:rPr>
        <w:t>IEFPCM</w:t>
      </w:r>
      <w:r>
        <w:rPr>
          <w:rFonts w:eastAsia="Times"/>
        </w:rPr>
        <w:t xml:space="preserve">, CPCM and SMD. The applied DFT method </w:t>
      </w:r>
      <w:r w:rsidRPr="00EC2D9F">
        <w:rPr>
          <w:rFonts w:eastAsia="Times"/>
        </w:rPr>
        <w:t>M06-2X</w:t>
      </w:r>
      <w:r>
        <w:rPr>
          <w:rFonts w:eastAsia="Times"/>
        </w:rPr>
        <w:t xml:space="preserve"> was designed to reproduce thermochemical data including stabilities and barrier heights for chemical reactions. In conjunction with the flexible basis set </w:t>
      </w:r>
      <w:r w:rsidRPr="00EC2D9F">
        <w:rPr>
          <w:rFonts w:eastAsia="Times"/>
        </w:rPr>
        <w:t>6-31+G(d,p)</w:t>
      </w:r>
      <w:r w:rsidR="0086057A">
        <w:rPr>
          <w:rFonts w:eastAsia="Times"/>
        </w:rPr>
        <w:t>,</w:t>
      </w:r>
      <w:r>
        <w:rPr>
          <w:rFonts w:eastAsia="Times"/>
        </w:rPr>
        <w:t xml:space="preserve"> the applied quantum level of theory should faithfully reproduce the charge distribution as </w:t>
      </w:r>
      <w:r w:rsidR="0086057A">
        <w:rPr>
          <w:rFonts w:eastAsia="Times"/>
        </w:rPr>
        <w:t xml:space="preserve">a </w:t>
      </w:r>
      <w:r>
        <w:rPr>
          <w:rFonts w:eastAsia="Times"/>
        </w:rPr>
        <w:t xml:space="preserve">necessary input for solvation model. </w:t>
      </w:r>
      <w:r w:rsidR="00F91269">
        <w:t xml:space="preserve">All three methods correctly assume that the neutral form has a lower free energy of transfer from water to octanol, compared to the protonated counterpart, as seen in Table 2. The IEFPCM method and CPCM method both predict that all the differences in free energy are positive, which conflicts with the experimental results. The SMD method aligns better with </w:t>
      </w:r>
      <w:r w:rsidR="00F91269">
        <w:lastRenderedPageBreak/>
        <w:t xml:space="preserve">experimental results but overstates the partitioning of protonated local anesthetics in octanol, e.g. the differences in free energy are in three cases negative, whereas according to experimental results, they are positive. </w:t>
      </w:r>
    </w:p>
    <w:p w14:paraId="5753E462" w14:textId="339863B4" w:rsidR="00AD23D7" w:rsidRDefault="005229F8" w:rsidP="005B1580">
      <w:pPr>
        <w:rPr>
          <w:rFonts w:eastAsia="Times"/>
        </w:rPr>
      </w:pPr>
      <w:r>
        <w:rPr>
          <w:rFonts w:eastAsia="Times"/>
        </w:rPr>
        <w:t>Our results</w:t>
      </w:r>
      <w:r w:rsidR="00C63E9B">
        <w:rPr>
          <w:rFonts w:eastAsia="Times"/>
        </w:rPr>
        <w:t xml:space="preserve"> indicate that </w:t>
      </w:r>
      <w:r w:rsidR="002F1242">
        <w:rPr>
          <w:rFonts w:eastAsia="Times"/>
        </w:rPr>
        <w:t>only the</w:t>
      </w:r>
      <w:r w:rsidR="00C63E9B">
        <w:rPr>
          <w:rFonts w:eastAsia="Times"/>
        </w:rPr>
        <w:t xml:space="preserve"> SMD solvation model reasonably reproduces experimental free energies of transfer from aqueous solution to octanol.</w:t>
      </w:r>
      <w:r w:rsidR="002F1242">
        <w:rPr>
          <w:rFonts w:eastAsia="Times"/>
        </w:rPr>
        <w:t xml:space="preserve"> For most local anesthetics</w:t>
      </w:r>
      <w:r w:rsidR="0086057A">
        <w:rPr>
          <w:rFonts w:eastAsia="Times"/>
        </w:rPr>
        <w:t>,</w:t>
      </w:r>
      <w:r w:rsidR="00C63E9B">
        <w:rPr>
          <w:rFonts w:eastAsia="Times"/>
        </w:rPr>
        <w:t xml:space="preserve"> SMD deviates less than </w:t>
      </w:r>
      <w:r w:rsidR="002F1242">
        <w:rPr>
          <w:rFonts w:eastAsia="Times"/>
        </w:rPr>
        <w:t>2</w:t>
      </w:r>
      <w:r w:rsidR="00C63E9B">
        <w:rPr>
          <w:rFonts w:eastAsia="Times"/>
        </w:rPr>
        <w:t xml:space="preserve"> kcal mol</w:t>
      </w:r>
      <w:r w:rsidR="00C63E9B" w:rsidRPr="00C63E9B">
        <w:rPr>
          <w:rFonts w:eastAsia="Times"/>
          <w:vertAlign w:val="superscript"/>
        </w:rPr>
        <w:t>-1</w:t>
      </w:r>
      <w:r w:rsidR="00C63E9B">
        <w:rPr>
          <w:rFonts w:eastAsia="Times"/>
        </w:rPr>
        <w:t xml:space="preserve"> from the experimental values.</w:t>
      </w:r>
      <w:r w:rsidR="002F1242">
        <w:rPr>
          <w:rFonts w:eastAsia="Times"/>
        </w:rPr>
        <w:t xml:space="preserve"> </w:t>
      </w:r>
      <w:r w:rsidR="00C63E9B">
        <w:rPr>
          <w:rFonts w:eastAsia="Times"/>
        </w:rPr>
        <w:t>In contrast</w:t>
      </w:r>
      <w:r w:rsidR="00CC2925">
        <w:rPr>
          <w:rFonts w:eastAsia="Times"/>
        </w:rPr>
        <w:t>,</w:t>
      </w:r>
      <w:r w:rsidR="00C63E9B">
        <w:rPr>
          <w:rFonts w:eastAsia="Times"/>
        </w:rPr>
        <w:t xml:space="preserve"> both IEFPCM and CPCM </w:t>
      </w:r>
      <w:r w:rsidR="00CC2925">
        <w:rPr>
          <w:rFonts w:eastAsia="Times"/>
        </w:rPr>
        <w:t xml:space="preserve">failed significantly </w:t>
      </w:r>
      <w:r w:rsidR="00C63E9B">
        <w:rPr>
          <w:rFonts w:eastAsia="Times"/>
        </w:rPr>
        <w:t xml:space="preserve">since they </w:t>
      </w:r>
      <w:r w:rsidR="00CC2925">
        <w:rPr>
          <w:rFonts w:eastAsia="Times"/>
        </w:rPr>
        <w:t xml:space="preserve">did </w:t>
      </w:r>
      <w:r w:rsidR="00C63E9B">
        <w:rPr>
          <w:rFonts w:eastAsia="Times"/>
        </w:rPr>
        <w:t xml:space="preserve">not </w:t>
      </w:r>
      <w:r w:rsidR="00CC2925">
        <w:rPr>
          <w:rFonts w:eastAsia="Times"/>
        </w:rPr>
        <w:t xml:space="preserve">even </w:t>
      </w:r>
      <w:r w:rsidR="00C63E9B">
        <w:rPr>
          <w:rFonts w:eastAsia="Times"/>
        </w:rPr>
        <w:t xml:space="preserve">qualitatively reproduce the experimental values </w:t>
      </w:r>
      <w:r w:rsidR="00C63E9B" w:rsidRPr="00C63E9B">
        <w:rPr>
          <w:rFonts w:eastAsia="Times"/>
          <w:i/>
        </w:rPr>
        <w:t>i.e.</w:t>
      </w:r>
      <w:r w:rsidR="00C63E9B">
        <w:rPr>
          <w:rFonts w:eastAsia="Times"/>
        </w:rPr>
        <w:t xml:space="preserve"> preference for water versus octanol. </w:t>
      </w:r>
      <w:r w:rsidR="00CC2925">
        <w:rPr>
          <w:rFonts w:eastAsia="Times"/>
        </w:rPr>
        <w:t>Note</w:t>
      </w:r>
      <w:r w:rsidR="00C63E9B">
        <w:rPr>
          <w:rFonts w:eastAsia="Times"/>
        </w:rPr>
        <w:t xml:space="preserve"> that calculation of partition coefficients requires very accurate solvation models where two solvation free energies are subtracted from each other</w:t>
      </w:r>
      <w:r w:rsidR="002479C7">
        <w:rPr>
          <w:rFonts w:eastAsia="Times"/>
        </w:rPr>
        <w:t xml:space="preserve">. Only SMD model was properly parametrized for this demanding task since solvation parameters were adjusted to reproduce solvation free energy in several solvents including octanol. </w:t>
      </w:r>
      <w:r w:rsidR="002054DC">
        <w:rPr>
          <w:rFonts w:eastAsia="Times"/>
        </w:rPr>
        <w:t>When determining the properties of other small organic compounds, the SMD model has proven to be the most precise solvation method as well</w:t>
      </w:r>
      <w:r w:rsidR="0053455B">
        <w:rPr>
          <w:rFonts w:eastAsia="Times"/>
        </w:rPr>
        <w:t>.</w:t>
      </w:r>
      <w:r w:rsidR="0053455B">
        <w:rPr>
          <w:rFonts w:eastAsia="Times"/>
        </w:rPr>
        <w:fldChar w:fldCharType="begin" w:fldLock="1"/>
      </w:r>
      <w:r>
        <w:rPr>
          <w:rFonts w:eastAsia="Times"/>
        </w:rPr>
        <w:instrText>ADDIN CSL_CITATION {"citationItems":[{"id":"ITEM-1","itemData":{"DOI":"10.1039/d0ra02713h","ISSN":"20462069","abstract":"Catecholamine autoxidation has been recognized as one of the potential trigger factors for catecholaminergic neuron loss characteristics of neurodegenerative diseases. The cyclization step with intramolecular Michael addition of catecholamineo-quinones has been shown to be the irreversible and rate limiting step of the autoxidation reaction across a broad pH range and has a complex pH dependence that has not yet been fully understood. Using quantum chemical calculations, we demonstrated that in the case of noradrenaline and adrenaline two catecholamineo-quinone species, one with an unprotonated and one with a protonated quinone group can participate in the cyclization reaction and that the mechanisms of these reactions significantly differ, emphasizing the importance of quinone group protonation states in the reaction mechanism. With a thorough exploration of the reaction kinetics, we further showed that at acidic pH the cyclization reaction rate is pH independent, while at alkaline pH the pH dependence is marked, explaining the experimentally observed complex pH dependence.","author":[{"dropping-particle":"","family":"Umek","given":"Nejc","non-dropping-particle":"","parse-names":false,"suffix":""}],"container-title":"RSC Advances","id":"ITEM-1","issued":{"date-parts":[["2020"]]},"page":"16650-8","title":"Cyclization step of noradrenaline and adrenaline autoxidation: a quantum chemical study","type":"article-journal","volume":"10"},"uris":["http://www.mendeley.com/documents/?uuid=6a7b6830-40d5-460c-901b-96d1318fc1df"]},{"id":"ITEM-2","itemData":{"DOI":"10.1021/acsomega.9b01277","ISSN":"24701343","abstract":"The partitioning of compounds between aqueous and other phases is important for predicting toxicity. Although thousands of octanol-water partition coefficients have been measured, these represent only a small fraction of the anthropogenic compounds present in the environment. The octanol phase is often taken to be a mimic of the inner parts of phospholipid membranes. However, the core of such membranes is typically more hydrophobic than octanol, and other partition coefficients with other compounds may give complementary information. Although a number of (cheap) empirical methods exist to compute octanol-water (log kOW) and hexadecane-water (log kHW) partition coefficients, it would be interesting to know whether physics-based models can predict these crucial values more accurately. Here, we have computed log kOW and log kHW for 133 compounds from seven different pollutant categories as well as a control group using the solvation model based on electronic density (SMD) protocol based on Hartree-Fock (HF) or density functional theory (DFT) and the COSMO-RS method. For comparison, XlogP3 (log kOW) values were retrieved from the PubChem database, and KowWin log kOW values were determined as well. For 24 of these compounds, log kOW was computed using potential of mean force (PMF) calculations based on classical molecular dynamics simulations. A comparison of the accuracy of the methods shows that COSMO-RS, KowWin, and XlogP3 all have a root-mean-square deviation (rmsd) from the experimental data of ≈0.4 log units, whereas the SMD protocol has an rmsd of 1.0 log units using HF and 0.9 using DFT. PMF calculations yield the poorest accuracy (rmsd = 1.1 log units). Thirty-six out of 133 calculations are for compounds without known log kOW, and for these, we provide what we consider a robust prediction, in the sense that there are few outliers, by averaging over the methods. The results supplied may be instrumental when developing new methods in computational ecotoxicity. The log kHW values are found to be strongly correlated to log kOW for most compounds.","author":[{"dropping-particle":"","family":"Spoel","given":"David","non-dropping-particle":"Van Der","parse-names":false,"suffix":""},{"dropping-particle":"","family":"Manzetti","given":"Sergio","non-dropping-particle":"","parse-names":false,"suffix":""},{"dropping-particle":"","family":"Zhang","given":"Haiyang","non-dropping-particle":"","parse-names":false,"suffix":""},{"dropping-particle":"","family":"Klamt","given":"Andreas","non-dropping-particle":"","parse-names":false,"suffix":""}],"container-title":"ACS Omega","id":"ITEM-2","issued":{"date-parts":[["2019"]]},"title":"Prediction of Partition Coefficients of Environmental Toxins Using Computational Chemistry Methods","type":"article-journal"},"uris":["http://www.mendeley.com/documents/?uuid=fc6af4ac-48d8-4ebb-80a7-61bb511dbbcd"]},{"id":"ITEM-3","itemData":{"DOI":"10.1021/jp304365v","ISSN":"15205207","abstract":"The quantum mechanical SMD continuum universal solvation model can be applied to predict the free energy of solvation of any solute in any solvent following specification of various macroscopic solvent parameters. For three ionic liquids where these descriptors are readily available, the SMD solvation model exhibits a mean unsigned error of 0.48 kcal/mol for 93 solvation free energies of neutral solutes and a mean unsigned error of 1.10 kcal/mol for 148 water-to-IL transfer free energies. Because the necessary solvent parameters are not always available for a given ionic liquid, we determine average values for a set of ionic liquids over which measurements have been made in order to define a generic ionic liquid solvation model, SMD-GIL. Considering 11 different ionic liquids, the SMD-GIL solvation model exhibits a mean unsigned error of 0.43 kcal/mol for 344 solvation free energies of neutral solutes and a mean unsigned error of 0.61 kcal/mol for 431 water-to-IL transfer free energies. As these errors are similar in magnitude to those typically observed when applying continuum solvation models to ordinary liquids, we conclude that the SMD universal solvation model may be applied to ionic liquids as well as ordinary liquids. © 2012 American Chemical Society.","author":[{"dropping-particle":"","family":"Bernales","given":"Varinia S.","non-dropping-particle":"","parse-names":false,"suffix":""},{"dropping-particle":"V.","family":"Marenich","given":"Aleksandr","non-dropping-particle":"","parse-names":false,"suffix":""},{"dropping-particle":"","family":"Contreras","given":"Renato","non-dropping-particle":"","parse-names":false,"suffix":""},{"dropping-particle":"","family":"Cramer","given":"Christopher J.","non-dropping-particle":"","parse-names":false,"suffix":""},{"dropping-particle":"","family":"Truhlar","given":"Donald G.","non-dropping-particle":"","parse-names":false,"suffix":""}],"container-title":"Journal of Physical Chemistry B","id":"ITEM-3","issued":{"date-parts":[["2012"]]},"title":"Quantum mechanical continuum solvation models for ionic liquids","type":"article-journal"},"uris":["http://www.mendeley.com/documents/?uuid=01337ea9-229d-4089-8ab6-25ce24b93f62"]}],"mendeley":{"formattedCitation":"&lt;sup&gt;30–32&lt;/sup&gt;","plainTextFormattedCitation":"30–32","previouslyFormattedCitation":"&lt;sup&gt;30–32&lt;/sup&gt;"},"properties":{"noteIndex":0},"schema":"https://github.com/citation-style-language/schema/raw/master/csl-citation.json"}</w:instrText>
      </w:r>
      <w:r w:rsidR="0053455B">
        <w:rPr>
          <w:rFonts w:eastAsia="Times"/>
        </w:rPr>
        <w:fldChar w:fldCharType="separate"/>
      </w:r>
      <w:r w:rsidRPr="005229F8">
        <w:rPr>
          <w:rFonts w:eastAsia="Times"/>
          <w:noProof/>
          <w:vertAlign w:val="superscript"/>
        </w:rPr>
        <w:t>30–32</w:t>
      </w:r>
      <w:r w:rsidR="0053455B">
        <w:rPr>
          <w:rFonts w:eastAsia="Times"/>
        </w:rPr>
        <w:fldChar w:fldCharType="end"/>
      </w:r>
      <w:r w:rsidR="002479C7">
        <w:rPr>
          <w:rFonts w:eastAsia="Times"/>
        </w:rPr>
        <w:t xml:space="preserve"> </w:t>
      </w:r>
      <w:r w:rsidR="00F85B97">
        <w:rPr>
          <w:rFonts w:eastAsia="Times"/>
        </w:rPr>
        <w:t>In this respect</w:t>
      </w:r>
      <w:r w:rsidR="0086057A">
        <w:rPr>
          <w:rFonts w:eastAsia="Times"/>
        </w:rPr>
        <w:t>,</w:t>
      </w:r>
      <w:r w:rsidR="00F85B97">
        <w:rPr>
          <w:rFonts w:eastAsia="Times"/>
        </w:rPr>
        <w:t xml:space="preserve"> we recommend application of the SMD solvation model in the process of designing novel local anesthetics.</w:t>
      </w:r>
      <w:r w:rsidRPr="005229F8">
        <w:t xml:space="preserve"> </w:t>
      </w:r>
      <w:r>
        <w:t xml:space="preserve">The COSMO-RS solvation model that </w:t>
      </w:r>
      <w:r w:rsidR="00F91269">
        <w:t xml:space="preserve">also </w:t>
      </w:r>
      <w:r>
        <w:t xml:space="preserve">proved to yield comparably reliable </w:t>
      </w:r>
      <w:r>
        <w:rPr>
          <w:rFonts w:eastAsia="Times"/>
        </w:rPr>
        <w:t xml:space="preserve">n-octanol/water partition coefficients </w:t>
      </w:r>
      <w:r>
        <w:t>is unfortunately not implemented in Gaussian 16.</w:t>
      </w:r>
      <w:r>
        <w:fldChar w:fldCharType="begin" w:fldLock="1"/>
      </w:r>
      <w:r>
        <w:instrText>ADDIN CSL_CITATION {"citationItems":[{"id":"ITEM-1","itemData":{"DOI":"10.1021/acsomega.9b01277","ISSN":"24701343","abstract":"The partitioning of compounds between aqueous and other phases is important for predicting toxicity. Although thousands of octanol-water partition coefficients have been measured, these represent only a small fraction of the anthropogenic compounds present in the environment. The octanol phase is often taken to be a mimic of the inner parts of phospholipid membranes. However, the core of such membranes is typically more hydrophobic than octanol, and other partition coefficients with other compounds may give complementary information. Although a number of (cheap) empirical methods exist to compute octanol-water (log kOW) and hexadecane-water (log kHW) partition coefficients, it would be interesting to know whether physics-based models can predict these crucial values more accurately. Here, we have computed log kOW and log kHW for 133 compounds from seven different pollutant categories as well as a control group using the solvation model based on electronic density (SMD) protocol based on Hartree-Fock (HF) or density functional theory (DFT) and the COSMO-RS method. For comparison, XlogP3 (log kOW) values were retrieved from the PubChem database, and KowWin log kOW values were determined as well. For 24 of these compounds, log kOW was computed using potential of mean force (PMF) calculations based on classical molecular dynamics simulations. A comparison of the accuracy of the methods shows that COSMO-RS, KowWin, and XlogP3 all have a root-mean-square deviation (rmsd) from the experimental data of ≈0.4 log units, whereas the SMD protocol has an rmsd of 1.0 log units using HF and 0.9 using DFT. PMF calculations yield the poorest accuracy (rmsd = 1.1 log units). Thirty-six out of 133 calculations are for compounds without known log kOW, and for these, we provide what we consider a robust prediction, in the sense that there are few outliers, by averaging over the methods. The results supplied may be instrumental when developing new methods in computational ecotoxicity. The log kHW values are found to be strongly correlated to log kOW for most compounds.","author":[{"dropping-particle":"","family":"Spoel","given":"David","non-dropping-particle":"Van Der","parse-names":false,"suffix":""},{"dropping-particle":"","family":"Manzetti","given":"Sergio","non-dropping-particle":"","parse-names":false,"suffix":""},{"dropping-particle":"","family":"Zhang","given":"Haiyang","non-dropping-particle":"","parse-names":false,"suffix":""},{"dropping-particle":"","family":"Klamt","given":"Andreas","non-dropping-particle":"","parse-names":false,"suffix":""}],"container-title":"ACS Omega","id":"ITEM-1","issued":{"date-parts":[["2019"]]},"title":"Prediction of Partition Coefficients of Environmental Toxins Using Computational Chemistry Methods","type":"article-journal"},"uris":["http://www.mendeley.com/documents/?uuid=fc6af4ac-48d8-4ebb-80a7-61bb511dbbcd"]}],"mendeley":{"formattedCitation":"&lt;sup&gt;30&lt;/sup&gt;","plainTextFormattedCitation":"30","previouslyFormattedCitation":"&lt;sup&gt;30&lt;/sup&gt;"},"properties":{"noteIndex":0},"schema":"https://github.com/citation-style-language/schema/raw/master/csl-citation.json"}</w:instrText>
      </w:r>
      <w:r>
        <w:fldChar w:fldCharType="separate"/>
      </w:r>
      <w:r w:rsidRPr="005229F8">
        <w:rPr>
          <w:noProof/>
          <w:vertAlign w:val="superscript"/>
        </w:rPr>
        <w:t>30</w:t>
      </w:r>
      <w:r>
        <w:fldChar w:fldCharType="end"/>
      </w:r>
    </w:p>
    <w:p w14:paraId="261DB350" w14:textId="797EB8F6" w:rsidR="00906B0C" w:rsidRDefault="00906B0C" w:rsidP="005B1580">
      <w:pPr>
        <w:rPr>
          <w:rFonts w:eastAsia="Times"/>
        </w:rPr>
      </w:pPr>
      <w:r>
        <w:rPr>
          <w:rFonts w:eastAsia="Times"/>
        </w:rPr>
        <w:t xml:space="preserve">The ultimate approach for modeling local anesthetics distribution between various parts of </w:t>
      </w:r>
      <w:r w:rsidR="0086057A">
        <w:rPr>
          <w:rFonts w:eastAsia="Times"/>
        </w:rPr>
        <w:t xml:space="preserve">a </w:t>
      </w:r>
      <w:r>
        <w:rPr>
          <w:rFonts w:eastAsia="Times"/>
        </w:rPr>
        <w:t>neuron that include extracellular fluid, membrane, axoplasm and myelin sheath and voltage</w:t>
      </w:r>
      <w:r w:rsidR="0086057A">
        <w:rPr>
          <w:rFonts w:eastAsia="Times"/>
        </w:rPr>
        <w:t>-</w:t>
      </w:r>
      <w:r>
        <w:rPr>
          <w:rFonts w:eastAsia="Times"/>
        </w:rPr>
        <w:t xml:space="preserve">gated sodium channel is molecular simulation with atomic resolution. Contributions by Lyubrartsev and coworkers represent </w:t>
      </w:r>
      <w:r w:rsidR="0053455B">
        <w:rPr>
          <w:rFonts w:eastAsia="Times"/>
        </w:rPr>
        <w:t xml:space="preserve">a </w:t>
      </w:r>
      <w:r>
        <w:rPr>
          <w:rFonts w:eastAsia="Times"/>
        </w:rPr>
        <w:t>precious starting point</w:t>
      </w:r>
      <w:r w:rsidR="00C80B59">
        <w:rPr>
          <w:rFonts w:eastAsia="Times"/>
        </w:rPr>
        <w:t>.</w:t>
      </w:r>
      <w:r w:rsidR="00C80B59">
        <w:rPr>
          <w:rFonts w:eastAsia="Times"/>
        </w:rPr>
        <w:fldChar w:fldCharType="begin" w:fldLock="1"/>
      </w:r>
      <w:r w:rsidR="00B9428C">
        <w:rPr>
          <w:rFonts w:eastAsia="Times"/>
        </w:rPr>
        <w:instrText>ADDIN CSL_CITATION {"citationItems":[{"id":"ITEM-1","itemData":{"DOI":"10.1016/j.bpc.2006.10.005","ISSN":"03014622","PMID":"17112652","abstract":"Molecular dynamics computer simulations have been performed to investigate dynamical and structural properties of a lidocaine local anesthetic. Both charged and uncharged forms of the lidocaine molecule were investigated. Properties such as membrane area per lipid, diffusion, mass density, bilayer penetration and order parameters have been examined. An analysis of the lidocaine interaction with the lipid surrounding according to a simple mean field theory has also been performed. Almost all examined properties were found to depend on which of the two forms of lidocaine, charged or uncharged, is studied. The overall picture is a rather static behavior determined by the lipids for the charged molecules and more mobile situation of the uncharged form with higher diffusion and lower orientational and positional order. © 2006 Elsevier B.V. All rights reserved.","author":[{"dropping-particle":"","family":"Högberg","given":"Carl Johan","non-dropping-particle":"","parse-names":false,"suffix":""},{"dropping-particle":"","family":"Maliniak","given":"Arnold","non-dropping-particle":"","parse-names":false,"suffix":""},{"dropping-particle":"","family":"Lyubartsev","given":"Alexander P","non-dropping-particle":"","parse-names":false,"suffix":""}],"container-title":"Biophysical Chemistry","id":"ITEM-1","issue":"2-3","issued":{"date-parts":[["2007","2"]]},"page":"416-424","title":"Dynamical and structural properties of charged and uncharged lidocaine in a lipid bilayer","type":"article-journal","volume":"125"},"uris":["http://www.mendeley.com/documents/?uuid=60ef20cb-08ea-4774-96a9-db44d1c9b9a1"]},{"id":"ITEM-2","itemData":{"DOI":"10.1016/j.bpc.2017.03.006","ISSN":"18734200","PMID":"28410497","abstract":"To provide insight into the molecular mechanisms of local anesthetic action, we have carried out an extensive investigation of two amide type local anesthetics, lidocaine and articaine in both charged and uncharged forms, interacting with DMPC lipid membrane. We have applied both standard molecular dynamics simulations and metadynamics simulations to provide a detailed description of the free energy landscape of anesthetics embedded in the lipid bilayer. The global minimum of the free energy surface (equilibrium position of anesthetics in the lipid membrane) occurred around 1nm of the bilayer center. The uncharged anesthetics show more affinity to bind to this region compared to the charged drugs. The binding free energy of uncharged lidocaine in the membrane (−30.3kJ/mol) is higher than uncharged articaine (−24.0kJ/mol), which is in good agreement with higher lipid solubility of lidocaine relative to the articaine. The octanol/water partition coefficient of uncharged drugs was also investigated using expanded ensemble simulations. In addition, complementary standard MD simulations were carried out to study the partitioning behavior of multiple anesthetics inside the lipid bilayer. The results obtained here are in line with previously reported simulations and suggest that the different forms of anesthetics induce different structural modifications in the lipid bilayer, which can provide new insights into their complex membrane translocation phenomena.","author":[{"dropping-particle":"","family":"Saeedi","given":"Marzieh","non-dropping-particle":"","parse-names":false,"suffix":""},{"dropping-particle":"","family":"Lyubartsev","given":"Alexander P.","non-dropping-particle":"","parse-names":false,"suffix":""},{"dropping-particle":"","family":"Jalili","given":"Seifollah","non-dropping-particle":"","parse-names":false,"suffix":""}],"container-title":"Biophysical Chemistry","id":"ITEM-2","issued":{"date-parts":[["2017","7"]]},"page":"1-13","title":"Anesthetics mechanism on a DMPC lipid membrane model: Insights from molecular dynamics simulations","type":"article-journal","volume":"226"},"uris":["http://www.mendeley.com/documents/?uuid=1ff814d2-1ad1-4736-89cf-5e5475fcb249"]}],"mendeley":{"formattedCitation":"&lt;sup&gt;33,34&lt;/sup&gt;","plainTextFormattedCitation":"33,34","previouslyFormattedCitation":"&lt;sup&gt;33,34&lt;/sup&gt;"},"properties":{"noteIndex":0},"schema":"https://github.com/citation-style-language/schema/raw/master/csl-citation.json"}</w:instrText>
      </w:r>
      <w:r w:rsidR="00C80B59">
        <w:rPr>
          <w:rFonts w:eastAsia="Times"/>
        </w:rPr>
        <w:fldChar w:fldCharType="separate"/>
      </w:r>
      <w:r w:rsidR="00315FA6" w:rsidRPr="00315FA6">
        <w:rPr>
          <w:rFonts w:eastAsia="Times"/>
          <w:noProof/>
          <w:vertAlign w:val="superscript"/>
        </w:rPr>
        <w:t>33,34</w:t>
      </w:r>
      <w:r w:rsidR="00C80B59">
        <w:rPr>
          <w:rFonts w:eastAsia="Times"/>
        </w:rPr>
        <w:fldChar w:fldCharType="end"/>
      </w:r>
      <w:r>
        <w:rPr>
          <w:rFonts w:eastAsia="Times"/>
        </w:rPr>
        <w:t xml:space="preserve"> </w:t>
      </w:r>
      <w:r w:rsidR="00615BF4">
        <w:rPr>
          <w:rFonts w:eastAsia="Times"/>
        </w:rPr>
        <w:t>van der Spoel et al.</w:t>
      </w:r>
      <w:r w:rsidR="00B9428C">
        <w:rPr>
          <w:rFonts w:eastAsia="Times"/>
        </w:rPr>
        <w:t xml:space="preserve"> </w:t>
      </w:r>
      <w:r w:rsidR="00615BF4">
        <w:rPr>
          <w:rFonts w:eastAsia="Times"/>
        </w:rPr>
        <w:t xml:space="preserve">developed </w:t>
      </w:r>
      <w:r w:rsidR="0086057A">
        <w:rPr>
          <w:rFonts w:eastAsia="Times"/>
        </w:rPr>
        <w:t xml:space="preserve">a </w:t>
      </w:r>
      <w:r w:rsidR="00615BF4">
        <w:rPr>
          <w:rFonts w:eastAsia="Times"/>
        </w:rPr>
        <w:t xml:space="preserve">calculation protocol for determining </w:t>
      </w:r>
      <w:r w:rsidR="00E2542B">
        <w:rPr>
          <w:rFonts w:eastAsia="Times"/>
        </w:rPr>
        <w:t xml:space="preserve">n-octanol/water partition coefficients </w:t>
      </w:r>
      <w:r w:rsidR="00615BF4">
        <w:rPr>
          <w:rFonts w:eastAsia="Times"/>
        </w:rPr>
        <w:t>for a series of potential toxins by using molecular dynamics simulation.</w:t>
      </w:r>
      <w:r w:rsidR="00B9428C">
        <w:rPr>
          <w:rFonts w:eastAsia="Times"/>
        </w:rPr>
        <w:fldChar w:fldCharType="begin" w:fldLock="1"/>
      </w:r>
      <w:r w:rsidR="005229F8">
        <w:rPr>
          <w:rFonts w:eastAsia="Times"/>
        </w:rPr>
        <w:instrText>ADDIN CSL_CITATION {"citationItems":[{"id":"ITEM-1","itemData":{"DOI":"10.1021/acsomega.9b01277","ISSN":"24701343","abstract":"The partitioning of compounds between aqueous and other phases is important for predicting toxicity. Although thousands of octanol-water partition coefficients have been measured, these represent only a small fraction of the anthropogenic compounds present in the environment. The octanol phase is often taken to be a mimic of the inner parts of phospholipid membranes. However, the core of such membranes is typically more hydrophobic than octanol, and other partition coefficients with other compounds may give complementary information. Although a number of (cheap) empirical methods exist to compute octanol-water (log kOW) and hexadecane-water (log kHW) partition coefficients, it would be interesting to know whether physics-based models can predict these crucial values more accurately. Here, we have computed log kOW and log kHW for 133 compounds from seven different pollutant categories as well as a control group using the solvation model based on electronic density (SMD) protocol based on Hartree-Fock (HF) or density functional theory (DFT) and the COSMO-RS method. For comparison, XlogP3 (log kOW) values were retrieved from the PubChem database, and KowWin log kOW values were determined as well. For 24 of these compounds, log kOW was computed using potential of mean force (PMF) calculations based on classical molecular dynamics simulations. A comparison of the accuracy of the methods shows that COSMO-RS, KowWin, and XlogP3 all have a root-mean-square deviation (rmsd) from the experimental data of ≈0.4 log units, whereas the SMD protocol has an rmsd of 1.0 log units using HF and 0.9 using DFT. PMF calculations yield the poorest accuracy (rmsd = 1.1 log units). Thirty-six out of 133 calculations are for compounds without known log kOW, and for these, we provide what we consider a robust prediction, in the sense that there are few outliers, by averaging over the methods. The results supplied may be instrumental when developing new methods in computational ecotoxicity. The log kHW values are found to be strongly correlated to log kOW for most compounds.","author":[{"dropping-particle":"","family":"Spoel","given":"David","non-dropping-particle":"Van Der","parse-names":false,"suffix":""},{"dropping-particle":"","family":"Manzetti","given":"Sergio","non-dropping-particle":"","parse-names":false,"suffix":""},{"dropping-particle":"","family":"Zhang","given":"Haiyang","non-dropping-particle":"","parse-names":false,"suffix":""},{"dropping-particle":"","family":"Klamt","given":"Andreas","non-dropping-particle":"","parse-names":false,"suffix":""}],"container-title":"ACS Omega","id":"ITEM-1","issued":{"date-parts":[["2019"]]},"title":"Prediction of Partition Coefficients of Environmental Toxins Using Computational Chemistry Methods","type":"article-journal"},"uris":["http://www.mendeley.com/documents/?uuid=fc6af4ac-48d8-4ebb-80a7-61bb511dbbcd"]}],"mendeley":{"formattedCitation":"&lt;sup&gt;30&lt;/sup&gt;","plainTextFormattedCitation":"30","previouslyFormattedCitation":"&lt;sup&gt;30&lt;/sup&gt;"},"properties":{"noteIndex":0},"schema":"https://github.com/citation-style-language/schema/raw/master/csl-citation.json"}</w:instrText>
      </w:r>
      <w:r w:rsidR="00B9428C">
        <w:rPr>
          <w:rFonts w:eastAsia="Times"/>
        </w:rPr>
        <w:fldChar w:fldCharType="separate"/>
      </w:r>
      <w:r w:rsidR="005229F8" w:rsidRPr="005229F8">
        <w:rPr>
          <w:rFonts w:eastAsia="Times"/>
          <w:noProof/>
          <w:vertAlign w:val="superscript"/>
        </w:rPr>
        <w:t>30</w:t>
      </w:r>
      <w:r w:rsidR="00B9428C">
        <w:rPr>
          <w:rFonts w:eastAsia="Times"/>
        </w:rPr>
        <w:fldChar w:fldCharType="end"/>
      </w:r>
      <w:r w:rsidR="00615BF4">
        <w:rPr>
          <w:rFonts w:eastAsia="Times"/>
        </w:rPr>
        <w:t xml:space="preserve"> It remains a challenge for </w:t>
      </w:r>
      <w:r w:rsidR="0086057A">
        <w:rPr>
          <w:rFonts w:eastAsia="Times"/>
        </w:rPr>
        <w:t xml:space="preserve">the </w:t>
      </w:r>
      <w:r w:rsidR="00615BF4">
        <w:rPr>
          <w:rFonts w:eastAsia="Times"/>
        </w:rPr>
        <w:t>future to apply th</w:t>
      </w:r>
      <w:r w:rsidR="0086057A">
        <w:rPr>
          <w:rFonts w:eastAsia="Times"/>
        </w:rPr>
        <w:t>is</w:t>
      </w:r>
      <w:r w:rsidR="00615BF4">
        <w:rPr>
          <w:rFonts w:eastAsia="Times"/>
        </w:rPr>
        <w:t xml:space="preserve"> approach </w:t>
      </w:r>
      <w:r w:rsidR="0086057A">
        <w:rPr>
          <w:rFonts w:eastAsia="Times"/>
        </w:rPr>
        <w:t>to</w:t>
      </w:r>
      <w:r w:rsidR="00615BF4">
        <w:rPr>
          <w:rFonts w:eastAsia="Times"/>
        </w:rPr>
        <w:t xml:space="preserve"> the studied local anesthetics.</w:t>
      </w:r>
      <w:r w:rsidR="00B9428C">
        <w:rPr>
          <w:rFonts w:eastAsia="Times"/>
        </w:rPr>
        <w:t xml:space="preserve"> </w:t>
      </w:r>
      <w:r>
        <w:rPr>
          <w:rFonts w:eastAsia="Times"/>
        </w:rPr>
        <w:t>Structure of the voltage</w:t>
      </w:r>
      <w:r w:rsidR="0086057A">
        <w:rPr>
          <w:rFonts w:eastAsia="Times"/>
        </w:rPr>
        <w:t>-</w:t>
      </w:r>
      <w:r>
        <w:rPr>
          <w:rFonts w:eastAsia="Times"/>
        </w:rPr>
        <w:t>gate</w:t>
      </w:r>
      <w:r w:rsidR="0086057A">
        <w:rPr>
          <w:rFonts w:eastAsia="Times"/>
        </w:rPr>
        <w:t>d</w:t>
      </w:r>
      <w:r>
        <w:rPr>
          <w:rFonts w:eastAsia="Times"/>
        </w:rPr>
        <w:t xml:space="preserve"> sodium channel has been solved by cryo-electron microscopy with the </w:t>
      </w:r>
      <w:r w:rsidR="00504A6E">
        <w:rPr>
          <w:rFonts w:eastAsia="Times"/>
        </w:rPr>
        <w:t xml:space="preserve">resolution of </w:t>
      </w:r>
      <w:r w:rsidR="0029063E">
        <w:rPr>
          <w:rFonts w:eastAsia="Times"/>
        </w:rPr>
        <w:t>3.80</w:t>
      </w:r>
      <w:r w:rsidR="0029063E" w:rsidRPr="0029063E">
        <w:t xml:space="preserve"> </w:t>
      </w:r>
      <w:r w:rsidR="0029063E" w:rsidRPr="0029063E">
        <w:rPr>
          <w:rFonts w:eastAsia="Times"/>
        </w:rPr>
        <w:t>Å</w:t>
      </w:r>
      <w:r w:rsidR="00C80B59">
        <w:rPr>
          <w:rFonts w:eastAsia="Times"/>
        </w:rPr>
        <w:t>.</w:t>
      </w:r>
      <w:r w:rsidR="00C80B59">
        <w:rPr>
          <w:rFonts w:eastAsia="Times"/>
        </w:rPr>
        <w:fldChar w:fldCharType="begin" w:fldLock="1"/>
      </w:r>
      <w:r w:rsidR="00B9428C">
        <w:rPr>
          <w:rFonts w:eastAsia="Times"/>
        </w:rPr>
        <w:instrText>ADDIN CSL_CITATION {"citationItems":[{"id":"ITEM-1","itemData":{"DOI":"10.1126/science.aal4326","ISSN":"10959203","PMID":"28183995","abstract":"Voltage-gated sodium (Nav) channels are responsible for the initiation and propagation of action potentials.They are associated with a variety of channelopathies and are targeted by multiple pharmaceutical drugs and natural toxins. Here, we report the cryogenic electron microscopy structure of a putative Nav channel from American cockroach (designated NavPaS) at 3.8 angstrom resolution.The voltage-sensing domains (VSDs) of the four repeats exhibit distinct conformations.The entrance to the asymmetric selectivity filter vestibule is guarded by heavily glycosylated and disulfide bond-stabilized extracellular loops.On the cytoplasmic side, a conserved amino-terminal domain is placed below VSDI, and a carboxy-terminal domain binds to the III-IV linker.The structure of NavPaS establishes an important foundation for understanding function and disease mechanism of Nav and related voltage-gated calcium channels.","author":[{"dropping-particle":"","family":"Shen","given":"Huaizong","non-dropping-particle":"","parse-names":false,"suffix":""},{"dropping-particle":"","family":"Zhou","given":"Qiang","non-dropping-particle":"","parse-names":false,"suffix":""},{"dropping-particle":"","family":"Pan","given":"Xiaojing","non-dropping-particle":"","parse-names":false,"suffix":""},{"dropping-particle":"","family":"Li","given":"Zhangqiang","non-dropping-particle":"","parse-names":false,"suffix":""},{"dropping-particle":"","family":"Wu","given":"Jianping","non-dropping-particle":"","parse-names":false,"suffix":""},{"dropping-particle":"","family":"Yan","given":"Nieng","non-dropping-particle":"","parse-names":false,"suffix":""}],"container-title":"Science","id":"ITEM-1","issued":{"date-parts":[["2017"]]},"page":"924","title":"Structure of a eukaryotic voltage-gated sodium channel at near-atomic resolution","type":"article-journal","volume":"355"},"uris":["http://www.mendeley.com/documents/?uuid=e5621c7a-d6b2-40d9-a2ef-099316559760"]}],"mendeley":{"formattedCitation":"&lt;sup&gt;35&lt;/sup&gt;","plainTextFormattedCitation":"35","previouslyFormattedCitation":"&lt;sup&gt;35&lt;/sup&gt;"},"properties":{"noteIndex":0},"schema":"https://github.com/citation-style-language/schema/raw/master/csl-citation.json"}</w:instrText>
      </w:r>
      <w:r w:rsidR="00C80B59">
        <w:rPr>
          <w:rFonts w:eastAsia="Times"/>
        </w:rPr>
        <w:fldChar w:fldCharType="separate"/>
      </w:r>
      <w:r w:rsidR="00315FA6" w:rsidRPr="00315FA6">
        <w:rPr>
          <w:rFonts w:eastAsia="Times"/>
          <w:noProof/>
          <w:vertAlign w:val="superscript"/>
        </w:rPr>
        <w:t>35</w:t>
      </w:r>
      <w:r w:rsidR="00C80B59">
        <w:rPr>
          <w:rFonts w:eastAsia="Times"/>
        </w:rPr>
        <w:fldChar w:fldCharType="end"/>
      </w:r>
      <w:r w:rsidR="00C80B59">
        <w:rPr>
          <w:rFonts w:eastAsia="Times"/>
        </w:rPr>
        <w:t xml:space="preserve"> </w:t>
      </w:r>
      <w:r w:rsidR="0002059B">
        <w:rPr>
          <w:rFonts w:eastAsia="Times"/>
        </w:rPr>
        <w:t xml:space="preserve">It remains a major challenge to model binding of local anesthetics to the sodium channel binding site, therewith associated conformational changes and decreased permeability for sodium ions. We are aware that correlation times for such conformational changes are long, </w:t>
      </w:r>
      <w:r w:rsidR="00CC2925">
        <w:rPr>
          <w:rFonts w:eastAsia="Times"/>
        </w:rPr>
        <w:t xml:space="preserve">which </w:t>
      </w:r>
      <w:r w:rsidR="0002059B">
        <w:rPr>
          <w:rFonts w:eastAsia="Times"/>
        </w:rPr>
        <w:t>would require very long simulation time.</w:t>
      </w:r>
    </w:p>
    <w:p w14:paraId="3CF7B40E" w14:textId="1949BF57" w:rsidR="00BA5007" w:rsidRDefault="00AD23D7" w:rsidP="005B1580">
      <w:r>
        <w:t>In conclusion, o</w:t>
      </w:r>
      <w:r w:rsidRPr="003505D8">
        <w:t xml:space="preserve">ur study represents a small step forward towards understanding </w:t>
      </w:r>
      <w:r>
        <w:t>the</w:t>
      </w:r>
      <w:r w:rsidRPr="003505D8">
        <w:t xml:space="preserve"> local anesthetic function on a molecular level. We showed that the rate limiting step in the </w:t>
      </w:r>
      <w:r>
        <w:t xml:space="preserve">transport of local anesthetics from the point of bolus administration to the axoplasm </w:t>
      </w:r>
      <w:r w:rsidRPr="003505D8">
        <w:t xml:space="preserve">is the </w:t>
      </w:r>
      <w:r>
        <w:t xml:space="preserve">macroscopic diffusion to and from the membrane, not the membrane crossing itself. </w:t>
      </w:r>
      <w:r w:rsidRPr="003505D8">
        <w:t xml:space="preserve">Future </w:t>
      </w:r>
      <w:r w:rsidRPr="003505D8">
        <w:lastRenderedPageBreak/>
        <w:t xml:space="preserve">challenges will include </w:t>
      </w:r>
      <w:r>
        <w:t>development of more sophisticated mathematical models of the process</w:t>
      </w:r>
      <w:r w:rsidRPr="003505D8">
        <w:t xml:space="preserve"> </w:t>
      </w:r>
      <w:r>
        <w:t xml:space="preserve">as well as </w:t>
      </w:r>
      <w:r w:rsidRPr="003505D8">
        <w:t>clarif</w:t>
      </w:r>
      <w:r>
        <w:t>ication of</w:t>
      </w:r>
      <w:r w:rsidRPr="003505D8">
        <w:t xml:space="preserve"> the relevance of Schwann cells </w:t>
      </w:r>
      <w:r>
        <w:t>and</w:t>
      </w:r>
      <w:r w:rsidRPr="003505D8">
        <w:t xml:space="preserve"> other cells as lipid reservoirs and how they influence local anesthetic pharmacokinetic</w:t>
      </w:r>
      <w:r>
        <w:t>s.</w:t>
      </w:r>
      <w:r w:rsidR="00C50818">
        <w:t xml:space="preserve"> </w:t>
      </w:r>
      <w:r w:rsidR="0086057A">
        <w:t>The f</w:t>
      </w:r>
      <w:r w:rsidR="00C50818">
        <w:t>inal goal is understanding</w:t>
      </w:r>
      <w:r w:rsidR="006814C8">
        <w:t xml:space="preserve"> the</w:t>
      </w:r>
      <w:r w:rsidR="00C50818">
        <w:t xml:space="preserve"> relation between the structure of local anesthetics and their pha</w:t>
      </w:r>
      <w:r w:rsidR="004E3F1C">
        <w:t>r</w:t>
      </w:r>
      <w:r w:rsidR="00C50818">
        <w:t xml:space="preserve">macodynamic properties in order to design novel local </w:t>
      </w:r>
      <w:r w:rsidR="006814C8">
        <w:t>anesthetics</w:t>
      </w:r>
      <w:r w:rsidR="00C50818">
        <w:t xml:space="preserve"> with desired properties.</w:t>
      </w:r>
      <w:r w:rsidR="00BA5007">
        <w:br w:type="page"/>
      </w:r>
    </w:p>
    <w:p w14:paraId="089E6B69" w14:textId="05C34ADE" w:rsidR="00AD23D7" w:rsidRPr="00BA5007" w:rsidRDefault="00BA5007" w:rsidP="009E49BF">
      <w:pPr>
        <w:pStyle w:val="Heading1"/>
      </w:pPr>
      <w:r w:rsidRPr="00BA5007">
        <w:lastRenderedPageBreak/>
        <w:t>Conclusions</w:t>
      </w:r>
    </w:p>
    <w:p w14:paraId="7EDE50BE" w14:textId="29E943A0" w:rsidR="00AD23D7" w:rsidRDefault="006814C8" w:rsidP="005B1580">
      <w:pPr>
        <w:rPr>
          <w:rFonts w:eastAsia="Times"/>
        </w:rPr>
      </w:pPr>
      <w:r w:rsidRPr="006814C8">
        <w:rPr>
          <w:rFonts w:eastAsia="Times"/>
        </w:rPr>
        <w:t>We demonstrated that local anesthetics flow from the compartment with</w:t>
      </w:r>
      <w:r w:rsidR="00EE1115">
        <w:rPr>
          <w:rFonts w:eastAsia="Times"/>
        </w:rPr>
        <w:t xml:space="preserve"> a</w:t>
      </w:r>
      <w:r w:rsidRPr="006814C8">
        <w:rPr>
          <w:rFonts w:eastAsia="Times"/>
        </w:rPr>
        <w:t xml:space="preserve"> higher pH value to the compartment with </w:t>
      </w:r>
      <w:r w:rsidR="00EE1115">
        <w:rPr>
          <w:rFonts w:eastAsia="Times"/>
        </w:rPr>
        <w:t xml:space="preserve">a </w:t>
      </w:r>
      <w:r w:rsidRPr="006814C8">
        <w:rPr>
          <w:rFonts w:eastAsia="Times"/>
        </w:rPr>
        <w:t xml:space="preserve">lower pH value since protonated local anesthetics have </w:t>
      </w:r>
      <w:r w:rsidR="00EE1115">
        <w:rPr>
          <w:rFonts w:eastAsia="Times"/>
        </w:rPr>
        <w:t xml:space="preserve">a </w:t>
      </w:r>
      <w:r w:rsidRPr="006814C8">
        <w:rPr>
          <w:rFonts w:eastAsia="Times"/>
        </w:rPr>
        <w:t xml:space="preserve">more favorable solvation energy than </w:t>
      </w:r>
      <w:r w:rsidR="00EE1115">
        <w:rPr>
          <w:rFonts w:eastAsia="Times"/>
        </w:rPr>
        <w:t xml:space="preserve">their </w:t>
      </w:r>
      <w:r w:rsidRPr="006814C8">
        <w:rPr>
          <w:rFonts w:eastAsia="Times"/>
        </w:rPr>
        <w:t xml:space="preserve">neutral </w:t>
      </w:r>
      <w:r w:rsidR="00EE1115">
        <w:rPr>
          <w:rFonts w:eastAsia="Times"/>
        </w:rPr>
        <w:t>counterparts</w:t>
      </w:r>
      <w:r w:rsidRPr="006814C8">
        <w:rPr>
          <w:rFonts w:eastAsia="Times"/>
        </w:rPr>
        <w:t>. This is consistent with clinical experience, i.e. in tissue acidosis, local anesthetics are less effective.</w:t>
      </w:r>
      <w:r>
        <w:rPr>
          <w:rFonts w:eastAsia="Times"/>
        </w:rPr>
        <w:t xml:space="preserve"> </w:t>
      </w:r>
      <w:r w:rsidRPr="006814C8">
        <w:rPr>
          <w:rFonts w:eastAsia="Times"/>
        </w:rPr>
        <w:t xml:space="preserve">Experimental data </w:t>
      </w:r>
      <w:r>
        <w:rPr>
          <w:rFonts w:eastAsia="Times"/>
        </w:rPr>
        <w:t>show</w:t>
      </w:r>
      <w:r w:rsidRPr="006814C8">
        <w:rPr>
          <w:rFonts w:eastAsia="Times"/>
        </w:rPr>
        <w:t xml:space="preserve"> that all local anesthetics in their neutral form strongly prefer octanol over water</w:t>
      </w:r>
      <w:r>
        <w:rPr>
          <w:rFonts w:eastAsia="Times"/>
        </w:rPr>
        <w:t>, whereas the protonated form mostly prefers the aqueous environment</w:t>
      </w:r>
      <w:r w:rsidRPr="006814C8">
        <w:rPr>
          <w:rFonts w:eastAsia="Times"/>
        </w:rPr>
        <w:t xml:space="preserve">. </w:t>
      </w:r>
      <w:r w:rsidR="00EE1115">
        <w:rPr>
          <w:rFonts w:eastAsia="Times"/>
        </w:rPr>
        <w:t>In</w:t>
      </w:r>
      <w:r w:rsidRPr="006814C8">
        <w:rPr>
          <w:rFonts w:eastAsia="Times"/>
        </w:rPr>
        <w:t xml:space="preserve"> quantum chemical calculations, only the SMD solvent reaction field method could predict the same behavior</w:t>
      </w:r>
      <w:r>
        <w:rPr>
          <w:rFonts w:eastAsia="Times"/>
        </w:rPr>
        <w:t xml:space="preserve"> and seems to be the best model for prediction of n-octanol/water partition coefficient</w:t>
      </w:r>
      <w:r w:rsidRPr="006814C8">
        <w:rPr>
          <w:rFonts w:eastAsia="Times"/>
        </w:rPr>
        <w:t>.</w:t>
      </w:r>
    </w:p>
    <w:p w14:paraId="4928A75F" w14:textId="77777777" w:rsidR="00AD23D7" w:rsidRDefault="00AD23D7" w:rsidP="005B1580">
      <w:pPr>
        <w:rPr>
          <w:rFonts w:eastAsia="Times"/>
        </w:rPr>
      </w:pPr>
    </w:p>
    <w:p w14:paraId="34EB2D8F" w14:textId="77777777" w:rsidR="00BA5007" w:rsidRDefault="00BA5007" w:rsidP="005B1580">
      <w:pPr>
        <w:rPr>
          <w:rFonts w:eastAsia="ヒラギノ角ゴ Pro W3"/>
          <w:b/>
          <w:color w:val="000000"/>
          <w:szCs w:val="28"/>
          <w:lang w:val="en-GB" w:eastAsia="en-US"/>
        </w:rPr>
      </w:pPr>
      <w:r>
        <w:br w:type="page"/>
      </w:r>
    </w:p>
    <w:p w14:paraId="480D249E" w14:textId="301BC898" w:rsidR="0034460E" w:rsidRPr="002A08B5" w:rsidRDefault="0034460E" w:rsidP="002A08B5">
      <w:pPr>
        <w:rPr>
          <w:b/>
        </w:rPr>
      </w:pPr>
      <w:r w:rsidRPr="002A08B5">
        <w:rPr>
          <w:b/>
        </w:rPr>
        <w:lastRenderedPageBreak/>
        <w:t xml:space="preserve">Acknowledgments </w:t>
      </w:r>
    </w:p>
    <w:p w14:paraId="68998258" w14:textId="0D8AB5DF" w:rsidR="0034460E" w:rsidRDefault="00C50818" w:rsidP="005B1580">
      <w:r w:rsidRPr="00C50818">
        <w:t>This work was supported by the Slovenian Research Agency (grant numbers P1-0012 and P3-0043).</w:t>
      </w:r>
      <w:r>
        <w:t xml:space="preserve"> </w:t>
      </w:r>
      <w:r w:rsidR="00225C9C">
        <w:t xml:space="preserve">We would also like to thank </w:t>
      </w:r>
      <w:r w:rsidR="0034460E" w:rsidRPr="003505D8">
        <w:t>Tanja Gavranič</w:t>
      </w:r>
      <w:r w:rsidR="00225C9C">
        <w:t xml:space="preserve"> of </w:t>
      </w:r>
      <w:r w:rsidR="00295FFE">
        <w:t xml:space="preserve">the </w:t>
      </w:r>
      <w:r w:rsidR="00225C9C" w:rsidRPr="00225C9C">
        <w:t xml:space="preserve">National Institute of Chemistry, Ljubljana, Slovenia </w:t>
      </w:r>
      <w:r w:rsidR="0034460E" w:rsidRPr="003505D8">
        <w:t xml:space="preserve">for her assistance with graphical work. </w:t>
      </w:r>
    </w:p>
    <w:p w14:paraId="728A8227" w14:textId="10AA9B28" w:rsidR="005229F8" w:rsidRDefault="005229F8" w:rsidP="005B1580"/>
    <w:p w14:paraId="36068832" w14:textId="33A3AED8" w:rsidR="00AD5653" w:rsidRDefault="00AD5653" w:rsidP="0034460E"/>
    <w:p w14:paraId="5B946FFF" w14:textId="77777777" w:rsidR="0034460E" w:rsidRDefault="0034460E" w:rsidP="00266661"/>
    <w:p w14:paraId="3DF7FFFA" w14:textId="6E23F4B5" w:rsidR="00017B8F" w:rsidRDefault="00017B8F" w:rsidP="00266661"/>
    <w:p w14:paraId="4A7D022C" w14:textId="0E01EB42" w:rsidR="00240D90" w:rsidRPr="003505D8" w:rsidRDefault="00240D90" w:rsidP="00266661">
      <w:pPr>
        <w:rPr>
          <w:b/>
        </w:rPr>
      </w:pPr>
    </w:p>
    <w:p w14:paraId="42970D5B" w14:textId="77777777" w:rsidR="007D4B09" w:rsidRPr="003505D8" w:rsidRDefault="007D4B09">
      <w:pPr>
        <w:spacing w:after="0" w:line="240" w:lineRule="auto"/>
        <w:jc w:val="left"/>
        <w:rPr>
          <w:rFonts w:eastAsia="ヒラギノ角ゴ Pro W3"/>
          <w:b/>
          <w:color w:val="000000"/>
          <w:szCs w:val="28"/>
          <w:lang w:eastAsia="en-US"/>
        </w:rPr>
      </w:pPr>
      <w:r w:rsidRPr="003505D8">
        <w:br w:type="page"/>
      </w:r>
    </w:p>
    <w:p w14:paraId="4F482319" w14:textId="045612FF" w:rsidR="00141EA1" w:rsidRDefault="00240D90" w:rsidP="009E49BF">
      <w:pPr>
        <w:pStyle w:val="Heading1"/>
      </w:pPr>
      <w:bookmarkStart w:id="1" w:name="_Hlk22400415"/>
      <w:r w:rsidRPr="009E49BF">
        <w:lastRenderedPageBreak/>
        <w:t>References</w:t>
      </w:r>
    </w:p>
    <w:p w14:paraId="3520E095" w14:textId="77777777" w:rsidR="00795AB8" w:rsidRPr="002E10F6" w:rsidRDefault="00795AB8" w:rsidP="00795AB8">
      <w:pPr>
        <w:rPr>
          <w:lang w:val="en-GB" w:eastAsia="en-US"/>
        </w:rPr>
      </w:pPr>
      <w:bookmarkStart w:id="2" w:name="_Hlk56455746"/>
      <w:r w:rsidRPr="002E10F6">
        <w:rPr>
          <w:lang w:val="en-GB" w:eastAsia="en-US"/>
        </w:rPr>
        <w:t xml:space="preserve">1. </w:t>
      </w:r>
      <w:r w:rsidRPr="002E10F6">
        <w:rPr>
          <w:lang w:val="en-GB" w:eastAsia="en-US"/>
        </w:rPr>
        <w:tab/>
        <w:t>Miller R, Eriksson L, Fleisher L, Wiener-Kronish J, Cohen N, Young W. Miller’s anesthesia: Chapter 36 Local Anesthetics. In: Miller’s Anesthesia. 8th Editio. ELSEVIER Churchill Livingston</w:t>
      </w:r>
      <w:r>
        <w:rPr>
          <w:lang w:val="en-GB" w:eastAsia="en-US"/>
        </w:rPr>
        <w:t>,</w:t>
      </w:r>
      <w:r w:rsidRPr="002E10F6">
        <w:rPr>
          <w:lang w:val="en-GB" w:eastAsia="en-US"/>
        </w:rPr>
        <w:t xml:space="preserve"> </w:t>
      </w:r>
      <w:r w:rsidRPr="002E10F6">
        <w:rPr>
          <w:b/>
          <w:bCs/>
          <w:lang w:val="en-GB" w:eastAsia="en-US"/>
        </w:rPr>
        <w:t>2014</w:t>
      </w:r>
      <w:r>
        <w:rPr>
          <w:lang w:val="en-GB" w:eastAsia="en-US"/>
        </w:rPr>
        <w:t>.</w:t>
      </w:r>
    </w:p>
    <w:p w14:paraId="495472FE" w14:textId="77777777" w:rsidR="00795AB8" w:rsidRPr="002E10F6" w:rsidRDefault="00795AB8" w:rsidP="00795AB8">
      <w:pPr>
        <w:rPr>
          <w:lang w:val="en-GB" w:eastAsia="en-US"/>
        </w:rPr>
      </w:pPr>
      <w:r w:rsidRPr="002E10F6">
        <w:rPr>
          <w:lang w:val="en-GB" w:eastAsia="en-US"/>
        </w:rPr>
        <w:t xml:space="preserve">2. </w:t>
      </w:r>
      <w:r w:rsidRPr="002E10F6">
        <w:rPr>
          <w:lang w:val="en-GB" w:eastAsia="en-US"/>
        </w:rPr>
        <w:tab/>
        <w:t xml:space="preserve">Becker DE, Reed KL. Local Anesthetics: Review of Pharmacological Considerations. </w:t>
      </w:r>
      <w:r w:rsidRPr="002E10F6">
        <w:rPr>
          <w:i/>
          <w:iCs/>
          <w:lang w:val="en-GB" w:eastAsia="en-US"/>
        </w:rPr>
        <w:t>Anesth Prog</w:t>
      </w:r>
      <w:r w:rsidRPr="002E10F6">
        <w:rPr>
          <w:lang w:val="en-GB" w:eastAsia="en-US"/>
        </w:rPr>
        <w:t xml:space="preserve">. </w:t>
      </w:r>
      <w:r w:rsidRPr="002E10F6">
        <w:rPr>
          <w:b/>
          <w:bCs/>
          <w:lang w:val="en-GB" w:eastAsia="en-US"/>
        </w:rPr>
        <w:t>2012</w:t>
      </w:r>
      <w:r>
        <w:rPr>
          <w:lang w:val="en-GB" w:eastAsia="en-US"/>
        </w:rPr>
        <w:t xml:space="preserve">, </w:t>
      </w:r>
      <w:r w:rsidRPr="002E10F6">
        <w:rPr>
          <w:lang w:val="en-GB" w:eastAsia="en-US"/>
        </w:rPr>
        <w:t xml:space="preserve">59(2):90-102. </w:t>
      </w:r>
    </w:p>
    <w:p w14:paraId="47CC6353" w14:textId="77777777" w:rsidR="00795AB8" w:rsidRPr="002E10F6" w:rsidRDefault="00795AB8" w:rsidP="00795AB8">
      <w:pPr>
        <w:rPr>
          <w:lang w:val="en-GB" w:eastAsia="en-US"/>
        </w:rPr>
      </w:pPr>
      <w:r w:rsidRPr="002E10F6">
        <w:rPr>
          <w:lang w:val="en-GB" w:eastAsia="en-US"/>
        </w:rPr>
        <w:t xml:space="preserve">3. </w:t>
      </w:r>
      <w:r w:rsidRPr="002E10F6">
        <w:rPr>
          <w:lang w:val="en-GB" w:eastAsia="en-US"/>
        </w:rPr>
        <w:tab/>
        <w:t xml:space="preserve">Strichartz GR, Sanchez V, Arthur GR, Chafetz R, Martin D. Fundamental properties of local anesthetics. II. Measured octanol:buffer partition coefficients and pKa values of clinically used drugs. </w:t>
      </w:r>
      <w:r w:rsidRPr="002E10F6">
        <w:rPr>
          <w:i/>
          <w:iCs/>
          <w:lang w:val="en-GB" w:eastAsia="en-US"/>
        </w:rPr>
        <w:t>Anesth Analg</w:t>
      </w:r>
      <w:r w:rsidRPr="002E10F6">
        <w:rPr>
          <w:lang w:val="en-GB" w:eastAsia="en-US"/>
        </w:rPr>
        <w:t xml:space="preserve">. </w:t>
      </w:r>
      <w:r w:rsidRPr="002E10F6">
        <w:rPr>
          <w:b/>
          <w:bCs/>
          <w:lang w:val="en-GB" w:eastAsia="en-US"/>
        </w:rPr>
        <w:t>1990</w:t>
      </w:r>
      <w:r>
        <w:rPr>
          <w:lang w:val="en-GB" w:eastAsia="en-US"/>
        </w:rPr>
        <w:t xml:space="preserve">, </w:t>
      </w:r>
      <w:r w:rsidRPr="002E10F6">
        <w:rPr>
          <w:lang w:val="en-GB" w:eastAsia="en-US"/>
        </w:rPr>
        <w:t xml:space="preserve">71(2):158-70. </w:t>
      </w:r>
    </w:p>
    <w:p w14:paraId="070B33F5" w14:textId="77777777" w:rsidR="00795AB8" w:rsidRPr="002E10F6" w:rsidRDefault="00795AB8" w:rsidP="00795AB8">
      <w:pPr>
        <w:rPr>
          <w:lang w:val="en-GB" w:eastAsia="en-US"/>
        </w:rPr>
      </w:pPr>
      <w:r w:rsidRPr="002E10F6">
        <w:rPr>
          <w:lang w:val="en-GB" w:eastAsia="en-US"/>
        </w:rPr>
        <w:t xml:space="preserve">4. </w:t>
      </w:r>
      <w:r w:rsidRPr="002E10F6">
        <w:rPr>
          <w:lang w:val="en-GB" w:eastAsia="en-US"/>
        </w:rPr>
        <w:tab/>
        <w:t xml:space="preserve">Kaplan MR, Meyer-Franke A, Lambert S, et al. Induction of sodium channel clustering by oligodendrocytes. </w:t>
      </w:r>
      <w:r w:rsidRPr="002E10F6">
        <w:rPr>
          <w:i/>
          <w:iCs/>
          <w:lang w:val="en-GB" w:eastAsia="en-US"/>
        </w:rPr>
        <w:t>Nature</w:t>
      </w:r>
      <w:r w:rsidRPr="002E10F6">
        <w:rPr>
          <w:lang w:val="en-GB" w:eastAsia="en-US"/>
        </w:rPr>
        <w:t xml:space="preserve">. </w:t>
      </w:r>
      <w:r w:rsidRPr="002E10F6">
        <w:rPr>
          <w:b/>
          <w:bCs/>
          <w:lang w:val="en-GB" w:eastAsia="en-US"/>
        </w:rPr>
        <w:t>1997</w:t>
      </w:r>
      <w:r>
        <w:rPr>
          <w:lang w:val="en-GB" w:eastAsia="en-US"/>
        </w:rPr>
        <w:t xml:space="preserve">, </w:t>
      </w:r>
      <w:r w:rsidRPr="002E10F6">
        <w:rPr>
          <w:lang w:val="en-GB" w:eastAsia="en-US"/>
        </w:rPr>
        <w:t xml:space="preserve">386(6626):724-8. </w:t>
      </w:r>
    </w:p>
    <w:p w14:paraId="53D4F872" w14:textId="77777777" w:rsidR="00795AB8" w:rsidRPr="002E10F6" w:rsidRDefault="00795AB8" w:rsidP="00795AB8">
      <w:pPr>
        <w:rPr>
          <w:lang w:val="en-GB" w:eastAsia="en-US"/>
        </w:rPr>
      </w:pPr>
      <w:r w:rsidRPr="002E10F6">
        <w:rPr>
          <w:lang w:val="en-GB" w:eastAsia="en-US"/>
        </w:rPr>
        <w:t xml:space="preserve">5. </w:t>
      </w:r>
      <w:r w:rsidRPr="002E10F6">
        <w:rPr>
          <w:lang w:val="en-GB" w:eastAsia="en-US"/>
        </w:rPr>
        <w:tab/>
        <w:t xml:space="preserve">Fozzard HA, Lee PJ, Lipkind GM. Mechanism of local anesthetic drug action on voltage-gated sodium channels. </w:t>
      </w:r>
      <w:r w:rsidRPr="002E10F6">
        <w:rPr>
          <w:i/>
          <w:iCs/>
          <w:lang w:val="en-GB" w:eastAsia="en-US"/>
        </w:rPr>
        <w:t>Curr Pharm Des</w:t>
      </w:r>
      <w:r w:rsidRPr="002E10F6">
        <w:rPr>
          <w:lang w:val="en-GB" w:eastAsia="en-US"/>
        </w:rPr>
        <w:t xml:space="preserve">. </w:t>
      </w:r>
      <w:r w:rsidRPr="002E10F6">
        <w:rPr>
          <w:b/>
          <w:bCs/>
          <w:lang w:val="en-GB" w:eastAsia="en-US"/>
        </w:rPr>
        <w:t>2005</w:t>
      </w:r>
      <w:r>
        <w:rPr>
          <w:lang w:val="en-GB" w:eastAsia="en-US"/>
        </w:rPr>
        <w:t xml:space="preserve">, </w:t>
      </w:r>
      <w:r w:rsidRPr="002E10F6">
        <w:rPr>
          <w:lang w:val="en-GB" w:eastAsia="en-US"/>
        </w:rPr>
        <w:t xml:space="preserve">11(21):2671-86. </w:t>
      </w:r>
    </w:p>
    <w:p w14:paraId="2C4C2154" w14:textId="77777777" w:rsidR="00795AB8" w:rsidRPr="002E10F6" w:rsidRDefault="00795AB8" w:rsidP="00795AB8">
      <w:pPr>
        <w:rPr>
          <w:lang w:val="en-GB" w:eastAsia="en-US"/>
        </w:rPr>
      </w:pPr>
      <w:r w:rsidRPr="002E10F6">
        <w:rPr>
          <w:lang w:val="en-GB" w:eastAsia="en-US"/>
        </w:rPr>
        <w:t xml:space="preserve">6. </w:t>
      </w:r>
      <w:r w:rsidRPr="002E10F6">
        <w:rPr>
          <w:lang w:val="en-GB" w:eastAsia="en-US"/>
        </w:rPr>
        <w:tab/>
        <w:t xml:space="preserve">Wang G-K, Strichartz GR: State-dependent inhibition of sodium channels by local anesthetics: A 40-year evolution. </w:t>
      </w:r>
      <w:r w:rsidRPr="002E10F6">
        <w:rPr>
          <w:i/>
          <w:iCs/>
          <w:lang w:val="en-GB" w:eastAsia="en-US"/>
        </w:rPr>
        <w:t>Biochemistry (Mosc)</w:t>
      </w:r>
      <w:r>
        <w:rPr>
          <w:i/>
          <w:iCs/>
          <w:lang w:val="en-GB" w:eastAsia="en-US"/>
        </w:rPr>
        <w:t>.</w:t>
      </w:r>
      <w:r w:rsidRPr="002E10F6">
        <w:rPr>
          <w:lang w:val="en-GB" w:eastAsia="en-US"/>
        </w:rPr>
        <w:t xml:space="preserve"> </w:t>
      </w:r>
      <w:r w:rsidRPr="002E10F6">
        <w:rPr>
          <w:b/>
          <w:bCs/>
          <w:lang w:val="en-GB" w:eastAsia="en-US"/>
        </w:rPr>
        <w:t>2012</w:t>
      </w:r>
      <w:r>
        <w:rPr>
          <w:lang w:val="en-GB" w:eastAsia="en-US"/>
        </w:rPr>
        <w:t>,</w:t>
      </w:r>
      <w:r w:rsidRPr="002E10F6">
        <w:rPr>
          <w:lang w:val="en-GB" w:eastAsia="en-US"/>
        </w:rPr>
        <w:t xml:space="preserve"> 6:120–7. </w:t>
      </w:r>
    </w:p>
    <w:p w14:paraId="7FA76D47" w14:textId="77777777" w:rsidR="00795AB8" w:rsidRPr="002E10F6" w:rsidRDefault="00795AB8" w:rsidP="00795AB8">
      <w:pPr>
        <w:rPr>
          <w:lang w:val="en-GB" w:eastAsia="en-US"/>
        </w:rPr>
      </w:pPr>
      <w:r w:rsidRPr="002E10F6">
        <w:rPr>
          <w:lang w:val="en-GB" w:eastAsia="en-US"/>
        </w:rPr>
        <w:t xml:space="preserve">7. </w:t>
      </w:r>
      <w:r w:rsidRPr="002E10F6">
        <w:rPr>
          <w:lang w:val="en-GB" w:eastAsia="en-US"/>
        </w:rPr>
        <w:tab/>
        <w:t xml:space="preserve">Leo A, Hansch C, Elkins D. Partition coefficients and their uses. </w:t>
      </w:r>
      <w:r w:rsidRPr="002E10F6">
        <w:rPr>
          <w:i/>
          <w:iCs/>
          <w:lang w:val="en-GB" w:eastAsia="en-US"/>
        </w:rPr>
        <w:t>Chem Rev</w:t>
      </w:r>
      <w:r w:rsidRPr="002E10F6">
        <w:rPr>
          <w:lang w:val="en-GB" w:eastAsia="en-US"/>
        </w:rPr>
        <w:t xml:space="preserve">. </w:t>
      </w:r>
      <w:r w:rsidRPr="001F7B58">
        <w:rPr>
          <w:b/>
          <w:bCs/>
          <w:lang w:val="en-GB" w:eastAsia="en-US"/>
        </w:rPr>
        <w:t>1971</w:t>
      </w:r>
      <w:r w:rsidRPr="001F7B58">
        <w:rPr>
          <w:lang w:val="en-GB" w:eastAsia="en-US"/>
        </w:rPr>
        <w:t>, 71</w:t>
      </w:r>
      <w:r>
        <w:rPr>
          <w:lang w:val="en-GB" w:eastAsia="en-US"/>
        </w:rPr>
        <w:t>(</w:t>
      </w:r>
      <w:r w:rsidRPr="001F7B58">
        <w:rPr>
          <w:lang w:val="en-GB" w:eastAsia="en-US"/>
        </w:rPr>
        <w:t>6</w:t>
      </w:r>
      <w:r>
        <w:rPr>
          <w:lang w:val="en-GB" w:eastAsia="en-US"/>
        </w:rPr>
        <w:t>):</w:t>
      </w:r>
      <w:r w:rsidRPr="001F7B58">
        <w:rPr>
          <w:lang w:val="en-GB" w:eastAsia="en-US"/>
        </w:rPr>
        <w:t>525–616</w:t>
      </w:r>
      <w:r w:rsidRPr="002E10F6">
        <w:rPr>
          <w:lang w:val="en-GB" w:eastAsia="en-US"/>
        </w:rPr>
        <w:t xml:space="preserve">. </w:t>
      </w:r>
    </w:p>
    <w:p w14:paraId="55182DDC" w14:textId="77777777" w:rsidR="00795AB8" w:rsidRPr="002E10F6" w:rsidRDefault="00795AB8" w:rsidP="00795AB8">
      <w:pPr>
        <w:rPr>
          <w:lang w:val="en-GB" w:eastAsia="en-US"/>
        </w:rPr>
      </w:pPr>
      <w:r w:rsidRPr="002E10F6">
        <w:rPr>
          <w:lang w:val="en-GB" w:eastAsia="en-US"/>
        </w:rPr>
        <w:t xml:space="preserve">8. </w:t>
      </w:r>
      <w:r w:rsidRPr="002E10F6">
        <w:rPr>
          <w:lang w:val="en-GB" w:eastAsia="en-US"/>
        </w:rPr>
        <w:tab/>
        <w:t xml:space="preserve">Helander EM, Kaye AJ, Eng MR, et al. Regional Nerve Blocks—Best Practice Strategies for Reduction in Complications and Comprehensive Review. </w:t>
      </w:r>
      <w:r w:rsidRPr="002E10F6">
        <w:rPr>
          <w:i/>
          <w:iCs/>
          <w:lang w:val="en-GB" w:eastAsia="en-US"/>
        </w:rPr>
        <w:t>Curr Pain Headache</w:t>
      </w:r>
      <w:r w:rsidRPr="002E10F6">
        <w:rPr>
          <w:lang w:val="en-GB" w:eastAsia="en-US"/>
        </w:rPr>
        <w:t xml:space="preserve"> </w:t>
      </w:r>
      <w:r w:rsidRPr="002E10F6">
        <w:rPr>
          <w:i/>
          <w:iCs/>
          <w:lang w:val="en-GB" w:eastAsia="en-US"/>
        </w:rPr>
        <w:t>Rep.</w:t>
      </w:r>
      <w:r w:rsidRPr="002E10F6">
        <w:rPr>
          <w:lang w:val="en-GB" w:eastAsia="en-US"/>
        </w:rPr>
        <w:t xml:space="preserve"> </w:t>
      </w:r>
      <w:r w:rsidRPr="002E10F6">
        <w:rPr>
          <w:b/>
          <w:bCs/>
          <w:lang w:val="en-GB" w:eastAsia="en-US"/>
        </w:rPr>
        <w:t>2019</w:t>
      </w:r>
      <w:r>
        <w:rPr>
          <w:lang w:val="en-GB" w:eastAsia="en-US"/>
        </w:rPr>
        <w:t xml:space="preserve">, </w:t>
      </w:r>
      <w:r w:rsidRPr="002E10F6">
        <w:rPr>
          <w:lang w:val="en-GB" w:eastAsia="en-US"/>
        </w:rPr>
        <w:t xml:space="preserve">23(6):43. </w:t>
      </w:r>
    </w:p>
    <w:p w14:paraId="1BA42E83" w14:textId="77777777" w:rsidR="00795AB8" w:rsidRPr="002E10F6" w:rsidRDefault="00795AB8" w:rsidP="00795AB8">
      <w:pPr>
        <w:rPr>
          <w:lang w:val="en-GB" w:eastAsia="en-US"/>
        </w:rPr>
      </w:pPr>
      <w:r w:rsidRPr="002E10F6">
        <w:rPr>
          <w:lang w:val="en-GB" w:eastAsia="en-US"/>
        </w:rPr>
        <w:t xml:space="preserve">9. </w:t>
      </w:r>
      <w:r w:rsidRPr="002E10F6">
        <w:rPr>
          <w:lang w:val="en-GB" w:eastAsia="en-US"/>
        </w:rPr>
        <w:tab/>
        <w:t xml:space="preserve">Bayat Z, Movaffagh J. Evaluation of the 1-octanol/water partition coefficient of nucleoside analogs via free energy estimated in quantum chemical calculations. </w:t>
      </w:r>
      <w:r w:rsidRPr="002E10F6">
        <w:rPr>
          <w:i/>
          <w:iCs/>
          <w:lang w:val="en-GB" w:eastAsia="en-US"/>
        </w:rPr>
        <w:t>Russ J Phys Chem A</w:t>
      </w:r>
      <w:r w:rsidRPr="002E10F6">
        <w:rPr>
          <w:lang w:val="en-GB" w:eastAsia="en-US"/>
        </w:rPr>
        <w:t xml:space="preserve">. </w:t>
      </w:r>
      <w:r w:rsidRPr="002E10F6">
        <w:rPr>
          <w:b/>
          <w:bCs/>
          <w:lang w:val="en-GB" w:eastAsia="en-US"/>
        </w:rPr>
        <w:t>2010</w:t>
      </w:r>
      <w:r>
        <w:rPr>
          <w:lang w:val="en-GB" w:eastAsia="en-US"/>
        </w:rPr>
        <w:t xml:space="preserve">, </w:t>
      </w:r>
      <w:r w:rsidRPr="001F7B58">
        <w:rPr>
          <w:lang w:val="en-GB" w:eastAsia="en-US"/>
        </w:rPr>
        <w:t>84</w:t>
      </w:r>
      <w:r>
        <w:rPr>
          <w:lang w:val="en-GB" w:eastAsia="en-US"/>
        </w:rPr>
        <w:t>:</w:t>
      </w:r>
      <w:r w:rsidRPr="001F7B58">
        <w:rPr>
          <w:lang w:val="en-GB" w:eastAsia="en-US"/>
        </w:rPr>
        <w:t xml:space="preserve"> 2293–9</w:t>
      </w:r>
      <w:r>
        <w:rPr>
          <w:lang w:val="en-GB" w:eastAsia="en-US"/>
        </w:rPr>
        <w:t>.</w:t>
      </w:r>
    </w:p>
    <w:p w14:paraId="0499060D" w14:textId="77777777" w:rsidR="00795AB8" w:rsidRPr="002E10F6" w:rsidRDefault="00795AB8" w:rsidP="00795AB8">
      <w:pPr>
        <w:rPr>
          <w:lang w:val="en-GB" w:eastAsia="en-US"/>
        </w:rPr>
      </w:pPr>
      <w:r w:rsidRPr="002E10F6">
        <w:rPr>
          <w:lang w:val="en-GB" w:eastAsia="en-US"/>
        </w:rPr>
        <w:t xml:space="preserve">10. </w:t>
      </w:r>
      <w:r w:rsidRPr="002E10F6">
        <w:rPr>
          <w:lang w:val="en-GB" w:eastAsia="en-US"/>
        </w:rPr>
        <w:tab/>
        <w:t xml:space="preserve">Hoffmann M, Chrzanowska M, Hermann T, Rychlewski J. Modeling of purine derivatives transport across cell membranes based on their partition coefficient determination and quantum chemical calculations. </w:t>
      </w:r>
      <w:r w:rsidRPr="002E10F6">
        <w:rPr>
          <w:i/>
          <w:iCs/>
          <w:lang w:val="en-GB" w:eastAsia="en-US"/>
        </w:rPr>
        <w:t>J Med Chem</w:t>
      </w:r>
      <w:r w:rsidRPr="002E10F6">
        <w:rPr>
          <w:lang w:val="en-GB" w:eastAsia="en-US"/>
        </w:rPr>
        <w:t xml:space="preserve">. </w:t>
      </w:r>
      <w:r w:rsidRPr="002E10F6">
        <w:rPr>
          <w:b/>
          <w:bCs/>
          <w:lang w:val="en-GB" w:eastAsia="en-US"/>
        </w:rPr>
        <w:t>2005</w:t>
      </w:r>
      <w:r>
        <w:rPr>
          <w:lang w:val="en-GB" w:eastAsia="en-US"/>
        </w:rPr>
        <w:t xml:space="preserve">, </w:t>
      </w:r>
      <w:r w:rsidRPr="001F7B58">
        <w:rPr>
          <w:lang w:val="en-GB" w:eastAsia="en-US"/>
        </w:rPr>
        <w:t>48</w:t>
      </w:r>
      <w:r>
        <w:rPr>
          <w:lang w:val="en-GB" w:eastAsia="en-US"/>
        </w:rPr>
        <w:t>(</w:t>
      </w:r>
      <w:r w:rsidRPr="001F7B58">
        <w:rPr>
          <w:lang w:val="en-GB" w:eastAsia="en-US"/>
        </w:rPr>
        <w:t>13</w:t>
      </w:r>
      <w:r>
        <w:rPr>
          <w:lang w:val="en-GB" w:eastAsia="en-US"/>
        </w:rPr>
        <w:t>):</w:t>
      </w:r>
      <w:r w:rsidRPr="001F7B58">
        <w:rPr>
          <w:lang w:val="en-GB" w:eastAsia="en-US"/>
        </w:rPr>
        <w:t>4482</w:t>
      </w:r>
      <w:r>
        <w:rPr>
          <w:lang w:val="en-GB" w:eastAsia="en-US"/>
        </w:rPr>
        <w:t>-</w:t>
      </w:r>
      <w:r w:rsidRPr="001F7B58">
        <w:rPr>
          <w:lang w:val="en-GB" w:eastAsia="en-US"/>
        </w:rPr>
        <w:t>6</w:t>
      </w:r>
      <w:r>
        <w:rPr>
          <w:lang w:val="en-GB" w:eastAsia="en-US"/>
        </w:rPr>
        <w:t>.</w:t>
      </w:r>
      <w:r w:rsidRPr="002E10F6">
        <w:rPr>
          <w:lang w:val="en-GB" w:eastAsia="en-US"/>
        </w:rPr>
        <w:t xml:space="preserve"> </w:t>
      </w:r>
    </w:p>
    <w:p w14:paraId="7D89C582" w14:textId="77777777" w:rsidR="00795AB8" w:rsidRPr="002E10F6" w:rsidRDefault="00795AB8" w:rsidP="00795AB8">
      <w:pPr>
        <w:rPr>
          <w:lang w:val="en-GB" w:eastAsia="en-US"/>
        </w:rPr>
      </w:pPr>
      <w:r w:rsidRPr="002E10F6">
        <w:rPr>
          <w:lang w:val="en-GB" w:eastAsia="en-US"/>
        </w:rPr>
        <w:t xml:space="preserve">11. </w:t>
      </w:r>
      <w:r w:rsidRPr="002E10F6">
        <w:rPr>
          <w:lang w:val="en-GB" w:eastAsia="en-US"/>
        </w:rPr>
        <w:tab/>
        <w:t xml:space="preserve">Markova L, Umek N, Horvat S, et al. Neurotoxicity of bupivacaine and liposome bupivacaine after sciatic nerve block in healthy and streptozotocin-induced diabetic mice. </w:t>
      </w:r>
      <w:r w:rsidRPr="002E10F6">
        <w:rPr>
          <w:i/>
          <w:iCs/>
          <w:lang w:val="en-GB" w:eastAsia="en-US"/>
        </w:rPr>
        <w:t>BMC Vet Res</w:t>
      </w:r>
      <w:r w:rsidRPr="002E10F6">
        <w:rPr>
          <w:lang w:val="en-GB" w:eastAsia="en-US"/>
        </w:rPr>
        <w:t xml:space="preserve">. </w:t>
      </w:r>
      <w:r w:rsidRPr="002E10F6">
        <w:rPr>
          <w:b/>
          <w:bCs/>
          <w:lang w:val="en-GB" w:eastAsia="en-US"/>
        </w:rPr>
        <w:t>2020</w:t>
      </w:r>
      <w:r>
        <w:rPr>
          <w:lang w:val="en-GB" w:eastAsia="en-US"/>
        </w:rPr>
        <w:t xml:space="preserve">, </w:t>
      </w:r>
      <w:r w:rsidRPr="001F7B58">
        <w:rPr>
          <w:lang w:val="en-GB" w:eastAsia="en-US"/>
        </w:rPr>
        <w:t>16</w:t>
      </w:r>
      <w:r>
        <w:rPr>
          <w:lang w:val="en-GB" w:eastAsia="en-US"/>
        </w:rPr>
        <w:t>:</w:t>
      </w:r>
      <w:r w:rsidRPr="001F7B58">
        <w:rPr>
          <w:lang w:val="en-GB" w:eastAsia="en-US"/>
        </w:rPr>
        <w:t>247</w:t>
      </w:r>
      <w:r>
        <w:rPr>
          <w:lang w:val="en-GB" w:eastAsia="en-US"/>
        </w:rPr>
        <w:t>.</w:t>
      </w:r>
    </w:p>
    <w:p w14:paraId="296B138C" w14:textId="77777777" w:rsidR="00795AB8" w:rsidRPr="002E10F6" w:rsidRDefault="00795AB8" w:rsidP="00795AB8">
      <w:pPr>
        <w:rPr>
          <w:lang w:val="en-GB" w:eastAsia="en-US"/>
        </w:rPr>
      </w:pPr>
      <w:r w:rsidRPr="002E10F6">
        <w:rPr>
          <w:lang w:val="en-GB" w:eastAsia="en-US"/>
        </w:rPr>
        <w:lastRenderedPageBreak/>
        <w:t xml:space="preserve">12. </w:t>
      </w:r>
      <w:r w:rsidRPr="002E10F6">
        <w:rPr>
          <w:lang w:val="en-GB" w:eastAsia="en-US"/>
        </w:rPr>
        <w:tab/>
        <w:t xml:space="preserve">Schaftenaar G, Noordik JH. Molden: a pre- and post-processing program for molecular and electronic structures. </w:t>
      </w:r>
      <w:r w:rsidRPr="002E10F6">
        <w:rPr>
          <w:i/>
          <w:iCs/>
          <w:lang w:val="en-GB" w:eastAsia="en-US"/>
        </w:rPr>
        <w:t>J Comput Aided Mol Des</w:t>
      </w:r>
      <w:r w:rsidRPr="002E10F6">
        <w:rPr>
          <w:lang w:val="en-GB" w:eastAsia="en-US"/>
        </w:rPr>
        <w:t xml:space="preserve">. </w:t>
      </w:r>
      <w:r w:rsidRPr="002E10F6">
        <w:rPr>
          <w:b/>
          <w:bCs/>
          <w:lang w:val="en-GB" w:eastAsia="en-US"/>
        </w:rPr>
        <w:t>2000</w:t>
      </w:r>
      <w:r>
        <w:rPr>
          <w:lang w:val="en-GB" w:eastAsia="en-US"/>
        </w:rPr>
        <w:t xml:space="preserve">, </w:t>
      </w:r>
      <w:r w:rsidRPr="002E10F6">
        <w:rPr>
          <w:lang w:val="en-GB" w:eastAsia="en-US"/>
        </w:rPr>
        <w:t>14(2):123-34.</w:t>
      </w:r>
    </w:p>
    <w:p w14:paraId="0BD9BD80" w14:textId="77777777" w:rsidR="00795AB8" w:rsidRPr="002E10F6" w:rsidRDefault="00795AB8" w:rsidP="00795AB8">
      <w:pPr>
        <w:rPr>
          <w:lang w:val="en-GB" w:eastAsia="en-US"/>
        </w:rPr>
      </w:pPr>
      <w:r w:rsidRPr="002E10F6">
        <w:rPr>
          <w:lang w:val="en-GB" w:eastAsia="en-US"/>
        </w:rPr>
        <w:t xml:space="preserve">13. </w:t>
      </w:r>
      <w:r w:rsidRPr="002E10F6">
        <w:rPr>
          <w:lang w:val="en-GB" w:eastAsia="en-US"/>
        </w:rPr>
        <w:tab/>
        <w:t xml:space="preserve">Gaussian 16, Revision </w:t>
      </w:r>
      <w:r>
        <w:rPr>
          <w:lang w:val="en-GB" w:eastAsia="en-US"/>
        </w:rPr>
        <w:t>B</w:t>
      </w:r>
      <w:r w:rsidRPr="002E10F6">
        <w:rPr>
          <w:lang w:val="en-GB" w:eastAsia="en-US"/>
        </w:rPr>
        <w:t xml:space="preserve">.01, M. J. Frisch, G. W. Trucks, H. B. Schlegel, G. E. Scuseria, M. A. Robb, J. R. Cheeseman, G. Scalmani, V. Barone, G. A. Petersson, H. Nakatsuji, X. Li, M. Caricato, A. V. Marenich, J. Bloino, B. G. Janesko, R. Gomperts, B. Mennucci, H. P. Hratchian, J. V. Ortiz, A. F. Izmaylov, J. L. Sonnenberg, D. Williams-Young, F. Ding, F. Lipparini, F. Egidi, J. Goings, B. Peng, A. Petrone, T. Henderson, D. Ranasinghe, V. G. Zakrzewski, J. Gao, N. Rega, G. Zheng, W. Liang, M. Hada, M. Ehara, K. Toyota, R. Fukuda, J. Hasegawa, M. Ishida, T. Nakajima, Y. Honda, O. Kitao, H. Nakai, T. Vreven, K. Throssell, J. A. Montgomery, Jr., J. E. Peralta, F. Ogliaro, M. J. Bearpark, J. J. Heyd, E. N. Brothers, K. N. Kudin, V. N. Staroverov, T. A. Keith, R. Kobayashi, J. Normand, K. Raghavachari, A. P. Rendell, J. C. Burant, S. S. Iyengar, J. Tomasi, M. Cossi, J. M. Millam, M. Klene, C. Adamo, R. Cammi, J. W. Ochterski, R. L. Martin, K. Morokuma, O. Farkas, J. B. Foresman, and D. J. Fox, Gaussian, Inc., Wallingford CT, </w:t>
      </w:r>
      <w:r w:rsidRPr="001F7B58">
        <w:rPr>
          <w:b/>
          <w:bCs/>
          <w:lang w:val="en-GB" w:eastAsia="en-US"/>
        </w:rPr>
        <w:t>2016</w:t>
      </w:r>
      <w:r w:rsidRPr="002E10F6">
        <w:rPr>
          <w:lang w:val="en-GB" w:eastAsia="en-US"/>
        </w:rPr>
        <w:t>.</w:t>
      </w:r>
    </w:p>
    <w:p w14:paraId="3B479099" w14:textId="77777777" w:rsidR="00795AB8" w:rsidRPr="002E10F6" w:rsidRDefault="00795AB8" w:rsidP="00795AB8">
      <w:pPr>
        <w:rPr>
          <w:lang w:val="en-GB" w:eastAsia="en-US"/>
        </w:rPr>
      </w:pPr>
      <w:r w:rsidRPr="002E10F6">
        <w:rPr>
          <w:lang w:val="en-GB" w:eastAsia="en-US"/>
        </w:rPr>
        <w:t xml:space="preserve">14. </w:t>
      </w:r>
      <w:r w:rsidRPr="002E10F6">
        <w:rPr>
          <w:lang w:val="en-GB" w:eastAsia="en-US"/>
        </w:rPr>
        <w:tab/>
        <w:t xml:space="preserve">Miertuš S, Scrocco E, Tomasi J. Electrostatic interaction of a solute with a continuum. A direct utilizaion of AB initio molecular potentials for the prevision of solvent effects. </w:t>
      </w:r>
      <w:r w:rsidRPr="001F7B58">
        <w:rPr>
          <w:i/>
          <w:iCs/>
          <w:lang w:val="en-GB" w:eastAsia="en-US"/>
        </w:rPr>
        <w:t>Chem Phys</w:t>
      </w:r>
      <w:r w:rsidRPr="002E10F6">
        <w:rPr>
          <w:lang w:val="en-GB" w:eastAsia="en-US"/>
        </w:rPr>
        <w:t xml:space="preserve">. </w:t>
      </w:r>
      <w:r w:rsidRPr="001F7B58">
        <w:rPr>
          <w:b/>
          <w:bCs/>
          <w:lang w:val="en-GB" w:eastAsia="en-US"/>
        </w:rPr>
        <w:t>1981</w:t>
      </w:r>
      <w:r>
        <w:rPr>
          <w:lang w:val="en-GB" w:eastAsia="en-US"/>
        </w:rPr>
        <w:t xml:space="preserve">, </w:t>
      </w:r>
      <w:r w:rsidRPr="002E10F6">
        <w:rPr>
          <w:lang w:val="en-GB" w:eastAsia="en-US"/>
        </w:rPr>
        <w:t xml:space="preserve">55(1):117-29. </w:t>
      </w:r>
    </w:p>
    <w:p w14:paraId="438300CB" w14:textId="77777777" w:rsidR="00795AB8" w:rsidRPr="002E10F6" w:rsidRDefault="00795AB8" w:rsidP="00795AB8">
      <w:pPr>
        <w:rPr>
          <w:lang w:val="en-GB" w:eastAsia="en-US"/>
        </w:rPr>
      </w:pPr>
      <w:r w:rsidRPr="002E10F6">
        <w:rPr>
          <w:lang w:val="en-GB" w:eastAsia="en-US"/>
        </w:rPr>
        <w:t xml:space="preserve">15. </w:t>
      </w:r>
      <w:r w:rsidRPr="002E10F6">
        <w:rPr>
          <w:lang w:val="en-GB" w:eastAsia="en-US"/>
        </w:rPr>
        <w:tab/>
        <w:t xml:space="preserve">Cossi M, Rega N, Scalmani G, Barone V. Energies, structures, and electronic properties of molecules in solution with the C-PCM solvation model. </w:t>
      </w:r>
      <w:r w:rsidRPr="001F7B58">
        <w:rPr>
          <w:i/>
          <w:iCs/>
          <w:lang w:val="en-GB" w:eastAsia="en-US"/>
        </w:rPr>
        <w:t>J Comput Chem</w:t>
      </w:r>
      <w:r w:rsidRPr="002E10F6">
        <w:rPr>
          <w:lang w:val="en-GB" w:eastAsia="en-US"/>
        </w:rPr>
        <w:t xml:space="preserve">. </w:t>
      </w:r>
      <w:r w:rsidRPr="001F7B58">
        <w:rPr>
          <w:b/>
          <w:bCs/>
          <w:lang w:val="en-GB" w:eastAsia="en-US"/>
        </w:rPr>
        <w:t>2003</w:t>
      </w:r>
      <w:r>
        <w:rPr>
          <w:lang w:val="en-GB" w:eastAsia="en-US"/>
        </w:rPr>
        <w:t xml:space="preserve">, </w:t>
      </w:r>
      <w:r w:rsidRPr="002E10F6">
        <w:rPr>
          <w:lang w:val="en-GB" w:eastAsia="en-US"/>
        </w:rPr>
        <w:t xml:space="preserve">24(6):669-81. </w:t>
      </w:r>
    </w:p>
    <w:p w14:paraId="13C242F7" w14:textId="77777777" w:rsidR="00795AB8" w:rsidRPr="002E10F6" w:rsidRDefault="00795AB8" w:rsidP="00795AB8">
      <w:pPr>
        <w:rPr>
          <w:lang w:val="en-GB" w:eastAsia="en-US"/>
        </w:rPr>
      </w:pPr>
      <w:r w:rsidRPr="002E10F6">
        <w:rPr>
          <w:lang w:val="en-GB" w:eastAsia="en-US"/>
        </w:rPr>
        <w:t xml:space="preserve">16. </w:t>
      </w:r>
      <w:r w:rsidRPr="002E10F6">
        <w:rPr>
          <w:lang w:val="en-GB" w:eastAsia="en-US"/>
        </w:rPr>
        <w:tab/>
        <w:t xml:space="preserve">Marenich A V, Cramer CJ, Truhlar DG. Universal solvation model based on solute electron density and on a continuum model of the solvent defined by the bulk dielectric constant and atomic surface tensions. </w:t>
      </w:r>
      <w:r w:rsidRPr="001F7B58">
        <w:rPr>
          <w:i/>
          <w:iCs/>
          <w:lang w:val="en-GB" w:eastAsia="en-US"/>
        </w:rPr>
        <w:t>J Phys Chem B</w:t>
      </w:r>
      <w:r w:rsidRPr="002E10F6">
        <w:rPr>
          <w:lang w:val="en-GB" w:eastAsia="en-US"/>
        </w:rPr>
        <w:t xml:space="preserve">. </w:t>
      </w:r>
      <w:r w:rsidRPr="001F7B58">
        <w:rPr>
          <w:b/>
          <w:bCs/>
          <w:lang w:val="en-GB" w:eastAsia="en-US"/>
        </w:rPr>
        <w:t>2009</w:t>
      </w:r>
      <w:r>
        <w:rPr>
          <w:lang w:val="en-GB" w:eastAsia="en-US"/>
        </w:rPr>
        <w:t xml:space="preserve">, </w:t>
      </w:r>
      <w:r w:rsidRPr="002E10F6">
        <w:rPr>
          <w:lang w:val="en-GB" w:eastAsia="en-US"/>
        </w:rPr>
        <w:t xml:space="preserve">113(18):6378-96. </w:t>
      </w:r>
    </w:p>
    <w:p w14:paraId="1E8FC1B1" w14:textId="77777777" w:rsidR="00795AB8" w:rsidRPr="002E10F6" w:rsidRDefault="00795AB8" w:rsidP="00795AB8">
      <w:pPr>
        <w:rPr>
          <w:lang w:val="en-GB" w:eastAsia="en-US"/>
        </w:rPr>
      </w:pPr>
      <w:r w:rsidRPr="002E10F6">
        <w:rPr>
          <w:lang w:val="en-GB" w:eastAsia="en-US"/>
        </w:rPr>
        <w:t xml:space="preserve">17. </w:t>
      </w:r>
      <w:r w:rsidRPr="002E10F6">
        <w:rPr>
          <w:lang w:val="en-GB" w:eastAsia="en-US"/>
        </w:rPr>
        <w:tab/>
        <w:t xml:space="preserve">Pignatello R, Musumeci T, Basile L, Carbone C, Puglisi G. Biomembrane models and drug-biomembrane interaction studies: Involvement in drug design and development. </w:t>
      </w:r>
      <w:r w:rsidRPr="001F7B58">
        <w:rPr>
          <w:i/>
          <w:iCs/>
          <w:lang w:val="en-GB" w:eastAsia="en-US"/>
        </w:rPr>
        <w:t>J Pharm Bioallied Sci</w:t>
      </w:r>
      <w:r w:rsidRPr="002E10F6">
        <w:rPr>
          <w:lang w:val="en-GB" w:eastAsia="en-US"/>
        </w:rPr>
        <w:t xml:space="preserve">. </w:t>
      </w:r>
      <w:r w:rsidRPr="001F7B58">
        <w:rPr>
          <w:b/>
          <w:bCs/>
          <w:lang w:val="en-GB" w:eastAsia="en-US"/>
        </w:rPr>
        <w:t>2011</w:t>
      </w:r>
      <w:r>
        <w:rPr>
          <w:lang w:val="en-GB" w:eastAsia="en-US"/>
        </w:rPr>
        <w:t xml:space="preserve">, </w:t>
      </w:r>
      <w:r w:rsidRPr="002E10F6">
        <w:rPr>
          <w:lang w:val="en-GB" w:eastAsia="en-US"/>
        </w:rPr>
        <w:t xml:space="preserve">3(1):4-14. </w:t>
      </w:r>
    </w:p>
    <w:p w14:paraId="0C06737A" w14:textId="77777777" w:rsidR="00795AB8" w:rsidRPr="002E10F6" w:rsidRDefault="00795AB8" w:rsidP="00795AB8">
      <w:pPr>
        <w:rPr>
          <w:lang w:val="en-GB" w:eastAsia="en-US"/>
        </w:rPr>
      </w:pPr>
      <w:r w:rsidRPr="002E10F6">
        <w:rPr>
          <w:lang w:val="en-GB" w:eastAsia="en-US"/>
        </w:rPr>
        <w:t xml:space="preserve">18. </w:t>
      </w:r>
      <w:r w:rsidRPr="002E10F6">
        <w:rPr>
          <w:lang w:val="en-GB" w:eastAsia="en-US"/>
        </w:rPr>
        <w:tab/>
        <w:t xml:space="preserve">Ritter J, Flower R, Henderson G, Rang H. Rang &amp; Dale’s Pharmacology, 8th Edition. 8th Editio. Churchill Livingstone; </w:t>
      </w:r>
      <w:r w:rsidRPr="001F7B58">
        <w:rPr>
          <w:b/>
          <w:bCs/>
          <w:lang w:val="en-GB" w:eastAsia="en-US"/>
        </w:rPr>
        <w:t>2015</w:t>
      </w:r>
      <w:r w:rsidRPr="002E10F6">
        <w:rPr>
          <w:lang w:val="en-GB" w:eastAsia="en-US"/>
        </w:rPr>
        <w:t>.</w:t>
      </w:r>
    </w:p>
    <w:p w14:paraId="6E88D06E" w14:textId="77777777" w:rsidR="00795AB8" w:rsidRPr="002E10F6" w:rsidRDefault="00795AB8" w:rsidP="00795AB8">
      <w:pPr>
        <w:rPr>
          <w:lang w:val="en-GB" w:eastAsia="en-US"/>
        </w:rPr>
      </w:pPr>
      <w:r w:rsidRPr="002E10F6">
        <w:rPr>
          <w:lang w:val="en-GB" w:eastAsia="en-US"/>
        </w:rPr>
        <w:t xml:space="preserve">19. </w:t>
      </w:r>
      <w:r w:rsidRPr="002E10F6">
        <w:rPr>
          <w:lang w:val="en-GB" w:eastAsia="en-US"/>
        </w:rPr>
        <w:tab/>
        <w:t xml:space="preserve">Schutz CN, Warshel A. What are the dielectric “constants” of proteins and how to validate electrostatic models? </w:t>
      </w:r>
      <w:r w:rsidRPr="001F7B58">
        <w:rPr>
          <w:i/>
          <w:iCs/>
          <w:lang w:val="en-GB" w:eastAsia="en-US"/>
        </w:rPr>
        <w:t>Proteins Struct Funct Genet</w:t>
      </w:r>
      <w:r w:rsidRPr="002E10F6">
        <w:rPr>
          <w:lang w:val="en-GB" w:eastAsia="en-US"/>
        </w:rPr>
        <w:t xml:space="preserve">. </w:t>
      </w:r>
      <w:r w:rsidRPr="001F7B58">
        <w:rPr>
          <w:b/>
          <w:bCs/>
          <w:lang w:val="en-GB" w:eastAsia="en-US"/>
        </w:rPr>
        <w:t>2001</w:t>
      </w:r>
      <w:r>
        <w:rPr>
          <w:lang w:val="en-GB" w:eastAsia="en-US"/>
        </w:rPr>
        <w:t xml:space="preserve">, </w:t>
      </w:r>
      <w:r w:rsidRPr="002E10F6">
        <w:rPr>
          <w:lang w:val="en-GB" w:eastAsia="en-US"/>
        </w:rPr>
        <w:t xml:space="preserve">44(4):400-17. </w:t>
      </w:r>
    </w:p>
    <w:p w14:paraId="11B1063F" w14:textId="77777777" w:rsidR="00795AB8" w:rsidRPr="002E10F6" w:rsidRDefault="00795AB8" w:rsidP="00795AB8">
      <w:pPr>
        <w:rPr>
          <w:lang w:val="en-GB" w:eastAsia="en-US"/>
        </w:rPr>
      </w:pPr>
      <w:r w:rsidRPr="002E10F6">
        <w:rPr>
          <w:lang w:val="en-GB" w:eastAsia="en-US"/>
        </w:rPr>
        <w:lastRenderedPageBreak/>
        <w:t>2</w:t>
      </w:r>
      <w:r>
        <w:rPr>
          <w:lang w:val="en-GB" w:eastAsia="en-US"/>
        </w:rPr>
        <w:t>0</w:t>
      </w:r>
      <w:r w:rsidRPr="002E10F6">
        <w:rPr>
          <w:lang w:val="en-GB" w:eastAsia="en-US"/>
        </w:rPr>
        <w:t xml:space="preserve">. </w:t>
      </w:r>
      <w:r w:rsidRPr="002E10F6">
        <w:rPr>
          <w:lang w:val="en-GB" w:eastAsia="en-US"/>
        </w:rPr>
        <w:tab/>
        <w:t xml:space="preserve">Boronat López A, Peñarrocha Diago M. Failure of locoregional anesthesia in dental practice. Review of the literature. </w:t>
      </w:r>
      <w:r w:rsidRPr="001F7B58">
        <w:rPr>
          <w:i/>
          <w:iCs/>
          <w:lang w:val="en-GB" w:eastAsia="en-US"/>
        </w:rPr>
        <w:t>Med Oral Patol Oral Cir Bucal</w:t>
      </w:r>
      <w:r w:rsidRPr="002E10F6">
        <w:rPr>
          <w:lang w:val="en-GB" w:eastAsia="en-US"/>
        </w:rPr>
        <w:t xml:space="preserve">. </w:t>
      </w:r>
      <w:r w:rsidRPr="001F7B58">
        <w:rPr>
          <w:b/>
          <w:bCs/>
          <w:lang w:val="en-GB" w:eastAsia="en-US"/>
        </w:rPr>
        <w:t>2006</w:t>
      </w:r>
      <w:r>
        <w:rPr>
          <w:lang w:val="en-GB" w:eastAsia="en-US"/>
        </w:rPr>
        <w:t xml:space="preserve">, </w:t>
      </w:r>
      <w:r w:rsidRPr="002E10F6">
        <w:rPr>
          <w:lang w:val="en-GB" w:eastAsia="en-US"/>
        </w:rPr>
        <w:t>11(6):E510-E513.</w:t>
      </w:r>
    </w:p>
    <w:p w14:paraId="4F496325" w14:textId="77777777" w:rsidR="00795AB8" w:rsidRPr="002E10F6" w:rsidRDefault="00795AB8" w:rsidP="00795AB8">
      <w:pPr>
        <w:rPr>
          <w:lang w:val="en-GB" w:eastAsia="en-US"/>
        </w:rPr>
      </w:pPr>
      <w:r w:rsidRPr="002E10F6">
        <w:rPr>
          <w:lang w:val="en-GB" w:eastAsia="en-US"/>
        </w:rPr>
        <w:t>2</w:t>
      </w:r>
      <w:r>
        <w:rPr>
          <w:lang w:val="en-GB" w:eastAsia="en-US"/>
        </w:rPr>
        <w:t>1</w:t>
      </w:r>
      <w:r w:rsidRPr="002E10F6">
        <w:rPr>
          <w:lang w:val="en-GB" w:eastAsia="en-US"/>
        </w:rPr>
        <w:t xml:space="preserve">. </w:t>
      </w:r>
      <w:r w:rsidRPr="002E10F6">
        <w:rPr>
          <w:lang w:val="en-GB" w:eastAsia="en-US"/>
        </w:rPr>
        <w:tab/>
        <w:t xml:space="preserve">Potocnik I, Bajrović F. Failure of inferior alveolar nerve block in endodontics. </w:t>
      </w:r>
      <w:r w:rsidRPr="001F7B58">
        <w:rPr>
          <w:i/>
          <w:iCs/>
          <w:lang w:val="en-GB" w:eastAsia="en-US"/>
        </w:rPr>
        <w:t>Endod Dent Traumatol</w:t>
      </w:r>
      <w:r w:rsidRPr="002E10F6">
        <w:rPr>
          <w:lang w:val="en-GB" w:eastAsia="en-US"/>
        </w:rPr>
        <w:t xml:space="preserve">. </w:t>
      </w:r>
      <w:r w:rsidRPr="001F7B58">
        <w:rPr>
          <w:b/>
          <w:bCs/>
          <w:lang w:val="en-GB" w:eastAsia="en-US"/>
        </w:rPr>
        <w:t>1999</w:t>
      </w:r>
      <w:r>
        <w:rPr>
          <w:lang w:val="en-GB" w:eastAsia="en-US"/>
        </w:rPr>
        <w:t xml:space="preserve">, </w:t>
      </w:r>
      <w:r w:rsidRPr="002E10F6">
        <w:rPr>
          <w:lang w:val="en-GB" w:eastAsia="en-US"/>
        </w:rPr>
        <w:t>15(6):247-51.</w:t>
      </w:r>
    </w:p>
    <w:p w14:paraId="4D6D6E7D" w14:textId="77777777" w:rsidR="00795AB8" w:rsidRPr="002E10F6" w:rsidRDefault="00795AB8" w:rsidP="00795AB8">
      <w:pPr>
        <w:rPr>
          <w:lang w:val="en-GB" w:eastAsia="en-US"/>
        </w:rPr>
      </w:pPr>
      <w:r w:rsidRPr="002E10F6">
        <w:rPr>
          <w:lang w:val="en-GB" w:eastAsia="en-US"/>
        </w:rPr>
        <w:t>2</w:t>
      </w:r>
      <w:r>
        <w:rPr>
          <w:lang w:val="en-GB" w:eastAsia="en-US"/>
        </w:rPr>
        <w:t>2</w:t>
      </w:r>
      <w:r w:rsidRPr="002E10F6">
        <w:rPr>
          <w:lang w:val="en-GB" w:eastAsia="en-US"/>
        </w:rPr>
        <w:t xml:space="preserve">. </w:t>
      </w:r>
      <w:r w:rsidRPr="002E10F6">
        <w:rPr>
          <w:lang w:val="en-GB" w:eastAsia="en-US"/>
        </w:rPr>
        <w:tab/>
        <w:t xml:space="preserve">Ueno T, Tsuchiya H, Mizogami M, Takakura K. Local anesthetic failure associated with inflammation: verification of the acidosis mechanism and the hypothetic participation of inflammatory peroxynitrite. </w:t>
      </w:r>
      <w:r w:rsidRPr="001F7B58">
        <w:rPr>
          <w:i/>
          <w:iCs/>
          <w:lang w:val="en-GB" w:eastAsia="en-US"/>
        </w:rPr>
        <w:t>J Inflamm Res</w:t>
      </w:r>
      <w:r w:rsidRPr="002E10F6">
        <w:rPr>
          <w:lang w:val="en-GB" w:eastAsia="en-US"/>
        </w:rPr>
        <w:t xml:space="preserve">. </w:t>
      </w:r>
      <w:r w:rsidRPr="001F7B58">
        <w:rPr>
          <w:b/>
          <w:bCs/>
          <w:lang w:val="en-GB" w:eastAsia="en-US"/>
        </w:rPr>
        <w:t>2008</w:t>
      </w:r>
      <w:r>
        <w:rPr>
          <w:lang w:val="en-GB" w:eastAsia="en-US"/>
        </w:rPr>
        <w:t xml:space="preserve">, </w:t>
      </w:r>
      <w:r w:rsidRPr="002E10F6">
        <w:rPr>
          <w:lang w:val="en-GB" w:eastAsia="en-US"/>
        </w:rPr>
        <w:t>1:41-8.</w:t>
      </w:r>
    </w:p>
    <w:p w14:paraId="7A348866" w14:textId="77777777" w:rsidR="00795AB8" w:rsidRPr="002E10F6" w:rsidRDefault="00795AB8" w:rsidP="00795AB8">
      <w:pPr>
        <w:rPr>
          <w:lang w:val="en-GB" w:eastAsia="en-US"/>
        </w:rPr>
      </w:pPr>
      <w:r w:rsidRPr="002E10F6">
        <w:rPr>
          <w:lang w:val="en-GB" w:eastAsia="en-US"/>
        </w:rPr>
        <w:t>2</w:t>
      </w:r>
      <w:r>
        <w:rPr>
          <w:lang w:val="en-GB" w:eastAsia="en-US"/>
        </w:rPr>
        <w:t>3</w:t>
      </w:r>
      <w:r w:rsidRPr="002E10F6">
        <w:rPr>
          <w:lang w:val="en-GB" w:eastAsia="en-US"/>
        </w:rPr>
        <w:t xml:space="preserve">. </w:t>
      </w:r>
      <w:r w:rsidRPr="002E10F6">
        <w:rPr>
          <w:lang w:val="en-GB" w:eastAsia="en-US"/>
        </w:rPr>
        <w:tab/>
        <w:t xml:space="preserve">Punnia-Moorthy A. Evaluation of pH changes in inflammation of the subcutaneous air pouch lining in the rat, induced by carrageenan, dextran and Staphylococcus aureus. </w:t>
      </w:r>
      <w:r w:rsidRPr="001F7B58">
        <w:rPr>
          <w:i/>
          <w:iCs/>
          <w:lang w:val="en-GB" w:eastAsia="en-US"/>
        </w:rPr>
        <w:t>J Oral Pathol.</w:t>
      </w:r>
      <w:r w:rsidRPr="002E10F6">
        <w:rPr>
          <w:lang w:val="en-GB" w:eastAsia="en-US"/>
        </w:rPr>
        <w:t xml:space="preserve"> </w:t>
      </w:r>
      <w:r w:rsidRPr="001F7B58">
        <w:rPr>
          <w:b/>
          <w:bCs/>
          <w:lang w:val="en-GB" w:eastAsia="en-US"/>
        </w:rPr>
        <w:t>1987</w:t>
      </w:r>
      <w:r>
        <w:rPr>
          <w:lang w:val="en-GB" w:eastAsia="en-US"/>
        </w:rPr>
        <w:t xml:space="preserve">, </w:t>
      </w:r>
      <w:r w:rsidRPr="002E10F6">
        <w:rPr>
          <w:lang w:val="en-GB" w:eastAsia="en-US"/>
        </w:rPr>
        <w:t>16(1):36-44.</w:t>
      </w:r>
    </w:p>
    <w:p w14:paraId="4C61ACD6" w14:textId="77777777" w:rsidR="00795AB8" w:rsidRPr="002E10F6" w:rsidRDefault="00795AB8" w:rsidP="00795AB8">
      <w:pPr>
        <w:rPr>
          <w:lang w:val="en-GB" w:eastAsia="en-US"/>
        </w:rPr>
      </w:pPr>
      <w:r w:rsidRPr="002E10F6">
        <w:rPr>
          <w:lang w:val="en-GB" w:eastAsia="en-US"/>
        </w:rPr>
        <w:t>2</w:t>
      </w:r>
      <w:r>
        <w:rPr>
          <w:lang w:val="en-GB" w:eastAsia="en-US"/>
        </w:rPr>
        <w:t>4</w:t>
      </w:r>
      <w:r w:rsidRPr="002E10F6">
        <w:rPr>
          <w:lang w:val="en-GB" w:eastAsia="en-US"/>
        </w:rPr>
        <w:t xml:space="preserve">. </w:t>
      </w:r>
      <w:r w:rsidRPr="002E10F6">
        <w:rPr>
          <w:lang w:val="en-GB" w:eastAsia="en-US"/>
        </w:rPr>
        <w:tab/>
        <w:t xml:space="preserve">Caldwell PC. Studies on the internal pH of large muscle and nerve fibres. </w:t>
      </w:r>
      <w:r w:rsidRPr="001F7B58">
        <w:rPr>
          <w:i/>
          <w:iCs/>
          <w:lang w:val="en-GB" w:eastAsia="en-US"/>
        </w:rPr>
        <w:t>J Physiol</w:t>
      </w:r>
      <w:r w:rsidRPr="002E10F6">
        <w:rPr>
          <w:lang w:val="en-GB" w:eastAsia="en-US"/>
        </w:rPr>
        <w:t xml:space="preserve">. </w:t>
      </w:r>
      <w:r w:rsidRPr="001F7B58">
        <w:rPr>
          <w:b/>
          <w:bCs/>
          <w:lang w:val="en-GB" w:eastAsia="en-US"/>
        </w:rPr>
        <w:t>1958</w:t>
      </w:r>
      <w:r>
        <w:rPr>
          <w:lang w:val="en-GB" w:eastAsia="en-US"/>
        </w:rPr>
        <w:t xml:space="preserve">, </w:t>
      </w:r>
      <w:r w:rsidRPr="002E10F6">
        <w:rPr>
          <w:lang w:val="en-GB" w:eastAsia="en-US"/>
        </w:rPr>
        <w:t xml:space="preserve">142(1):22-62. </w:t>
      </w:r>
    </w:p>
    <w:p w14:paraId="5A306A47" w14:textId="77777777" w:rsidR="00795AB8" w:rsidRPr="002E10F6" w:rsidRDefault="00795AB8" w:rsidP="00795AB8">
      <w:pPr>
        <w:rPr>
          <w:lang w:val="en-GB" w:eastAsia="en-US"/>
        </w:rPr>
      </w:pPr>
      <w:r w:rsidRPr="002E10F6">
        <w:rPr>
          <w:lang w:val="en-GB" w:eastAsia="en-US"/>
        </w:rPr>
        <w:t>2</w:t>
      </w:r>
      <w:r>
        <w:rPr>
          <w:lang w:val="en-GB" w:eastAsia="en-US"/>
        </w:rPr>
        <w:t>5</w:t>
      </w:r>
      <w:r w:rsidRPr="002E10F6">
        <w:rPr>
          <w:lang w:val="en-GB" w:eastAsia="en-US"/>
        </w:rPr>
        <w:t xml:space="preserve">. </w:t>
      </w:r>
      <w:r w:rsidRPr="002E10F6">
        <w:rPr>
          <w:lang w:val="en-GB" w:eastAsia="en-US"/>
        </w:rPr>
        <w:tab/>
        <w:t xml:space="preserve">Madshus IH. Regulation of intracellular pH in eukaryotic cells. </w:t>
      </w:r>
      <w:r w:rsidRPr="001F7B58">
        <w:rPr>
          <w:i/>
          <w:iCs/>
          <w:lang w:val="en-GB" w:eastAsia="en-US"/>
        </w:rPr>
        <w:t>Biochem J</w:t>
      </w:r>
      <w:r w:rsidRPr="002E10F6">
        <w:rPr>
          <w:lang w:val="en-GB" w:eastAsia="en-US"/>
        </w:rPr>
        <w:t xml:space="preserve">. </w:t>
      </w:r>
      <w:r w:rsidRPr="001F7B58">
        <w:rPr>
          <w:b/>
          <w:bCs/>
          <w:lang w:val="en-GB" w:eastAsia="en-US"/>
        </w:rPr>
        <w:t>1988</w:t>
      </w:r>
      <w:r>
        <w:rPr>
          <w:lang w:val="en-GB" w:eastAsia="en-US"/>
        </w:rPr>
        <w:t xml:space="preserve">, </w:t>
      </w:r>
      <w:r w:rsidRPr="002E10F6">
        <w:rPr>
          <w:lang w:val="en-GB" w:eastAsia="en-US"/>
        </w:rPr>
        <w:t xml:space="preserve">250(1):1-8. </w:t>
      </w:r>
    </w:p>
    <w:p w14:paraId="0E6A0C26" w14:textId="77777777" w:rsidR="00795AB8" w:rsidRPr="002E10F6" w:rsidRDefault="00795AB8" w:rsidP="00795AB8">
      <w:pPr>
        <w:rPr>
          <w:lang w:val="en-GB" w:eastAsia="en-US"/>
        </w:rPr>
      </w:pPr>
      <w:r w:rsidRPr="002E10F6">
        <w:rPr>
          <w:lang w:val="en-GB" w:eastAsia="en-US"/>
        </w:rPr>
        <w:t>2</w:t>
      </w:r>
      <w:r>
        <w:rPr>
          <w:lang w:val="en-GB" w:eastAsia="en-US"/>
        </w:rPr>
        <w:t>6</w:t>
      </w:r>
      <w:r w:rsidRPr="002E10F6">
        <w:rPr>
          <w:lang w:val="en-GB" w:eastAsia="en-US"/>
        </w:rPr>
        <w:t xml:space="preserve">. </w:t>
      </w:r>
      <w:r w:rsidRPr="002E10F6">
        <w:rPr>
          <w:lang w:val="en-GB" w:eastAsia="en-US"/>
        </w:rPr>
        <w:tab/>
        <w:t xml:space="preserve">Gupta S, Kumar A, Sharma AK, Purohit J, Narula JS. Sodium bicarbonate: an adjunct to painless palatal anesthesia. </w:t>
      </w:r>
      <w:r w:rsidRPr="001F7B58">
        <w:rPr>
          <w:i/>
          <w:iCs/>
          <w:lang w:val="en-GB" w:eastAsia="en-US"/>
        </w:rPr>
        <w:t>Oral Maxillofac Surg</w:t>
      </w:r>
      <w:r w:rsidRPr="002E10F6">
        <w:rPr>
          <w:lang w:val="en-GB" w:eastAsia="en-US"/>
        </w:rPr>
        <w:t xml:space="preserve">. </w:t>
      </w:r>
      <w:r w:rsidRPr="001F7B58">
        <w:rPr>
          <w:b/>
          <w:bCs/>
          <w:lang w:val="en-GB" w:eastAsia="en-US"/>
        </w:rPr>
        <w:t>2018</w:t>
      </w:r>
      <w:r>
        <w:rPr>
          <w:lang w:val="en-GB" w:eastAsia="en-US"/>
        </w:rPr>
        <w:t xml:space="preserve">, </w:t>
      </w:r>
      <w:r w:rsidRPr="002E10F6">
        <w:rPr>
          <w:lang w:val="en-GB" w:eastAsia="en-US"/>
        </w:rPr>
        <w:t xml:space="preserve">22(4):451-5. </w:t>
      </w:r>
    </w:p>
    <w:p w14:paraId="1560C5EE" w14:textId="77777777" w:rsidR="00795AB8" w:rsidRPr="002E10F6" w:rsidRDefault="00795AB8" w:rsidP="00795AB8">
      <w:pPr>
        <w:rPr>
          <w:lang w:val="en-GB" w:eastAsia="en-US"/>
        </w:rPr>
      </w:pPr>
      <w:r w:rsidRPr="002E10F6">
        <w:rPr>
          <w:lang w:val="en-GB" w:eastAsia="en-US"/>
        </w:rPr>
        <w:t>2</w:t>
      </w:r>
      <w:r>
        <w:rPr>
          <w:lang w:val="en-GB" w:eastAsia="en-US"/>
        </w:rPr>
        <w:t>7</w:t>
      </w:r>
      <w:r w:rsidRPr="002E10F6">
        <w:rPr>
          <w:lang w:val="en-GB" w:eastAsia="en-US"/>
        </w:rPr>
        <w:t xml:space="preserve">. </w:t>
      </w:r>
      <w:r w:rsidRPr="002E10F6">
        <w:rPr>
          <w:lang w:val="en-GB" w:eastAsia="en-US"/>
        </w:rPr>
        <w:tab/>
        <w:t xml:space="preserve">Guo J, Yin K, Roges R, Enciso R. Efficacy of sodium bicarbonate buffered versus non-buffered lidocaine with epinephrine in inferior alveolar nerve block: A meta-analysis. </w:t>
      </w:r>
      <w:r w:rsidRPr="001F7B58">
        <w:rPr>
          <w:i/>
          <w:iCs/>
          <w:lang w:val="en-GB" w:eastAsia="en-US"/>
        </w:rPr>
        <w:t>J Dent Anesth pain Med</w:t>
      </w:r>
      <w:r w:rsidRPr="002E10F6">
        <w:rPr>
          <w:lang w:val="en-GB" w:eastAsia="en-US"/>
        </w:rPr>
        <w:t xml:space="preserve">. </w:t>
      </w:r>
      <w:r w:rsidRPr="001F7B58">
        <w:rPr>
          <w:b/>
          <w:bCs/>
          <w:lang w:val="en-GB" w:eastAsia="en-US"/>
        </w:rPr>
        <w:t>2018</w:t>
      </w:r>
      <w:r>
        <w:rPr>
          <w:lang w:val="en-GB" w:eastAsia="en-US"/>
        </w:rPr>
        <w:t xml:space="preserve">, </w:t>
      </w:r>
      <w:r w:rsidRPr="002E10F6">
        <w:rPr>
          <w:lang w:val="en-GB" w:eastAsia="en-US"/>
        </w:rPr>
        <w:t xml:space="preserve">18(3):129-42. </w:t>
      </w:r>
    </w:p>
    <w:p w14:paraId="3C95F0CF" w14:textId="77777777" w:rsidR="00795AB8" w:rsidRPr="002E10F6" w:rsidRDefault="00795AB8" w:rsidP="00795AB8">
      <w:pPr>
        <w:rPr>
          <w:lang w:val="en-GB" w:eastAsia="en-US"/>
        </w:rPr>
      </w:pPr>
      <w:r w:rsidRPr="002E10F6">
        <w:rPr>
          <w:lang w:val="en-GB" w:eastAsia="en-US"/>
        </w:rPr>
        <w:t>2</w:t>
      </w:r>
      <w:r>
        <w:rPr>
          <w:lang w:val="en-GB" w:eastAsia="en-US"/>
        </w:rPr>
        <w:t>8</w:t>
      </w:r>
      <w:r w:rsidRPr="002E10F6">
        <w:rPr>
          <w:lang w:val="en-GB" w:eastAsia="en-US"/>
        </w:rPr>
        <w:t xml:space="preserve">. </w:t>
      </w:r>
      <w:r w:rsidRPr="002E10F6">
        <w:rPr>
          <w:lang w:val="en-GB" w:eastAsia="en-US"/>
        </w:rPr>
        <w:tab/>
        <w:t xml:space="preserve">Bailard NS, Ortiz J, Flores RA. Additives to local anesthetics for peripheral nerve blocks: Evidence, limitations, and recommendations. </w:t>
      </w:r>
      <w:r w:rsidRPr="001F7B58">
        <w:rPr>
          <w:i/>
          <w:iCs/>
          <w:lang w:val="en-GB" w:eastAsia="en-US"/>
        </w:rPr>
        <w:t>Am J Heal Pharm</w:t>
      </w:r>
      <w:r w:rsidRPr="002E10F6">
        <w:rPr>
          <w:lang w:val="en-GB" w:eastAsia="en-US"/>
        </w:rPr>
        <w:t xml:space="preserve">. </w:t>
      </w:r>
      <w:r w:rsidRPr="001F7B58">
        <w:rPr>
          <w:b/>
          <w:bCs/>
          <w:lang w:val="en-GB" w:eastAsia="en-US"/>
        </w:rPr>
        <w:t>2014</w:t>
      </w:r>
      <w:r>
        <w:rPr>
          <w:lang w:val="en-GB" w:eastAsia="en-US"/>
        </w:rPr>
        <w:t xml:space="preserve">, </w:t>
      </w:r>
      <w:r w:rsidRPr="002E10F6">
        <w:rPr>
          <w:lang w:val="en-GB" w:eastAsia="en-US"/>
        </w:rPr>
        <w:t xml:space="preserve">71(5):373-85. </w:t>
      </w:r>
    </w:p>
    <w:p w14:paraId="5F441BA0" w14:textId="77777777" w:rsidR="00795AB8" w:rsidRDefault="00795AB8" w:rsidP="00795AB8">
      <w:pPr>
        <w:rPr>
          <w:lang w:val="en-GB" w:eastAsia="en-US"/>
        </w:rPr>
      </w:pPr>
      <w:r>
        <w:rPr>
          <w:lang w:val="en-GB" w:eastAsia="en-US"/>
        </w:rPr>
        <w:t>29</w:t>
      </w:r>
      <w:r w:rsidRPr="002E10F6">
        <w:rPr>
          <w:lang w:val="en-GB" w:eastAsia="en-US"/>
        </w:rPr>
        <w:t xml:space="preserve">. </w:t>
      </w:r>
      <w:r w:rsidRPr="002E10F6">
        <w:rPr>
          <w:lang w:val="en-GB" w:eastAsia="en-US"/>
        </w:rPr>
        <w:tab/>
        <w:t xml:space="preserve">Huang AL, Vita JA. Effects of systemic inflammation on endothelium-dependent vasodilation. </w:t>
      </w:r>
      <w:r w:rsidRPr="001F7B58">
        <w:rPr>
          <w:i/>
          <w:iCs/>
          <w:lang w:val="en-GB" w:eastAsia="en-US"/>
        </w:rPr>
        <w:t>Trends Cardiovasc Med</w:t>
      </w:r>
      <w:r w:rsidRPr="002E10F6">
        <w:rPr>
          <w:lang w:val="en-GB" w:eastAsia="en-US"/>
        </w:rPr>
        <w:t xml:space="preserve">. </w:t>
      </w:r>
      <w:r w:rsidRPr="001F7B58">
        <w:rPr>
          <w:b/>
          <w:bCs/>
          <w:lang w:val="en-GB" w:eastAsia="en-US"/>
        </w:rPr>
        <w:t>2006</w:t>
      </w:r>
      <w:r>
        <w:rPr>
          <w:lang w:val="en-GB" w:eastAsia="en-US"/>
        </w:rPr>
        <w:t xml:space="preserve">, </w:t>
      </w:r>
      <w:r w:rsidRPr="001F7B58">
        <w:rPr>
          <w:lang w:val="en-GB" w:eastAsia="en-US"/>
        </w:rPr>
        <w:t xml:space="preserve">16(1): 15–20. </w:t>
      </w:r>
      <w:r w:rsidRPr="002E10F6">
        <w:rPr>
          <w:lang w:val="en-GB" w:eastAsia="en-US"/>
        </w:rPr>
        <w:t xml:space="preserve"> </w:t>
      </w:r>
    </w:p>
    <w:p w14:paraId="52E4AE94" w14:textId="77777777" w:rsidR="00795AB8" w:rsidRPr="002E10F6" w:rsidRDefault="00795AB8" w:rsidP="00795AB8">
      <w:pPr>
        <w:rPr>
          <w:lang w:val="en-GB" w:eastAsia="en-US"/>
        </w:rPr>
      </w:pPr>
      <w:r>
        <w:rPr>
          <w:lang w:val="en-GB" w:eastAsia="en-US"/>
        </w:rPr>
        <w:t>30</w:t>
      </w:r>
      <w:r w:rsidRPr="002E10F6">
        <w:rPr>
          <w:lang w:val="en-GB" w:eastAsia="en-US"/>
        </w:rPr>
        <w:t xml:space="preserve">. </w:t>
      </w:r>
      <w:r w:rsidRPr="002E10F6">
        <w:rPr>
          <w:lang w:val="en-GB" w:eastAsia="en-US"/>
        </w:rPr>
        <w:tab/>
        <w:t xml:space="preserve">Van Der Spoel D, Manzetti S, Zhang H, Klamt A. Prediction of Partition Coefficients of Environmental Toxins Using Computational Chemistry Methods. </w:t>
      </w:r>
      <w:r w:rsidRPr="001F7B58">
        <w:rPr>
          <w:i/>
          <w:iCs/>
          <w:lang w:val="en-GB" w:eastAsia="en-US"/>
        </w:rPr>
        <w:t>ACS Omega</w:t>
      </w:r>
      <w:r w:rsidRPr="002E10F6">
        <w:rPr>
          <w:lang w:val="en-GB" w:eastAsia="en-US"/>
        </w:rPr>
        <w:t xml:space="preserve">. </w:t>
      </w:r>
      <w:r w:rsidRPr="001F7B58">
        <w:rPr>
          <w:b/>
          <w:bCs/>
          <w:lang w:val="en-GB" w:eastAsia="en-US"/>
        </w:rPr>
        <w:t>2019</w:t>
      </w:r>
      <w:r>
        <w:rPr>
          <w:lang w:val="en-GB" w:eastAsia="en-US"/>
        </w:rPr>
        <w:t xml:space="preserve">, </w:t>
      </w:r>
      <w:r w:rsidRPr="00C22279">
        <w:rPr>
          <w:lang w:val="en-GB" w:eastAsia="en-US"/>
        </w:rPr>
        <w:t>4</w:t>
      </w:r>
      <w:r>
        <w:rPr>
          <w:lang w:val="en-GB" w:eastAsia="en-US"/>
        </w:rPr>
        <w:t>(</w:t>
      </w:r>
      <w:r w:rsidRPr="00C22279">
        <w:rPr>
          <w:lang w:val="en-GB" w:eastAsia="en-US"/>
        </w:rPr>
        <w:t>9</w:t>
      </w:r>
      <w:r>
        <w:rPr>
          <w:lang w:val="en-GB" w:eastAsia="en-US"/>
        </w:rPr>
        <w:t>):</w:t>
      </w:r>
      <w:r w:rsidRPr="00C22279">
        <w:rPr>
          <w:lang w:val="en-GB" w:eastAsia="en-US"/>
        </w:rPr>
        <w:t>13772–81</w:t>
      </w:r>
      <w:r w:rsidRPr="002E10F6">
        <w:rPr>
          <w:lang w:val="en-GB" w:eastAsia="en-US"/>
        </w:rPr>
        <w:t xml:space="preserve"> </w:t>
      </w:r>
    </w:p>
    <w:p w14:paraId="2A0A3B5C" w14:textId="77777777" w:rsidR="00795AB8" w:rsidRPr="002E10F6" w:rsidRDefault="00795AB8" w:rsidP="00795AB8">
      <w:pPr>
        <w:rPr>
          <w:lang w:val="en-GB" w:eastAsia="en-US"/>
        </w:rPr>
      </w:pPr>
      <w:r w:rsidRPr="002E10F6">
        <w:rPr>
          <w:lang w:val="en-GB" w:eastAsia="en-US"/>
        </w:rPr>
        <w:t>3</w:t>
      </w:r>
      <w:r>
        <w:rPr>
          <w:lang w:val="en-GB" w:eastAsia="en-US"/>
        </w:rPr>
        <w:t>1</w:t>
      </w:r>
      <w:r w:rsidRPr="002E10F6">
        <w:rPr>
          <w:lang w:val="en-GB" w:eastAsia="en-US"/>
        </w:rPr>
        <w:t xml:space="preserve">. </w:t>
      </w:r>
      <w:r w:rsidRPr="002E10F6">
        <w:rPr>
          <w:lang w:val="en-GB" w:eastAsia="en-US"/>
        </w:rPr>
        <w:tab/>
        <w:t xml:space="preserve">Umek N. Cyclization step of noradrenaline and adrenaline autoxidation: a quantum chemical study. </w:t>
      </w:r>
      <w:r w:rsidRPr="001F7B58">
        <w:rPr>
          <w:i/>
          <w:iCs/>
          <w:lang w:val="en-GB" w:eastAsia="en-US"/>
        </w:rPr>
        <w:t>RSC Adv</w:t>
      </w:r>
      <w:r w:rsidRPr="002E10F6">
        <w:rPr>
          <w:lang w:val="en-GB" w:eastAsia="en-US"/>
        </w:rPr>
        <w:t xml:space="preserve">. </w:t>
      </w:r>
      <w:r w:rsidRPr="001F7B58">
        <w:rPr>
          <w:b/>
          <w:bCs/>
          <w:lang w:val="en-GB" w:eastAsia="en-US"/>
        </w:rPr>
        <w:t>2020</w:t>
      </w:r>
      <w:r>
        <w:rPr>
          <w:lang w:val="en-GB" w:eastAsia="en-US"/>
        </w:rPr>
        <w:t xml:space="preserve">, </w:t>
      </w:r>
      <w:r w:rsidRPr="002E10F6">
        <w:rPr>
          <w:lang w:val="en-GB" w:eastAsia="en-US"/>
        </w:rPr>
        <w:t xml:space="preserve">10:16650-8. </w:t>
      </w:r>
    </w:p>
    <w:p w14:paraId="6593F8DC" w14:textId="77777777" w:rsidR="00795AB8" w:rsidRPr="002E10F6" w:rsidRDefault="00795AB8" w:rsidP="00795AB8">
      <w:pPr>
        <w:rPr>
          <w:lang w:val="en-GB" w:eastAsia="en-US"/>
        </w:rPr>
      </w:pPr>
      <w:bookmarkStart w:id="3" w:name="_Hlk56455765"/>
      <w:bookmarkEnd w:id="2"/>
      <w:r w:rsidRPr="002E10F6">
        <w:rPr>
          <w:lang w:val="en-GB" w:eastAsia="en-US"/>
        </w:rPr>
        <w:lastRenderedPageBreak/>
        <w:t xml:space="preserve">32. </w:t>
      </w:r>
      <w:r w:rsidRPr="002E10F6">
        <w:rPr>
          <w:lang w:val="en-GB" w:eastAsia="en-US"/>
        </w:rPr>
        <w:tab/>
        <w:t xml:space="preserve">Bernales VS, Marenich A V., Contreras R, Cramer CJ, Truhlar DG. Quantum mechanical continuum solvation models for ionic liquids. </w:t>
      </w:r>
      <w:r w:rsidRPr="001F7B58">
        <w:rPr>
          <w:i/>
          <w:iCs/>
          <w:lang w:val="en-GB" w:eastAsia="en-US"/>
        </w:rPr>
        <w:t>J Phys Chem B</w:t>
      </w:r>
      <w:r w:rsidRPr="002E10F6">
        <w:rPr>
          <w:lang w:val="en-GB" w:eastAsia="en-US"/>
        </w:rPr>
        <w:t xml:space="preserve">. </w:t>
      </w:r>
      <w:r w:rsidRPr="001F7B58">
        <w:rPr>
          <w:b/>
          <w:bCs/>
          <w:lang w:val="en-GB" w:eastAsia="en-US"/>
        </w:rPr>
        <w:t>2012</w:t>
      </w:r>
      <w:r>
        <w:rPr>
          <w:lang w:val="en-GB" w:eastAsia="en-US"/>
        </w:rPr>
        <w:t xml:space="preserve">, </w:t>
      </w:r>
      <w:r w:rsidRPr="00C22279">
        <w:rPr>
          <w:lang w:val="en-GB" w:eastAsia="en-US"/>
        </w:rPr>
        <w:t>116(30):9122-9</w:t>
      </w:r>
    </w:p>
    <w:p w14:paraId="78BEF1DA" w14:textId="77777777" w:rsidR="00795AB8" w:rsidRPr="002E10F6" w:rsidRDefault="00795AB8" w:rsidP="00795AB8">
      <w:pPr>
        <w:rPr>
          <w:lang w:val="en-GB" w:eastAsia="en-US"/>
        </w:rPr>
      </w:pPr>
      <w:r w:rsidRPr="002E10F6">
        <w:rPr>
          <w:lang w:val="en-GB" w:eastAsia="en-US"/>
        </w:rPr>
        <w:t xml:space="preserve">33. </w:t>
      </w:r>
      <w:r w:rsidRPr="002E10F6">
        <w:rPr>
          <w:lang w:val="en-GB" w:eastAsia="en-US"/>
        </w:rPr>
        <w:tab/>
        <w:t xml:space="preserve">Högberg CJ, Maliniak A, Lyubartsev AP. Dynamical and structural properties of charged and uncharged lidocaine in a lipid bilayer. </w:t>
      </w:r>
      <w:r w:rsidRPr="001F7B58">
        <w:rPr>
          <w:i/>
          <w:iCs/>
          <w:lang w:val="en-GB" w:eastAsia="en-US"/>
        </w:rPr>
        <w:t>Biophys Chem</w:t>
      </w:r>
      <w:r w:rsidRPr="002E10F6">
        <w:rPr>
          <w:lang w:val="en-GB" w:eastAsia="en-US"/>
        </w:rPr>
        <w:t xml:space="preserve">. </w:t>
      </w:r>
      <w:r w:rsidRPr="001F7B58">
        <w:rPr>
          <w:b/>
          <w:bCs/>
          <w:lang w:val="en-GB" w:eastAsia="en-US"/>
        </w:rPr>
        <w:t>2007</w:t>
      </w:r>
      <w:r>
        <w:rPr>
          <w:lang w:val="en-GB" w:eastAsia="en-US"/>
        </w:rPr>
        <w:t xml:space="preserve">, </w:t>
      </w:r>
      <w:r w:rsidRPr="002E10F6">
        <w:rPr>
          <w:lang w:val="en-GB" w:eastAsia="en-US"/>
        </w:rPr>
        <w:t xml:space="preserve">125(2-3):416-24. </w:t>
      </w:r>
    </w:p>
    <w:p w14:paraId="5051218B" w14:textId="77777777" w:rsidR="00795AB8" w:rsidRPr="002E10F6" w:rsidRDefault="00795AB8" w:rsidP="00795AB8">
      <w:pPr>
        <w:rPr>
          <w:lang w:val="en-GB" w:eastAsia="en-US"/>
        </w:rPr>
      </w:pPr>
      <w:r w:rsidRPr="002E10F6">
        <w:rPr>
          <w:lang w:val="en-GB" w:eastAsia="en-US"/>
        </w:rPr>
        <w:t xml:space="preserve">34. </w:t>
      </w:r>
      <w:r w:rsidRPr="002E10F6">
        <w:rPr>
          <w:lang w:val="en-GB" w:eastAsia="en-US"/>
        </w:rPr>
        <w:tab/>
        <w:t xml:space="preserve">Saeedi M, Lyubartsev AP, Jalili S. Anesthetics mechanism on a DMPC lipid membrane model: Insights from molecular dynamics simulations. </w:t>
      </w:r>
      <w:r w:rsidRPr="001F7B58">
        <w:rPr>
          <w:i/>
          <w:iCs/>
          <w:lang w:val="en-GB" w:eastAsia="en-US"/>
        </w:rPr>
        <w:t>Biophys Chem</w:t>
      </w:r>
      <w:r w:rsidRPr="002E10F6">
        <w:rPr>
          <w:lang w:val="en-GB" w:eastAsia="en-US"/>
        </w:rPr>
        <w:t xml:space="preserve">. </w:t>
      </w:r>
      <w:r w:rsidRPr="001F7B58">
        <w:rPr>
          <w:b/>
          <w:bCs/>
          <w:lang w:val="en-GB" w:eastAsia="en-US"/>
        </w:rPr>
        <w:t>2017</w:t>
      </w:r>
      <w:r>
        <w:rPr>
          <w:lang w:val="en-GB" w:eastAsia="en-US"/>
        </w:rPr>
        <w:t xml:space="preserve">, </w:t>
      </w:r>
      <w:r w:rsidRPr="002E10F6">
        <w:rPr>
          <w:lang w:val="en-GB" w:eastAsia="en-US"/>
        </w:rPr>
        <w:t xml:space="preserve">226:1-13. </w:t>
      </w:r>
    </w:p>
    <w:p w14:paraId="5380BA52" w14:textId="77777777" w:rsidR="00795AB8" w:rsidRPr="002E10F6" w:rsidRDefault="00795AB8" w:rsidP="00795AB8">
      <w:pPr>
        <w:rPr>
          <w:lang w:val="en-GB" w:eastAsia="en-US"/>
        </w:rPr>
      </w:pPr>
      <w:r w:rsidRPr="002E10F6">
        <w:rPr>
          <w:lang w:val="en-GB" w:eastAsia="en-US"/>
        </w:rPr>
        <w:t xml:space="preserve">35. </w:t>
      </w:r>
      <w:r w:rsidRPr="002E10F6">
        <w:rPr>
          <w:lang w:val="en-GB" w:eastAsia="en-US"/>
        </w:rPr>
        <w:tab/>
        <w:t xml:space="preserve">Shen H, Zhou Q, Pan X, Li Z, Wu J, Yan N. Structure of a eukaryotic voltage-gated sodium channel at near-atomic resolution. </w:t>
      </w:r>
      <w:r w:rsidRPr="001F7B58">
        <w:rPr>
          <w:i/>
          <w:iCs/>
          <w:lang w:val="en-GB" w:eastAsia="en-US"/>
        </w:rPr>
        <w:t>Science</w:t>
      </w:r>
      <w:r w:rsidRPr="002E10F6">
        <w:rPr>
          <w:lang w:val="en-GB" w:eastAsia="en-US"/>
        </w:rPr>
        <w:t xml:space="preserve">. </w:t>
      </w:r>
      <w:r w:rsidRPr="001F7B58">
        <w:rPr>
          <w:b/>
          <w:bCs/>
          <w:lang w:val="en-GB" w:eastAsia="en-US"/>
        </w:rPr>
        <w:t>2017</w:t>
      </w:r>
      <w:r>
        <w:rPr>
          <w:lang w:val="en-GB" w:eastAsia="en-US"/>
        </w:rPr>
        <w:t xml:space="preserve">, </w:t>
      </w:r>
      <w:r w:rsidRPr="002E10F6">
        <w:rPr>
          <w:lang w:val="en-GB" w:eastAsia="en-US"/>
        </w:rPr>
        <w:t xml:space="preserve">355:924. </w:t>
      </w:r>
    </w:p>
    <w:bookmarkEnd w:id="3"/>
    <w:p w14:paraId="5CCD72C9" w14:textId="0B21CFBF" w:rsidR="00160BE3" w:rsidRDefault="00160BE3" w:rsidP="00160BE3">
      <w:pPr>
        <w:rPr>
          <w:lang w:val="en-GB" w:eastAsia="en-US"/>
        </w:rPr>
      </w:pPr>
      <w:r>
        <w:rPr>
          <w:lang w:val="en-GB" w:eastAsia="en-US"/>
        </w:rPr>
        <w:t xml:space="preserve"> </w:t>
      </w:r>
    </w:p>
    <w:p w14:paraId="7B66D0EC" w14:textId="3269E133" w:rsidR="00B9428C" w:rsidRDefault="00B9428C" w:rsidP="00160BE3">
      <w:pPr>
        <w:rPr>
          <w:lang w:val="en-GB" w:eastAsia="en-US"/>
        </w:rPr>
      </w:pPr>
    </w:p>
    <w:p w14:paraId="22F137EC" w14:textId="77777777" w:rsidR="00B9428C" w:rsidRDefault="00B9428C" w:rsidP="00160BE3">
      <w:pPr>
        <w:rPr>
          <w:lang w:val="en-GB" w:eastAsia="en-US"/>
        </w:rPr>
      </w:pPr>
    </w:p>
    <w:p w14:paraId="75236F04" w14:textId="77777777" w:rsidR="004C2BB0" w:rsidRPr="004C2BB0" w:rsidRDefault="004C2BB0" w:rsidP="004C2BB0">
      <w:pPr>
        <w:rPr>
          <w:lang w:val="en-GB" w:eastAsia="en-US"/>
        </w:rPr>
      </w:pPr>
    </w:p>
    <w:bookmarkEnd w:id="1"/>
    <w:p w14:paraId="0EE28A74" w14:textId="14B38112" w:rsidR="004C2BB0" w:rsidRPr="006C3B31" w:rsidRDefault="004C2BB0">
      <w:pPr>
        <w:spacing w:after="0" w:line="240" w:lineRule="auto"/>
        <w:jc w:val="left"/>
        <w:rPr>
          <w:lang w:val="en-GB"/>
        </w:rPr>
      </w:pPr>
    </w:p>
    <w:sectPr w:rsidR="004C2BB0" w:rsidRPr="006C3B31" w:rsidSect="00A01B58">
      <w:pgSz w:w="11906" w:h="16838" w:code="9"/>
      <w:pgMar w:top="1440" w:right="1440" w:bottom="1440" w:left="1440" w:header="720" w:footer="862" w:gutter="0"/>
      <w:lnNumType w:countBy="1"/>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FDADDCF" w14:textId="77777777" w:rsidR="001A2539" w:rsidRDefault="001A2539" w:rsidP="0099194D">
      <w:r>
        <w:separator/>
      </w:r>
    </w:p>
  </w:endnote>
  <w:endnote w:type="continuationSeparator" w:id="0">
    <w:p w14:paraId="3918ADCC" w14:textId="77777777" w:rsidR="001A2539" w:rsidRDefault="001A2539" w:rsidP="009919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EE"/>
    <w:family w:val="roman"/>
    <w:pitch w:val="variable"/>
    <w:sig w:usb0="E00002FF" w:usb1="400004FF" w:usb2="00000000" w:usb3="00000000" w:csb0="0000019F" w:csb1="00000000"/>
  </w:font>
  <w:font w:name="ヒラギノ角ゴ Pro W3">
    <w:altName w:val="Yu Gothic UI"/>
    <w:charset w:val="80"/>
    <w:family w:val="swiss"/>
    <w:pitch w:val="variable"/>
    <w:sig w:usb0="E00002FF" w:usb1="7AC7FFFF" w:usb2="00000012" w:usb3="00000000" w:csb0="0002000D" w:csb1="00000000"/>
  </w:font>
  <w:font w:name="Helvetica">
    <w:panose1 w:val="020B0604020202020204"/>
    <w:charset w:val="00"/>
    <w:family w:val="swiss"/>
    <w:pitch w:val="variable"/>
    <w:sig w:usb0="00000003" w:usb1="00000000" w:usb2="00000000" w:usb3="00000000" w:csb0="00000001" w:csb1="00000000"/>
  </w:font>
  <w:font w:name="Calibri">
    <w:panose1 w:val="020F0502020204030204"/>
    <w:charset w:val="EE"/>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10006FF" w:usb1="4000205B" w:usb2="00000010" w:usb3="00000000" w:csb0="0000019F" w:csb1="00000000"/>
  </w:font>
  <w:font w:name="Times">
    <w:panose1 w:val="02020603050405020304"/>
    <w:charset w:val="EE"/>
    <w:family w:val="roman"/>
    <w:pitch w:val="variable"/>
    <w:sig w:usb0="20002A87" w:usb1="00000000" w:usb2="00000000" w:usb3="00000000" w:csb0="000001FF" w:csb1="00000000"/>
  </w:font>
  <w:font w:name="Cambria Math">
    <w:panose1 w:val="02040503050406030204"/>
    <w:charset w:val="EE"/>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A1295F" w14:textId="77777777" w:rsidR="00534AFD" w:rsidRDefault="00534AFD" w:rsidP="00DB7697">
    <w:pPr>
      <w:pStyle w:val="Foot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28</w:t>
    </w:r>
    <w:r>
      <w:rPr>
        <w:rStyle w:val="PageNumber"/>
      </w:rPr>
      <w:fldChar w:fldCharType="end"/>
    </w:r>
  </w:p>
  <w:p w14:paraId="71BD0371" w14:textId="77777777" w:rsidR="00534AFD" w:rsidRDefault="00534AFD" w:rsidP="00DB7697">
    <w:pPr>
      <w:pStyle w:val="HeaderFooter"/>
      <w:ind w:right="360" w:firstLine="360"/>
      <w:rPr>
        <w:rFonts w:ascii="Times New Roman" w:eastAsia="Times New Roman" w:hAnsi="Times New Roman"/>
        <w:color w:val="auto"/>
      </w:rPr>
    </w:pPr>
  </w:p>
  <w:p w14:paraId="7B39EF79" w14:textId="77777777" w:rsidR="00534AFD" w:rsidRDefault="00534AFD"/>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6E806CF" w14:textId="77777777" w:rsidR="001A2539" w:rsidRDefault="001A2539" w:rsidP="0099194D">
      <w:r>
        <w:separator/>
      </w:r>
    </w:p>
  </w:footnote>
  <w:footnote w:type="continuationSeparator" w:id="0">
    <w:p w14:paraId="4FC169A8" w14:textId="77777777" w:rsidR="001A2539" w:rsidRDefault="001A2539" w:rsidP="0099194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81384362"/>
      <w:docPartObj>
        <w:docPartGallery w:val="Page Numbers (Top of Page)"/>
        <w:docPartUnique/>
      </w:docPartObj>
    </w:sdtPr>
    <w:sdtEndPr>
      <w:rPr>
        <w:noProof/>
      </w:rPr>
    </w:sdtEndPr>
    <w:sdtContent>
      <w:p w14:paraId="0D63176A" w14:textId="52A50972" w:rsidR="00534AFD" w:rsidRDefault="00534AFD">
        <w:pPr>
          <w:pStyle w:val="Header"/>
          <w:jc w:val="right"/>
        </w:pPr>
        <w:r>
          <w:fldChar w:fldCharType="begin"/>
        </w:r>
        <w:r>
          <w:instrText xml:space="preserve"> PAGE   \* MERGEFORMAT </w:instrText>
        </w:r>
        <w:r>
          <w:fldChar w:fldCharType="separate"/>
        </w:r>
        <w:r w:rsidR="00A01B58">
          <w:rPr>
            <w:noProof/>
          </w:rPr>
          <w:t>2</w:t>
        </w:r>
        <w:r>
          <w:rPr>
            <w:noProof/>
          </w:rPr>
          <w:fldChar w:fldCharType="end"/>
        </w:r>
      </w:p>
    </w:sdtContent>
  </w:sdt>
  <w:p w14:paraId="2A4B8E92" w14:textId="77777777" w:rsidR="00534AFD" w:rsidRDefault="00534AF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8FC4F7F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45D2502F"/>
    <w:multiLevelType w:val="multilevel"/>
    <w:tmpl w:val="0424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nsid w:val="4AC94D95"/>
    <w:multiLevelType w:val="hybridMultilevel"/>
    <w:tmpl w:val="B6F0C6E4"/>
    <w:lvl w:ilvl="0" w:tplc="AB8EF970">
      <w:start w:val="1"/>
      <w:numFmt w:val="decimal"/>
      <w:lvlText w:val="%1."/>
      <w:lvlJc w:val="left"/>
      <w:pPr>
        <w:ind w:left="36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nsid w:val="4F4D7E14"/>
    <w:multiLevelType w:val="hybridMultilevel"/>
    <w:tmpl w:val="AA60D478"/>
    <w:lvl w:ilvl="0" w:tplc="1D9E884E">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nsid w:val="6B247FBC"/>
    <w:multiLevelType w:val="hybridMultilevel"/>
    <w:tmpl w:val="E5F0A6BE"/>
    <w:lvl w:ilvl="0" w:tplc="134004E4">
      <w:start w:val="4"/>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2"/>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3"/>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SpringerBasicNumber&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Layout&gt;"/>
    <w:docVar w:name="EN.Libraries" w:val="&lt;Libraries&gt;&lt;item db-id=&quot;2tdtxftezf99rnefr5sv50auwwzrzx95a5r9&quot;&gt;15May2015&lt;record-ids&gt;&lt;item&gt;1&lt;/item&gt;&lt;item&gt;2&lt;/item&gt;&lt;item&gt;3&lt;/item&gt;&lt;item&gt;4&lt;/item&gt;&lt;item&gt;5&lt;/item&gt;&lt;item&gt;6&lt;/item&gt;&lt;item&gt;7&lt;/item&gt;&lt;item&gt;8&lt;/item&gt;&lt;item&gt;9&lt;/item&gt;&lt;item&gt;10&lt;/item&gt;&lt;item&gt;11&lt;/item&gt;&lt;item&gt;12&lt;/item&gt;&lt;item&gt;13&lt;/item&gt;&lt;item&gt;14&lt;/item&gt;&lt;item&gt;15&lt;/item&gt;&lt;item&gt;16&lt;/item&gt;&lt;item&gt;17&lt;/item&gt;&lt;item&gt;18&lt;/item&gt;&lt;item&gt;19&lt;/item&gt;&lt;item&gt;20&lt;/item&gt;&lt;item&gt;21&lt;/item&gt;&lt;item&gt;22&lt;/item&gt;&lt;item&gt;23&lt;/item&gt;&lt;item&gt;24&lt;/item&gt;&lt;item&gt;25&lt;/item&gt;&lt;item&gt;26&lt;/item&gt;&lt;item&gt;27&lt;/item&gt;&lt;item&gt;28&lt;/item&gt;&lt;item&gt;29&lt;/item&gt;&lt;item&gt;30&lt;/item&gt;&lt;item&gt;31&lt;/item&gt;&lt;item&gt;32&lt;/item&gt;&lt;item&gt;33&lt;/item&gt;&lt;item&gt;34&lt;/item&gt;&lt;item&gt;35&lt;/item&gt;&lt;item&gt;36&lt;/item&gt;&lt;item&gt;37&lt;/item&gt;&lt;item&gt;38&lt;/item&gt;&lt;item&gt;39&lt;/item&gt;&lt;item&gt;40&lt;/item&gt;&lt;item&gt;41&lt;/item&gt;&lt;item&gt;42&lt;/item&gt;&lt;item&gt;43&lt;/item&gt;&lt;item&gt;44&lt;/item&gt;&lt;item&gt;45&lt;/item&gt;&lt;item&gt;46&lt;/item&gt;&lt;item&gt;47&lt;/item&gt;&lt;item&gt;48&lt;/item&gt;&lt;item&gt;49&lt;/item&gt;&lt;item&gt;50&lt;/item&gt;&lt;item&gt;51&lt;/item&gt;&lt;item&gt;52&lt;/item&gt;&lt;item&gt;53&lt;/item&gt;&lt;item&gt;54&lt;/item&gt;&lt;item&gt;55&lt;/item&gt;&lt;item&gt;56&lt;/item&gt;&lt;item&gt;57&lt;/item&gt;&lt;item&gt;58&lt;/item&gt;&lt;item&gt;59&lt;/item&gt;&lt;item&gt;60&lt;/item&gt;&lt;item&gt;61&lt;/item&gt;&lt;item&gt;62&lt;/item&gt;&lt;item&gt;63&lt;/item&gt;&lt;item&gt;64&lt;/item&gt;&lt;item&gt;65&lt;/item&gt;&lt;item&gt;66&lt;/item&gt;&lt;item&gt;67&lt;/item&gt;&lt;item&gt;68&lt;/item&gt;&lt;item&gt;69&lt;/item&gt;&lt;item&gt;70&lt;/item&gt;&lt;item&gt;71&lt;/item&gt;&lt;item&gt;72&lt;/item&gt;&lt;item&gt;73&lt;/item&gt;&lt;item&gt;74&lt;/item&gt;&lt;item&gt;75&lt;/item&gt;&lt;item&gt;76&lt;/item&gt;&lt;item&gt;77&lt;/item&gt;&lt;item&gt;78&lt;/item&gt;&lt;item&gt;79&lt;/item&gt;&lt;item&gt;80&lt;/item&gt;&lt;item&gt;81&lt;/item&gt;&lt;item&gt;82&lt;/item&gt;&lt;item&gt;83&lt;/item&gt;&lt;item&gt;84&lt;/item&gt;&lt;item&gt;85&lt;/item&gt;&lt;item&gt;86&lt;/item&gt;&lt;item&gt;87&lt;/item&gt;&lt;item&gt;88&lt;/item&gt;&lt;item&gt;89&lt;/item&gt;&lt;item&gt;90&lt;/item&gt;&lt;item&gt;91&lt;/item&gt;&lt;item&gt;92&lt;/item&gt;&lt;item&gt;93&lt;/item&gt;&lt;item&gt;94&lt;/item&gt;&lt;item&gt;95&lt;/item&gt;&lt;item&gt;96&lt;/item&gt;&lt;item&gt;97&lt;/item&gt;&lt;item&gt;98&lt;/item&gt;&lt;item&gt;99&lt;/item&gt;&lt;item&gt;100&lt;/item&gt;&lt;item&gt;101&lt;/item&gt;&lt;item&gt;102&lt;/item&gt;&lt;item&gt;103&lt;/item&gt;&lt;item&gt;104&lt;/item&gt;&lt;item&gt;105&lt;/item&gt;&lt;item&gt;106&lt;/item&gt;&lt;item&gt;107&lt;/item&gt;&lt;item&gt;108&lt;/item&gt;&lt;item&gt;109&lt;/item&gt;&lt;item&gt;110&lt;/item&gt;&lt;item&gt;111&lt;/item&gt;&lt;item&gt;112&lt;/item&gt;&lt;item&gt;113&lt;/item&gt;&lt;item&gt;114&lt;/item&gt;&lt;item&gt;115&lt;/item&gt;&lt;item&gt;116&lt;/item&gt;&lt;item&gt;117&lt;/item&gt;&lt;item&gt;118&lt;/item&gt;&lt;item&gt;119&lt;/item&gt;&lt;item&gt;120&lt;/item&gt;&lt;item&gt;121&lt;/item&gt;&lt;item&gt;122&lt;/item&gt;&lt;item&gt;123&lt;/item&gt;&lt;item&gt;124&lt;/item&gt;&lt;item&gt;125&lt;/item&gt;&lt;item&gt;127&lt;/item&gt;&lt;item&gt;128&lt;/item&gt;&lt;item&gt;129&lt;/item&gt;&lt;item&gt;130&lt;/item&gt;&lt;item&gt;131&lt;/item&gt;&lt;item&gt;132&lt;/item&gt;&lt;item&gt;133&lt;/item&gt;&lt;item&gt;134&lt;/item&gt;&lt;item&gt;135&lt;/item&gt;&lt;item&gt;136&lt;/item&gt;&lt;item&gt;137&lt;/item&gt;&lt;item&gt;138&lt;/item&gt;&lt;item&gt;139&lt;/item&gt;&lt;item&gt;140&lt;/item&gt;&lt;item&gt;141&lt;/item&gt;&lt;item&gt;142&lt;/item&gt;&lt;item&gt;143&lt;/item&gt;&lt;item&gt;144&lt;/item&gt;&lt;item&gt;145&lt;/item&gt;&lt;item&gt;146&lt;/item&gt;&lt;item&gt;147&lt;/item&gt;&lt;item&gt;148&lt;/item&gt;&lt;item&gt;149&lt;/item&gt;&lt;item&gt;150&lt;/item&gt;&lt;item&gt;151&lt;/item&gt;&lt;item&gt;152&lt;/item&gt;&lt;item&gt;153&lt;/item&gt;&lt;item&gt;154&lt;/item&gt;&lt;item&gt;155&lt;/item&gt;&lt;item&gt;156&lt;/item&gt;&lt;item&gt;157&lt;/item&gt;&lt;item&gt;158&lt;/item&gt;&lt;item&gt;159&lt;/item&gt;&lt;item&gt;160&lt;/item&gt;&lt;item&gt;161&lt;/item&gt;&lt;item&gt;162&lt;/item&gt;&lt;item&gt;163&lt;/item&gt;&lt;item&gt;164&lt;/item&gt;&lt;item&gt;165&lt;/item&gt;&lt;item&gt;166&lt;/item&gt;&lt;item&gt;167&lt;/item&gt;&lt;item&gt;168&lt;/item&gt;&lt;item&gt;169&lt;/item&gt;&lt;item&gt;170&lt;/item&gt;&lt;item&gt;171&lt;/item&gt;&lt;item&gt;172&lt;/item&gt;&lt;item&gt;173&lt;/item&gt;&lt;item&gt;174&lt;/item&gt;&lt;item&gt;175&lt;/item&gt;&lt;item&gt;176&lt;/item&gt;&lt;item&gt;177&lt;/item&gt;&lt;item&gt;178&lt;/item&gt;&lt;item&gt;179&lt;/item&gt;&lt;item&gt;180&lt;/item&gt;&lt;item&gt;181&lt;/item&gt;&lt;item&gt;182&lt;/item&gt;&lt;item&gt;183&lt;/item&gt;&lt;item&gt;184&lt;/item&gt;&lt;item&gt;185&lt;/item&gt;&lt;item&gt;186&lt;/item&gt;&lt;item&gt;187&lt;/item&gt;&lt;item&gt;188&lt;/item&gt;&lt;item&gt;189&lt;/item&gt;&lt;item&gt;190&lt;/item&gt;&lt;item&gt;191&lt;/item&gt;&lt;item&gt;192&lt;/item&gt;&lt;item&gt;193&lt;/item&gt;&lt;item&gt;194&lt;/item&gt;&lt;item&gt;195&lt;/item&gt;&lt;item&gt;196&lt;/item&gt;&lt;item&gt;197&lt;/item&gt;&lt;item&gt;198&lt;/item&gt;&lt;item&gt;199&lt;/item&gt;&lt;item&gt;200&lt;/item&gt;&lt;item&gt;201&lt;/item&gt;&lt;item&gt;202&lt;/item&gt;&lt;item&gt;203&lt;/item&gt;&lt;item&gt;204&lt;/item&gt;&lt;item&gt;205&lt;/item&gt;&lt;item&gt;206&lt;/item&gt;&lt;item&gt;207&lt;/item&gt;&lt;item&gt;208&lt;/item&gt;&lt;item&gt;209&lt;/item&gt;&lt;item&gt;210&lt;/item&gt;&lt;item&gt;211&lt;/item&gt;&lt;item&gt;212&lt;/item&gt;&lt;item&gt;213&lt;/item&gt;&lt;item&gt;214&lt;/item&gt;&lt;item&gt;215&lt;/item&gt;&lt;/record-ids&gt;&lt;/item&gt;&lt;/Libraries&gt;"/>
  </w:docVars>
  <w:rsids>
    <w:rsidRoot w:val="0099194D"/>
    <w:rsid w:val="0000087E"/>
    <w:rsid w:val="00000C30"/>
    <w:rsid w:val="00002928"/>
    <w:rsid w:val="00002E15"/>
    <w:rsid w:val="00002FA3"/>
    <w:rsid w:val="000030E5"/>
    <w:rsid w:val="000034C8"/>
    <w:rsid w:val="00003B56"/>
    <w:rsid w:val="00007FEB"/>
    <w:rsid w:val="0001074A"/>
    <w:rsid w:val="0001325A"/>
    <w:rsid w:val="00015CF5"/>
    <w:rsid w:val="00016166"/>
    <w:rsid w:val="000176B9"/>
    <w:rsid w:val="00017B8F"/>
    <w:rsid w:val="00017D3F"/>
    <w:rsid w:val="0002059B"/>
    <w:rsid w:val="00020FBC"/>
    <w:rsid w:val="00022BC1"/>
    <w:rsid w:val="00022E26"/>
    <w:rsid w:val="000240AC"/>
    <w:rsid w:val="00024ABD"/>
    <w:rsid w:val="0002771C"/>
    <w:rsid w:val="00030E6E"/>
    <w:rsid w:val="00030FB6"/>
    <w:rsid w:val="0003157A"/>
    <w:rsid w:val="000327DC"/>
    <w:rsid w:val="000342D9"/>
    <w:rsid w:val="00034865"/>
    <w:rsid w:val="00036E80"/>
    <w:rsid w:val="00036EE0"/>
    <w:rsid w:val="00037D7A"/>
    <w:rsid w:val="00040C16"/>
    <w:rsid w:val="00041BBD"/>
    <w:rsid w:val="00042740"/>
    <w:rsid w:val="00046E3D"/>
    <w:rsid w:val="00047182"/>
    <w:rsid w:val="00050014"/>
    <w:rsid w:val="0005281E"/>
    <w:rsid w:val="00053441"/>
    <w:rsid w:val="00056875"/>
    <w:rsid w:val="000638A3"/>
    <w:rsid w:val="00063AE3"/>
    <w:rsid w:val="00067800"/>
    <w:rsid w:val="0007413A"/>
    <w:rsid w:val="000742E3"/>
    <w:rsid w:val="0007541A"/>
    <w:rsid w:val="0007601C"/>
    <w:rsid w:val="00076668"/>
    <w:rsid w:val="000767C0"/>
    <w:rsid w:val="00080A4A"/>
    <w:rsid w:val="000824DD"/>
    <w:rsid w:val="00082DA2"/>
    <w:rsid w:val="00083C65"/>
    <w:rsid w:val="00086986"/>
    <w:rsid w:val="000905DC"/>
    <w:rsid w:val="000918C7"/>
    <w:rsid w:val="00091B57"/>
    <w:rsid w:val="00092BAD"/>
    <w:rsid w:val="000938A4"/>
    <w:rsid w:val="000938B5"/>
    <w:rsid w:val="00094B65"/>
    <w:rsid w:val="00095DFC"/>
    <w:rsid w:val="000960E6"/>
    <w:rsid w:val="0009757F"/>
    <w:rsid w:val="000A0020"/>
    <w:rsid w:val="000A12FF"/>
    <w:rsid w:val="000A1756"/>
    <w:rsid w:val="000A1A5B"/>
    <w:rsid w:val="000A2206"/>
    <w:rsid w:val="000A2C41"/>
    <w:rsid w:val="000A2D09"/>
    <w:rsid w:val="000A46BA"/>
    <w:rsid w:val="000A69B3"/>
    <w:rsid w:val="000B020C"/>
    <w:rsid w:val="000B08DC"/>
    <w:rsid w:val="000B0AFC"/>
    <w:rsid w:val="000B10F3"/>
    <w:rsid w:val="000B373A"/>
    <w:rsid w:val="000B3CA6"/>
    <w:rsid w:val="000B4239"/>
    <w:rsid w:val="000B5B08"/>
    <w:rsid w:val="000B6189"/>
    <w:rsid w:val="000B6F3B"/>
    <w:rsid w:val="000C2992"/>
    <w:rsid w:val="000C32BD"/>
    <w:rsid w:val="000C53A0"/>
    <w:rsid w:val="000C6393"/>
    <w:rsid w:val="000D018A"/>
    <w:rsid w:val="000D0A81"/>
    <w:rsid w:val="000D177C"/>
    <w:rsid w:val="000D3647"/>
    <w:rsid w:val="000D493F"/>
    <w:rsid w:val="000D5932"/>
    <w:rsid w:val="000D623A"/>
    <w:rsid w:val="000D64B2"/>
    <w:rsid w:val="000E06D4"/>
    <w:rsid w:val="000E1A77"/>
    <w:rsid w:val="000E3D9A"/>
    <w:rsid w:val="000E66ED"/>
    <w:rsid w:val="000E709B"/>
    <w:rsid w:val="000E764C"/>
    <w:rsid w:val="000F00BC"/>
    <w:rsid w:val="000F1E0D"/>
    <w:rsid w:val="000F23D4"/>
    <w:rsid w:val="000F28A8"/>
    <w:rsid w:val="000F56E6"/>
    <w:rsid w:val="000F5C4B"/>
    <w:rsid w:val="000F6CF0"/>
    <w:rsid w:val="000F75F5"/>
    <w:rsid w:val="0010511B"/>
    <w:rsid w:val="001053C4"/>
    <w:rsid w:val="001070A9"/>
    <w:rsid w:val="001109B3"/>
    <w:rsid w:val="0011248A"/>
    <w:rsid w:val="00112D29"/>
    <w:rsid w:val="001148B0"/>
    <w:rsid w:val="0011512A"/>
    <w:rsid w:val="0011645E"/>
    <w:rsid w:val="001164C6"/>
    <w:rsid w:val="00117637"/>
    <w:rsid w:val="00121720"/>
    <w:rsid w:val="00121D1F"/>
    <w:rsid w:val="00122E9B"/>
    <w:rsid w:val="00124A24"/>
    <w:rsid w:val="00126685"/>
    <w:rsid w:val="00126A14"/>
    <w:rsid w:val="00130C1A"/>
    <w:rsid w:val="001310A3"/>
    <w:rsid w:val="00131308"/>
    <w:rsid w:val="0013153F"/>
    <w:rsid w:val="0013176F"/>
    <w:rsid w:val="001325AF"/>
    <w:rsid w:val="001326DD"/>
    <w:rsid w:val="00132FE4"/>
    <w:rsid w:val="00137804"/>
    <w:rsid w:val="00140553"/>
    <w:rsid w:val="001418B4"/>
    <w:rsid w:val="00141EA1"/>
    <w:rsid w:val="00143403"/>
    <w:rsid w:val="00143A6E"/>
    <w:rsid w:val="00146FC4"/>
    <w:rsid w:val="0015093A"/>
    <w:rsid w:val="00151431"/>
    <w:rsid w:val="00152947"/>
    <w:rsid w:val="00153293"/>
    <w:rsid w:val="0015396F"/>
    <w:rsid w:val="00155D11"/>
    <w:rsid w:val="00157B94"/>
    <w:rsid w:val="00160BE3"/>
    <w:rsid w:val="00161C18"/>
    <w:rsid w:val="0016267F"/>
    <w:rsid w:val="0016302D"/>
    <w:rsid w:val="001653C8"/>
    <w:rsid w:val="00166C5C"/>
    <w:rsid w:val="0017273F"/>
    <w:rsid w:val="00172D38"/>
    <w:rsid w:val="00172E71"/>
    <w:rsid w:val="001746AB"/>
    <w:rsid w:val="001758AC"/>
    <w:rsid w:val="00175DAA"/>
    <w:rsid w:val="001801FB"/>
    <w:rsid w:val="00180CA5"/>
    <w:rsid w:val="00181D10"/>
    <w:rsid w:val="00183C05"/>
    <w:rsid w:val="00185DCB"/>
    <w:rsid w:val="001870BB"/>
    <w:rsid w:val="00187E92"/>
    <w:rsid w:val="00190F8B"/>
    <w:rsid w:val="00192A77"/>
    <w:rsid w:val="0019509E"/>
    <w:rsid w:val="00195CE9"/>
    <w:rsid w:val="001A049A"/>
    <w:rsid w:val="001A2539"/>
    <w:rsid w:val="001A427F"/>
    <w:rsid w:val="001A45D2"/>
    <w:rsid w:val="001A4DA4"/>
    <w:rsid w:val="001A5D6F"/>
    <w:rsid w:val="001A6890"/>
    <w:rsid w:val="001B198F"/>
    <w:rsid w:val="001B6BEC"/>
    <w:rsid w:val="001C108A"/>
    <w:rsid w:val="001C17A4"/>
    <w:rsid w:val="001C2772"/>
    <w:rsid w:val="001C3120"/>
    <w:rsid w:val="001C4BCD"/>
    <w:rsid w:val="001C7814"/>
    <w:rsid w:val="001C7A9B"/>
    <w:rsid w:val="001D10FC"/>
    <w:rsid w:val="001D280C"/>
    <w:rsid w:val="001D33EB"/>
    <w:rsid w:val="001D3E3C"/>
    <w:rsid w:val="001D5D07"/>
    <w:rsid w:val="001E0608"/>
    <w:rsid w:val="001E2B5F"/>
    <w:rsid w:val="001E6CD1"/>
    <w:rsid w:val="001F01BC"/>
    <w:rsid w:val="001F37E3"/>
    <w:rsid w:val="001F3D6E"/>
    <w:rsid w:val="001F6368"/>
    <w:rsid w:val="001F6B5B"/>
    <w:rsid w:val="001F73DB"/>
    <w:rsid w:val="00200278"/>
    <w:rsid w:val="0020081E"/>
    <w:rsid w:val="002016F1"/>
    <w:rsid w:val="002018C5"/>
    <w:rsid w:val="00201E64"/>
    <w:rsid w:val="00204194"/>
    <w:rsid w:val="00205043"/>
    <w:rsid w:val="002054DC"/>
    <w:rsid w:val="0020572E"/>
    <w:rsid w:val="00206566"/>
    <w:rsid w:val="002066E4"/>
    <w:rsid w:val="00210915"/>
    <w:rsid w:val="00211F76"/>
    <w:rsid w:val="0021215D"/>
    <w:rsid w:val="00212938"/>
    <w:rsid w:val="00214DC8"/>
    <w:rsid w:val="00216984"/>
    <w:rsid w:val="00217093"/>
    <w:rsid w:val="002173FC"/>
    <w:rsid w:val="00220523"/>
    <w:rsid w:val="002205BD"/>
    <w:rsid w:val="00220C55"/>
    <w:rsid w:val="00220D35"/>
    <w:rsid w:val="00220E9F"/>
    <w:rsid w:val="0022107D"/>
    <w:rsid w:val="00221442"/>
    <w:rsid w:val="00221CF4"/>
    <w:rsid w:val="002224A0"/>
    <w:rsid w:val="002226DE"/>
    <w:rsid w:val="0022396B"/>
    <w:rsid w:val="00225C9C"/>
    <w:rsid w:val="00230489"/>
    <w:rsid w:val="00231A8C"/>
    <w:rsid w:val="00231BF0"/>
    <w:rsid w:val="00231C54"/>
    <w:rsid w:val="00232194"/>
    <w:rsid w:val="00235330"/>
    <w:rsid w:val="00235A72"/>
    <w:rsid w:val="00236CE8"/>
    <w:rsid w:val="002372F0"/>
    <w:rsid w:val="00240C20"/>
    <w:rsid w:val="00240D90"/>
    <w:rsid w:val="00241196"/>
    <w:rsid w:val="00241830"/>
    <w:rsid w:val="002418AE"/>
    <w:rsid w:val="002419E7"/>
    <w:rsid w:val="00244BB6"/>
    <w:rsid w:val="0024714F"/>
    <w:rsid w:val="002479C7"/>
    <w:rsid w:val="00253A17"/>
    <w:rsid w:val="00254290"/>
    <w:rsid w:val="00255030"/>
    <w:rsid w:val="00257BC6"/>
    <w:rsid w:val="00257D12"/>
    <w:rsid w:val="00261636"/>
    <w:rsid w:val="00261721"/>
    <w:rsid w:val="002638C0"/>
    <w:rsid w:val="0026457D"/>
    <w:rsid w:val="0026483A"/>
    <w:rsid w:val="002659C0"/>
    <w:rsid w:val="00266661"/>
    <w:rsid w:val="002669C4"/>
    <w:rsid w:val="0026710F"/>
    <w:rsid w:val="00270FC4"/>
    <w:rsid w:val="00271AB3"/>
    <w:rsid w:val="00271B3D"/>
    <w:rsid w:val="002754B6"/>
    <w:rsid w:val="002755BB"/>
    <w:rsid w:val="00277D09"/>
    <w:rsid w:val="0028006D"/>
    <w:rsid w:val="0028190B"/>
    <w:rsid w:val="00281A4A"/>
    <w:rsid w:val="00283E8A"/>
    <w:rsid w:val="0028412A"/>
    <w:rsid w:val="0028737D"/>
    <w:rsid w:val="0028775C"/>
    <w:rsid w:val="0029063E"/>
    <w:rsid w:val="002906E8"/>
    <w:rsid w:val="00290B41"/>
    <w:rsid w:val="00293857"/>
    <w:rsid w:val="00293C62"/>
    <w:rsid w:val="00295EBD"/>
    <w:rsid w:val="00295FFE"/>
    <w:rsid w:val="002A08B5"/>
    <w:rsid w:val="002A0EFA"/>
    <w:rsid w:val="002A20D9"/>
    <w:rsid w:val="002A2274"/>
    <w:rsid w:val="002A6AFD"/>
    <w:rsid w:val="002A6CEC"/>
    <w:rsid w:val="002A7142"/>
    <w:rsid w:val="002B1EBE"/>
    <w:rsid w:val="002B3AC2"/>
    <w:rsid w:val="002B46A6"/>
    <w:rsid w:val="002B5843"/>
    <w:rsid w:val="002B6D89"/>
    <w:rsid w:val="002B79DE"/>
    <w:rsid w:val="002C18A7"/>
    <w:rsid w:val="002C2266"/>
    <w:rsid w:val="002C3A3B"/>
    <w:rsid w:val="002C41D8"/>
    <w:rsid w:val="002C4A49"/>
    <w:rsid w:val="002C7815"/>
    <w:rsid w:val="002D0CD1"/>
    <w:rsid w:val="002D0D0C"/>
    <w:rsid w:val="002D14D8"/>
    <w:rsid w:val="002D27B5"/>
    <w:rsid w:val="002D3ACB"/>
    <w:rsid w:val="002D3ED5"/>
    <w:rsid w:val="002D3FF4"/>
    <w:rsid w:val="002D46B6"/>
    <w:rsid w:val="002D4CD7"/>
    <w:rsid w:val="002D672E"/>
    <w:rsid w:val="002D6E31"/>
    <w:rsid w:val="002E190B"/>
    <w:rsid w:val="002E473F"/>
    <w:rsid w:val="002E73D8"/>
    <w:rsid w:val="002E7EEC"/>
    <w:rsid w:val="002F034A"/>
    <w:rsid w:val="002F1242"/>
    <w:rsid w:val="002F3582"/>
    <w:rsid w:val="002F4F0A"/>
    <w:rsid w:val="002F4F8D"/>
    <w:rsid w:val="002F5786"/>
    <w:rsid w:val="002F70AF"/>
    <w:rsid w:val="002F720D"/>
    <w:rsid w:val="002F7A09"/>
    <w:rsid w:val="003001C4"/>
    <w:rsid w:val="00301072"/>
    <w:rsid w:val="00301AE4"/>
    <w:rsid w:val="00301E48"/>
    <w:rsid w:val="003026D9"/>
    <w:rsid w:val="00302ED4"/>
    <w:rsid w:val="0030383A"/>
    <w:rsid w:val="00306468"/>
    <w:rsid w:val="00311D32"/>
    <w:rsid w:val="00312095"/>
    <w:rsid w:val="00312199"/>
    <w:rsid w:val="00312716"/>
    <w:rsid w:val="00315FA6"/>
    <w:rsid w:val="00316C39"/>
    <w:rsid w:val="00320957"/>
    <w:rsid w:val="00320A11"/>
    <w:rsid w:val="00320D9F"/>
    <w:rsid w:val="003211E5"/>
    <w:rsid w:val="00321CA2"/>
    <w:rsid w:val="003241A4"/>
    <w:rsid w:val="0033068D"/>
    <w:rsid w:val="00331EA5"/>
    <w:rsid w:val="0033274B"/>
    <w:rsid w:val="00332D36"/>
    <w:rsid w:val="0033344E"/>
    <w:rsid w:val="00333927"/>
    <w:rsid w:val="00335A51"/>
    <w:rsid w:val="00340EB3"/>
    <w:rsid w:val="00340EE8"/>
    <w:rsid w:val="00340F2C"/>
    <w:rsid w:val="00342445"/>
    <w:rsid w:val="0034460E"/>
    <w:rsid w:val="003459CC"/>
    <w:rsid w:val="00345CD3"/>
    <w:rsid w:val="003501D4"/>
    <w:rsid w:val="003505D8"/>
    <w:rsid w:val="00350EEB"/>
    <w:rsid w:val="00351600"/>
    <w:rsid w:val="0035343D"/>
    <w:rsid w:val="00353C2E"/>
    <w:rsid w:val="00354532"/>
    <w:rsid w:val="00354676"/>
    <w:rsid w:val="00355134"/>
    <w:rsid w:val="00356CCA"/>
    <w:rsid w:val="00357E0F"/>
    <w:rsid w:val="00361492"/>
    <w:rsid w:val="00362AA9"/>
    <w:rsid w:val="003634D0"/>
    <w:rsid w:val="00363B32"/>
    <w:rsid w:val="00364622"/>
    <w:rsid w:val="00366879"/>
    <w:rsid w:val="0037058F"/>
    <w:rsid w:val="00371763"/>
    <w:rsid w:val="00371E45"/>
    <w:rsid w:val="00372127"/>
    <w:rsid w:val="0037342D"/>
    <w:rsid w:val="003750F6"/>
    <w:rsid w:val="003755AE"/>
    <w:rsid w:val="003759FC"/>
    <w:rsid w:val="00377545"/>
    <w:rsid w:val="003776DD"/>
    <w:rsid w:val="0037779F"/>
    <w:rsid w:val="00377D1A"/>
    <w:rsid w:val="00382E43"/>
    <w:rsid w:val="00384912"/>
    <w:rsid w:val="00384D58"/>
    <w:rsid w:val="00385D10"/>
    <w:rsid w:val="00385F74"/>
    <w:rsid w:val="003879A3"/>
    <w:rsid w:val="003904FB"/>
    <w:rsid w:val="003929DB"/>
    <w:rsid w:val="00394D7B"/>
    <w:rsid w:val="00394E41"/>
    <w:rsid w:val="00396F9B"/>
    <w:rsid w:val="003978A0"/>
    <w:rsid w:val="003A1121"/>
    <w:rsid w:val="003A182C"/>
    <w:rsid w:val="003A44C3"/>
    <w:rsid w:val="003A5A72"/>
    <w:rsid w:val="003A7144"/>
    <w:rsid w:val="003B1AA2"/>
    <w:rsid w:val="003B6277"/>
    <w:rsid w:val="003B702B"/>
    <w:rsid w:val="003B7856"/>
    <w:rsid w:val="003B7E65"/>
    <w:rsid w:val="003C12A9"/>
    <w:rsid w:val="003C1759"/>
    <w:rsid w:val="003C3880"/>
    <w:rsid w:val="003C530B"/>
    <w:rsid w:val="003C6BF2"/>
    <w:rsid w:val="003C73D6"/>
    <w:rsid w:val="003C7C86"/>
    <w:rsid w:val="003D03EA"/>
    <w:rsid w:val="003D0832"/>
    <w:rsid w:val="003D24E2"/>
    <w:rsid w:val="003D31BF"/>
    <w:rsid w:val="003D3419"/>
    <w:rsid w:val="003D3DB7"/>
    <w:rsid w:val="003D5DE2"/>
    <w:rsid w:val="003D7999"/>
    <w:rsid w:val="003E16C1"/>
    <w:rsid w:val="003E3569"/>
    <w:rsid w:val="003E3679"/>
    <w:rsid w:val="003E3976"/>
    <w:rsid w:val="003E440E"/>
    <w:rsid w:val="003E666C"/>
    <w:rsid w:val="003F1211"/>
    <w:rsid w:val="003F1259"/>
    <w:rsid w:val="003F30B3"/>
    <w:rsid w:val="003F371D"/>
    <w:rsid w:val="003F479B"/>
    <w:rsid w:val="003F6667"/>
    <w:rsid w:val="003F6E79"/>
    <w:rsid w:val="003F7AC4"/>
    <w:rsid w:val="003F7C73"/>
    <w:rsid w:val="00400106"/>
    <w:rsid w:val="00401761"/>
    <w:rsid w:val="00401C15"/>
    <w:rsid w:val="00403F39"/>
    <w:rsid w:val="00404092"/>
    <w:rsid w:val="004048EC"/>
    <w:rsid w:val="0040567F"/>
    <w:rsid w:val="00406E79"/>
    <w:rsid w:val="00407C9F"/>
    <w:rsid w:val="00412841"/>
    <w:rsid w:val="004133DA"/>
    <w:rsid w:val="00414A3B"/>
    <w:rsid w:val="00414A65"/>
    <w:rsid w:val="004151FE"/>
    <w:rsid w:val="0041536D"/>
    <w:rsid w:val="00415DA5"/>
    <w:rsid w:val="0041631A"/>
    <w:rsid w:val="0041647C"/>
    <w:rsid w:val="00416BDA"/>
    <w:rsid w:val="00416F7C"/>
    <w:rsid w:val="00420BDE"/>
    <w:rsid w:val="00420CA3"/>
    <w:rsid w:val="00420D34"/>
    <w:rsid w:val="004228D6"/>
    <w:rsid w:val="00422B6C"/>
    <w:rsid w:val="004231DB"/>
    <w:rsid w:val="00423F20"/>
    <w:rsid w:val="00424876"/>
    <w:rsid w:val="00426DDF"/>
    <w:rsid w:val="0042707C"/>
    <w:rsid w:val="00432F07"/>
    <w:rsid w:val="00433A43"/>
    <w:rsid w:val="00434C6C"/>
    <w:rsid w:val="00435EFD"/>
    <w:rsid w:val="004361BA"/>
    <w:rsid w:val="00436B39"/>
    <w:rsid w:val="004409F4"/>
    <w:rsid w:val="00440B16"/>
    <w:rsid w:val="00442859"/>
    <w:rsid w:val="0044401B"/>
    <w:rsid w:val="00444778"/>
    <w:rsid w:val="00444D17"/>
    <w:rsid w:val="0044607B"/>
    <w:rsid w:val="00446EA6"/>
    <w:rsid w:val="00447F73"/>
    <w:rsid w:val="004501FB"/>
    <w:rsid w:val="00450B68"/>
    <w:rsid w:val="0045357C"/>
    <w:rsid w:val="00457164"/>
    <w:rsid w:val="004601BF"/>
    <w:rsid w:val="0046216D"/>
    <w:rsid w:val="004645D0"/>
    <w:rsid w:val="00465A38"/>
    <w:rsid w:val="0046674F"/>
    <w:rsid w:val="0046697E"/>
    <w:rsid w:val="004716DC"/>
    <w:rsid w:val="004724EB"/>
    <w:rsid w:val="00472ADE"/>
    <w:rsid w:val="0047492C"/>
    <w:rsid w:val="0047586C"/>
    <w:rsid w:val="00475AB2"/>
    <w:rsid w:val="00480357"/>
    <w:rsid w:val="004825F6"/>
    <w:rsid w:val="004843F2"/>
    <w:rsid w:val="00485C61"/>
    <w:rsid w:val="00486CCD"/>
    <w:rsid w:val="00486CDE"/>
    <w:rsid w:val="0048712F"/>
    <w:rsid w:val="00487683"/>
    <w:rsid w:val="004916F0"/>
    <w:rsid w:val="004919E7"/>
    <w:rsid w:val="00491A79"/>
    <w:rsid w:val="00492296"/>
    <w:rsid w:val="004923DD"/>
    <w:rsid w:val="00494089"/>
    <w:rsid w:val="00497C59"/>
    <w:rsid w:val="004A129C"/>
    <w:rsid w:val="004A193B"/>
    <w:rsid w:val="004A69EF"/>
    <w:rsid w:val="004A6CE4"/>
    <w:rsid w:val="004A75CB"/>
    <w:rsid w:val="004B0179"/>
    <w:rsid w:val="004B1C85"/>
    <w:rsid w:val="004B3191"/>
    <w:rsid w:val="004B37B5"/>
    <w:rsid w:val="004B4D99"/>
    <w:rsid w:val="004B59EF"/>
    <w:rsid w:val="004B71A1"/>
    <w:rsid w:val="004C2242"/>
    <w:rsid w:val="004C2BB0"/>
    <w:rsid w:val="004C32B0"/>
    <w:rsid w:val="004C33E9"/>
    <w:rsid w:val="004C38B5"/>
    <w:rsid w:val="004C5647"/>
    <w:rsid w:val="004C71DE"/>
    <w:rsid w:val="004C7762"/>
    <w:rsid w:val="004D0614"/>
    <w:rsid w:val="004D188A"/>
    <w:rsid w:val="004D21CD"/>
    <w:rsid w:val="004D248F"/>
    <w:rsid w:val="004D40BB"/>
    <w:rsid w:val="004D5A62"/>
    <w:rsid w:val="004D6AE9"/>
    <w:rsid w:val="004D6EFD"/>
    <w:rsid w:val="004D7ED4"/>
    <w:rsid w:val="004E0BE3"/>
    <w:rsid w:val="004E1D56"/>
    <w:rsid w:val="004E3459"/>
    <w:rsid w:val="004E3F1C"/>
    <w:rsid w:val="004E4797"/>
    <w:rsid w:val="004E5F56"/>
    <w:rsid w:val="004F18CD"/>
    <w:rsid w:val="004F1A48"/>
    <w:rsid w:val="004F2722"/>
    <w:rsid w:val="004F423D"/>
    <w:rsid w:val="004F4511"/>
    <w:rsid w:val="004F4F97"/>
    <w:rsid w:val="004F745B"/>
    <w:rsid w:val="004F7636"/>
    <w:rsid w:val="004F7FD7"/>
    <w:rsid w:val="00500A0D"/>
    <w:rsid w:val="00501554"/>
    <w:rsid w:val="005033AB"/>
    <w:rsid w:val="00503E89"/>
    <w:rsid w:val="00503F9F"/>
    <w:rsid w:val="0050462E"/>
    <w:rsid w:val="00504A6E"/>
    <w:rsid w:val="00505AE1"/>
    <w:rsid w:val="005060E5"/>
    <w:rsid w:val="0050687B"/>
    <w:rsid w:val="00507A09"/>
    <w:rsid w:val="00511779"/>
    <w:rsid w:val="00514153"/>
    <w:rsid w:val="0051498F"/>
    <w:rsid w:val="00514C7E"/>
    <w:rsid w:val="00517FC7"/>
    <w:rsid w:val="00520898"/>
    <w:rsid w:val="00521357"/>
    <w:rsid w:val="005215CA"/>
    <w:rsid w:val="005229F8"/>
    <w:rsid w:val="005239A4"/>
    <w:rsid w:val="00524F8B"/>
    <w:rsid w:val="005261C3"/>
    <w:rsid w:val="00526F73"/>
    <w:rsid w:val="005306F2"/>
    <w:rsid w:val="005323AE"/>
    <w:rsid w:val="00532DD0"/>
    <w:rsid w:val="0053393E"/>
    <w:rsid w:val="00533B0A"/>
    <w:rsid w:val="0053455B"/>
    <w:rsid w:val="00534AFD"/>
    <w:rsid w:val="005350B7"/>
    <w:rsid w:val="00535C06"/>
    <w:rsid w:val="00536178"/>
    <w:rsid w:val="00541BAE"/>
    <w:rsid w:val="00541ED1"/>
    <w:rsid w:val="0054206C"/>
    <w:rsid w:val="00542276"/>
    <w:rsid w:val="00542668"/>
    <w:rsid w:val="005434B0"/>
    <w:rsid w:val="00543C15"/>
    <w:rsid w:val="00544CC5"/>
    <w:rsid w:val="00544F8D"/>
    <w:rsid w:val="00545054"/>
    <w:rsid w:val="0054665B"/>
    <w:rsid w:val="0055025D"/>
    <w:rsid w:val="005509F7"/>
    <w:rsid w:val="005516AD"/>
    <w:rsid w:val="00552465"/>
    <w:rsid w:val="00553284"/>
    <w:rsid w:val="00553D41"/>
    <w:rsid w:val="00554698"/>
    <w:rsid w:val="00554B78"/>
    <w:rsid w:val="00555377"/>
    <w:rsid w:val="00555C35"/>
    <w:rsid w:val="00555D4F"/>
    <w:rsid w:val="00560474"/>
    <w:rsid w:val="00561D88"/>
    <w:rsid w:val="00562A8F"/>
    <w:rsid w:val="00562ED7"/>
    <w:rsid w:val="00562FA7"/>
    <w:rsid w:val="005634D5"/>
    <w:rsid w:val="00564ACC"/>
    <w:rsid w:val="0056672E"/>
    <w:rsid w:val="00567138"/>
    <w:rsid w:val="00567B81"/>
    <w:rsid w:val="005710C3"/>
    <w:rsid w:val="00571925"/>
    <w:rsid w:val="0057524E"/>
    <w:rsid w:val="0057593D"/>
    <w:rsid w:val="0057603A"/>
    <w:rsid w:val="005760D8"/>
    <w:rsid w:val="00576B7C"/>
    <w:rsid w:val="00576ED9"/>
    <w:rsid w:val="00582205"/>
    <w:rsid w:val="00584343"/>
    <w:rsid w:val="00584900"/>
    <w:rsid w:val="00585390"/>
    <w:rsid w:val="00585761"/>
    <w:rsid w:val="005901C5"/>
    <w:rsid w:val="005908CC"/>
    <w:rsid w:val="00592316"/>
    <w:rsid w:val="00592318"/>
    <w:rsid w:val="0059416D"/>
    <w:rsid w:val="00594F5E"/>
    <w:rsid w:val="005951B7"/>
    <w:rsid w:val="00595463"/>
    <w:rsid w:val="0059582A"/>
    <w:rsid w:val="00596AF3"/>
    <w:rsid w:val="00597279"/>
    <w:rsid w:val="00597526"/>
    <w:rsid w:val="005A0DBD"/>
    <w:rsid w:val="005A25F6"/>
    <w:rsid w:val="005A26AB"/>
    <w:rsid w:val="005A2A4E"/>
    <w:rsid w:val="005A31D7"/>
    <w:rsid w:val="005A35CB"/>
    <w:rsid w:val="005A7DDB"/>
    <w:rsid w:val="005B1580"/>
    <w:rsid w:val="005B197F"/>
    <w:rsid w:val="005B55E9"/>
    <w:rsid w:val="005B6A77"/>
    <w:rsid w:val="005C13E3"/>
    <w:rsid w:val="005C1484"/>
    <w:rsid w:val="005C33D0"/>
    <w:rsid w:val="005C4893"/>
    <w:rsid w:val="005C5E9E"/>
    <w:rsid w:val="005C6102"/>
    <w:rsid w:val="005C61A6"/>
    <w:rsid w:val="005C6CFC"/>
    <w:rsid w:val="005C73E8"/>
    <w:rsid w:val="005D033B"/>
    <w:rsid w:val="005D067F"/>
    <w:rsid w:val="005D1098"/>
    <w:rsid w:val="005D3345"/>
    <w:rsid w:val="005D42FF"/>
    <w:rsid w:val="005D606E"/>
    <w:rsid w:val="005D63B5"/>
    <w:rsid w:val="005D668D"/>
    <w:rsid w:val="005D71B4"/>
    <w:rsid w:val="005D7306"/>
    <w:rsid w:val="005E4C2A"/>
    <w:rsid w:val="005E779D"/>
    <w:rsid w:val="005F077C"/>
    <w:rsid w:val="005F0FF1"/>
    <w:rsid w:val="005F238D"/>
    <w:rsid w:val="005F2846"/>
    <w:rsid w:val="005F4550"/>
    <w:rsid w:val="005F4EE5"/>
    <w:rsid w:val="005F5522"/>
    <w:rsid w:val="00600CB1"/>
    <w:rsid w:val="00601750"/>
    <w:rsid w:val="00601D41"/>
    <w:rsid w:val="00604095"/>
    <w:rsid w:val="00605E1F"/>
    <w:rsid w:val="00606505"/>
    <w:rsid w:val="00610149"/>
    <w:rsid w:val="0061134D"/>
    <w:rsid w:val="00611629"/>
    <w:rsid w:val="00613CB6"/>
    <w:rsid w:val="00615BF4"/>
    <w:rsid w:val="006167D4"/>
    <w:rsid w:val="00616916"/>
    <w:rsid w:val="00616A11"/>
    <w:rsid w:val="00620BD0"/>
    <w:rsid w:val="00620CC9"/>
    <w:rsid w:val="00621B5B"/>
    <w:rsid w:val="006230DB"/>
    <w:rsid w:val="006246B8"/>
    <w:rsid w:val="0062599B"/>
    <w:rsid w:val="00625E3E"/>
    <w:rsid w:val="0062695A"/>
    <w:rsid w:val="00627B8D"/>
    <w:rsid w:val="006304B8"/>
    <w:rsid w:val="00631694"/>
    <w:rsid w:val="00631842"/>
    <w:rsid w:val="00632E07"/>
    <w:rsid w:val="00633A0C"/>
    <w:rsid w:val="006370E9"/>
    <w:rsid w:val="006414B3"/>
    <w:rsid w:val="006428E1"/>
    <w:rsid w:val="0064459F"/>
    <w:rsid w:val="00644CC9"/>
    <w:rsid w:val="00645B25"/>
    <w:rsid w:val="00646132"/>
    <w:rsid w:val="00646245"/>
    <w:rsid w:val="006471E4"/>
    <w:rsid w:val="00647B40"/>
    <w:rsid w:val="00647CE5"/>
    <w:rsid w:val="00651736"/>
    <w:rsid w:val="0065452A"/>
    <w:rsid w:val="0065464D"/>
    <w:rsid w:val="006546BC"/>
    <w:rsid w:val="00654F03"/>
    <w:rsid w:val="00655058"/>
    <w:rsid w:val="00656600"/>
    <w:rsid w:val="006569E1"/>
    <w:rsid w:val="00656C42"/>
    <w:rsid w:val="00660317"/>
    <w:rsid w:val="00664809"/>
    <w:rsid w:val="00665EB5"/>
    <w:rsid w:val="006735B9"/>
    <w:rsid w:val="00673A1C"/>
    <w:rsid w:val="00674DD3"/>
    <w:rsid w:val="00675895"/>
    <w:rsid w:val="00675C07"/>
    <w:rsid w:val="0067613D"/>
    <w:rsid w:val="00676EB9"/>
    <w:rsid w:val="00677E2D"/>
    <w:rsid w:val="006814C8"/>
    <w:rsid w:val="00681978"/>
    <w:rsid w:val="00683484"/>
    <w:rsid w:val="00683F94"/>
    <w:rsid w:val="00684E3A"/>
    <w:rsid w:val="00685059"/>
    <w:rsid w:val="006877C5"/>
    <w:rsid w:val="00690077"/>
    <w:rsid w:val="006919B8"/>
    <w:rsid w:val="00692561"/>
    <w:rsid w:val="006934CE"/>
    <w:rsid w:val="006945B4"/>
    <w:rsid w:val="00696A28"/>
    <w:rsid w:val="00696D54"/>
    <w:rsid w:val="00697FD6"/>
    <w:rsid w:val="006A0873"/>
    <w:rsid w:val="006A1D36"/>
    <w:rsid w:val="006A1EB8"/>
    <w:rsid w:val="006A5ACF"/>
    <w:rsid w:val="006A68F0"/>
    <w:rsid w:val="006B07C5"/>
    <w:rsid w:val="006B089D"/>
    <w:rsid w:val="006B2C63"/>
    <w:rsid w:val="006B34CD"/>
    <w:rsid w:val="006B36B1"/>
    <w:rsid w:val="006B47FB"/>
    <w:rsid w:val="006B500A"/>
    <w:rsid w:val="006B6B75"/>
    <w:rsid w:val="006C02FD"/>
    <w:rsid w:val="006C052B"/>
    <w:rsid w:val="006C0C37"/>
    <w:rsid w:val="006C0C8C"/>
    <w:rsid w:val="006C0FB4"/>
    <w:rsid w:val="006C23C8"/>
    <w:rsid w:val="006C3B31"/>
    <w:rsid w:val="006C5E58"/>
    <w:rsid w:val="006C627B"/>
    <w:rsid w:val="006C6420"/>
    <w:rsid w:val="006C6D95"/>
    <w:rsid w:val="006D1933"/>
    <w:rsid w:val="006D2DDC"/>
    <w:rsid w:val="006D3784"/>
    <w:rsid w:val="006D3ECC"/>
    <w:rsid w:val="006D40CF"/>
    <w:rsid w:val="006D55E0"/>
    <w:rsid w:val="006D569E"/>
    <w:rsid w:val="006D6FD4"/>
    <w:rsid w:val="006E014D"/>
    <w:rsid w:val="006E0624"/>
    <w:rsid w:val="006E0856"/>
    <w:rsid w:val="006E1842"/>
    <w:rsid w:val="006E1A92"/>
    <w:rsid w:val="006E3FBB"/>
    <w:rsid w:val="006E5005"/>
    <w:rsid w:val="006E5378"/>
    <w:rsid w:val="006E540C"/>
    <w:rsid w:val="006E5CF4"/>
    <w:rsid w:val="006E6933"/>
    <w:rsid w:val="006F42F5"/>
    <w:rsid w:val="006F4359"/>
    <w:rsid w:val="006F4A84"/>
    <w:rsid w:val="006F53D7"/>
    <w:rsid w:val="006F7323"/>
    <w:rsid w:val="0070127C"/>
    <w:rsid w:val="00701280"/>
    <w:rsid w:val="00702F40"/>
    <w:rsid w:val="00703231"/>
    <w:rsid w:val="00704662"/>
    <w:rsid w:val="00705E75"/>
    <w:rsid w:val="00706440"/>
    <w:rsid w:val="0070655C"/>
    <w:rsid w:val="007077BC"/>
    <w:rsid w:val="007108A9"/>
    <w:rsid w:val="00711958"/>
    <w:rsid w:val="00711D08"/>
    <w:rsid w:val="00712759"/>
    <w:rsid w:val="00713B79"/>
    <w:rsid w:val="0071456D"/>
    <w:rsid w:val="00714AF9"/>
    <w:rsid w:val="00715796"/>
    <w:rsid w:val="0071621D"/>
    <w:rsid w:val="00716772"/>
    <w:rsid w:val="0072098F"/>
    <w:rsid w:val="00720BFA"/>
    <w:rsid w:val="00721D84"/>
    <w:rsid w:val="0072379C"/>
    <w:rsid w:val="007238A7"/>
    <w:rsid w:val="00733886"/>
    <w:rsid w:val="007343A1"/>
    <w:rsid w:val="007343C3"/>
    <w:rsid w:val="00734485"/>
    <w:rsid w:val="00734651"/>
    <w:rsid w:val="00735EC5"/>
    <w:rsid w:val="00740B33"/>
    <w:rsid w:val="00740C14"/>
    <w:rsid w:val="007415F7"/>
    <w:rsid w:val="00741BD3"/>
    <w:rsid w:val="00741BED"/>
    <w:rsid w:val="00742461"/>
    <w:rsid w:val="007434DA"/>
    <w:rsid w:val="00744A8D"/>
    <w:rsid w:val="00744F47"/>
    <w:rsid w:val="00745133"/>
    <w:rsid w:val="00746E6A"/>
    <w:rsid w:val="00747372"/>
    <w:rsid w:val="00747B86"/>
    <w:rsid w:val="00750685"/>
    <w:rsid w:val="0075082D"/>
    <w:rsid w:val="00750BBC"/>
    <w:rsid w:val="007511D3"/>
    <w:rsid w:val="007528DE"/>
    <w:rsid w:val="00753CF7"/>
    <w:rsid w:val="007573BC"/>
    <w:rsid w:val="00757AE9"/>
    <w:rsid w:val="00757CF4"/>
    <w:rsid w:val="00757FBB"/>
    <w:rsid w:val="0076349F"/>
    <w:rsid w:val="007643E4"/>
    <w:rsid w:val="00765A54"/>
    <w:rsid w:val="00765F14"/>
    <w:rsid w:val="0076677E"/>
    <w:rsid w:val="00767E10"/>
    <w:rsid w:val="00767F35"/>
    <w:rsid w:val="00770BFF"/>
    <w:rsid w:val="00771B1A"/>
    <w:rsid w:val="00771F2D"/>
    <w:rsid w:val="007731F2"/>
    <w:rsid w:val="0077503B"/>
    <w:rsid w:val="007755A7"/>
    <w:rsid w:val="00776114"/>
    <w:rsid w:val="00777660"/>
    <w:rsid w:val="00777C99"/>
    <w:rsid w:val="00781389"/>
    <w:rsid w:val="00781FD5"/>
    <w:rsid w:val="007820D1"/>
    <w:rsid w:val="007826DC"/>
    <w:rsid w:val="00783719"/>
    <w:rsid w:val="00784301"/>
    <w:rsid w:val="00785616"/>
    <w:rsid w:val="00785F0B"/>
    <w:rsid w:val="007903D0"/>
    <w:rsid w:val="00792B83"/>
    <w:rsid w:val="00792E14"/>
    <w:rsid w:val="0079337C"/>
    <w:rsid w:val="0079382D"/>
    <w:rsid w:val="00793D1C"/>
    <w:rsid w:val="00795AB8"/>
    <w:rsid w:val="007975FD"/>
    <w:rsid w:val="007978E7"/>
    <w:rsid w:val="00797EE8"/>
    <w:rsid w:val="007A0742"/>
    <w:rsid w:val="007A18B7"/>
    <w:rsid w:val="007A1BBE"/>
    <w:rsid w:val="007A44AB"/>
    <w:rsid w:val="007A5422"/>
    <w:rsid w:val="007A5975"/>
    <w:rsid w:val="007A5AB2"/>
    <w:rsid w:val="007A63C8"/>
    <w:rsid w:val="007A6AD5"/>
    <w:rsid w:val="007A707C"/>
    <w:rsid w:val="007A7C6E"/>
    <w:rsid w:val="007B0321"/>
    <w:rsid w:val="007B08DA"/>
    <w:rsid w:val="007B098C"/>
    <w:rsid w:val="007B188D"/>
    <w:rsid w:val="007B3687"/>
    <w:rsid w:val="007B3B32"/>
    <w:rsid w:val="007B3E2A"/>
    <w:rsid w:val="007B6434"/>
    <w:rsid w:val="007B6850"/>
    <w:rsid w:val="007C11AA"/>
    <w:rsid w:val="007C1749"/>
    <w:rsid w:val="007C19BE"/>
    <w:rsid w:val="007C4CF8"/>
    <w:rsid w:val="007C7768"/>
    <w:rsid w:val="007D0C2B"/>
    <w:rsid w:val="007D3266"/>
    <w:rsid w:val="007D33EC"/>
    <w:rsid w:val="007D3A88"/>
    <w:rsid w:val="007D4B09"/>
    <w:rsid w:val="007D55CB"/>
    <w:rsid w:val="007D5A2C"/>
    <w:rsid w:val="007D63CE"/>
    <w:rsid w:val="007D67BD"/>
    <w:rsid w:val="007D6C75"/>
    <w:rsid w:val="007E0CEF"/>
    <w:rsid w:val="007E23BA"/>
    <w:rsid w:val="007E2643"/>
    <w:rsid w:val="007E3A7C"/>
    <w:rsid w:val="007E5615"/>
    <w:rsid w:val="007E6072"/>
    <w:rsid w:val="007E6AF3"/>
    <w:rsid w:val="007F0151"/>
    <w:rsid w:val="007F5A6A"/>
    <w:rsid w:val="007F5F25"/>
    <w:rsid w:val="007F7C12"/>
    <w:rsid w:val="008005B0"/>
    <w:rsid w:val="00801146"/>
    <w:rsid w:val="008013EF"/>
    <w:rsid w:val="008025EF"/>
    <w:rsid w:val="00802FE0"/>
    <w:rsid w:val="0080305F"/>
    <w:rsid w:val="00803817"/>
    <w:rsid w:val="008046BC"/>
    <w:rsid w:val="00807475"/>
    <w:rsid w:val="008100E0"/>
    <w:rsid w:val="008110C5"/>
    <w:rsid w:val="00811721"/>
    <w:rsid w:val="008121DA"/>
    <w:rsid w:val="00814129"/>
    <w:rsid w:val="008159EC"/>
    <w:rsid w:val="008163A3"/>
    <w:rsid w:val="00817635"/>
    <w:rsid w:val="00817B88"/>
    <w:rsid w:val="0082025A"/>
    <w:rsid w:val="00821229"/>
    <w:rsid w:val="008231E0"/>
    <w:rsid w:val="008233B1"/>
    <w:rsid w:val="0082351D"/>
    <w:rsid w:val="008247F4"/>
    <w:rsid w:val="0082604A"/>
    <w:rsid w:val="0082666B"/>
    <w:rsid w:val="008334FA"/>
    <w:rsid w:val="008339FF"/>
    <w:rsid w:val="00834BAB"/>
    <w:rsid w:val="0083596A"/>
    <w:rsid w:val="008369DB"/>
    <w:rsid w:val="00836C7C"/>
    <w:rsid w:val="00837AAF"/>
    <w:rsid w:val="00840464"/>
    <w:rsid w:val="00841903"/>
    <w:rsid w:val="00843A9D"/>
    <w:rsid w:val="00843C29"/>
    <w:rsid w:val="008447E3"/>
    <w:rsid w:val="00844A3A"/>
    <w:rsid w:val="00844BFD"/>
    <w:rsid w:val="00844FA4"/>
    <w:rsid w:val="0084590D"/>
    <w:rsid w:val="00850F43"/>
    <w:rsid w:val="0085518C"/>
    <w:rsid w:val="00856721"/>
    <w:rsid w:val="00857390"/>
    <w:rsid w:val="0086057A"/>
    <w:rsid w:val="00863887"/>
    <w:rsid w:val="00865480"/>
    <w:rsid w:val="008711E3"/>
    <w:rsid w:val="008759D5"/>
    <w:rsid w:val="00876472"/>
    <w:rsid w:val="008764A7"/>
    <w:rsid w:val="00881614"/>
    <w:rsid w:val="0088216E"/>
    <w:rsid w:val="008824A0"/>
    <w:rsid w:val="008839FC"/>
    <w:rsid w:val="0088599C"/>
    <w:rsid w:val="00885FC6"/>
    <w:rsid w:val="00890E14"/>
    <w:rsid w:val="00893D70"/>
    <w:rsid w:val="00894EE7"/>
    <w:rsid w:val="00895806"/>
    <w:rsid w:val="00896CC1"/>
    <w:rsid w:val="008A0DE5"/>
    <w:rsid w:val="008A1805"/>
    <w:rsid w:val="008A51AF"/>
    <w:rsid w:val="008A6E3F"/>
    <w:rsid w:val="008A732F"/>
    <w:rsid w:val="008A7842"/>
    <w:rsid w:val="008B1A42"/>
    <w:rsid w:val="008B25DD"/>
    <w:rsid w:val="008B30FB"/>
    <w:rsid w:val="008B5920"/>
    <w:rsid w:val="008B5AB6"/>
    <w:rsid w:val="008B6A63"/>
    <w:rsid w:val="008C0DE5"/>
    <w:rsid w:val="008C0DFF"/>
    <w:rsid w:val="008C2286"/>
    <w:rsid w:val="008C3C2C"/>
    <w:rsid w:val="008C3E16"/>
    <w:rsid w:val="008C459D"/>
    <w:rsid w:val="008C4C34"/>
    <w:rsid w:val="008C640F"/>
    <w:rsid w:val="008D1144"/>
    <w:rsid w:val="008D1861"/>
    <w:rsid w:val="008D3C78"/>
    <w:rsid w:val="008D459B"/>
    <w:rsid w:val="008D5A66"/>
    <w:rsid w:val="008D5C70"/>
    <w:rsid w:val="008D632D"/>
    <w:rsid w:val="008D7D35"/>
    <w:rsid w:val="008E086E"/>
    <w:rsid w:val="008E1556"/>
    <w:rsid w:val="008E2C02"/>
    <w:rsid w:val="008E2E7A"/>
    <w:rsid w:val="008E30FE"/>
    <w:rsid w:val="008E3FD9"/>
    <w:rsid w:val="008E42B9"/>
    <w:rsid w:val="008E4C8B"/>
    <w:rsid w:val="008E7B54"/>
    <w:rsid w:val="008F00C9"/>
    <w:rsid w:val="008F22D1"/>
    <w:rsid w:val="008F2864"/>
    <w:rsid w:val="008F2C14"/>
    <w:rsid w:val="008F37B8"/>
    <w:rsid w:val="008F40D0"/>
    <w:rsid w:val="008F7A0B"/>
    <w:rsid w:val="009025E0"/>
    <w:rsid w:val="00902D89"/>
    <w:rsid w:val="0090351C"/>
    <w:rsid w:val="00904819"/>
    <w:rsid w:val="00904A6A"/>
    <w:rsid w:val="00905215"/>
    <w:rsid w:val="0090602B"/>
    <w:rsid w:val="0090627D"/>
    <w:rsid w:val="00906AF0"/>
    <w:rsid w:val="00906B0C"/>
    <w:rsid w:val="00910BA4"/>
    <w:rsid w:val="00910BB3"/>
    <w:rsid w:val="00912143"/>
    <w:rsid w:val="00912C74"/>
    <w:rsid w:val="00914EC8"/>
    <w:rsid w:val="00916E34"/>
    <w:rsid w:val="00921396"/>
    <w:rsid w:val="00923A9F"/>
    <w:rsid w:val="00924351"/>
    <w:rsid w:val="00927008"/>
    <w:rsid w:val="00932B00"/>
    <w:rsid w:val="00932F25"/>
    <w:rsid w:val="009330A5"/>
    <w:rsid w:val="009364BA"/>
    <w:rsid w:val="00936BC7"/>
    <w:rsid w:val="00936C28"/>
    <w:rsid w:val="00940C2D"/>
    <w:rsid w:val="0094115A"/>
    <w:rsid w:val="00942F55"/>
    <w:rsid w:val="009434E6"/>
    <w:rsid w:val="00944315"/>
    <w:rsid w:val="00946E74"/>
    <w:rsid w:val="00947211"/>
    <w:rsid w:val="00947548"/>
    <w:rsid w:val="00950AD0"/>
    <w:rsid w:val="00950D56"/>
    <w:rsid w:val="00950F8E"/>
    <w:rsid w:val="009515A6"/>
    <w:rsid w:val="00953594"/>
    <w:rsid w:val="00953AF2"/>
    <w:rsid w:val="00956EE7"/>
    <w:rsid w:val="009609A9"/>
    <w:rsid w:val="0096327B"/>
    <w:rsid w:val="009641E7"/>
    <w:rsid w:val="00967495"/>
    <w:rsid w:val="00967635"/>
    <w:rsid w:val="00967909"/>
    <w:rsid w:val="00975DA1"/>
    <w:rsid w:val="00976EC9"/>
    <w:rsid w:val="00977D9C"/>
    <w:rsid w:val="0098159D"/>
    <w:rsid w:val="00981821"/>
    <w:rsid w:val="009824CA"/>
    <w:rsid w:val="00983AAA"/>
    <w:rsid w:val="00983ADF"/>
    <w:rsid w:val="00984622"/>
    <w:rsid w:val="00986776"/>
    <w:rsid w:val="009878F5"/>
    <w:rsid w:val="009907CA"/>
    <w:rsid w:val="00990DCC"/>
    <w:rsid w:val="0099194D"/>
    <w:rsid w:val="00993106"/>
    <w:rsid w:val="0099336C"/>
    <w:rsid w:val="00993FF4"/>
    <w:rsid w:val="00994669"/>
    <w:rsid w:val="00994739"/>
    <w:rsid w:val="00994E0F"/>
    <w:rsid w:val="00995AEC"/>
    <w:rsid w:val="009963B3"/>
    <w:rsid w:val="00996755"/>
    <w:rsid w:val="00996F2B"/>
    <w:rsid w:val="009A3685"/>
    <w:rsid w:val="009A629A"/>
    <w:rsid w:val="009A70BC"/>
    <w:rsid w:val="009B0575"/>
    <w:rsid w:val="009B0600"/>
    <w:rsid w:val="009B1867"/>
    <w:rsid w:val="009B2A3E"/>
    <w:rsid w:val="009B5479"/>
    <w:rsid w:val="009C0FC3"/>
    <w:rsid w:val="009C1294"/>
    <w:rsid w:val="009C1F80"/>
    <w:rsid w:val="009C2F3B"/>
    <w:rsid w:val="009C5A75"/>
    <w:rsid w:val="009C72F6"/>
    <w:rsid w:val="009D0CB4"/>
    <w:rsid w:val="009D13CA"/>
    <w:rsid w:val="009D409A"/>
    <w:rsid w:val="009D426A"/>
    <w:rsid w:val="009D49B8"/>
    <w:rsid w:val="009D503A"/>
    <w:rsid w:val="009D5793"/>
    <w:rsid w:val="009D72E1"/>
    <w:rsid w:val="009D7EBD"/>
    <w:rsid w:val="009E0697"/>
    <w:rsid w:val="009E08FF"/>
    <w:rsid w:val="009E2539"/>
    <w:rsid w:val="009E4868"/>
    <w:rsid w:val="009E49BF"/>
    <w:rsid w:val="009E760D"/>
    <w:rsid w:val="009E7A59"/>
    <w:rsid w:val="009F121C"/>
    <w:rsid w:val="009F238D"/>
    <w:rsid w:val="009F4B6C"/>
    <w:rsid w:val="009F5BF6"/>
    <w:rsid w:val="009F6C68"/>
    <w:rsid w:val="009F75B1"/>
    <w:rsid w:val="00A01B58"/>
    <w:rsid w:val="00A01B65"/>
    <w:rsid w:val="00A029AB"/>
    <w:rsid w:val="00A035D9"/>
    <w:rsid w:val="00A03CB4"/>
    <w:rsid w:val="00A04D0B"/>
    <w:rsid w:val="00A05B37"/>
    <w:rsid w:val="00A071E8"/>
    <w:rsid w:val="00A07590"/>
    <w:rsid w:val="00A07C34"/>
    <w:rsid w:val="00A10B1F"/>
    <w:rsid w:val="00A10DEB"/>
    <w:rsid w:val="00A140F6"/>
    <w:rsid w:val="00A14428"/>
    <w:rsid w:val="00A15CA5"/>
    <w:rsid w:val="00A16611"/>
    <w:rsid w:val="00A175D3"/>
    <w:rsid w:val="00A20773"/>
    <w:rsid w:val="00A20C88"/>
    <w:rsid w:val="00A22A69"/>
    <w:rsid w:val="00A2381C"/>
    <w:rsid w:val="00A249BD"/>
    <w:rsid w:val="00A24B48"/>
    <w:rsid w:val="00A250F2"/>
    <w:rsid w:val="00A32AD0"/>
    <w:rsid w:val="00A3355E"/>
    <w:rsid w:val="00A343A0"/>
    <w:rsid w:val="00A36142"/>
    <w:rsid w:val="00A37052"/>
    <w:rsid w:val="00A37769"/>
    <w:rsid w:val="00A378F7"/>
    <w:rsid w:val="00A410A7"/>
    <w:rsid w:val="00A42B7B"/>
    <w:rsid w:val="00A43B9E"/>
    <w:rsid w:val="00A44BB0"/>
    <w:rsid w:val="00A4674E"/>
    <w:rsid w:val="00A46D8D"/>
    <w:rsid w:val="00A508AB"/>
    <w:rsid w:val="00A50F8F"/>
    <w:rsid w:val="00A51B5B"/>
    <w:rsid w:val="00A520D3"/>
    <w:rsid w:val="00A52964"/>
    <w:rsid w:val="00A52C23"/>
    <w:rsid w:val="00A53B0F"/>
    <w:rsid w:val="00A54004"/>
    <w:rsid w:val="00A6195C"/>
    <w:rsid w:val="00A62492"/>
    <w:rsid w:val="00A63560"/>
    <w:rsid w:val="00A63935"/>
    <w:rsid w:val="00A664FE"/>
    <w:rsid w:val="00A676E6"/>
    <w:rsid w:val="00A71364"/>
    <w:rsid w:val="00A71F0B"/>
    <w:rsid w:val="00A73E61"/>
    <w:rsid w:val="00A74B97"/>
    <w:rsid w:val="00A755C0"/>
    <w:rsid w:val="00A80775"/>
    <w:rsid w:val="00A80BD1"/>
    <w:rsid w:val="00A821CE"/>
    <w:rsid w:val="00A8277A"/>
    <w:rsid w:val="00A845E1"/>
    <w:rsid w:val="00A85790"/>
    <w:rsid w:val="00A866E7"/>
    <w:rsid w:val="00A87781"/>
    <w:rsid w:val="00A87C1C"/>
    <w:rsid w:val="00A9735A"/>
    <w:rsid w:val="00AA08EB"/>
    <w:rsid w:val="00AA09C1"/>
    <w:rsid w:val="00AA5A6C"/>
    <w:rsid w:val="00AA5B38"/>
    <w:rsid w:val="00AA5D60"/>
    <w:rsid w:val="00AB0758"/>
    <w:rsid w:val="00AB2804"/>
    <w:rsid w:val="00AB5BA6"/>
    <w:rsid w:val="00AB5EA7"/>
    <w:rsid w:val="00AB6A2A"/>
    <w:rsid w:val="00AB73A4"/>
    <w:rsid w:val="00AB76F0"/>
    <w:rsid w:val="00AB7D87"/>
    <w:rsid w:val="00AC0A96"/>
    <w:rsid w:val="00AC2422"/>
    <w:rsid w:val="00AC2F2A"/>
    <w:rsid w:val="00AC43AD"/>
    <w:rsid w:val="00AC4626"/>
    <w:rsid w:val="00AC5ACC"/>
    <w:rsid w:val="00AC649B"/>
    <w:rsid w:val="00AC6C2D"/>
    <w:rsid w:val="00AC6C49"/>
    <w:rsid w:val="00AC7415"/>
    <w:rsid w:val="00AD23D7"/>
    <w:rsid w:val="00AD5005"/>
    <w:rsid w:val="00AD5653"/>
    <w:rsid w:val="00AD5EA5"/>
    <w:rsid w:val="00AD70AC"/>
    <w:rsid w:val="00AE018D"/>
    <w:rsid w:val="00AE08B8"/>
    <w:rsid w:val="00AE1777"/>
    <w:rsid w:val="00AE2A88"/>
    <w:rsid w:val="00AE5A77"/>
    <w:rsid w:val="00AF00DA"/>
    <w:rsid w:val="00AF1063"/>
    <w:rsid w:val="00AF1B5E"/>
    <w:rsid w:val="00AF1F09"/>
    <w:rsid w:val="00AF2049"/>
    <w:rsid w:val="00AF308B"/>
    <w:rsid w:val="00AF4D67"/>
    <w:rsid w:val="00AF4DBB"/>
    <w:rsid w:val="00AF5337"/>
    <w:rsid w:val="00AF67BA"/>
    <w:rsid w:val="00AF68C4"/>
    <w:rsid w:val="00B01200"/>
    <w:rsid w:val="00B028A5"/>
    <w:rsid w:val="00B03515"/>
    <w:rsid w:val="00B03DE8"/>
    <w:rsid w:val="00B0505F"/>
    <w:rsid w:val="00B06372"/>
    <w:rsid w:val="00B0648D"/>
    <w:rsid w:val="00B06BB4"/>
    <w:rsid w:val="00B06F7E"/>
    <w:rsid w:val="00B111A2"/>
    <w:rsid w:val="00B11F3A"/>
    <w:rsid w:val="00B120ED"/>
    <w:rsid w:val="00B12BEB"/>
    <w:rsid w:val="00B13238"/>
    <w:rsid w:val="00B13F0D"/>
    <w:rsid w:val="00B1498A"/>
    <w:rsid w:val="00B14CE2"/>
    <w:rsid w:val="00B16D3A"/>
    <w:rsid w:val="00B16FE4"/>
    <w:rsid w:val="00B1742C"/>
    <w:rsid w:val="00B174E1"/>
    <w:rsid w:val="00B17F22"/>
    <w:rsid w:val="00B21B35"/>
    <w:rsid w:val="00B21D83"/>
    <w:rsid w:val="00B22766"/>
    <w:rsid w:val="00B2517D"/>
    <w:rsid w:val="00B30641"/>
    <w:rsid w:val="00B31772"/>
    <w:rsid w:val="00B35801"/>
    <w:rsid w:val="00B37034"/>
    <w:rsid w:val="00B3776C"/>
    <w:rsid w:val="00B40410"/>
    <w:rsid w:val="00B41DA4"/>
    <w:rsid w:val="00B42434"/>
    <w:rsid w:val="00B44370"/>
    <w:rsid w:val="00B471E0"/>
    <w:rsid w:val="00B47B03"/>
    <w:rsid w:val="00B47C8E"/>
    <w:rsid w:val="00B52124"/>
    <w:rsid w:val="00B524BC"/>
    <w:rsid w:val="00B5343E"/>
    <w:rsid w:val="00B5569D"/>
    <w:rsid w:val="00B55A87"/>
    <w:rsid w:val="00B60FA7"/>
    <w:rsid w:val="00B6256A"/>
    <w:rsid w:val="00B65DEF"/>
    <w:rsid w:val="00B66902"/>
    <w:rsid w:val="00B718EE"/>
    <w:rsid w:val="00B71DE9"/>
    <w:rsid w:val="00B73259"/>
    <w:rsid w:val="00B74B68"/>
    <w:rsid w:val="00B76742"/>
    <w:rsid w:val="00B76978"/>
    <w:rsid w:val="00B77007"/>
    <w:rsid w:val="00B77E7B"/>
    <w:rsid w:val="00B810DC"/>
    <w:rsid w:val="00B8286B"/>
    <w:rsid w:val="00B83241"/>
    <w:rsid w:val="00B84D2A"/>
    <w:rsid w:val="00B855E1"/>
    <w:rsid w:val="00B861EA"/>
    <w:rsid w:val="00B91016"/>
    <w:rsid w:val="00B92478"/>
    <w:rsid w:val="00B9305A"/>
    <w:rsid w:val="00B930D2"/>
    <w:rsid w:val="00B93623"/>
    <w:rsid w:val="00B9419C"/>
    <w:rsid w:val="00B9428C"/>
    <w:rsid w:val="00B95F0D"/>
    <w:rsid w:val="00B97AF0"/>
    <w:rsid w:val="00BA00C4"/>
    <w:rsid w:val="00BA0D61"/>
    <w:rsid w:val="00BA2A34"/>
    <w:rsid w:val="00BA3977"/>
    <w:rsid w:val="00BA3C41"/>
    <w:rsid w:val="00BA3CFF"/>
    <w:rsid w:val="00BA4191"/>
    <w:rsid w:val="00BA5007"/>
    <w:rsid w:val="00BA5564"/>
    <w:rsid w:val="00BA5B07"/>
    <w:rsid w:val="00BA5C13"/>
    <w:rsid w:val="00BA6580"/>
    <w:rsid w:val="00BA794F"/>
    <w:rsid w:val="00BB08B8"/>
    <w:rsid w:val="00BB0A83"/>
    <w:rsid w:val="00BB1CBB"/>
    <w:rsid w:val="00BB6C59"/>
    <w:rsid w:val="00BB747C"/>
    <w:rsid w:val="00BB7CA2"/>
    <w:rsid w:val="00BC19EE"/>
    <w:rsid w:val="00BC35C7"/>
    <w:rsid w:val="00BC710A"/>
    <w:rsid w:val="00BD0C1C"/>
    <w:rsid w:val="00BD0C1E"/>
    <w:rsid w:val="00BD2880"/>
    <w:rsid w:val="00BD311C"/>
    <w:rsid w:val="00BD6D3E"/>
    <w:rsid w:val="00BD73E7"/>
    <w:rsid w:val="00BD793C"/>
    <w:rsid w:val="00BE03AB"/>
    <w:rsid w:val="00BE0430"/>
    <w:rsid w:val="00BE22DF"/>
    <w:rsid w:val="00BE57ED"/>
    <w:rsid w:val="00BE7827"/>
    <w:rsid w:val="00BF09FE"/>
    <w:rsid w:val="00BF1B2D"/>
    <w:rsid w:val="00BF2165"/>
    <w:rsid w:val="00BF2E0D"/>
    <w:rsid w:val="00BF33DA"/>
    <w:rsid w:val="00BF354D"/>
    <w:rsid w:val="00BF3AC2"/>
    <w:rsid w:val="00BF57D0"/>
    <w:rsid w:val="00BF79CD"/>
    <w:rsid w:val="00C01B92"/>
    <w:rsid w:val="00C03208"/>
    <w:rsid w:val="00C03434"/>
    <w:rsid w:val="00C0424A"/>
    <w:rsid w:val="00C04B76"/>
    <w:rsid w:val="00C05774"/>
    <w:rsid w:val="00C06960"/>
    <w:rsid w:val="00C072B1"/>
    <w:rsid w:val="00C10B20"/>
    <w:rsid w:val="00C1114B"/>
    <w:rsid w:val="00C111F7"/>
    <w:rsid w:val="00C15F32"/>
    <w:rsid w:val="00C177FC"/>
    <w:rsid w:val="00C205A4"/>
    <w:rsid w:val="00C23115"/>
    <w:rsid w:val="00C23BC3"/>
    <w:rsid w:val="00C26190"/>
    <w:rsid w:val="00C26CA1"/>
    <w:rsid w:val="00C274F7"/>
    <w:rsid w:val="00C321DB"/>
    <w:rsid w:val="00C3227F"/>
    <w:rsid w:val="00C344C0"/>
    <w:rsid w:val="00C3470D"/>
    <w:rsid w:val="00C36FF3"/>
    <w:rsid w:val="00C37271"/>
    <w:rsid w:val="00C4148F"/>
    <w:rsid w:val="00C44A36"/>
    <w:rsid w:val="00C4547D"/>
    <w:rsid w:val="00C45989"/>
    <w:rsid w:val="00C50818"/>
    <w:rsid w:val="00C50B38"/>
    <w:rsid w:val="00C51681"/>
    <w:rsid w:val="00C5201F"/>
    <w:rsid w:val="00C54151"/>
    <w:rsid w:val="00C55C21"/>
    <w:rsid w:val="00C57D99"/>
    <w:rsid w:val="00C60FFB"/>
    <w:rsid w:val="00C61B0E"/>
    <w:rsid w:val="00C61C26"/>
    <w:rsid w:val="00C61EDB"/>
    <w:rsid w:val="00C62438"/>
    <w:rsid w:val="00C63D41"/>
    <w:rsid w:val="00C63E9B"/>
    <w:rsid w:val="00C6426D"/>
    <w:rsid w:val="00C64955"/>
    <w:rsid w:val="00C65574"/>
    <w:rsid w:val="00C67B46"/>
    <w:rsid w:val="00C710EA"/>
    <w:rsid w:val="00C72352"/>
    <w:rsid w:val="00C725AD"/>
    <w:rsid w:val="00C72630"/>
    <w:rsid w:val="00C73539"/>
    <w:rsid w:val="00C7359C"/>
    <w:rsid w:val="00C74959"/>
    <w:rsid w:val="00C760E9"/>
    <w:rsid w:val="00C77BF3"/>
    <w:rsid w:val="00C8044B"/>
    <w:rsid w:val="00C80B59"/>
    <w:rsid w:val="00C81157"/>
    <w:rsid w:val="00C81171"/>
    <w:rsid w:val="00C83641"/>
    <w:rsid w:val="00C84AEB"/>
    <w:rsid w:val="00C851FF"/>
    <w:rsid w:val="00C8522A"/>
    <w:rsid w:val="00C85CFE"/>
    <w:rsid w:val="00C85E7A"/>
    <w:rsid w:val="00C9009B"/>
    <w:rsid w:val="00C91545"/>
    <w:rsid w:val="00C915E9"/>
    <w:rsid w:val="00C9400A"/>
    <w:rsid w:val="00C952F8"/>
    <w:rsid w:val="00C9609F"/>
    <w:rsid w:val="00C96981"/>
    <w:rsid w:val="00C974C8"/>
    <w:rsid w:val="00CA1359"/>
    <w:rsid w:val="00CA1448"/>
    <w:rsid w:val="00CA32BF"/>
    <w:rsid w:val="00CA3351"/>
    <w:rsid w:val="00CA3427"/>
    <w:rsid w:val="00CA5356"/>
    <w:rsid w:val="00CA5951"/>
    <w:rsid w:val="00CA59DA"/>
    <w:rsid w:val="00CB0557"/>
    <w:rsid w:val="00CB0BA5"/>
    <w:rsid w:val="00CB379B"/>
    <w:rsid w:val="00CB4183"/>
    <w:rsid w:val="00CB5408"/>
    <w:rsid w:val="00CB667D"/>
    <w:rsid w:val="00CB6B9F"/>
    <w:rsid w:val="00CC2537"/>
    <w:rsid w:val="00CC2925"/>
    <w:rsid w:val="00CC30C2"/>
    <w:rsid w:val="00CC3AC8"/>
    <w:rsid w:val="00CC7548"/>
    <w:rsid w:val="00CC77A8"/>
    <w:rsid w:val="00CD06EE"/>
    <w:rsid w:val="00CD07C6"/>
    <w:rsid w:val="00CD13A9"/>
    <w:rsid w:val="00CD1A91"/>
    <w:rsid w:val="00CD2733"/>
    <w:rsid w:val="00CD3C2F"/>
    <w:rsid w:val="00CD4AE7"/>
    <w:rsid w:val="00CD4BEB"/>
    <w:rsid w:val="00CD517F"/>
    <w:rsid w:val="00CD59EF"/>
    <w:rsid w:val="00CD5A5A"/>
    <w:rsid w:val="00CD6767"/>
    <w:rsid w:val="00CD6821"/>
    <w:rsid w:val="00CE0BB8"/>
    <w:rsid w:val="00CE118C"/>
    <w:rsid w:val="00CE1BD6"/>
    <w:rsid w:val="00CE23F5"/>
    <w:rsid w:val="00CE2A8D"/>
    <w:rsid w:val="00CE2A8E"/>
    <w:rsid w:val="00CE3E50"/>
    <w:rsid w:val="00CE4ABA"/>
    <w:rsid w:val="00CF0B85"/>
    <w:rsid w:val="00CF0C3A"/>
    <w:rsid w:val="00CF1E97"/>
    <w:rsid w:val="00CF3051"/>
    <w:rsid w:val="00CF3181"/>
    <w:rsid w:val="00CF35C9"/>
    <w:rsid w:val="00CF7724"/>
    <w:rsid w:val="00D00246"/>
    <w:rsid w:val="00D00ADE"/>
    <w:rsid w:val="00D01FBD"/>
    <w:rsid w:val="00D027C8"/>
    <w:rsid w:val="00D032A6"/>
    <w:rsid w:val="00D045C3"/>
    <w:rsid w:val="00D055F1"/>
    <w:rsid w:val="00D0591D"/>
    <w:rsid w:val="00D059D1"/>
    <w:rsid w:val="00D05E42"/>
    <w:rsid w:val="00D10835"/>
    <w:rsid w:val="00D11C60"/>
    <w:rsid w:val="00D124AB"/>
    <w:rsid w:val="00D14ED4"/>
    <w:rsid w:val="00D17810"/>
    <w:rsid w:val="00D17E02"/>
    <w:rsid w:val="00D208E0"/>
    <w:rsid w:val="00D23636"/>
    <w:rsid w:val="00D30A68"/>
    <w:rsid w:val="00D30D14"/>
    <w:rsid w:val="00D3108B"/>
    <w:rsid w:val="00D31136"/>
    <w:rsid w:val="00D312AA"/>
    <w:rsid w:val="00D31AB9"/>
    <w:rsid w:val="00D32740"/>
    <w:rsid w:val="00D32783"/>
    <w:rsid w:val="00D32831"/>
    <w:rsid w:val="00D34857"/>
    <w:rsid w:val="00D34D02"/>
    <w:rsid w:val="00D36FC8"/>
    <w:rsid w:val="00D37A8F"/>
    <w:rsid w:val="00D40ACE"/>
    <w:rsid w:val="00D40EBD"/>
    <w:rsid w:val="00D40F00"/>
    <w:rsid w:val="00D41D6F"/>
    <w:rsid w:val="00D42A36"/>
    <w:rsid w:val="00D43F7B"/>
    <w:rsid w:val="00D445D2"/>
    <w:rsid w:val="00D45607"/>
    <w:rsid w:val="00D4603B"/>
    <w:rsid w:val="00D4776F"/>
    <w:rsid w:val="00D506B1"/>
    <w:rsid w:val="00D50D28"/>
    <w:rsid w:val="00D51DB1"/>
    <w:rsid w:val="00D552EB"/>
    <w:rsid w:val="00D5545D"/>
    <w:rsid w:val="00D55594"/>
    <w:rsid w:val="00D56D3C"/>
    <w:rsid w:val="00D61462"/>
    <w:rsid w:val="00D61DC0"/>
    <w:rsid w:val="00D625C4"/>
    <w:rsid w:val="00D62FE6"/>
    <w:rsid w:val="00D632E7"/>
    <w:rsid w:val="00D640A1"/>
    <w:rsid w:val="00D643FB"/>
    <w:rsid w:val="00D64F40"/>
    <w:rsid w:val="00D7084F"/>
    <w:rsid w:val="00D71901"/>
    <w:rsid w:val="00D71F73"/>
    <w:rsid w:val="00D72AD1"/>
    <w:rsid w:val="00D73BBC"/>
    <w:rsid w:val="00D778A2"/>
    <w:rsid w:val="00D778F0"/>
    <w:rsid w:val="00D77B65"/>
    <w:rsid w:val="00D806F9"/>
    <w:rsid w:val="00D81D5B"/>
    <w:rsid w:val="00D82841"/>
    <w:rsid w:val="00D8611B"/>
    <w:rsid w:val="00D86240"/>
    <w:rsid w:val="00D914A7"/>
    <w:rsid w:val="00D93396"/>
    <w:rsid w:val="00D93A24"/>
    <w:rsid w:val="00D93A31"/>
    <w:rsid w:val="00D93DA0"/>
    <w:rsid w:val="00D93DD9"/>
    <w:rsid w:val="00D946AA"/>
    <w:rsid w:val="00DA1CBC"/>
    <w:rsid w:val="00DA2D91"/>
    <w:rsid w:val="00DA3FCE"/>
    <w:rsid w:val="00DA4686"/>
    <w:rsid w:val="00DA52D2"/>
    <w:rsid w:val="00DA594E"/>
    <w:rsid w:val="00DA6B8B"/>
    <w:rsid w:val="00DA6D80"/>
    <w:rsid w:val="00DB0D2A"/>
    <w:rsid w:val="00DB16FC"/>
    <w:rsid w:val="00DB306A"/>
    <w:rsid w:val="00DB30A2"/>
    <w:rsid w:val="00DB4EA0"/>
    <w:rsid w:val="00DB4FD0"/>
    <w:rsid w:val="00DB5521"/>
    <w:rsid w:val="00DB5FAD"/>
    <w:rsid w:val="00DB7697"/>
    <w:rsid w:val="00DB7AFB"/>
    <w:rsid w:val="00DC0842"/>
    <w:rsid w:val="00DC14E3"/>
    <w:rsid w:val="00DC4BB0"/>
    <w:rsid w:val="00DC59D1"/>
    <w:rsid w:val="00DC7A90"/>
    <w:rsid w:val="00DD2EAC"/>
    <w:rsid w:val="00DD2FF3"/>
    <w:rsid w:val="00DD3156"/>
    <w:rsid w:val="00DD5EC9"/>
    <w:rsid w:val="00DD62BF"/>
    <w:rsid w:val="00DD69D8"/>
    <w:rsid w:val="00DD6C9B"/>
    <w:rsid w:val="00DE0093"/>
    <w:rsid w:val="00DE13B8"/>
    <w:rsid w:val="00DE1C9E"/>
    <w:rsid w:val="00DE343E"/>
    <w:rsid w:val="00DE5751"/>
    <w:rsid w:val="00DE68D8"/>
    <w:rsid w:val="00DE6A5E"/>
    <w:rsid w:val="00DE6E08"/>
    <w:rsid w:val="00DF0157"/>
    <w:rsid w:val="00DF346E"/>
    <w:rsid w:val="00DF5243"/>
    <w:rsid w:val="00DF6DE9"/>
    <w:rsid w:val="00E012B4"/>
    <w:rsid w:val="00E0141D"/>
    <w:rsid w:val="00E018EA"/>
    <w:rsid w:val="00E01991"/>
    <w:rsid w:val="00E01F69"/>
    <w:rsid w:val="00E02AD4"/>
    <w:rsid w:val="00E034E7"/>
    <w:rsid w:val="00E0516D"/>
    <w:rsid w:val="00E052EF"/>
    <w:rsid w:val="00E06081"/>
    <w:rsid w:val="00E0633A"/>
    <w:rsid w:val="00E07664"/>
    <w:rsid w:val="00E07880"/>
    <w:rsid w:val="00E1030B"/>
    <w:rsid w:val="00E12963"/>
    <w:rsid w:val="00E12CBE"/>
    <w:rsid w:val="00E13A13"/>
    <w:rsid w:val="00E152BA"/>
    <w:rsid w:val="00E158F0"/>
    <w:rsid w:val="00E16117"/>
    <w:rsid w:val="00E1708C"/>
    <w:rsid w:val="00E22930"/>
    <w:rsid w:val="00E240F6"/>
    <w:rsid w:val="00E24755"/>
    <w:rsid w:val="00E2542B"/>
    <w:rsid w:val="00E27CE1"/>
    <w:rsid w:val="00E339F6"/>
    <w:rsid w:val="00E33B5F"/>
    <w:rsid w:val="00E33D09"/>
    <w:rsid w:val="00E35189"/>
    <w:rsid w:val="00E4030D"/>
    <w:rsid w:val="00E41ABC"/>
    <w:rsid w:val="00E440E7"/>
    <w:rsid w:val="00E446E8"/>
    <w:rsid w:val="00E44963"/>
    <w:rsid w:val="00E44E9E"/>
    <w:rsid w:val="00E45202"/>
    <w:rsid w:val="00E45FCA"/>
    <w:rsid w:val="00E460F4"/>
    <w:rsid w:val="00E464BC"/>
    <w:rsid w:val="00E475FB"/>
    <w:rsid w:val="00E479BD"/>
    <w:rsid w:val="00E50ED9"/>
    <w:rsid w:val="00E51A75"/>
    <w:rsid w:val="00E52EE4"/>
    <w:rsid w:val="00E52F58"/>
    <w:rsid w:val="00E53069"/>
    <w:rsid w:val="00E53F35"/>
    <w:rsid w:val="00E54E90"/>
    <w:rsid w:val="00E55748"/>
    <w:rsid w:val="00E55EEF"/>
    <w:rsid w:val="00E57D19"/>
    <w:rsid w:val="00E60391"/>
    <w:rsid w:val="00E61953"/>
    <w:rsid w:val="00E6691C"/>
    <w:rsid w:val="00E71D84"/>
    <w:rsid w:val="00E73182"/>
    <w:rsid w:val="00E75F89"/>
    <w:rsid w:val="00E766CB"/>
    <w:rsid w:val="00E81117"/>
    <w:rsid w:val="00E8185B"/>
    <w:rsid w:val="00E82C1E"/>
    <w:rsid w:val="00E8367D"/>
    <w:rsid w:val="00E83941"/>
    <w:rsid w:val="00E8450F"/>
    <w:rsid w:val="00E84654"/>
    <w:rsid w:val="00E8503F"/>
    <w:rsid w:val="00E85853"/>
    <w:rsid w:val="00E964F7"/>
    <w:rsid w:val="00E97F24"/>
    <w:rsid w:val="00EA0E62"/>
    <w:rsid w:val="00EA1CD0"/>
    <w:rsid w:val="00EA5187"/>
    <w:rsid w:val="00EA70A5"/>
    <w:rsid w:val="00EB140C"/>
    <w:rsid w:val="00EB20A3"/>
    <w:rsid w:val="00EB4C6E"/>
    <w:rsid w:val="00EB590C"/>
    <w:rsid w:val="00EB5B78"/>
    <w:rsid w:val="00EB659A"/>
    <w:rsid w:val="00EB69B1"/>
    <w:rsid w:val="00EB6F2D"/>
    <w:rsid w:val="00EC0916"/>
    <w:rsid w:val="00EC151A"/>
    <w:rsid w:val="00EC1DF4"/>
    <w:rsid w:val="00EC2800"/>
    <w:rsid w:val="00EC2926"/>
    <w:rsid w:val="00EC2D9F"/>
    <w:rsid w:val="00EC542A"/>
    <w:rsid w:val="00EC5643"/>
    <w:rsid w:val="00EC58DD"/>
    <w:rsid w:val="00EC7227"/>
    <w:rsid w:val="00EC7FE6"/>
    <w:rsid w:val="00ED22B1"/>
    <w:rsid w:val="00ED3BF1"/>
    <w:rsid w:val="00ED4455"/>
    <w:rsid w:val="00ED70FE"/>
    <w:rsid w:val="00ED79F8"/>
    <w:rsid w:val="00EE1115"/>
    <w:rsid w:val="00EE6BFE"/>
    <w:rsid w:val="00EE7DD5"/>
    <w:rsid w:val="00EF1BD1"/>
    <w:rsid w:val="00EF28E0"/>
    <w:rsid w:val="00EF29C1"/>
    <w:rsid w:val="00EF4D27"/>
    <w:rsid w:val="00EF4F06"/>
    <w:rsid w:val="00EF5D3B"/>
    <w:rsid w:val="00EF641D"/>
    <w:rsid w:val="00EF7361"/>
    <w:rsid w:val="00EF7940"/>
    <w:rsid w:val="00F0037C"/>
    <w:rsid w:val="00F04937"/>
    <w:rsid w:val="00F05C9E"/>
    <w:rsid w:val="00F0652F"/>
    <w:rsid w:val="00F10312"/>
    <w:rsid w:val="00F11CAD"/>
    <w:rsid w:val="00F12133"/>
    <w:rsid w:val="00F12DAD"/>
    <w:rsid w:val="00F13B2F"/>
    <w:rsid w:val="00F13E9A"/>
    <w:rsid w:val="00F159A9"/>
    <w:rsid w:val="00F15BB7"/>
    <w:rsid w:val="00F15DD8"/>
    <w:rsid w:val="00F15E16"/>
    <w:rsid w:val="00F164D5"/>
    <w:rsid w:val="00F17E8A"/>
    <w:rsid w:val="00F20E37"/>
    <w:rsid w:val="00F2216C"/>
    <w:rsid w:val="00F2244D"/>
    <w:rsid w:val="00F2285E"/>
    <w:rsid w:val="00F2363A"/>
    <w:rsid w:val="00F236B5"/>
    <w:rsid w:val="00F24C72"/>
    <w:rsid w:val="00F27B60"/>
    <w:rsid w:val="00F27EEB"/>
    <w:rsid w:val="00F33B51"/>
    <w:rsid w:val="00F33FB7"/>
    <w:rsid w:val="00F351BA"/>
    <w:rsid w:val="00F35568"/>
    <w:rsid w:val="00F36ACD"/>
    <w:rsid w:val="00F37DFD"/>
    <w:rsid w:val="00F40C90"/>
    <w:rsid w:val="00F42843"/>
    <w:rsid w:val="00F429B2"/>
    <w:rsid w:val="00F43D8E"/>
    <w:rsid w:val="00F442F3"/>
    <w:rsid w:val="00F44E1B"/>
    <w:rsid w:val="00F45EA9"/>
    <w:rsid w:val="00F45F50"/>
    <w:rsid w:val="00F521C6"/>
    <w:rsid w:val="00F53173"/>
    <w:rsid w:val="00F53D78"/>
    <w:rsid w:val="00F5582C"/>
    <w:rsid w:val="00F55EC0"/>
    <w:rsid w:val="00F55EC1"/>
    <w:rsid w:val="00F60855"/>
    <w:rsid w:val="00F64013"/>
    <w:rsid w:val="00F64396"/>
    <w:rsid w:val="00F64DCC"/>
    <w:rsid w:val="00F703F4"/>
    <w:rsid w:val="00F715FA"/>
    <w:rsid w:val="00F71B78"/>
    <w:rsid w:val="00F728F1"/>
    <w:rsid w:val="00F73016"/>
    <w:rsid w:val="00F737A9"/>
    <w:rsid w:val="00F738B8"/>
    <w:rsid w:val="00F7450B"/>
    <w:rsid w:val="00F74EE4"/>
    <w:rsid w:val="00F76750"/>
    <w:rsid w:val="00F76BB5"/>
    <w:rsid w:val="00F77E36"/>
    <w:rsid w:val="00F8279A"/>
    <w:rsid w:val="00F82CB6"/>
    <w:rsid w:val="00F8320B"/>
    <w:rsid w:val="00F85757"/>
    <w:rsid w:val="00F8598E"/>
    <w:rsid w:val="00F85B97"/>
    <w:rsid w:val="00F8645D"/>
    <w:rsid w:val="00F9070E"/>
    <w:rsid w:val="00F9091B"/>
    <w:rsid w:val="00F91075"/>
    <w:rsid w:val="00F91269"/>
    <w:rsid w:val="00F91EC4"/>
    <w:rsid w:val="00F93811"/>
    <w:rsid w:val="00F96ACB"/>
    <w:rsid w:val="00F96B70"/>
    <w:rsid w:val="00F96C53"/>
    <w:rsid w:val="00F97D46"/>
    <w:rsid w:val="00FA1AD5"/>
    <w:rsid w:val="00FA225D"/>
    <w:rsid w:val="00FA546F"/>
    <w:rsid w:val="00FA615E"/>
    <w:rsid w:val="00FA7961"/>
    <w:rsid w:val="00FB0236"/>
    <w:rsid w:val="00FB0D97"/>
    <w:rsid w:val="00FB328E"/>
    <w:rsid w:val="00FC0248"/>
    <w:rsid w:val="00FC1E07"/>
    <w:rsid w:val="00FC48F8"/>
    <w:rsid w:val="00FC4B37"/>
    <w:rsid w:val="00FC4B6F"/>
    <w:rsid w:val="00FD5E44"/>
    <w:rsid w:val="00FD63CC"/>
    <w:rsid w:val="00FE15CC"/>
    <w:rsid w:val="00FE18B5"/>
    <w:rsid w:val="00FE57E2"/>
    <w:rsid w:val="00FE6050"/>
    <w:rsid w:val="00FE6160"/>
    <w:rsid w:val="00FE7E3B"/>
    <w:rsid w:val="00FF4673"/>
    <w:rsid w:val="00FF577B"/>
    <w:rsid w:val="00FF7AB2"/>
    <w:rsid w:val="00FF7C35"/>
  </w:rsids>
  <m:mathPr>
    <m:mathFont m:val="Cambria Math"/>
    <m:brkBin m:val="before"/>
    <m:brkBinSub m:val="--"/>
    <m:smallFrac/>
    <m:dispDef/>
    <m:lMargin m:val="0"/>
    <m:rMargin m:val="0"/>
    <m:defJc m:val="centerGroup"/>
    <m:wrapIndent m:val="1440"/>
    <m:intLim m:val="subSup"/>
    <m:naryLim m:val="undOvr"/>
  </m:mathPr>
  <w:themeFontLang w:val="hr-H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EA258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footer" w:uiPriority="0"/>
    <w:lsdException w:name="caption" w:uiPriority="35" w:qFormat="1"/>
    <w:lsdException w:name="footnote reference" w:uiPriority="0"/>
    <w:lsdException w:name="annotation reference" w:uiPriority="0"/>
    <w:lsdException w:name="page number" w:uiPriority="0"/>
    <w:lsdException w:name="Title" w:semiHidden="0" w:uiPriority="0" w:unhideWhenUsed="0" w:qFormat="1"/>
    <w:lsdException w:name="Default Paragraph Font" w:uiPriority="1"/>
    <w:lsdException w:name="Subtitle" w:semiHidden="0" w:uiPriority="11" w:unhideWhenUsed="0" w:qFormat="1"/>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49BF"/>
    <w:pPr>
      <w:spacing w:after="120" w:line="360" w:lineRule="auto"/>
      <w:jc w:val="both"/>
    </w:pPr>
    <w:rPr>
      <w:rFonts w:ascii="Times New Roman" w:hAnsi="Times New Roman" w:cs="Times New Roman"/>
      <w:lang w:eastAsia="zh-CN"/>
    </w:rPr>
  </w:style>
  <w:style w:type="paragraph" w:styleId="Heading1">
    <w:name w:val="heading 1"/>
    <w:next w:val="Normal"/>
    <w:link w:val="Heading1Char"/>
    <w:qFormat/>
    <w:rsid w:val="002A08B5"/>
    <w:pPr>
      <w:keepNext/>
      <w:numPr>
        <w:numId w:val="5"/>
      </w:numPr>
      <w:spacing w:after="120" w:line="360" w:lineRule="auto"/>
      <w:outlineLvl w:val="0"/>
    </w:pPr>
    <w:rPr>
      <w:rFonts w:ascii="Times New Roman" w:eastAsia="ヒラギノ角ゴ Pro W3" w:hAnsi="Times New Roman" w:cs="Times New Roman"/>
      <w:b/>
      <w:color w:val="000000"/>
      <w:szCs w:val="28"/>
      <w:lang w:val="en-GB"/>
    </w:rPr>
  </w:style>
  <w:style w:type="paragraph" w:styleId="Heading2">
    <w:name w:val="heading 2"/>
    <w:next w:val="Body"/>
    <w:link w:val="Heading2Char"/>
    <w:qFormat/>
    <w:rsid w:val="002A08B5"/>
    <w:pPr>
      <w:keepNext/>
      <w:numPr>
        <w:ilvl w:val="1"/>
        <w:numId w:val="5"/>
      </w:numPr>
      <w:spacing w:after="120" w:line="360" w:lineRule="auto"/>
      <w:outlineLvl w:val="1"/>
    </w:pPr>
    <w:rPr>
      <w:rFonts w:ascii="Times New Roman" w:eastAsia="ヒラギノ角ゴ Pro W3" w:hAnsi="Times New Roman" w:cs="Times New Roman"/>
      <w:b/>
      <w:color w:val="000000"/>
      <w:szCs w:val="20"/>
    </w:rPr>
  </w:style>
  <w:style w:type="paragraph" w:styleId="Heading3">
    <w:name w:val="heading 3"/>
    <w:next w:val="Body"/>
    <w:link w:val="Heading3Char"/>
    <w:qFormat/>
    <w:rsid w:val="0099194D"/>
    <w:pPr>
      <w:keepNext/>
      <w:numPr>
        <w:ilvl w:val="2"/>
        <w:numId w:val="5"/>
      </w:numPr>
      <w:outlineLvl w:val="2"/>
    </w:pPr>
    <w:rPr>
      <w:rFonts w:ascii="Helvetica" w:eastAsia="ヒラギノ角ゴ Pro W3" w:hAnsi="Helvetica" w:cs="Times New Roman"/>
      <w:b/>
      <w:color w:val="000000"/>
      <w:szCs w:val="20"/>
    </w:rPr>
  </w:style>
  <w:style w:type="paragraph" w:styleId="Heading4">
    <w:name w:val="heading 4"/>
    <w:basedOn w:val="Normal"/>
    <w:next w:val="Normal"/>
    <w:link w:val="Heading4Char"/>
    <w:uiPriority w:val="9"/>
    <w:unhideWhenUsed/>
    <w:qFormat/>
    <w:rsid w:val="00FC4B37"/>
    <w:pPr>
      <w:keepNext/>
      <w:keepLines/>
      <w:numPr>
        <w:ilvl w:val="3"/>
        <w:numId w:val="5"/>
      </w:numPr>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2A08B5"/>
    <w:pPr>
      <w:keepNext/>
      <w:keepLines/>
      <w:numPr>
        <w:ilvl w:val="4"/>
        <w:numId w:val="5"/>
      </w:numPr>
      <w:spacing w:before="40" w:after="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2A08B5"/>
    <w:pPr>
      <w:keepNext/>
      <w:keepLines/>
      <w:numPr>
        <w:ilvl w:val="5"/>
        <w:numId w:val="5"/>
      </w:numPr>
      <w:spacing w:before="40" w:after="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2A08B5"/>
    <w:pPr>
      <w:keepNext/>
      <w:keepLines/>
      <w:numPr>
        <w:ilvl w:val="6"/>
        <w:numId w:val="5"/>
      </w:numPr>
      <w:spacing w:before="40" w:after="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2A08B5"/>
    <w:pPr>
      <w:keepNext/>
      <w:keepLines/>
      <w:numPr>
        <w:ilvl w:val="7"/>
        <w:numId w:val="5"/>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2A08B5"/>
    <w:pPr>
      <w:keepNext/>
      <w:keepLines/>
      <w:numPr>
        <w:ilvl w:val="8"/>
        <w:numId w:val="5"/>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E49BF"/>
    <w:rPr>
      <w:rFonts w:ascii="Times New Roman" w:eastAsia="ヒラギノ角ゴ Pro W3" w:hAnsi="Times New Roman" w:cs="Times New Roman"/>
      <w:b/>
      <w:color w:val="000000"/>
      <w:szCs w:val="28"/>
      <w:lang w:val="en-GB"/>
    </w:rPr>
  </w:style>
  <w:style w:type="character" w:customStyle="1" w:styleId="Heading2Char">
    <w:name w:val="Heading 2 Char"/>
    <w:basedOn w:val="DefaultParagraphFont"/>
    <w:link w:val="Heading2"/>
    <w:rsid w:val="002A08B5"/>
    <w:rPr>
      <w:rFonts w:ascii="Times New Roman" w:eastAsia="ヒラギノ角ゴ Pro W3" w:hAnsi="Times New Roman" w:cs="Times New Roman"/>
      <w:b/>
      <w:color w:val="000000"/>
      <w:szCs w:val="20"/>
    </w:rPr>
  </w:style>
  <w:style w:type="character" w:customStyle="1" w:styleId="Heading3Char">
    <w:name w:val="Heading 3 Char"/>
    <w:basedOn w:val="DefaultParagraphFont"/>
    <w:link w:val="Heading3"/>
    <w:rsid w:val="0099194D"/>
    <w:rPr>
      <w:rFonts w:ascii="Helvetica" w:eastAsia="ヒラギノ角ゴ Pro W3" w:hAnsi="Helvetica" w:cs="Times New Roman"/>
      <w:b/>
      <w:color w:val="000000"/>
      <w:szCs w:val="20"/>
    </w:rPr>
  </w:style>
  <w:style w:type="paragraph" w:customStyle="1" w:styleId="HeaderFooter">
    <w:name w:val="Header &amp; Footer"/>
    <w:rsid w:val="0099194D"/>
    <w:pPr>
      <w:tabs>
        <w:tab w:val="right" w:pos="9360"/>
      </w:tabs>
    </w:pPr>
    <w:rPr>
      <w:rFonts w:ascii="Helvetica" w:eastAsia="ヒラギノ角ゴ Pro W3" w:hAnsi="Helvetica" w:cs="Times New Roman"/>
      <w:color w:val="000000"/>
      <w:sz w:val="20"/>
      <w:szCs w:val="20"/>
    </w:rPr>
  </w:style>
  <w:style w:type="paragraph" w:customStyle="1" w:styleId="Body">
    <w:name w:val="Body"/>
    <w:rsid w:val="0099194D"/>
    <w:rPr>
      <w:rFonts w:ascii="Helvetica" w:eastAsia="ヒラギノ角ゴ Pro W3" w:hAnsi="Helvetica" w:cs="Times New Roman"/>
      <w:color w:val="000000"/>
      <w:szCs w:val="20"/>
    </w:rPr>
  </w:style>
  <w:style w:type="paragraph" w:customStyle="1" w:styleId="LightList1">
    <w:name w:val="Light List1"/>
    <w:rsid w:val="0099194D"/>
    <w:rPr>
      <w:rFonts w:ascii="Cambria" w:eastAsia="ヒラギノ角ゴ Pro W3" w:hAnsi="Cambria" w:cs="Times New Roman"/>
      <w:color w:val="000000"/>
      <w:szCs w:val="20"/>
    </w:rPr>
  </w:style>
  <w:style w:type="character" w:styleId="Hyperlink">
    <w:name w:val="Hyperlink"/>
    <w:uiPriority w:val="99"/>
    <w:rsid w:val="0099194D"/>
    <w:rPr>
      <w:color w:val="0000FF"/>
      <w:u w:val="single"/>
    </w:rPr>
  </w:style>
  <w:style w:type="paragraph" w:styleId="Footer">
    <w:name w:val="footer"/>
    <w:basedOn w:val="Normal"/>
    <w:link w:val="FooterChar"/>
    <w:rsid w:val="0099194D"/>
    <w:pPr>
      <w:widowControl w:val="0"/>
      <w:tabs>
        <w:tab w:val="center" w:pos="4320"/>
        <w:tab w:val="right" w:pos="8640"/>
      </w:tabs>
      <w:suppressAutoHyphens/>
    </w:pPr>
    <w:rPr>
      <w:rFonts w:eastAsia="ヒラギノ角ゴ Pro W3"/>
      <w:color w:val="000000"/>
      <w:kern w:val="1"/>
      <w:lang w:eastAsia="en-US"/>
    </w:rPr>
  </w:style>
  <w:style w:type="character" w:customStyle="1" w:styleId="FooterChar">
    <w:name w:val="Footer Char"/>
    <w:basedOn w:val="DefaultParagraphFont"/>
    <w:link w:val="Footer"/>
    <w:rsid w:val="0099194D"/>
    <w:rPr>
      <w:rFonts w:ascii="Times New Roman" w:eastAsia="ヒラギノ角ゴ Pro W3" w:hAnsi="Times New Roman" w:cs="Times New Roman"/>
      <w:color w:val="000000"/>
      <w:kern w:val="1"/>
      <w:lang w:val="en-US"/>
    </w:rPr>
  </w:style>
  <w:style w:type="character" w:styleId="PageNumber">
    <w:name w:val="page number"/>
    <w:rsid w:val="0099194D"/>
  </w:style>
  <w:style w:type="paragraph" w:styleId="FootnoteText">
    <w:name w:val="footnote text"/>
    <w:basedOn w:val="Normal"/>
    <w:link w:val="FootnoteTextChar"/>
    <w:rsid w:val="0099194D"/>
    <w:pPr>
      <w:widowControl w:val="0"/>
      <w:suppressAutoHyphens/>
    </w:pPr>
    <w:rPr>
      <w:rFonts w:eastAsia="ヒラギノ角ゴ Pro W3"/>
      <w:color w:val="000000"/>
      <w:kern w:val="1"/>
      <w:sz w:val="20"/>
      <w:szCs w:val="20"/>
      <w:lang w:eastAsia="en-US"/>
    </w:rPr>
  </w:style>
  <w:style w:type="character" w:customStyle="1" w:styleId="FootnoteTextChar">
    <w:name w:val="Footnote Text Char"/>
    <w:basedOn w:val="DefaultParagraphFont"/>
    <w:link w:val="FootnoteText"/>
    <w:rsid w:val="0099194D"/>
    <w:rPr>
      <w:rFonts w:ascii="Times New Roman" w:eastAsia="ヒラギノ角ゴ Pro W3" w:hAnsi="Times New Roman" w:cs="Times New Roman"/>
      <w:color w:val="000000"/>
      <w:kern w:val="1"/>
      <w:sz w:val="20"/>
      <w:szCs w:val="20"/>
      <w:lang w:val="en-US"/>
    </w:rPr>
  </w:style>
  <w:style w:type="character" w:styleId="FootnoteReference">
    <w:name w:val="footnote reference"/>
    <w:rsid w:val="0099194D"/>
    <w:rPr>
      <w:vertAlign w:val="superscript"/>
    </w:rPr>
  </w:style>
  <w:style w:type="character" w:styleId="CommentReference">
    <w:name w:val="annotation reference"/>
    <w:rsid w:val="0099194D"/>
    <w:rPr>
      <w:sz w:val="16"/>
      <w:szCs w:val="16"/>
    </w:rPr>
  </w:style>
  <w:style w:type="paragraph" w:styleId="CommentText">
    <w:name w:val="annotation text"/>
    <w:basedOn w:val="Normal"/>
    <w:link w:val="CommentTextChar"/>
    <w:rsid w:val="0099194D"/>
    <w:pPr>
      <w:widowControl w:val="0"/>
      <w:suppressAutoHyphens/>
    </w:pPr>
    <w:rPr>
      <w:rFonts w:eastAsia="ヒラギノ角ゴ Pro W3"/>
      <w:color w:val="000000"/>
      <w:kern w:val="1"/>
      <w:sz w:val="20"/>
      <w:szCs w:val="20"/>
      <w:lang w:eastAsia="en-US"/>
    </w:rPr>
  </w:style>
  <w:style w:type="character" w:customStyle="1" w:styleId="CommentTextChar">
    <w:name w:val="Comment Text Char"/>
    <w:basedOn w:val="DefaultParagraphFont"/>
    <w:link w:val="CommentText"/>
    <w:rsid w:val="0099194D"/>
    <w:rPr>
      <w:rFonts w:ascii="Times New Roman" w:eastAsia="ヒラギノ角ゴ Pro W3" w:hAnsi="Times New Roman" w:cs="Times New Roman"/>
      <w:color w:val="000000"/>
      <w:kern w:val="1"/>
      <w:sz w:val="20"/>
      <w:szCs w:val="20"/>
      <w:lang w:val="en-US"/>
    </w:rPr>
  </w:style>
  <w:style w:type="paragraph" w:styleId="CommentSubject">
    <w:name w:val="annotation subject"/>
    <w:basedOn w:val="CommentText"/>
    <w:next w:val="CommentText"/>
    <w:link w:val="CommentSubjectChar"/>
    <w:rsid w:val="0099194D"/>
    <w:rPr>
      <w:b/>
      <w:bCs/>
    </w:rPr>
  </w:style>
  <w:style w:type="character" w:customStyle="1" w:styleId="CommentSubjectChar">
    <w:name w:val="Comment Subject Char"/>
    <w:basedOn w:val="CommentTextChar"/>
    <w:link w:val="CommentSubject"/>
    <w:rsid w:val="0099194D"/>
    <w:rPr>
      <w:rFonts w:ascii="Times New Roman" w:eastAsia="ヒラギノ角ゴ Pro W3" w:hAnsi="Times New Roman" w:cs="Times New Roman"/>
      <w:b/>
      <w:bCs/>
      <w:color w:val="000000"/>
      <w:kern w:val="1"/>
      <w:sz w:val="20"/>
      <w:szCs w:val="20"/>
      <w:lang w:val="en-US"/>
    </w:rPr>
  </w:style>
  <w:style w:type="paragraph" w:styleId="BalloonText">
    <w:name w:val="Balloon Text"/>
    <w:basedOn w:val="Normal"/>
    <w:link w:val="BalloonTextChar"/>
    <w:rsid w:val="0099194D"/>
    <w:pPr>
      <w:widowControl w:val="0"/>
      <w:suppressAutoHyphens/>
    </w:pPr>
    <w:rPr>
      <w:rFonts w:ascii="Tahoma" w:eastAsia="ヒラギノ角ゴ Pro W3" w:hAnsi="Tahoma"/>
      <w:color w:val="000000"/>
      <w:kern w:val="1"/>
      <w:sz w:val="16"/>
      <w:szCs w:val="16"/>
      <w:lang w:eastAsia="en-US"/>
    </w:rPr>
  </w:style>
  <w:style w:type="character" w:customStyle="1" w:styleId="BalloonTextChar">
    <w:name w:val="Balloon Text Char"/>
    <w:basedOn w:val="DefaultParagraphFont"/>
    <w:link w:val="BalloonText"/>
    <w:rsid w:val="0099194D"/>
    <w:rPr>
      <w:rFonts w:ascii="Tahoma" w:eastAsia="ヒラギノ角ゴ Pro W3" w:hAnsi="Tahoma" w:cs="Times New Roman"/>
      <w:color w:val="000000"/>
      <w:kern w:val="1"/>
      <w:sz w:val="16"/>
      <w:szCs w:val="16"/>
      <w:lang w:val="en-US"/>
    </w:rPr>
  </w:style>
  <w:style w:type="paragraph" w:customStyle="1" w:styleId="PlaceholderText1">
    <w:name w:val="Placeholder Text1"/>
    <w:basedOn w:val="Normal"/>
    <w:uiPriority w:val="99"/>
    <w:unhideWhenUsed/>
    <w:rsid w:val="0099194D"/>
    <w:pPr>
      <w:keepNext/>
      <w:tabs>
        <w:tab w:val="num" w:pos="0"/>
      </w:tabs>
      <w:contextualSpacing/>
      <w:outlineLvl w:val="0"/>
    </w:pPr>
    <w:rPr>
      <w:rFonts w:ascii="Verdana" w:eastAsia="MS Mincho" w:hAnsi="Verdana"/>
      <w:lang w:eastAsia="en-US"/>
    </w:rPr>
  </w:style>
  <w:style w:type="paragraph" w:styleId="NoSpacing">
    <w:name w:val="No Spacing"/>
    <w:basedOn w:val="Normal"/>
    <w:uiPriority w:val="99"/>
    <w:qFormat/>
    <w:rsid w:val="0099194D"/>
    <w:pPr>
      <w:keepNext/>
      <w:tabs>
        <w:tab w:val="num" w:pos="720"/>
      </w:tabs>
      <w:ind w:left="1080" w:hanging="360"/>
      <w:contextualSpacing/>
      <w:outlineLvl w:val="1"/>
    </w:pPr>
    <w:rPr>
      <w:rFonts w:ascii="Verdana" w:eastAsia="MS Mincho" w:hAnsi="Verdana"/>
      <w:lang w:eastAsia="en-US"/>
    </w:rPr>
  </w:style>
  <w:style w:type="paragraph" w:customStyle="1" w:styleId="NoteLevel31">
    <w:name w:val="Note Level 31"/>
    <w:basedOn w:val="Normal"/>
    <w:uiPriority w:val="99"/>
    <w:semiHidden/>
    <w:unhideWhenUsed/>
    <w:rsid w:val="0099194D"/>
    <w:pPr>
      <w:keepNext/>
      <w:tabs>
        <w:tab w:val="num" w:pos="1440"/>
      </w:tabs>
      <w:ind w:left="1800" w:hanging="360"/>
      <w:contextualSpacing/>
      <w:outlineLvl w:val="2"/>
    </w:pPr>
    <w:rPr>
      <w:rFonts w:ascii="Verdana" w:eastAsia="MS Mincho" w:hAnsi="Verdana"/>
    </w:rPr>
  </w:style>
  <w:style w:type="paragraph" w:customStyle="1" w:styleId="NoteLevel41">
    <w:name w:val="Note Level 41"/>
    <w:basedOn w:val="Normal"/>
    <w:uiPriority w:val="99"/>
    <w:semiHidden/>
    <w:unhideWhenUsed/>
    <w:rsid w:val="0099194D"/>
    <w:pPr>
      <w:keepNext/>
      <w:tabs>
        <w:tab w:val="num" w:pos="2160"/>
      </w:tabs>
      <w:ind w:left="2520" w:hanging="360"/>
      <w:contextualSpacing/>
      <w:outlineLvl w:val="3"/>
    </w:pPr>
    <w:rPr>
      <w:rFonts w:ascii="Verdana" w:eastAsia="MS Mincho" w:hAnsi="Verdana"/>
    </w:rPr>
  </w:style>
  <w:style w:type="paragraph" w:customStyle="1" w:styleId="NoteLevel51">
    <w:name w:val="Note Level 51"/>
    <w:basedOn w:val="Normal"/>
    <w:uiPriority w:val="99"/>
    <w:semiHidden/>
    <w:unhideWhenUsed/>
    <w:rsid w:val="0099194D"/>
    <w:pPr>
      <w:keepNext/>
      <w:tabs>
        <w:tab w:val="num" w:pos="2880"/>
      </w:tabs>
      <w:ind w:left="3240" w:hanging="360"/>
      <w:contextualSpacing/>
      <w:outlineLvl w:val="4"/>
    </w:pPr>
    <w:rPr>
      <w:rFonts w:ascii="Verdana" w:eastAsia="MS Mincho" w:hAnsi="Verdana"/>
    </w:rPr>
  </w:style>
  <w:style w:type="paragraph" w:customStyle="1" w:styleId="NoteLevel61">
    <w:name w:val="Note Level 61"/>
    <w:basedOn w:val="Normal"/>
    <w:uiPriority w:val="99"/>
    <w:semiHidden/>
    <w:unhideWhenUsed/>
    <w:rsid w:val="0099194D"/>
    <w:pPr>
      <w:keepNext/>
      <w:tabs>
        <w:tab w:val="num" w:pos="3600"/>
      </w:tabs>
      <w:ind w:left="3960" w:hanging="360"/>
      <w:contextualSpacing/>
      <w:outlineLvl w:val="5"/>
    </w:pPr>
    <w:rPr>
      <w:rFonts w:ascii="Verdana" w:eastAsia="MS Mincho" w:hAnsi="Verdana"/>
    </w:rPr>
  </w:style>
  <w:style w:type="paragraph" w:customStyle="1" w:styleId="NoteLevel71">
    <w:name w:val="Note Level 71"/>
    <w:basedOn w:val="Normal"/>
    <w:uiPriority w:val="99"/>
    <w:semiHidden/>
    <w:unhideWhenUsed/>
    <w:rsid w:val="0099194D"/>
    <w:pPr>
      <w:keepNext/>
      <w:tabs>
        <w:tab w:val="num" w:pos="4320"/>
      </w:tabs>
      <w:ind w:left="4680" w:hanging="360"/>
      <w:contextualSpacing/>
      <w:outlineLvl w:val="6"/>
    </w:pPr>
    <w:rPr>
      <w:rFonts w:ascii="Verdana" w:eastAsia="MS Mincho" w:hAnsi="Verdana"/>
    </w:rPr>
  </w:style>
  <w:style w:type="paragraph" w:customStyle="1" w:styleId="NoteLevel81">
    <w:name w:val="Note Level 81"/>
    <w:basedOn w:val="Normal"/>
    <w:uiPriority w:val="99"/>
    <w:semiHidden/>
    <w:unhideWhenUsed/>
    <w:rsid w:val="0099194D"/>
    <w:pPr>
      <w:keepNext/>
      <w:tabs>
        <w:tab w:val="num" w:pos="5040"/>
      </w:tabs>
      <w:ind w:left="5400" w:hanging="360"/>
      <w:contextualSpacing/>
      <w:outlineLvl w:val="7"/>
    </w:pPr>
    <w:rPr>
      <w:rFonts w:ascii="Verdana" w:eastAsia="MS Mincho" w:hAnsi="Verdana"/>
    </w:rPr>
  </w:style>
  <w:style w:type="paragraph" w:customStyle="1" w:styleId="NoteLevel91">
    <w:name w:val="Note Level 91"/>
    <w:basedOn w:val="Normal"/>
    <w:uiPriority w:val="99"/>
    <w:semiHidden/>
    <w:unhideWhenUsed/>
    <w:rsid w:val="0099194D"/>
    <w:pPr>
      <w:keepNext/>
      <w:tabs>
        <w:tab w:val="num" w:pos="5760"/>
      </w:tabs>
      <w:ind w:left="6120" w:hanging="360"/>
      <w:contextualSpacing/>
      <w:outlineLvl w:val="8"/>
    </w:pPr>
    <w:rPr>
      <w:rFonts w:ascii="Verdana" w:eastAsia="MS Mincho" w:hAnsi="Verdana"/>
    </w:rPr>
  </w:style>
  <w:style w:type="table" w:styleId="TableGrid">
    <w:name w:val="Table Grid"/>
    <w:basedOn w:val="TableNormal"/>
    <w:rsid w:val="0099194D"/>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qFormat/>
    <w:rsid w:val="003C73D6"/>
    <w:pPr>
      <w:widowControl w:val="0"/>
      <w:suppressAutoHyphens/>
      <w:spacing w:before="240" w:after="60"/>
      <w:jc w:val="center"/>
      <w:outlineLvl w:val="0"/>
    </w:pPr>
    <w:rPr>
      <w:rFonts w:eastAsia="MS Gothic"/>
      <w:b/>
      <w:bCs/>
      <w:color w:val="000000"/>
      <w:kern w:val="28"/>
      <w:sz w:val="32"/>
      <w:szCs w:val="28"/>
      <w:lang w:val="en-GB" w:eastAsia="en-US"/>
    </w:rPr>
  </w:style>
  <w:style w:type="character" w:customStyle="1" w:styleId="TitleChar">
    <w:name w:val="Title Char"/>
    <w:basedOn w:val="DefaultParagraphFont"/>
    <w:link w:val="Title"/>
    <w:rsid w:val="003C73D6"/>
    <w:rPr>
      <w:rFonts w:ascii="Times New Roman" w:eastAsia="MS Gothic" w:hAnsi="Times New Roman" w:cs="Times New Roman"/>
      <w:b/>
      <w:bCs/>
      <w:color w:val="000000"/>
      <w:kern w:val="28"/>
      <w:sz w:val="32"/>
      <w:szCs w:val="28"/>
      <w:lang w:val="en-GB"/>
    </w:rPr>
  </w:style>
  <w:style w:type="paragraph" w:customStyle="1" w:styleId="EndNoteBibliographyTitle">
    <w:name w:val="EndNote Bibliography Title"/>
    <w:basedOn w:val="Normal"/>
    <w:rsid w:val="0099194D"/>
    <w:pPr>
      <w:widowControl w:val="0"/>
      <w:suppressAutoHyphens/>
      <w:jc w:val="center"/>
    </w:pPr>
    <w:rPr>
      <w:rFonts w:eastAsia="ヒラギノ角ゴ Pro W3"/>
      <w:noProof/>
      <w:color w:val="000000"/>
      <w:kern w:val="1"/>
      <w:lang w:eastAsia="en-US"/>
    </w:rPr>
  </w:style>
  <w:style w:type="paragraph" w:customStyle="1" w:styleId="EndNoteBibliography">
    <w:name w:val="EndNote Bibliography"/>
    <w:basedOn w:val="Normal"/>
    <w:rsid w:val="0099194D"/>
    <w:pPr>
      <w:widowControl w:val="0"/>
      <w:suppressAutoHyphens/>
    </w:pPr>
    <w:rPr>
      <w:rFonts w:eastAsia="ヒラギノ角ゴ Pro W3"/>
      <w:noProof/>
      <w:color w:val="000000"/>
      <w:kern w:val="1"/>
      <w:lang w:eastAsia="en-US"/>
    </w:rPr>
  </w:style>
  <w:style w:type="character" w:styleId="FollowedHyperlink">
    <w:name w:val="FollowedHyperlink"/>
    <w:rsid w:val="0099194D"/>
    <w:rPr>
      <w:color w:val="800080"/>
      <w:u w:val="single"/>
    </w:rPr>
  </w:style>
  <w:style w:type="paragraph" w:styleId="ListParagraph">
    <w:name w:val="List Paragraph"/>
    <w:basedOn w:val="Normal"/>
    <w:uiPriority w:val="34"/>
    <w:qFormat/>
    <w:rsid w:val="00784301"/>
    <w:pPr>
      <w:widowControl w:val="0"/>
      <w:suppressAutoHyphens/>
      <w:ind w:left="720"/>
      <w:contextualSpacing/>
    </w:pPr>
    <w:rPr>
      <w:rFonts w:eastAsia="ヒラギノ角ゴ Pro W3"/>
      <w:color w:val="000000"/>
      <w:kern w:val="1"/>
      <w:lang w:eastAsia="en-US"/>
    </w:rPr>
  </w:style>
  <w:style w:type="character" w:customStyle="1" w:styleId="apple-converted-space">
    <w:name w:val="apple-converted-space"/>
    <w:basedOn w:val="DefaultParagraphFont"/>
    <w:rsid w:val="00CF35C9"/>
  </w:style>
  <w:style w:type="character" w:customStyle="1" w:styleId="symbol">
    <w:name w:val="symbol"/>
    <w:basedOn w:val="DefaultParagraphFont"/>
    <w:rsid w:val="000034C8"/>
  </w:style>
  <w:style w:type="character" w:customStyle="1" w:styleId="Heading4Char">
    <w:name w:val="Heading 4 Char"/>
    <w:basedOn w:val="DefaultParagraphFont"/>
    <w:link w:val="Heading4"/>
    <w:uiPriority w:val="9"/>
    <w:rsid w:val="00FC4B37"/>
    <w:rPr>
      <w:rFonts w:asciiTheme="majorHAnsi" w:eastAsiaTheme="majorEastAsia" w:hAnsiTheme="majorHAnsi" w:cstheme="majorBidi"/>
      <w:i/>
      <w:iCs/>
      <w:color w:val="365F91" w:themeColor="accent1" w:themeShade="BF"/>
      <w:lang w:eastAsia="zh-CN"/>
    </w:rPr>
  </w:style>
  <w:style w:type="character" w:styleId="PlaceholderText">
    <w:name w:val="Placeholder Text"/>
    <w:basedOn w:val="DefaultParagraphFont"/>
    <w:uiPriority w:val="99"/>
    <w:semiHidden/>
    <w:rsid w:val="00475AB2"/>
    <w:rPr>
      <w:color w:val="808080"/>
    </w:rPr>
  </w:style>
  <w:style w:type="paragraph" w:styleId="Caption">
    <w:name w:val="caption"/>
    <w:basedOn w:val="Normal"/>
    <w:next w:val="Normal"/>
    <w:uiPriority w:val="35"/>
    <w:unhideWhenUsed/>
    <w:qFormat/>
    <w:rsid w:val="00D506B1"/>
    <w:pPr>
      <w:spacing w:after="200" w:line="240" w:lineRule="auto"/>
    </w:pPr>
    <w:rPr>
      <w:i/>
      <w:iCs/>
      <w:color w:val="1F497D" w:themeColor="text2"/>
      <w:sz w:val="18"/>
      <w:szCs w:val="18"/>
    </w:rPr>
  </w:style>
  <w:style w:type="paragraph" w:styleId="Revision">
    <w:name w:val="Revision"/>
    <w:hidden/>
    <w:uiPriority w:val="99"/>
    <w:semiHidden/>
    <w:rsid w:val="0059582A"/>
    <w:rPr>
      <w:rFonts w:ascii="Times New Roman" w:hAnsi="Times New Roman" w:cs="Times New Roman"/>
      <w:lang w:eastAsia="zh-CN"/>
    </w:rPr>
  </w:style>
  <w:style w:type="paragraph" w:styleId="Header">
    <w:name w:val="header"/>
    <w:basedOn w:val="Normal"/>
    <w:link w:val="HeaderChar"/>
    <w:uiPriority w:val="99"/>
    <w:unhideWhenUsed/>
    <w:rsid w:val="00271B3D"/>
    <w:pPr>
      <w:tabs>
        <w:tab w:val="center" w:pos="4513"/>
        <w:tab w:val="right" w:pos="9026"/>
      </w:tabs>
      <w:spacing w:line="240" w:lineRule="auto"/>
    </w:pPr>
  </w:style>
  <w:style w:type="character" w:customStyle="1" w:styleId="HeaderChar">
    <w:name w:val="Header Char"/>
    <w:basedOn w:val="DefaultParagraphFont"/>
    <w:link w:val="Header"/>
    <w:uiPriority w:val="99"/>
    <w:rsid w:val="00271B3D"/>
    <w:rPr>
      <w:rFonts w:ascii="Times New Roman" w:hAnsi="Times New Roman" w:cs="Times New Roman"/>
      <w:lang w:eastAsia="zh-CN"/>
    </w:rPr>
  </w:style>
  <w:style w:type="character" w:customStyle="1" w:styleId="UnresolvedMention1">
    <w:name w:val="Unresolved Mention1"/>
    <w:basedOn w:val="DefaultParagraphFont"/>
    <w:uiPriority w:val="99"/>
    <w:semiHidden/>
    <w:unhideWhenUsed/>
    <w:rsid w:val="00F55EC0"/>
    <w:rPr>
      <w:color w:val="605E5C"/>
      <w:shd w:val="clear" w:color="auto" w:fill="E1DFDD"/>
    </w:rPr>
  </w:style>
  <w:style w:type="paragraph" w:styleId="NormalWeb">
    <w:name w:val="Normal (Web)"/>
    <w:basedOn w:val="Normal"/>
    <w:uiPriority w:val="99"/>
    <w:semiHidden/>
    <w:unhideWhenUsed/>
    <w:rsid w:val="00F236B5"/>
    <w:pPr>
      <w:spacing w:before="100" w:beforeAutospacing="1" w:after="100" w:afterAutospacing="1" w:line="240" w:lineRule="auto"/>
      <w:jc w:val="left"/>
    </w:pPr>
    <w:rPr>
      <w:rFonts w:eastAsia="Times New Roman"/>
      <w:lang w:eastAsia="en-US"/>
    </w:rPr>
  </w:style>
  <w:style w:type="character" w:customStyle="1" w:styleId="UnresolvedMention2">
    <w:name w:val="Unresolved Mention2"/>
    <w:basedOn w:val="DefaultParagraphFont"/>
    <w:uiPriority w:val="99"/>
    <w:semiHidden/>
    <w:unhideWhenUsed/>
    <w:rsid w:val="00311D32"/>
    <w:rPr>
      <w:color w:val="605E5C"/>
      <w:shd w:val="clear" w:color="auto" w:fill="E1DFDD"/>
    </w:rPr>
  </w:style>
  <w:style w:type="character" w:styleId="LineNumber">
    <w:name w:val="line number"/>
    <w:basedOn w:val="DefaultParagraphFont"/>
    <w:uiPriority w:val="99"/>
    <w:semiHidden/>
    <w:unhideWhenUsed/>
    <w:rsid w:val="009E49BF"/>
  </w:style>
  <w:style w:type="character" w:customStyle="1" w:styleId="Heading5Char">
    <w:name w:val="Heading 5 Char"/>
    <w:basedOn w:val="DefaultParagraphFont"/>
    <w:link w:val="Heading5"/>
    <w:uiPriority w:val="9"/>
    <w:semiHidden/>
    <w:rsid w:val="002A08B5"/>
    <w:rPr>
      <w:rFonts w:asciiTheme="majorHAnsi" w:eastAsiaTheme="majorEastAsia" w:hAnsiTheme="majorHAnsi" w:cstheme="majorBidi"/>
      <w:color w:val="365F91" w:themeColor="accent1" w:themeShade="BF"/>
      <w:lang w:eastAsia="zh-CN"/>
    </w:rPr>
  </w:style>
  <w:style w:type="character" w:customStyle="1" w:styleId="Heading6Char">
    <w:name w:val="Heading 6 Char"/>
    <w:basedOn w:val="DefaultParagraphFont"/>
    <w:link w:val="Heading6"/>
    <w:uiPriority w:val="9"/>
    <w:semiHidden/>
    <w:rsid w:val="002A08B5"/>
    <w:rPr>
      <w:rFonts w:asciiTheme="majorHAnsi" w:eastAsiaTheme="majorEastAsia" w:hAnsiTheme="majorHAnsi" w:cstheme="majorBidi"/>
      <w:color w:val="243F60" w:themeColor="accent1" w:themeShade="7F"/>
      <w:lang w:eastAsia="zh-CN"/>
    </w:rPr>
  </w:style>
  <w:style w:type="character" w:customStyle="1" w:styleId="Heading7Char">
    <w:name w:val="Heading 7 Char"/>
    <w:basedOn w:val="DefaultParagraphFont"/>
    <w:link w:val="Heading7"/>
    <w:uiPriority w:val="9"/>
    <w:semiHidden/>
    <w:rsid w:val="002A08B5"/>
    <w:rPr>
      <w:rFonts w:asciiTheme="majorHAnsi" w:eastAsiaTheme="majorEastAsia" w:hAnsiTheme="majorHAnsi" w:cstheme="majorBidi"/>
      <w:i/>
      <w:iCs/>
      <w:color w:val="243F60" w:themeColor="accent1" w:themeShade="7F"/>
      <w:lang w:eastAsia="zh-CN"/>
    </w:rPr>
  </w:style>
  <w:style w:type="character" w:customStyle="1" w:styleId="Heading8Char">
    <w:name w:val="Heading 8 Char"/>
    <w:basedOn w:val="DefaultParagraphFont"/>
    <w:link w:val="Heading8"/>
    <w:uiPriority w:val="9"/>
    <w:semiHidden/>
    <w:rsid w:val="002A08B5"/>
    <w:rPr>
      <w:rFonts w:asciiTheme="majorHAnsi" w:eastAsiaTheme="majorEastAsia" w:hAnsiTheme="majorHAnsi" w:cstheme="majorBidi"/>
      <w:color w:val="272727" w:themeColor="text1" w:themeTint="D8"/>
      <w:sz w:val="21"/>
      <w:szCs w:val="21"/>
      <w:lang w:eastAsia="zh-CN"/>
    </w:rPr>
  </w:style>
  <w:style w:type="character" w:customStyle="1" w:styleId="Heading9Char">
    <w:name w:val="Heading 9 Char"/>
    <w:basedOn w:val="DefaultParagraphFont"/>
    <w:link w:val="Heading9"/>
    <w:uiPriority w:val="9"/>
    <w:semiHidden/>
    <w:rsid w:val="002A08B5"/>
    <w:rPr>
      <w:rFonts w:asciiTheme="majorHAnsi" w:eastAsiaTheme="majorEastAsia" w:hAnsiTheme="majorHAnsi" w:cstheme="majorBidi"/>
      <w:i/>
      <w:iCs/>
      <w:color w:val="272727" w:themeColor="text1" w:themeTint="D8"/>
      <w:sz w:val="21"/>
      <w:szCs w:val="21"/>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footer" w:uiPriority="0"/>
    <w:lsdException w:name="caption" w:uiPriority="35" w:qFormat="1"/>
    <w:lsdException w:name="footnote reference" w:uiPriority="0"/>
    <w:lsdException w:name="annotation reference" w:uiPriority="0"/>
    <w:lsdException w:name="page number" w:uiPriority="0"/>
    <w:lsdException w:name="Title" w:semiHidden="0" w:uiPriority="0" w:unhideWhenUsed="0" w:qFormat="1"/>
    <w:lsdException w:name="Default Paragraph Font" w:uiPriority="1"/>
    <w:lsdException w:name="Subtitle" w:semiHidden="0" w:uiPriority="11" w:unhideWhenUsed="0" w:qFormat="1"/>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49BF"/>
    <w:pPr>
      <w:spacing w:after="120" w:line="360" w:lineRule="auto"/>
      <w:jc w:val="both"/>
    </w:pPr>
    <w:rPr>
      <w:rFonts w:ascii="Times New Roman" w:hAnsi="Times New Roman" w:cs="Times New Roman"/>
      <w:lang w:eastAsia="zh-CN"/>
    </w:rPr>
  </w:style>
  <w:style w:type="paragraph" w:styleId="Heading1">
    <w:name w:val="heading 1"/>
    <w:next w:val="Normal"/>
    <w:link w:val="Heading1Char"/>
    <w:qFormat/>
    <w:rsid w:val="002A08B5"/>
    <w:pPr>
      <w:keepNext/>
      <w:numPr>
        <w:numId w:val="5"/>
      </w:numPr>
      <w:spacing w:after="120" w:line="360" w:lineRule="auto"/>
      <w:outlineLvl w:val="0"/>
    </w:pPr>
    <w:rPr>
      <w:rFonts w:ascii="Times New Roman" w:eastAsia="ヒラギノ角ゴ Pro W3" w:hAnsi="Times New Roman" w:cs="Times New Roman"/>
      <w:b/>
      <w:color w:val="000000"/>
      <w:szCs w:val="28"/>
      <w:lang w:val="en-GB"/>
    </w:rPr>
  </w:style>
  <w:style w:type="paragraph" w:styleId="Heading2">
    <w:name w:val="heading 2"/>
    <w:next w:val="Body"/>
    <w:link w:val="Heading2Char"/>
    <w:qFormat/>
    <w:rsid w:val="002A08B5"/>
    <w:pPr>
      <w:keepNext/>
      <w:numPr>
        <w:ilvl w:val="1"/>
        <w:numId w:val="5"/>
      </w:numPr>
      <w:spacing w:after="120" w:line="360" w:lineRule="auto"/>
      <w:outlineLvl w:val="1"/>
    </w:pPr>
    <w:rPr>
      <w:rFonts w:ascii="Times New Roman" w:eastAsia="ヒラギノ角ゴ Pro W3" w:hAnsi="Times New Roman" w:cs="Times New Roman"/>
      <w:b/>
      <w:color w:val="000000"/>
      <w:szCs w:val="20"/>
    </w:rPr>
  </w:style>
  <w:style w:type="paragraph" w:styleId="Heading3">
    <w:name w:val="heading 3"/>
    <w:next w:val="Body"/>
    <w:link w:val="Heading3Char"/>
    <w:qFormat/>
    <w:rsid w:val="0099194D"/>
    <w:pPr>
      <w:keepNext/>
      <w:numPr>
        <w:ilvl w:val="2"/>
        <w:numId w:val="5"/>
      </w:numPr>
      <w:outlineLvl w:val="2"/>
    </w:pPr>
    <w:rPr>
      <w:rFonts w:ascii="Helvetica" w:eastAsia="ヒラギノ角ゴ Pro W3" w:hAnsi="Helvetica" w:cs="Times New Roman"/>
      <w:b/>
      <w:color w:val="000000"/>
      <w:szCs w:val="20"/>
    </w:rPr>
  </w:style>
  <w:style w:type="paragraph" w:styleId="Heading4">
    <w:name w:val="heading 4"/>
    <w:basedOn w:val="Normal"/>
    <w:next w:val="Normal"/>
    <w:link w:val="Heading4Char"/>
    <w:uiPriority w:val="9"/>
    <w:unhideWhenUsed/>
    <w:qFormat/>
    <w:rsid w:val="00FC4B37"/>
    <w:pPr>
      <w:keepNext/>
      <w:keepLines/>
      <w:numPr>
        <w:ilvl w:val="3"/>
        <w:numId w:val="5"/>
      </w:numPr>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2A08B5"/>
    <w:pPr>
      <w:keepNext/>
      <w:keepLines/>
      <w:numPr>
        <w:ilvl w:val="4"/>
        <w:numId w:val="5"/>
      </w:numPr>
      <w:spacing w:before="40" w:after="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2A08B5"/>
    <w:pPr>
      <w:keepNext/>
      <w:keepLines/>
      <w:numPr>
        <w:ilvl w:val="5"/>
        <w:numId w:val="5"/>
      </w:numPr>
      <w:spacing w:before="40" w:after="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2A08B5"/>
    <w:pPr>
      <w:keepNext/>
      <w:keepLines/>
      <w:numPr>
        <w:ilvl w:val="6"/>
        <w:numId w:val="5"/>
      </w:numPr>
      <w:spacing w:before="40" w:after="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2A08B5"/>
    <w:pPr>
      <w:keepNext/>
      <w:keepLines/>
      <w:numPr>
        <w:ilvl w:val="7"/>
        <w:numId w:val="5"/>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2A08B5"/>
    <w:pPr>
      <w:keepNext/>
      <w:keepLines/>
      <w:numPr>
        <w:ilvl w:val="8"/>
        <w:numId w:val="5"/>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E49BF"/>
    <w:rPr>
      <w:rFonts w:ascii="Times New Roman" w:eastAsia="ヒラギノ角ゴ Pro W3" w:hAnsi="Times New Roman" w:cs="Times New Roman"/>
      <w:b/>
      <w:color w:val="000000"/>
      <w:szCs w:val="28"/>
      <w:lang w:val="en-GB"/>
    </w:rPr>
  </w:style>
  <w:style w:type="character" w:customStyle="1" w:styleId="Heading2Char">
    <w:name w:val="Heading 2 Char"/>
    <w:basedOn w:val="DefaultParagraphFont"/>
    <w:link w:val="Heading2"/>
    <w:rsid w:val="002A08B5"/>
    <w:rPr>
      <w:rFonts w:ascii="Times New Roman" w:eastAsia="ヒラギノ角ゴ Pro W3" w:hAnsi="Times New Roman" w:cs="Times New Roman"/>
      <w:b/>
      <w:color w:val="000000"/>
      <w:szCs w:val="20"/>
    </w:rPr>
  </w:style>
  <w:style w:type="character" w:customStyle="1" w:styleId="Heading3Char">
    <w:name w:val="Heading 3 Char"/>
    <w:basedOn w:val="DefaultParagraphFont"/>
    <w:link w:val="Heading3"/>
    <w:rsid w:val="0099194D"/>
    <w:rPr>
      <w:rFonts w:ascii="Helvetica" w:eastAsia="ヒラギノ角ゴ Pro W3" w:hAnsi="Helvetica" w:cs="Times New Roman"/>
      <w:b/>
      <w:color w:val="000000"/>
      <w:szCs w:val="20"/>
    </w:rPr>
  </w:style>
  <w:style w:type="paragraph" w:customStyle="1" w:styleId="HeaderFooter">
    <w:name w:val="Header &amp; Footer"/>
    <w:rsid w:val="0099194D"/>
    <w:pPr>
      <w:tabs>
        <w:tab w:val="right" w:pos="9360"/>
      </w:tabs>
    </w:pPr>
    <w:rPr>
      <w:rFonts w:ascii="Helvetica" w:eastAsia="ヒラギノ角ゴ Pro W3" w:hAnsi="Helvetica" w:cs="Times New Roman"/>
      <w:color w:val="000000"/>
      <w:sz w:val="20"/>
      <w:szCs w:val="20"/>
    </w:rPr>
  </w:style>
  <w:style w:type="paragraph" w:customStyle="1" w:styleId="Body">
    <w:name w:val="Body"/>
    <w:rsid w:val="0099194D"/>
    <w:rPr>
      <w:rFonts w:ascii="Helvetica" w:eastAsia="ヒラギノ角ゴ Pro W3" w:hAnsi="Helvetica" w:cs="Times New Roman"/>
      <w:color w:val="000000"/>
      <w:szCs w:val="20"/>
    </w:rPr>
  </w:style>
  <w:style w:type="paragraph" w:customStyle="1" w:styleId="LightList1">
    <w:name w:val="Light List1"/>
    <w:rsid w:val="0099194D"/>
    <w:rPr>
      <w:rFonts w:ascii="Cambria" w:eastAsia="ヒラギノ角ゴ Pro W3" w:hAnsi="Cambria" w:cs="Times New Roman"/>
      <w:color w:val="000000"/>
      <w:szCs w:val="20"/>
    </w:rPr>
  </w:style>
  <w:style w:type="character" w:styleId="Hyperlink">
    <w:name w:val="Hyperlink"/>
    <w:uiPriority w:val="99"/>
    <w:rsid w:val="0099194D"/>
    <w:rPr>
      <w:color w:val="0000FF"/>
      <w:u w:val="single"/>
    </w:rPr>
  </w:style>
  <w:style w:type="paragraph" w:styleId="Footer">
    <w:name w:val="footer"/>
    <w:basedOn w:val="Normal"/>
    <w:link w:val="FooterChar"/>
    <w:rsid w:val="0099194D"/>
    <w:pPr>
      <w:widowControl w:val="0"/>
      <w:tabs>
        <w:tab w:val="center" w:pos="4320"/>
        <w:tab w:val="right" w:pos="8640"/>
      </w:tabs>
      <w:suppressAutoHyphens/>
    </w:pPr>
    <w:rPr>
      <w:rFonts w:eastAsia="ヒラギノ角ゴ Pro W3"/>
      <w:color w:val="000000"/>
      <w:kern w:val="1"/>
      <w:lang w:eastAsia="en-US"/>
    </w:rPr>
  </w:style>
  <w:style w:type="character" w:customStyle="1" w:styleId="FooterChar">
    <w:name w:val="Footer Char"/>
    <w:basedOn w:val="DefaultParagraphFont"/>
    <w:link w:val="Footer"/>
    <w:rsid w:val="0099194D"/>
    <w:rPr>
      <w:rFonts w:ascii="Times New Roman" w:eastAsia="ヒラギノ角ゴ Pro W3" w:hAnsi="Times New Roman" w:cs="Times New Roman"/>
      <w:color w:val="000000"/>
      <w:kern w:val="1"/>
      <w:lang w:val="en-US"/>
    </w:rPr>
  </w:style>
  <w:style w:type="character" w:styleId="PageNumber">
    <w:name w:val="page number"/>
    <w:rsid w:val="0099194D"/>
  </w:style>
  <w:style w:type="paragraph" w:styleId="FootnoteText">
    <w:name w:val="footnote text"/>
    <w:basedOn w:val="Normal"/>
    <w:link w:val="FootnoteTextChar"/>
    <w:rsid w:val="0099194D"/>
    <w:pPr>
      <w:widowControl w:val="0"/>
      <w:suppressAutoHyphens/>
    </w:pPr>
    <w:rPr>
      <w:rFonts w:eastAsia="ヒラギノ角ゴ Pro W3"/>
      <w:color w:val="000000"/>
      <w:kern w:val="1"/>
      <w:sz w:val="20"/>
      <w:szCs w:val="20"/>
      <w:lang w:eastAsia="en-US"/>
    </w:rPr>
  </w:style>
  <w:style w:type="character" w:customStyle="1" w:styleId="FootnoteTextChar">
    <w:name w:val="Footnote Text Char"/>
    <w:basedOn w:val="DefaultParagraphFont"/>
    <w:link w:val="FootnoteText"/>
    <w:rsid w:val="0099194D"/>
    <w:rPr>
      <w:rFonts w:ascii="Times New Roman" w:eastAsia="ヒラギノ角ゴ Pro W3" w:hAnsi="Times New Roman" w:cs="Times New Roman"/>
      <w:color w:val="000000"/>
      <w:kern w:val="1"/>
      <w:sz w:val="20"/>
      <w:szCs w:val="20"/>
      <w:lang w:val="en-US"/>
    </w:rPr>
  </w:style>
  <w:style w:type="character" w:styleId="FootnoteReference">
    <w:name w:val="footnote reference"/>
    <w:rsid w:val="0099194D"/>
    <w:rPr>
      <w:vertAlign w:val="superscript"/>
    </w:rPr>
  </w:style>
  <w:style w:type="character" w:styleId="CommentReference">
    <w:name w:val="annotation reference"/>
    <w:rsid w:val="0099194D"/>
    <w:rPr>
      <w:sz w:val="16"/>
      <w:szCs w:val="16"/>
    </w:rPr>
  </w:style>
  <w:style w:type="paragraph" w:styleId="CommentText">
    <w:name w:val="annotation text"/>
    <w:basedOn w:val="Normal"/>
    <w:link w:val="CommentTextChar"/>
    <w:rsid w:val="0099194D"/>
    <w:pPr>
      <w:widowControl w:val="0"/>
      <w:suppressAutoHyphens/>
    </w:pPr>
    <w:rPr>
      <w:rFonts w:eastAsia="ヒラギノ角ゴ Pro W3"/>
      <w:color w:val="000000"/>
      <w:kern w:val="1"/>
      <w:sz w:val="20"/>
      <w:szCs w:val="20"/>
      <w:lang w:eastAsia="en-US"/>
    </w:rPr>
  </w:style>
  <w:style w:type="character" w:customStyle="1" w:styleId="CommentTextChar">
    <w:name w:val="Comment Text Char"/>
    <w:basedOn w:val="DefaultParagraphFont"/>
    <w:link w:val="CommentText"/>
    <w:rsid w:val="0099194D"/>
    <w:rPr>
      <w:rFonts w:ascii="Times New Roman" w:eastAsia="ヒラギノ角ゴ Pro W3" w:hAnsi="Times New Roman" w:cs="Times New Roman"/>
      <w:color w:val="000000"/>
      <w:kern w:val="1"/>
      <w:sz w:val="20"/>
      <w:szCs w:val="20"/>
      <w:lang w:val="en-US"/>
    </w:rPr>
  </w:style>
  <w:style w:type="paragraph" w:styleId="CommentSubject">
    <w:name w:val="annotation subject"/>
    <w:basedOn w:val="CommentText"/>
    <w:next w:val="CommentText"/>
    <w:link w:val="CommentSubjectChar"/>
    <w:rsid w:val="0099194D"/>
    <w:rPr>
      <w:b/>
      <w:bCs/>
    </w:rPr>
  </w:style>
  <w:style w:type="character" w:customStyle="1" w:styleId="CommentSubjectChar">
    <w:name w:val="Comment Subject Char"/>
    <w:basedOn w:val="CommentTextChar"/>
    <w:link w:val="CommentSubject"/>
    <w:rsid w:val="0099194D"/>
    <w:rPr>
      <w:rFonts w:ascii="Times New Roman" w:eastAsia="ヒラギノ角ゴ Pro W3" w:hAnsi="Times New Roman" w:cs="Times New Roman"/>
      <w:b/>
      <w:bCs/>
      <w:color w:val="000000"/>
      <w:kern w:val="1"/>
      <w:sz w:val="20"/>
      <w:szCs w:val="20"/>
      <w:lang w:val="en-US"/>
    </w:rPr>
  </w:style>
  <w:style w:type="paragraph" w:styleId="BalloonText">
    <w:name w:val="Balloon Text"/>
    <w:basedOn w:val="Normal"/>
    <w:link w:val="BalloonTextChar"/>
    <w:rsid w:val="0099194D"/>
    <w:pPr>
      <w:widowControl w:val="0"/>
      <w:suppressAutoHyphens/>
    </w:pPr>
    <w:rPr>
      <w:rFonts w:ascii="Tahoma" w:eastAsia="ヒラギノ角ゴ Pro W3" w:hAnsi="Tahoma"/>
      <w:color w:val="000000"/>
      <w:kern w:val="1"/>
      <w:sz w:val="16"/>
      <w:szCs w:val="16"/>
      <w:lang w:eastAsia="en-US"/>
    </w:rPr>
  </w:style>
  <w:style w:type="character" w:customStyle="1" w:styleId="BalloonTextChar">
    <w:name w:val="Balloon Text Char"/>
    <w:basedOn w:val="DefaultParagraphFont"/>
    <w:link w:val="BalloonText"/>
    <w:rsid w:val="0099194D"/>
    <w:rPr>
      <w:rFonts w:ascii="Tahoma" w:eastAsia="ヒラギノ角ゴ Pro W3" w:hAnsi="Tahoma" w:cs="Times New Roman"/>
      <w:color w:val="000000"/>
      <w:kern w:val="1"/>
      <w:sz w:val="16"/>
      <w:szCs w:val="16"/>
      <w:lang w:val="en-US"/>
    </w:rPr>
  </w:style>
  <w:style w:type="paragraph" w:customStyle="1" w:styleId="PlaceholderText1">
    <w:name w:val="Placeholder Text1"/>
    <w:basedOn w:val="Normal"/>
    <w:uiPriority w:val="99"/>
    <w:unhideWhenUsed/>
    <w:rsid w:val="0099194D"/>
    <w:pPr>
      <w:keepNext/>
      <w:tabs>
        <w:tab w:val="num" w:pos="0"/>
      </w:tabs>
      <w:contextualSpacing/>
      <w:outlineLvl w:val="0"/>
    </w:pPr>
    <w:rPr>
      <w:rFonts w:ascii="Verdana" w:eastAsia="MS Mincho" w:hAnsi="Verdana"/>
      <w:lang w:eastAsia="en-US"/>
    </w:rPr>
  </w:style>
  <w:style w:type="paragraph" w:styleId="NoSpacing">
    <w:name w:val="No Spacing"/>
    <w:basedOn w:val="Normal"/>
    <w:uiPriority w:val="99"/>
    <w:qFormat/>
    <w:rsid w:val="0099194D"/>
    <w:pPr>
      <w:keepNext/>
      <w:tabs>
        <w:tab w:val="num" w:pos="720"/>
      </w:tabs>
      <w:ind w:left="1080" w:hanging="360"/>
      <w:contextualSpacing/>
      <w:outlineLvl w:val="1"/>
    </w:pPr>
    <w:rPr>
      <w:rFonts w:ascii="Verdana" w:eastAsia="MS Mincho" w:hAnsi="Verdana"/>
      <w:lang w:eastAsia="en-US"/>
    </w:rPr>
  </w:style>
  <w:style w:type="paragraph" w:customStyle="1" w:styleId="NoteLevel31">
    <w:name w:val="Note Level 31"/>
    <w:basedOn w:val="Normal"/>
    <w:uiPriority w:val="99"/>
    <w:semiHidden/>
    <w:unhideWhenUsed/>
    <w:rsid w:val="0099194D"/>
    <w:pPr>
      <w:keepNext/>
      <w:tabs>
        <w:tab w:val="num" w:pos="1440"/>
      </w:tabs>
      <w:ind w:left="1800" w:hanging="360"/>
      <w:contextualSpacing/>
      <w:outlineLvl w:val="2"/>
    </w:pPr>
    <w:rPr>
      <w:rFonts w:ascii="Verdana" w:eastAsia="MS Mincho" w:hAnsi="Verdana"/>
    </w:rPr>
  </w:style>
  <w:style w:type="paragraph" w:customStyle="1" w:styleId="NoteLevel41">
    <w:name w:val="Note Level 41"/>
    <w:basedOn w:val="Normal"/>
    <w:uiPriority w:val="99"/>
    <w:semiHidden/>
    <w:unhideWhenUsed/>
    <w:rsid w:val="0099194D"/>
    <w:pPr>
      <w:keepNext/>
      <w:tabs>
        <w:tab w:val="num" w:pos="2160"/>
      </w:tabs>
      <w:ind w:left="2520" w:hanging="360"/>
      <w:contextualSpacing/>
      <w:outlineLvl w:val="3"/>
    </w:pPr>
    <w:rPr>
      <w:rFonts w:ascii="Verdana" w:eastAsia="MS Mincho" w:hAnsi="Verdana"/>
    </w:rPr>
  </w:style>
  <w:style w:type="paragraph" w:customStyle="1" w:styleId="NoteLevel51">
    <w:name w:val="Note Level 51"/>
    <w:basedOn w:val="Normal"/>
    <w:uiPriority w:val="99"/>
    <w:semiHidden/>
    <w:unhideWhenUsed/>
    <w:rsid w:val="0099194D"/>
    <w:pPr>
      <w:keepNext/>
      <w:tabs>
        <w:tab w:val="num" w:pos="2880"/>
      </w:tabs>
      <w:ind w:left="3240" w:hanging="360"/>
      <w:contextualSpacing/>
      <w:outlineLvl w:val="4"/>
    </w:pPr>
    <w:rPr>
      <w:rFonts w:ascii="Verdana" w:eastAsia="MS Mincho" w:hAnsi="Verdana"/>
    </w:rPr>
  </w:style>
  <w:style w:type="paragraph" w:customStyle="1" w:styleId="NoteLevel61">
    <w:name w:val="Note Level 61"/>
    <w:basedOn w:val="Normal"/>
    <w:uiPriority w:val="99"/>
    <w:semiHidden/>
    <w:unhideWhenUsed/>
    <w:rsid w:val="0099194D"/>
    <w:pPr>
      <w:keepNext/>
      <w:tabs>
        <w:tab w:val="num" w:pos="3600"/>
      </w:tabs>
      <w:ind w:left="3960" w:hanging="360"/>
      <w:contextualSpacing/>
      <w:outlineLvl w:val="5"/>
    </w:pPr>
    <w:rPr>
      <w:rFonts w:ascii="Verdana" w:eastAsia="MS Mincho" w:hAnsi="Verdana"/>
    </w:rPr>
  </w:style>
  <w:style w:type="paragraph" w:customStyle="1" w:styleId="NoteLevel71">
    <w:name w:val="Note Level 71"/>
    <w:basedOn w:val="Normal"/>
    <w:uiPriority w:val="99"/>
    <w:semiHidden/>
    <w:unhideWhenUsed/>
    <w:rsid w:val="0099194D"/>
    <w:pPr>
      <w:keepNext/>
      <w:tabs>
        <w:tab w:val="num" w:pos="4320"/>
      </w:tabs>
      <w:ind w:left="4680" w:hanging="360"/>
      <w:contextualSpacing/>
      <w:outlineLvl w:val="6"/>
    </w:pPr>
    <w:rPr>
      <w:rFonts w:ascii="Verdana" w:eastAsia="MS Mincho" w:hAnsi="Verdana"/>
    </w:rPr>
  </w:style>
  <w:style w:type="paragraph" w:customStyle="1" w:styleId="NoteLevel81">
    <w:name w:val="Note Level 81"/>
    <w:basedOn w:val="Normal"/>
    <w:uiPriority w:val="99"/>
    <w:semiHidden/>
    <w:unhideWhenUsed/>
    <w:rsid w:val="0099194D"/>
    <w:pPr>
      <w:keepNext/>
      <w:tabs>
        <w:tab w:val="num" w:pos="5040"/>
      </w:tabs>
      <w:ind w:left="5400" w:hanging="360"/>
      <w:contextualSpacing/>
      <w:outlineLvl w:val="7"/>
    </w:pPr>
    <w:rPr>
      <w:rFonts w:ascii="Verdana" w:eastAsia="MS Mincho" w:hAnsi="Verdana"/>
    </w:rPr>
  </w:style>
  <w:style w:type="paragraph" w:customStyle="1" w:styleId="NoteLevel91">
    <w:name w:val="Note Level 91"/>
    <w:basedOn w:val="Normal"/>
    <w:uiPriority w:val="99"/>
    <w:semiHidden/>
    <w:unhideWhenUsed/>
    <w:rsid w:val="0099194D"/>
    <w:pPr>
      <w:keepNext/>
      <w:tabs>
        <w:tab w:val="num" w:pos="5760"/>
      </w:tabs>
      <w:ind w:left="6120" w:hanging="360"/>
      <w:contextualSpacing/>
      <w:outlineLvl w:val="8"/>
    </w:pPr>
    <w:rPr>
      <w:rFonts w:ascii="Verdana" w:eastAsia="MS Mincho" w:hAnsi="Verdana"/>
    </w:rPr>
  </w:style>
  <w:style w:type="table" w:styleId="TableGrid">
    <w:name w:val="Table Grid"/>
    <w:basedOn w:val="TableNormal"/>
    <w:rsid w:val="0099194D"/>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qFormat/>
    <w:rsid w:val="003C73D6"/>
    <w:pPr>
      <w:widowControl w:val="0"/>
      <w:suppressAutoHyphens/>
      <w:spacing w:before="240" w:after="60"/>
      <w:jc w:val="center"/>
      <w:outlineLvl w:val="0"/>
    </w:pPr>
    <w:rPr>
      <w:rFonts w:eastAsia="MS Gothic"/>
      <w:b/>
      <w:bCs/>
      <w:color w:val="000000"/>
      <w:kern w:val="28"/>
      <w:sz w:val="32"/>
      <w:szCs w:val="28"/>
      <w:lang w:val="en-GB" w:eastAsia="en-US"/>
    </w:rPr>
  </w:style>
  <w:style w:type="character" w:customStyle="1" w:styleId="TitleChar">
    <w:name w:val="Title Char"/>
    <w:basedOn w:val="DefaultParagraphFont"/>
    <w:link w:val="Title"/>
    <w:rsid w:val="003C73D6"/>
    <w:rPr>
      <w:rFonts w:ascii="Times New Roman" w:eastAsia="MS Gothic" w:hAnsi="Times New Roman" w:cs="Times New Roman"/>
      <w:b/>
      <w:bCs/>
      <w:color w:val="000000"/>
      <w:kern w:val="28"/>
      <w:sz w:val="32"/>
      <w:szCs w:val="28"/>
      <w:lang w:val="en-GB"/>
    </w:rPr>
  </w:style>
  <w:style w:type="paragraph" w:customStyle="1" w:styleId="EndNoteBibliographyTitle">
    <w:name w:val="EndNote Bibliography Title"/>
    <w:basedOn w:val="Normal"/>
    <w:rsid w:val="0099194D"/>
    <w:pPr>
      <w:widowControl w:val="0"/>
      <w:suppressAutoHyphens/>
      <w:jc w:val="center"/>
    </w:pPr>
    <w:rPr>
      <w:rFonts w:eastAsia="ヒラギノ角ゴ Pro W3"/>
      <w:noProof/>
      <w:color w:val="000000"/>
      <w:kern w:val="1"/>
      <w:lang w:eastAsia="en-US"/>
    </w:rPr>
  </w:style>
  <w:style w:type="paragraph" w:customStyle="1" w:styleId="EndNoteBibliography">
    <w:name w:val="EndNote Bibliography"/>
    <w:basedOn w:val="Normal"/>
    <w:rsid w:val="0099194D"/>
    <w:pPr>
      <w:widowControl w:val="0"/>
      <w:suppressAutoHyphens/>
    </w:pPr>
    <w:rPr>
      <w:rFonts w:eastAsia="ヒラギノ角ゴ Pro W3"/>
      <w:noProof/>
      <w:color w:val="000000"/>
      <w:kern w:val="1"/>
      <w:lang w:eastAsia="en-US"/>
    </w:rPr>
  </w:style>
  <w:style w:type="character" w:styleId="FollowedHyperlink">
    <w:name w:val="FollowedHyperlink"/>
    <w:rsid w:val="0099194D"/>
    <w:rPr>
      <w:color w:val="800080"/>
      <w:u w:val="single"/>
    </w:rPr>
  </w:style>
  <w:style w:type="paragraph" w:styleId="ListParagraph">
    <w:name w:val="List Paragraph"/>
    <w:basedOn w:val="Normal"/>
    <w:uiPriority w:val="34"/>
    <w:qFormat/>
    <w:rsid w:val="00784301"/>
    <w:pPr>
      <w:widowControl w:val="0"/>
      <w:suppressAutoHyphens/>
      <w:ind w:left="720"/>
      <w:contextualSpacing/>
    </w:pPr>
    <w:rPr>
      <w:rFonts w:eastAsia="ヒラギノ角ゴ Pro W3"/>
      <w:color w:val="000000"/>
      <w:kern w:val="1"/>
      <w:lang w:eastAsia="en-US"/>
    </w:rPr>
  </w:style>
  <w:style w:type="character" w:customStyle="1" w:styleId="apple-converted-space">
    <w:name w:val="apple-converted-space"/>
    <w:basedOn w:val="DefaultParagraphFont"/>
    <w:rsid w:val="00CF35C9"/>
  </w:style>
  <w:style w:type="character" w:customStyle="1" w:styleId="symbol">
    <w:name w:val="symbol"/>
    <w:basedOn w:val="DefaultParagraphFont"/>
    <w:rsid w:val="000034C8"/>
  </w:style>
  <w:style w:type="character" w:customStyle="1" w:styleId="Heading4Char">
    <w:name w:val="Heading 4 Char"/>
    <w:basedOn w:val="DefaultParagraphFont"/>
    <w:link w:val="Heading4"/>
    <w:uiPriority w:val="9"/>
    <w:rsid w:val="00FC4B37"/>
    <w:rPr>
      <w:rFonts w:asciiTheme="majorHAnsi" w:eastAsiaTheme="majorEastAsia" w:hAnsiTheme="majorHAnsi" w:cstheme="majorBidi"/>
      <w:i/>
      <w:iCs/>
      <w:color w:val="365F91" w:themeColor="accent1" w:themeShade="BF"/>
      <w:lang w:eastAsia="zh-CN"/>
    </w:rPr>
  </w:style>
  <w:style w:type="character" w:styleId="PlaceholderText">
    <w:name w:val="Placeholder Text"/>
    <w:basedOn w:val="DefaultParagraphFont"/>
    <w:uiPriority w:val="99"/>
    <w:semiHidden/>
    <w:rsid w:val="00475AB2"/>
    <w:rPr>
      <w:color w:val="808080"/>
    </w:rPr>
  </w:style>
  <w:style w:type="paragraph" w:styleId="Caption">
    <w:name w:val="caption"/>
    <w:basedOn w:val="Normal"/>
    <w:next w:val="Normal"/>
    <w:uiPriority w:val="35"/>
    <w:unhideWhenUsed/>
    <w:qFormat/>
    <w:rsid w:val="00D506B1"/>
    <w:pPr>
      <w:spacing w:after="200" w:line="240" w:lineRule="auto"/>
    </w:pPr>
    <w:rPr>
      <w:i/>
      <w:iCs/>
      <w:color w:val="1F497D" w:themeColor="text2"/>
      <w:sz w:val="18"/>
      <w:szCs w:val="18"/>
    </w:rPr>
  </w:style>
  <w:style w:type="paragraph" w:styleId="Revision">
    <w:name w:val="Revision"/>
    <w:hidden/>
    <w:uiPriority w:val="99"/>
    <w:semiHidden/>
    <w:rsid w:val="0059582A"/>
    <w:rPr>
      <w:rFonts w:ascii="Times New Roman" w:hAnsi="Times New Roman" w:cs="Times New Roman"/>
      <w:lang w:eastAsia="zh-CN"/>
    </w:rPr>
  </w:style>
  <w:style w:type="paragraph" w:styleId="Header">
    <w:name w:val="header"/>
    <w:basedOn w:val="Normal"/>
    <w:link w:val="HeaderChar"/>
    <w:uiPriority w:val="99"/>
    <w:unhideWhenUsed/>
    <w:rsid w:val="00271B3D"/>
    <w:pPr>
      <w:tabs>
        <w:tab w:val="center" w:pos="4513"/>
        <w:tab w:val="right" w:pos="9026"/>
      </w:tabs>
      <w:spacing w:line="240" w:lineRule="auto"/>
    </w:pPr>
  </w:style>
  <w:style w:type="character" w:customStyle="1" w:styleId="HeaderChar">
    <w:name w:val="Header Char"/>
    <w:basedOn w:val="DefaultParagraphFont"/>
    <w:link w:val="Header"/>
    <w:uiPriority w:val="99"/>
    <w:rsid w:val="00271B3D"/>
    <w:rPr>
      <w:rFonts w:ascii="Times New Roman" w:hAnsi="Times New Roman" w:cs="Times New Roman"/>
      <w:lang w:eastAsia="zh-CN"/>
    </w:rPr>
  </w:style>
  <w:style w:type="character" w:customStyle="1" w:styleId="UnresolvedMention1">
    <w:name w:val="Unresolved Mention1"/>
    <w:basedOn w:val="DefaultParagraphFont"/>
    <w:uiPriority w:val="99"/>
    <w:semiHidden/>
    <w:unhideWhenUsed/>
    <w:rsid w:val="00F55EC0"/>
    <w:rPr>
      <w:color w:val="605E5C"/>
      <w:shd w:val="clear" w:color="auto" w:fill="E1DFDD"/>
    </w:rPr>
  </w:style>
  <w:style w:type="paragraph" w:styleId="NormalWeb">
    <w:name w:val="Normal (Web)"/>
    <w:basedOn w:val="Normal"/>
    <w:uiPriority w:val="99"/>
    <w:semiHidden/>
    <w:unhideWhenUsed/>
    <w:rsid w:val="00F236B5"/>
    <w:pPr>
      <w:spacing w:before="100" w:beforeAutospacing="1" w:after="100" w:afterAutospacing="1" w:line="240" w:lineRule="auto"/>
      <w:jc w:val="left"/>
    </w:pPr>
    <w:rPr>
      <w:rFonts w:eastAsia="Times New Roman"/>
      <w:lang w:eastAsia="en-US"/>
    </w:rPr>
  </w:style>
  <w:style w:type="character" w:customStyle="1" w:styleId="UnresolvedMention2">
    <w:name w:val="Unresolved Mention2"/>
    <w:basedOn w:val="DefaultParagraphFont"/>
    <w:uiPriority w:val="99"/>
    <w:semiHidden/>
    <w:unhideWhenUsed/>
    <w:rsid w:val="00311D32"/>
    <w:rPr>
      <w:color w:val="605E5C"/>
      <w:shd w:val="clear" w:color="auto" w:fill="E1DFDD"/>
    </w:rPr>
  </w:style>
  <w:style w:type="character" w:styleId="LineNumber">
    <w:name w:val="line number"/>
    <w:basedOn w:val="DefaultParagraphFont"/>
    <w:uiPriority w:val="99"/>
    <w:semiHidden/>
    <w:unhideWhenUsed/>
    <w:rsid w:val="009E49BF"/>
  </w:style>
  <w:style w:type="character" w:customStyle="1" w:styleId="Heading5Char">
    <w:name w:val="Heading 5 Char"/>
    <w:basedOn w:val="DefaultParagraphFont"/>
    <w:link w:val="Heading5"/>
    <w:uiPriority w:val="9"/>
    <w:semiHidden/>
    <w:rsid w:val="002A08B5"/>
    <w:rPr>
      <w:rFonts w:asciiTheme="majorHAnsi" w:eastAsiaTheme="majorEastAsia" w:hAnsiTheme="majorHAnsi" w:cstheme="majorBidi"/>
      <w:color w:val="365F91" w:themeColor="accent1" w:themeShade="BF"/>
      <w:lang w:eastAsia="zh-CN"/>
    </w:rPr>
  </w:style>
  <w:style w:type="character" w:customStyle="1" w:styleId="Heading6Char">
    <w:name w:val="Heading 6 Char"/>
    <w:basedOn w:val="DefaultParagraphFont"/>
    <w:link w:val="Heading6"/>
    <w:uiPriority w:val="9"/>
    <w:semiHidden/>
    <w:rsid w:val="002A08B5"/>
    <w:rPr>
      <w:rFonts w:asciiTheme="majorHAnsi" w:eastAsiaTheme="majorEastAsia" w:hAnsiTheme="majorHAnsi" w:cstheme="majorBidi"/>
      <w:color w:val="243F60" w:themeColor="accent1" w:themeShade="7F"/>
      <w:lang w:eastAsia="zh-CN"/>
    </w:rPr>
  </w:style>
  <w:style w:type="character" w:customStyle="1" w:styleId="Heading7Char">
    <w:name w:val="Heading 7 Char"/>
    <w:basedOn w:val="DefaultParagraphFont"/>
    <w:link w:val="Heading7"/>
    <w:uiPriority w:val="9"/>
    <w:semiHidden/>
    <w:rsid w:val="002A08B5"/>
    <w:rPr>
      <w:rFonts w:asciiTheme="majorHAnsi" w:eastAsiaTheme="majorEastAsia" w:hAnsiTheme="majorHAnsi" w:cstheme="majorBidi"/>
      <w:i/>
      <w:iCs/>
      <w:color w:val="243F60" w:themeColor="accent1" w:themeShade="7F"/>
      <w:lang w:eastAsia="zh-CN"/>
    </w:rPr>
  </w:style>
  <w:style w:type="character" w:customStyle="1" w:styleId="Heading8Char">
    <w:name w:val="Heading 8 Char"/>
    <w:basedOn w:val="DefaultParagraphFont"/>
    <w:link w:val="Heading8"/>
    <w:uiPriority w:val="9"/>
    <w:semiHidden/>
    <w:rsid w:val="002A08B5"/>
    <w:rPr>
      <w:rFonts w:asciiTheme="majorHAnsi" w:eastAsiaTheme="majorEastAsia" w:hAnsiTheme="majorHAnsi" w:cstheme="majorBidi"/>
      <w:color w:val="272727" w:themeColor="text1" w:themeTint="D8"/>
      <w:sz w:val="21"/>
      <w:szCs w:val="21"/>
      <w:lang w:eastAsia="zh-CN"/>
    </w:rPr>
  </w:style>
  <w:style w:type="character" w:customStyle="1" w:styleId="Heading9Char">
    <w:name w:val="Heading 9 Char"/>
    <w:basedOn w:val="DefaultParagraphFont"/>
    <w:link w:val="Heading9"/>
    <w:uiPriority w:val="9"/>
    <w:semiHidden/>
    <w:rsid w:val="002A08B5"/>
    <w:rPr>
      <w:rFonts w:asciiTheme="majorHAnsi" w:eastAsiaTheme="majorEastAsia" w:hAnsiTheme="majorHAnsi" w:cstheme="majorBidi"/>
      <w:i/>
      <w:iCs/>
      <w:color w:val="272727" w:themeColor="text1" w:themeTint="D8"/>
      <w:sz w:val="21"/>
      <w:szCs w:val="21"/>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1715143">
      <w:bodyDiv w:val="1"/>
      <w:marLeft w:val="0"/>
      <w:marRight w:val="0"/>
      <w:marTop w:val="0"/>
      <w:marBottom w:val="0"/>
      <w:divBdr>
        <w:top w:val="none" w:sz="0" w:space="0" w:color="auto"/>
        <w:left w:val="none" w:sz="0" w:space="0" w:color="auto"/>
        <w:bottom w:val="none" w:sz="0" w:space="0" w:color="auto"/>
        <w:right w:val="none" w:sz="0" w:space="0" w:color="auto"/>
      </w:divBdr>
    </w:div>
    <w:div w:id="246380232">
      <w:bodyDiv w:val="1"/>
      <w:marLeft w:val="0"/>
      <w:marRight w:val="0"/>
      <w:marTop w:val="0"/>
      <w:marBottom w:val="0"/>
      <w:divBdr>
        <w:top w:val="none" w:sz="0" w:space="0" w:color="auto"/>
        <w:left w:val="none" w:sz="0" w:space="0" w:color="auto"/>
        <w:bottom w:val="none" w:sz="0" w:space="0" w:color="auto"/>
        <w:right w:val="none" w:sz="0" w:space="0" w:color="auto"/>
      </w:divBdr>
    </w:div>
    <w:div w:id="337315503">
      <w:bodyDiv w:val="1"/>
      <w:marLeft w:val="0"/>
      <w:marRight w:val="0"/>
      <w:marTop w:val="0"/>
      <w:marBottom w:val="0"/>
      <w:divBdr>
        <w:top w:val="none" w:sz="0" w:space="0" w:color="auto"/>
        <w:left w:val="none" w:sz="0" w:space="0" w:color="auto"/>
        <w:bottom w:val="none" w:sz="0" w:space="0" w:color="auto"/>
        <w:right w:val="none" w:sz="0" w:space="0" w:color="auto"/>
      </w:divBdr>
    </w:div>
    <w:div w:id="400366988">
      <w:bodyDiv w:val="1"/>
      <w:marLeft w:val="0"/>
      <w:marRight w:val="0"/>
      <w:marTop w:val="0"/>
      <w:marBottom w:val="0"/>
      <w:divBdr>
        <w:top w:val="none" w:sz="0" w:space="0" w:color="auto"/>
        <w:left w:val="none" w:sz="0" w:space="0" w:color="auto"/>
        <w:bottom w:val="none" w:sz="0" w:space="0" w:color="auto"/>
        <w:right w:val="none" w:sz="0" w:space="0" w:color="auto"/>
      </w:divBdr>
    </w:div>
    <w:div w:id="437872843">
      <w:bodyDiv w:val="1"/>
      <w:marLeft w:val="0"/>
      <w:marRight w:val="0"/>
      <w:marTop w:val="0"/>
      <w:marBottom w:val="0"/>
      <w:divBdr>
        <w:top w:val="none" w:sz="0" w:space="0" w:color="auto"/>
        <w:left w:val="none" w:sz="0" w:space="0" w:color="auto"/>
        <w:bottom w:val="none" w:sz="0" w:space="0" w:color="auto"/>
        <w:right w:val="none" w:sz="0" w:space="0" w:color="auto"/>
      </w:divBdr>
    </w:div>
    <w:div w:id="438526496">
      <w:bodyDiv w:val="1"/>
      <w:marLeft w:val="0"/>
      <w:marRight w:val="0"/>
      <w:marTop w:val="0"/>
      <w:marBottom w:val="0"/>
      <w:divBdr>
        <w:top w:val="none" w:sz="0" w:space="0" w:color="auto"/>
        <w:left w:val="none" w:sz="0" w:space="0" w:color="auto"/>
        <w:bottom w:val="none" w:sz="0" w:space="0" w:color="auto"/>
        <w:right w:val="none" w:sz="0" w:space="0" w:color="auto"/>
      </w:divBdr>
    </w:div>
    <w:div w:id="503712385">
      <w:bodyDiv w:val="1"/>
      <w:marLeft w:val="0"/>
      <w:marRight w:val="0"/>
      <w:marTop w:val="0"/>
      <w:marBottom w:val="0"/>
      <w:divBdr>
        <w:top w:val="none" w:sz="0" w:space="0" w:color="auto"/>
        <w:left w:val="none" w:sz="0" w:space="0" w:color="auto"/>
        <w:bottom w:val="none" w:sz="0" w:space="0" w:color="auto"/>
        <w:right w:val="none" w:sz="0" w:space="0" w:color="auto"/>
      </w:divBdr>
    </w:div>
    <w:div w:id="538469649">
      <w:bodyDiv w:val="1"/>
      <w:marLeft w:val="0"/>
      <w:marRight w:val="0"/>
      <w:marTop w:val="0"/>
      <w:marBottom w:val="0"/>
      <w:divBdr>
        <w:top w:val="none" w:sz="0" w:space="0" w:color="auto"/>
        <w:left w:val="none" w:sz="0" w:space="0" w:color="auto"/>
        <w:bottom w:val="none" w:sz="0" w:space="0" w:color="auto"/>
        <w:right w:val="none" w:sz="0" w:space="0" w:color="auto"/>
      </w:divBdr>
    </w:div>
    <w:div w:id="556598126">
      <w:bodyDiv w:val="1"/>
      <w:marLeft w:val="0"/>
      <w:marRight w:val="0"/>
      <w:marTop w:val="0"/>
      <w:marBottom w:val="0"/>
      <w:divBdr>
        <w:top w:val="none" w:sz="0" w:space="0" w:color="auto"/>
        <w:left w:val="none" w:sz="0" w:space="0" w:color="auto"/>
        <w:bottom w:val="none" w:sz="0" w:space="0" w:color="auto"/>
        <w:right w:val="none" w:sz="0" w:space="0" w:color="auto"/>
      </w:divBdr>
    </w:div>
    <w:div w:id="690182049">
      <w:bodyDiv w:val="1"/>
      <w:marLeft w:val="0"/>
      <w:marRight w:val="0"/>
      <w:marTop w:val="0"/>
      <w:marBottom w:val="0"/>
      <w:divBdr>
        <w:top w:val="none" w:sz="0" w:space="0" w:color="auto"/>
        <w:left w:val="none" w:sz="0" w:space="0" w:color="auto"/>
        <w:bottom w:val="none" w:sz="0" w:space="0" w:color="auto"/>
        <w:right w:val="none" w:sz="0" w:space="0" w:color="auto"/>
      </w:divBdr>
    </w:div>
    <w:div w:id="929385840">
      <w:bodyDiv w:val="1"/>
      <w:marLeft w:val="0"/>
      <w:marRight w:val="0"/>
      <w:marTop w:val="0"/>
      <w:marBottom w:val="0"/>
      <w:divBdr>
        <w:top w:val="none" w:sz="0" w:space="0" w:color="auto"/>
        <w:left w:val="none" w:sz="0" w:space="0" w:color="auto"/>
        <w:bottom w:val="none" w:sz="0" w:space="0" w:color="auto"/>
        <w:right w:val="none" w:sz="0" w:space="0" w:color="auto"/>
      </w:divBdr>
    </w:div>
    <w:div w:id="944384451">
      <w:bodyDiv w:val="1"/>
      <w:marLeft w:val="0"/>
      <w:marRight w:val="0"/>
      <w:marTop w:val="0"/>
      <w:marBottom w:val="0"/>
      <w:divBdr>
        <w:top w:val="none" w:sz="0" w:space="0" w:color="auto"/>
        <w:left w:val="none" w:sz="0" w:space="0" w:color="auto"/>
        <w:bottom w:val="none" w:sz="0" w:space="0" w:color="auto"/>
        <w:right w:val="none" w:sz="0" w:space="0" w:color="auto"/>
      </w:divBdr>
    </w:div>
    <w:div w:id="1038772161">
      <w:bodyDiv w:val="1"/>
      <w:marLeft w:val="0"/>
      <w:marRight w:val="0"/>
      <w:marTop w:val="0"/>
      <w:marBottom w:val="0"/>
      <w:divBdr>
        <w:top w:val="none" w:sz="0" w:space="0" w:color="auto"/>
        <w:left w:val="none" w:sz="0" w:space="0" w:color="auto"/>
        <w:bottom w:val="none" w:sz="0" w:space="0" w:color="auto"/>
        <w:right w:val="none" w:sz="0" w:space="0" w:color="auto"/>
      </w:divBdr>
      <w:divsChild>
        <w:div w:id="2130925709">
          <w:marLeft w:val="0"/>
          <w:marRight w:val="0"/>
          <w:marTop w:val="0"/>
          <w:marBottom w:val="0"/>
          <w:divBdr>
            <w:top w:val="none" w:sz="0" w:space="0" w:color="auto"/>
            <w:left w:val="none" w:sz="0" w:space="0" w:color="auto"/>
            <w:bottom w:val="none" w:sz="0" w:space="0" w:color="auto"/>
            <w:right w:val="none" w:sz="0" w:space="0" w:color="auto"/>
          </w:divBdr>
        </w:div>
      </w:divsChild>
    </w:div>
    <w:div w:id="1060515155">
      <w:bodyDiv w:val="1"/>
      <w:marLeft w:val="0"/>
      <w:marRight w:val="0"/>
      <w:marTop w:val="0"/>
      <w:marBottom w:val="0"/>
      <w:divBdr>
        <w:top w:val="none" w:sz="0" w:space="0" w:color="auto"/>
        <w:left w:val="none" w:sz="0" w:space="0" w:color="auto"/>
        <w:bottom w:val="none" w:sz="0" w:space="0" w:color="auto"/>
        <w:right w:val="none" w:sz="0" w:space="0" w:color="auto"/>
      </w:divBdr>
    </w:div>
    <w:div w:id="1284769656">
      <w:bodyDiv w:val="1"/>
      <w:marLeft w:val="0"/>
      <w:marRight w:val="0"/>
      <w:marTop w:val="0"/>
      <w:marBottom w:val="0"/>
      <w:divBdr>
        <w:top w:val="none" w:sz="0" w:space="0" w:color="auto"/>
        <w:left w:val="none" w:sz="0" w:space="0" w:color="auto"/>
        <w:bottom w:val="none" w:sz="0" w:space="0" w:color="auto"/>
        <w:right w:val="none" w:sz="0" w:space="0" w:color="auto"/>
      </w:divBdr>
    </w:div>
    <w:div w:id="1347293524">
      <w:bodyDiv w:val="1"/>
      <w:marLeft w:val="0"/>
      <w:marRight w:val="0"/>
      <w:marTop w:val="0"/>
      <w:marBottom w:val="0"/>
      <w:divBdr>
        <w:top w:val="none" w:sz="0" w:space="0" w:color="auto"/>
        <w:left w:val="none" w:sz="0" w:space="0" w:color="auto"/>
        <w:bottom w:val="none" w:sz="0" w:space="0" w:color="auto"/>
        <w:right w:val="none" w:sz="0" w:space="0" w:color="auto"/>
      </w:divBdr>
    </w:div>
    <w:div w:id="1365520329">
      <w:bodyDiv w:val="1"/>
      <w:marLeft w:val="0"/>
      <w:marRight w:val="0"/>
      <w:marTop w:val="0"/>
      <w:marBottom w:val="0"/>
      <w:divBdr>
        <w:top w:val="none" w:sz="0" w:space="0" w:color="auto"/>
        <w:left w:val="none" w:sz="0" w:space="0" w:color="auto"/>
        <w:bottom w:val="none" w:sz="0" w:space="0" w:color="auto"/>
        <w:right w:val="none" w:sz="0" w:space="0" w:color="auto"/>
      </w:divBdr>
    </w:div>
    <w:div w:id="1428310169">
      <w:bodyDiv w:val="1"/>
      <w:marLeft w:val="0"/>
      <w:marRight w:val="0"/>
      <w:marTop w:val="0"/>
      <w:marBottom w:val="0"/>
      <w:divBdr>
        <w:top w:val="none" w:sz="0" w:space="0" w:color="auto"/>
        <w:left w:val="none" w:sz="0" w:space="0" w:color="auto"/>
        <w:bottom w:val="none" w:sz="0" w:space="0" w:color="auto"/>
        <w:right w:val="none" w:sz="0" w:space="0" w:color="auto"/>
      </w:divBdr>
    </w:div>
    <w:div w:id="1458136045">
      <w:bodyDiv w:val="1"/>
      <w:marLeft w:val="0"/>
      <w:marRight w:val="0"/>
      <w:marTop w:val="0"/>
      <w:marBottom w:val="0"/>
      <w:divBdr>
        <w:top w:val="none" w:sz="0" w:space="0" w:color="auto"/>
        <w:left w:val="none" w:sz="0" w:space="0" w:color="auto"/>
        <w:bottom w:val="none" w:sz="0" w:space="0" w:color="auto"/>
        <w:right w:val="none" w:sz="0" w:space="0" w:color="auto"/>
      </w:divBdr>
    </w:div>
    <w:div w:id="1535120936">
      <w:bodyDiv w:val="1"/>
      <w:marLeft w:val="0"/>
      <w:marRight w:val="0"/>
      <w:marTop w:val="0"/>
      <w:marBottom w:val="0"/>
      <w:divBdr>
        <w:top w:val="none" w:sz="0" w:space="0" w:color="auto"/>
        <w:left w:val="none" w:sz="0" w:space="0" w:color="auto"/>
        <w:bottom w:val="none" w:sz="0" w:space="0" w:color="auto"/>
        <w:right w:val="none" w:sz="0" w:space="0" w:color="auto"/>
      </w:divBdr>
    </w:div>
    <w:div w:id="1584877084">
      <w:bodyDiv w:val="1"/>
      <w:marLeft w:val="0"/>
      <w:marRight w:val="0"/>
      <w:marTop w:val="0"/>
      <w:marBottom w:val="0"/>
      <w:divBdr>
        <w:top w:val="none" w:sz="0" w:space="0" w:color="auto"/>
        <w:left w:val="none" w:sz="0" w:space="0" w:color="auto"/>
        <w:bottom w:val="none" w:sz="0" w:space="0" w:color="auto"/>
        <w:right w:val="none" w:sz="0" w:space="0" w:color="auto"/>
      </w:divBdr>
    </w:div>
    <w:div w:id="1608730853">
      <w:bodyDiv w:val="1"/>
      <w:marLeft w:val="0"/>
      <w:marRight w:val="0"/>
      <w:marTop w:val="0"/>
      <w:marBottom w:val="0"/>
      <w:divBdr>
        <w:top w:val="none" w:sz="0" w:space="0" w:color="auto"/>
        <w:left w:val="none" w:sz="0" w:space="0" w:color="auto"/>
        <w:bottom w:val="none" w:sz="0" w:space="0" w:color="auto"/>
        <w:right w:val="none" w:sz="0" w:space="0" w:color="auto"/>
      </w:divBdr>
    </w:div>
    <w:div w:id="1754623602">
      <w:bodyDiv w:val="1"/>
      <w:marLeft w:val="0"/>
      <w:marRight w:val="0"/>
      <w:marTop w:val="0"/>
      <w:marBottom w:val="0"/>
      <w:divBdr>
        <w:top w:val="none" w:sz="0" w:space="0" w:color="auto"/>
        <w:left w:val="none" w:sz="0" w:space="0" w:color="auto"/>
        <w:bottom w:val="none" w:sz="0" w:space="0" w:color="auto"/>
        <w:right w:val="none" w:sz="0" w:space="0" w:color="auto"/>
      </w:divBdr>
    </w:div>
    <w:div w:id="1847206210">
      <w:bodyDiv w:val="1"/>
      <w:marLeft w:val="0"/>
      <w:marRight w:val="0"/>
      <w:marTop w:val="0"/>
      <w:marBottom w:val="0"/>
      <w:divBdr>
        <w:top w:val="none" w:sz="0" w:space="0" w:color="auto"/>
        <w:left w:val="none" w:sz="0" w:space="0" w:color="auto"/>
        <w:bottom w:val="none" w:sz="0" w:space="0" w:color="auto"/>
        <w:right w:val="none" w:sz="0" w:space="0" w:color="auto"/>
      </w:divBdr>
    </w:div>
    <w:div w:id="1864786987">
      <w:bodyDiv w:val="1"/>
      <w:marLeft w:val="0"/>
      <w:marRight w:val="0"/>
      <w:marTop w:val="0"/>
      <w:marBottom w:val="0"/>
      <w:divBdr>
        <w:top w:val="none" w:sz="0" w:space="0" w:color="auto"/>
        <w:left w:val="none" w:sz="0" w:space="0" w:color="auto"/>
        <w:bottom w:val="none" w:sz="0" w:space="0" w:color="auto"/>
        <w:right w:val="none" w:sz="0" w:space="0" w:color="auto"/>
      </w:divBdr>
    </w:div>
    <w:div w:id="1905021690">
      <w:bodyDiv w:val="1"/>
      <w:marLeft w:val="0"/>
      <w:marRight w:val="0"/>
      <w:marTop w:val="0"/>
      <w:marBottom w:val="0"/>
      <w:divBdr>
        <w:top w:val="none" w:sz="0" w:space="0" w:color="auto"/>
        <w:left w:val="none" w:sz="0" w:space="0" w:color="auto"/>
        <w:bottom w:val="none" w:sz="0" w:space="0" w:color="auto"/>
        <w:right w:val="none" w:sz="0" w:space="0" w:color="auto"/>
      </w:divBdr>
    </w:div>
    <w:div w:id="1909723352">
      <w:bodyDiv w:val="1"/>
      <w:marLeft w:val="0"/>
      <w:marRight w:val="0"/>
      <w:marTop w:val="0"/>
      <w:marBottom w:val="0"/>
      <w:divBdr>
        <w:top w:val="none" w:sz="0" w:space="0" w:color="auto"/>
        <w:left w:val="none" w:sz="0" w:space="0" w:color="auto"/>
        <w:bottom w:val="none" w:sz="0" w:space="0" w:color="auto"/>
        <w:right w:val="none" w:sz="0" w:space="0" w:color="auto"/>
      </w:divBdr>
    </w:div>
    <w:div w:id="1924756206">
      <w:bodyDiv w:val="1"/>
      <w:marLeft w:val="0"/>
      <w:marRight w:val="0"/>
      <w:marTop w:val="0"/>
      <w:marBottom w:val="0"/>
      <w:divBdr>
        <w:top w:val="none" w:sz="0" w:space="0" w:color="auto"/>
        <w:left w:val="none" w:sz="0" w:space="0" w:color="auto"/>
        <w:bottom w:val="none" w:sz="0" w:space="0" w:color="auto"/>
        <w:right w:val="none" w:sz="0" w:space="0" w:color="auto"/>
      </w:divBdr>
    </w:div>
    <w:div w:id="1945916444">
      <w:bodyDiv w:val="1"/>
      <w:marLeft w:val="0"/>
      <w:marRight w:val="0"/>
      <w:marTop w:val="0"/>
      <w:marBottom w:val="0"/>
      <w:divBdr>
        <w:top w:val="none" w:sz="0" w:space="0" w:color="auto"/>
        <w:left w:val="none" w:sz="0" w:space="0" w:color="auto"/>
        <w:bottom w:val="none" w:sz="0" w:space="0" w:color="auto"/>
        <w:right w:val="none" w:sz="0" w:space="0" w:color="auto"/>
      </w:divBdr>
    </w:div>
    <w:div w:id="1947034456">
      <w:bodyDiv w:val="1"/>
      <w:marLeft w:val="0"/>
      <w:marRight w:val="0"/>
      <w:marTop w:val="0"/>
      <w:marBottom w:val="0"/>
      <w:divBdr>
        <w:top w:val="none" w:sz="0" w:space="0" w:color="auto"/>
        <w:left w:val="none" w:sz="0" w:space="0" w:color="auto"/>
        <w:bottom w:val="none" w:sz="0" w:space="0" w:color="auto"/>
        <w:right w:val="none" w:sz="0" w:space="0" w:color="auto"/>
      </w:divBdr>
    </w:div>
    <w:div w:id="2079283627">
      <w:bodyDiv w:val="1"/>
      <w:marLeft w:val="0"/>
      <w:marRight w:val="0"/>
      <w:marTop w:val="0"/>
      <w:marBottom w:val="0"/>
      <w:divBdr>
        <w:top w:val="none" w:sz="0" w:space="0" w:color="auto"/>
        <w:left w:val="none" w:sz="0" w:space="0" w:color="auto"/>
        <w:bottom w:val="none" w:sz="0" w:space="0" w:color="auto"/>
        <w:right w:val="none" w:sz="0" w:space="0" w:color="auto"/>
      </w:divBdr>
    </w:div>
    <w:div w:id="2092119531">
      <w:bodyDiv w:val="1"/>
      <w:marLeft w:val="0"/>
      <w:marRight w:val="0"/>
      <w:marTop w:val="0"/>
      <w:marBottom w:val="0"/>
      <w:divBdr>
        <w:top w:val="none" w:sz="0" w:space="0" w:color="auto"/>
        <w:left w:val="none" w:sz="0" w:space="0" w:color="auto"/>
        <w:bottom w:val="none" w:sz="0" w:space="0" w:color="auto"/>
        <w:right w:val="none" w:sz="0" w:space="0" w:color="auto"/>
      </w:divBdr>
    </w:div>
    <w:div w:id="213643983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janez.mavri@ki.s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7C48DA9D-7C94-408C-A603-B607A19EB8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Pages>
  <Words>19852</Words>
  <Characters>113161</Characters>
  <Application>Microsoft Office Word</Application>
  <DocSecurity>0</DocSecurity>
  <Lines>943</Lines>
  <Paragraphs>265</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German Research School for Simulation Sciences</Company>
  <LinksUpToDate>false</LinksUpToDate>
  <CharactersWithSpaces>132748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Matic Pavlin</dc:creator>
  <cp:lastModifiedBy>Kogej, Ksenija</cp:lastModifiedBy>
  <cp:revision>2</cp:revision>
  <cp:lastPrinted>2019-05-17T13:03:00Z</cp:lastPrinted>
  <dcterms:created xsi:type="dcterms:W3CDTF">2020-11-19T09:01:00Z</dcterms:created>
  <dcterms:modified xsi:type="dcterms:W3CDTF">2020-11-19T09:01:00Z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90263776-ec8b-3a25-923f-0f998419071f</vt:lpwstr>
  </property>
  <property fmtid="{D5CDD505-2E9C-101B-9397-08002B2CF9AE}" pid="4" name="Mendeley Citation Style_1">
    <vt:lpwstr>http://www.zotero.org/styles/american-medical-association</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10th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http://www.zotero.org/styles/modern-language-association</vt:lpwstr>
  </property>
  <property fmtid="{D5CDD505-2E9C-101B-9397-08002B2CF9AE}" pid="20" name="Mendeley Recent Style Name 7_1">
    <vt:lpwstr>Modern Language Association 8th edition</vt:lpwstr>
  </property>
  <property fmtid="{D5CDD505-2E9C-101B-9397-08002B2CF9AE}" pid="21" name="Mendeley Recent Style Id 8_1">
    <vt:lpwstr>http://www.zotero.org/styles/nature</vt:lpwstr>
  </property>
  <property fmtid="{D5CDD505-2E9C-101B-9397-08002B2CF9AE}" pid="22" name="Mendeley Recent Style Name 8_1">
    <vt:lpwstr>Nature</vt:lpwstr>
  </property>
  <property fmtid="{D5CDD505-2E9C-101B-9397-08002B2CF9AE}" pid="23" name="Mendeley Recent Style Id 9_1">
    <vt:lpwstr>http://www.zotero.org/styles/vancouver</vt:lpwstr>
  </property>
  <property fmtid="{D5CDD505-2E9C-101B-9397-08002B2CF9AE}" pid="24" name="Mendeley Recent Style Name 9_1">
    <vt:lpwstr>Vancouver</vt:lpwstr>
  </property>
</Properties>
</file>