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BE6" w:rsidRPr="009721A2" w:rsidRDefault="0011034B">
      <w:pPr>
        <w:spacing w:after="0" w:line="360" w:lineRule="auto"/>
        <w:jc w:val="both"/>
        <w:rPr>
          <w:b/>
          <w:color w:val="000000" w:themeColor="text1"/>
        </w:rPr>
      </w:pPr>
      <w:r w:rsidRPr="009721A2">
        <w:rPr>
          <w:b/>
          <w:color w:val="000000" w:themeColor="text1"/>
        </w:rPr>
        <w:t xml:space="preserve">Influence </w:t>
      </w:r>
      <w:r w:rsidR="00620F4E">
        <w:rPr>
          <w:b/>
          <w:color w:val="000000" w:themeColor="text1"/>
        </w:rPr>
        <w:t>of Ti</w:t>
      </w:r>
      <w:r w:rsidR="00DE4426">
        <w:rPr>
          <w:b/>
          <w:color w:val="000000" w:themeColor="text1"/>
        </w:rPr>
        <w:t>O</w:t>
      </w:r>
      <w:r w:rsidR="00620F4E" w:rsidRPr="00DE4426">
        <w:rPr>
          <w:b/>
          <w:color w:val="000000" w:themeColor="text1"/>
          <w:vertAlign w:val="subscript"/>
        </w:rPr>
        <w:t>2</w:t>
      </w:r>
      <w:r w:rsidR="00620F4E">
        <w:rPr>
          <w:b/>
          <w:color w:val="000000" w:themeColor="text1"/>
        </w:rPr>
        <w:t xml:space="preserve"> on Mucosal Permeation of Aceclofenac: Analysis of Crystal Strain a</w:t>
      </w:r>
      <w:r w:rsidR="00620F4E" w:rsidRPr="009721A2">
        <w:rPr>
          <w:b/>
          <w:color w:val="000000" w:themeColor="text1"/>
        </w:rPr>
        <w:t>nd Dislocation Density</w:t>
      </w:r>
    </w:p>
    <w:p w:rsidR="002349B8" w:rsidRDefault="002349B8" w:rsidP="002349B8">
      <w:pPr>
        <w:spacing w:after="0" w:line="360" w:lineRule="auto"/>
        <w:jc w:val="both"/>
        <w:rPr>
          <w:b/>
        </w:rPr>
      </w:pPr>
    </w:p>
    <w:p w:rsidR="002349B8" w:rsidRDefault="002349B8" w:rsidP="002349B8">
      <w:pPr>
        <w:rPr>
          <w:b/>
        </w:rPr>
      </w:pPr>
      <w:r>
        <w:rPr>
          <w:b/>
        </w:rPr>
        <w:t xml:space="preserve">Running Title: Influence of TiO2 on mucosal permeation </w:t>
      </w:r>
    </w:p>
    <w:p w:rsidR="008F5198" w:rsidRDefault="008F5198" w:rsidP="00C401FC">
      <w:pPr>
        <w:rPr>
          <w:b/>
        </w:rPr>
      </w:pPr>
    </w:p>
    <w:p w:rsidR="00561BE6" w:rsidRDefault="0011034B" w:rsidP="00C401FC">
      <w:pPr>
        <w:rPr>
          <w:b/>
        </w:rPr>
      </w:pPr>
      <w:bookmarkStart w:id="0" w:name="_GoBack"/>
      <w:bookmarkEnd w:id="0"/>
      <w:r>
        <w:rPr>
          <w:b/>
        </w:rPr>
        <w:t>Abstract</w:t>
      </w:r>
    </w:p>
    <w:p w:rsidR="00E63B1B" w:rsidRPr="00726613" w:rsidRDefault="00E63B1B" w:rsidP="00E63B1B">
      <w:pPr>
        <w:spacing w:line="360" w:lineRule="auto"/>
        <w:ind w:firstLine="720"/>
        <w:jc w:val="both"/>
      </w:pPr>
      <w:r w:rsidRPr="00726613">
        <w:t xml:space="preserve">Titanium dioxide can adhere with human epithelial cells and have good tolerability. </w:t>
      </w:r>
      <w:r>
        <w:t>P</w:t>
      </w:r>
      <w:r w:rsidRPr="00726613">
        <w:t>resent work has been undertaken to explore the influence of TiO</w:t>
      </w:r>
      <w:r w:rsidRPr="00524832">
        <w:rPr>
          <w:vertAlign w:val="subscript"/>
        </w:rPr>
        <w:t>2</w:t>
      </w:r>
      <w:r w:rsidRPr="00726613">
        <w:t xml:space="preserve"> on mucosal permeation of aceclofenac. Mucosal permeation </w:t>
      </w:r>
      <w:r w:rsidR="00802EE4">
        <w:t>of aeclofenac solution containing TiO</w:t>
      </w:r>
      <w:r w:rsidR="00802EE4" w:rsidRPr="00DE4426">
        <w:rPr>
          <w:vertAlign w:val="subscript"/>
        </w:rPr>
        <w:t>2</w:t>
      </w:r>
      <w:r w:rsidR="00802EE4">
        <w:t xml:space="preserve"> has been carried out</w:t>
      </w:r>
      <w:r w:rsidRPr="00726613">
        <w:t>. In FTIR study, the intensity of the peaks has decreased along with the increase of TiO</w:t>
      </w:r>
      <w:r w:rsidRPr="00524832">
        <w:rPr>
          <w:vertAlign w:val="subscript"/>
        </w:rPr>
        <w:t xml:space="preserve">2 </w:t>
      </w:r>
      <w:r w:rsidRPr="00726613">
        <w:t>content in the formulation indicating a possible binding between drug and TiO</w:t>
      </w:r>
      <w:r w:rsidRPr="00726613">
        <w:rPr>
          <w:vertAlign w:val="subscript"/>
        </w:rPr>
        <w:t>2</w:t>
      </w:r>
      <w:r w:rsidRPr="00726613">
        <w:t>. Melting enthalpy has been decreased with the increased content of TiO</w:t>
      </w:r>
      <w:r w:rsidRPr="00726613">
        <w:rPr>
          <w:vertAlign w:val="subscript"/>
        </w:rPr>
        <w:t>2</w:t>
      </w:r>
      <w:r w:rsidRPr="00726613">
        <w:t xml:space="preserve"> in the solid. The status of crystal strain and dislocation density of TiO</w:t>
      </w:r>
      <w:r w:rsidRPr="00726613">
        <w:rPr>
          <w:vertAlign w:val="subscript"/>
        </w:rPr>
        <w:t>2</w:t>
      </w:r>
      <w:r w:rsidRPr="00726613">
        <w:t xml:space="preserve"> and aceclofenac in the solid state formulation has also been evaluated from </w:t>
      </w:r>
      <w:r>
        <w:t>XRD</w:t>
      </w:r>
      <w:r w:rsidRPr="00726613">
        <w:t xml:space="preserve"> data using Debye-Scherrer’s equation. Mucosal permeation of aceclofenac has shown sustained effect for more than 20 h in presence of titanium dioxide. Titanium dioxide</w:t>
      </w:r>
      <w:r>
        <w:t xml:space="preserve"> could be used in designing formulation for sustaining mucosal aceclofenac delivery after performing risk assessment study.</w:t>
      </w:r>
    </w:p>
    <w:p w:rsidR="00561BE6" w:rsidRDefault="0011034B">
      <w:pPr>
        <w:spacing w:line="360" w:lineRule="auto"/>
        <w:jc w:val="both"/>
      </w:pPr>
      <w:r>
        <w:t>Key words:</w:t>
      </w:r>
      <w:r>
        <w:rPr>
          <w:b/>
        </w:rPr>
        <w:t xml:space="preserve"> </w:t>
      </w:r>
      <w:r w:rsidRPr="00295955">
        <w:t xml:space="preserve">Aceclofenac; titanium dioxide; mucosal permeation; </w:t>
      </w:r>
      <w:r w:rsidR="00295955" w:rsidRPr="00295955">
        <w:rPr>
          <w:color w:val="000000" w:themeColor="text1"/>
        </w:rPr>
        <w:t>crystal strain; dislocation density;</w:t>
      </w:r>
      <w:r w:rsidR="00295955" w:rsidRPr="00295955">
        <w:t xml:space="preserve"> </w:t>
      </w:r>
      <w:r w:rsidRPr="00295955">
        <w:t xml:space="preserve">in vitro </w:t>
      </w:r>
      <w:r w:rsidR="00295955" w:rsidRPr="00295955">
        <w:t>diffusion.</w:t>
      </w:r>
      <w:r>
        <w:t xml:space="preserve"> </w:t>
      </w:r>
    </w:p>
    <w:p w:rsidR="00561BE6" w:rsidRDefault="0011034B">
      <w:pPr>
        <w:spacing w:after="0" w:line="360" w:lineRule="auto"/>
        <w:jc w:val="center"/>
        <w:rPr>
          <w:b/>
        </w:rPr>
      </w:pPr>
      <w:r>
        <w:rPr>
          <w:b/>
        </w:rPr>
        <w:t>1. INTRODUCTION</w:t>
      </w:r>
    </w:p>
    <w:p w:rsidR="00E538F2" w:rsidRDefault="0011034B" w:rsidP="00E538F2">
      <w:pPr>
        <w:spacing w:after="0" w:line="360" w:lineRule="auto"/>
        <w:ind w:firstLine="720"/>
        <w:jc w:val="both"/>
      </w:pPr>
      <w:r>
        <w:t xml:space="preserve"> </w:t>
      </w:r>
      <w:r w:rsidR="00E538F2">
        <w:t>Titanium Dioxide is a biocompatible and stable material</w:t>
      </w:r>
      <w:r w:rsidR="00EB5D81">
        <w:t>,</w:t>
      </w:r>
      <w:r w:rsidR="00BA7662">
        <w:rPr>
          <w:vertAlign w:val="superscript"/>
        </w:rPr>
        <w:t>1</w:t>
      </w:r>
      <w:r w:rsidR="00E538F2">
        <w:t xml:space="preserve"> and has a wide range of application in various kind</w:t>
      </w:r>
      <w:r w:rsidR="00E538F2">
        <w:rPr>
          <w:color w:val="38761D"/>
        </w:rPr>
        <w:t>s</w:t>
      </w:r>
      <w:r w:rsidR="00E538F2">
        <w:t xml:space="preserve"> of cosmetics. TiO</w:t>
      </w:r>
      <w:r w:rsidR="00E538F2" w:rsidRPr="00DE4426">
        <w:rPr>
          <w:vertAlign w:val="subscript"/>
        </w:rPr>
        <w:t xml:space="preserve">2 </w:t>
      </w:r>
      <w:r w:rsidR="00E538F2">
        <w:t>is accepted as food additive and also approved by FDA to be used in toothpaste, oral formulations etc</w:t>
      </w:r>
      <w:r w:rsidR="00EB5D81">
        <w:t>.</w:t>
      </w:r>
      <w:r w:rsidR="00BA7662">
        <w:rPr>
          <w:vertAlign w:val="superscript"/>
        </w:rPr>
        <w:t>2</w:t>
      </w:r>
      <w:r w:rsidR="00E538F2">
        <w:t xml:space="preserve"> Chen et al, 2011 described that TiO</w:t>
      </w:r>
      <w:r w:rsidR="00E538F2" w:rsidRPr="00DE4426">
        <w:rPr>
          <w:vertAlign w:val="subscript"/>
        </w:rPr>
        <w:t xml:space="preserve">2 </w:t>
      </w:r>
      <w:r w:rsidR="00E538F2">
        <w:t>is responsible for increasing intracellular Ca</w:t>
      </w:r>
      <w:r w:rsidR="00E538F2" w:rsidRPr="00DE4426">
        <w:rPr>
          <w:vertAlign w:val="superscript"/>
        </w:rPr>
        <w:t>2+</w:t>
      </w:r>
      <w:r w:rsidR="00E538F2">
        <w:t xml:space="preserve"> concentration leading to elevated secretion of mucin</w:t>
      </w:r>
      <w:r w:rsidR="00AB2F84">
        <w:t>.</w:t>
      </w:r>
      <w:r w:rsidR="00BA7662">
        <w:rPr>
          <w:vertAlign w:val="superscript"/>
        </w:rPr>
        <w:t>3</w:t>
      </w:r>
      <w:r w:rsidR="00E538F2">
        <w:t xml:space="preserve"> TiO</w:t>
      </w:r>
      <w:r w:rsidR="00E538F2" w:rsidRPr="00DE4426">
        <w:rPr>
          <w:vertAlign w:val="subscript"/>
        </w:rPr>
        <w:t>2</w:t>
      </w:r>
      <w:r w:rsidR="00E538F2">
        <w:t xml:space="preserve"> coating is very much useful to adhere on epithelial tissues</w:t>
      </w:r>
      <w:r w:rsidR="00AB2F84">
        <w:t>.</w:t>
      </w:r>
      <w:r w:rsidR="00BA7662">
        <w:rPr>
          <w:vertAlign w:val="superscript"/>
        </w:rPr>
        <w:t>4</w:t>
      </w:r>
      <w:r w:rsidR="00E538F2">
        <w:t xml:space="preserve"> </w:t>
      </w:r>
      <w:r w:rsidR="00E538F2" w:rsidRPr="00A20D64">
        <w:t xml:space="preserve">Masa and his colleagues, </w:t>
      </w:r>
      <w:r w:rsidR="00A20D64" w:rsidRPr="00A20D64">
        <w:t>2018 reported</w:t>
      </w:r>
      <w:r w:rsidR="00E538F2" w:rsidRPr="00A20D64">
        <w:t xml:space="preserve"> </w:t>
      </w:r>
      <w:r w:rsidR="00E538F2">
        <w:t>that TiO</w:t>
      </w:r>
      <w:r w:rsidR="00E538F2" w:rsidRPr="00DE4426">
        <w:rPr>
          <w:vertAlign w:val="subscript"/>
        </w:rPr>
        <w:t>2</w:t>
      </w:r>
      <w:r w:rsidR="00E538F2">
        <w:t xml:space="preserve"> has a property to attach with human epithelial cells along with a good tolerability</w:t>
      </w:r>
      <w:r w:rsidR="00AB2F84">
        <w:t>.</w:t>
      </w:r>
      <w:r w:rsidR="00BA7662">
        <w:rPr>
          <w:vertAlign w:val="superscript"/>
        </w:rPr>
        <w:t>5</w:t>
      </w:r>
      <w:r w:rsidR="00E538F2">
        <w:t xml:space="preserve"> TiO</w:t>
      </w:r>
      <w:r w:rsidR="00E538F2" w:rsidRPr="00DE4426">
        <w:rPr>
          <w:vertAlign w:val="subscript"/>
        </w:rPr>
        <w:t>2</w:t>
      </w:r>
      <w:r w:rsidR="00E538F2">
        <w:t xml:space="preserve"> nanoparticles interact instantly with the buccal mucosa upon contact and show a long residence time in the oral cavity</w:t>
      </w:r>
      <w:r w:rsidR="00AB2F84">
        <w:t>.</w:t>
      </w:r>
      <w:r w:rsidR="00BA7662">
        <w:rPr>
          <w:vertAlign w:val="superscript"/>
        </w:rPr>
        <w:t>6</w:t>
      </w:r>
    </w:p>
    <w:p w:rsidR="00561BE6" w:rsidRDefault="0011034B">
      <w:pPr>
        <w:spacing w:after="0" w:line="360" w:lineRule="auto"/>
        <w:ind w:firstLine="720"/>
        <w:jc w:val="both"/>
      </w:pPr>
      <w:r>
        <w:t xml:space="preserve">Aceclofenac is a widely </w:t>
      </w:r>
      <w:r w:rsidR="00A20D64">
        <w:t>used</w:t>
      </w:r>
      <w:r>
        <w:t xml:space="preserve"> BCS class II non-steroidal anti-inflammatory drug</w:t>
      </w:r>
      <w:r w:rsidR="00AB2F84">
        <w:t>.</w:t>
      </w:r>
      <w:r w:rsidR="00BA7662">
        <w:rPr>
          <w:vertAlign w:val="superscript"/>
        </w:rPr>
        <w:t>7</w:t>
      </w:r>
      <w:r w:rsidRPr="00AC7852">
        <w:rPr>
          <w:vertAlign w:val="superscript"/>
        </w:rPr>
        <w:t>-</w:t>
      </w:r>
      <w:r w:rsidR="00BA7662">
        <w:rPr>
          <w:vertAlign w:val="superscript"/>
        </w:rPr>
        <w:t>9</w:t>
      </w:r>
      <w:r>
        <w:t xml:space="preserve"> It suffers </w:t>
      </w:r>
      <w:r w:rsidRPr="00A20D64">
        <w:t xml:space="preserve">from </w:t>
      </w:r>
      <w:r w:rsidR="00A2637E" w:rsidRPr="00A20D64">
        <w:t>shorter elimination half</w:t>
      </w:r>
      <w:r w:rsidR="00A20D64">
        <w:t>-</w:t>
      </w:r>
      <w:r w:rsidR="00A2637E" w:rsidRPr="00A20D64">
        <w:t>life and</w:t>
      </w:r>
      <w:r w:rsidRPr="00A20D64">
        <w:t xml:space="preserve"> low </w:t>
      </w:r>
      <w:r>
        <w:t>oral bioavailability because of low aqueous solubility</w:t>
      </w:r>
      <w:r w:rsidR="00AB2F84">
        <w:t>.</w:t>
      </w:r>
      <w:r w:rsidR="00BA7662">
        <w:rPr>
          <w:vertAlign w:val="superscript"/>
        </w:rPr>
        <w:t>10</w:t>
      </w:r>
      <w:r w:rsidRPr="00AC7852">
        <w:rPr>
          <w:vertAlign w:val="superscript"/>
        </w:rPr>
        <w:t>-</w:t>
      </w:r>
      <w:r w:rsidR="00BA7662">
        <w:rPr>
          <w:vertAlign w:val="superscript"/>
        </w:rPr>
        <w:t>12</w:t>
      </w:r>
      <w:r>
        <w:t xml:space="preserve"> The toxic effects of this NSAID include gastric abnormalities like abdominal pain, gastric bleeding, dyspepsia etc. It</w:t>
      </w:r>
      <w:r w:rsidRPr="00A20D64">
        <w:t xml:space="preserve"> is known that if the first pass metabolism is bypassed </w:t>
      </w:r>
      <w:r w:rsidRPr="00A20D64">
        <w:lastRenderedPageBreak/>
        <w:t xml:space="preserve">avoiding oral administration, </w:t>
      </w:r>
      <w:r w:rsidR="000128FD" w:rsidRPr="00A20D64">
        <w:t>improved</w:t>
      </w:r>
      <w:r w:rsidRPr="00A20D64">
        <w:t xml:space="preserve"> bioavailability could be o</w:t>
      </w:r>
      <w:r>
        <w:t>bserved</w:t>
      </w:r>
      <w:r w:rsidR="00AB2F84">
        <w:t>.</w:t>
      </w:r>
      <w:r w:rsidR="00BA7662">
        <w:rPr>
          <w:vertAlign w:val="superscript"/>
        </w:rPr>
        <w:t>13</w:t>
      </w:r>
      <w:r>
        <w:t xml:space="preserve"> </w:t>
      </w:r>
      <w:r w:rsidR="008A6748">
        <w:t>A</w:t>
      </w:r>
      <w:r>
        <w:t>ceclofenac eye drop has show</w:t>
      </w:r>
      <w:r w:rsidR="00820226">
        <w:t>n</w:t>
      </w:r>
      <w:r>
        <w:t xml:space="preserve"> a marked reduction in ocular inflammation in post-operative cases of cataract operation</w:t>
      </w:r>
      <w:r w:rsidR="00AB2F84">
        <w:t>.</w:t>
      </w:r>
      <w:r w:rsidR="008A6748" w:rsidRPr="00AC7852">
        <w:rPr>
          <w:vertAlign w:val="superscript"/>
        </w:rPr>
        <w:t>1</w:t>
      </w:r>
      <w:r w:rsidR="008A6748">
        <w:rPr>
          <w:vertAlign w:val="superscript"/>
        </w:rPr>
        <w:t>4</w:t>
      </w:r>
      <w:r>
        <w:t xml:space="preserve"> </w:t>
      </w:r>
      <w:r w:rsidR="00820226">
        <w:t>Topical administration has been done frequently (2 hourly) for improved permeation through ocular mucosa</w:t>
      </w:r>
      <w:r>
        <w:t xml:space="preserve">. </w:t>
      </w:r>
      <w:r w:rsidRPr="00A20D64">
        <w:t xml:space="preserve">In vitro prolonged </w:t>
      </w:r>
      <w:r w:rsidR="002349B8">
        <w:t>release</w:t>
      </w:r>
      <w:r w:rsidRPr="00A20D64">
        <w:t xml:space="preserve"> has been studied for </w:t>
      </w:r>
      <w:r w:rsidR="00AC7852" w:rsidRPr="00A20D64">
        <w:t>transmucosal delivery</w:t>
      </w:r>
      <w:r w:rsidRPr="00A20D64">
        <w:t xml:space="preserve"> of aceclofenac using mucoadhesive dillenia fruit gum</w:t>
      </w:r>
      <w:r w:rsidR="00AB2F84">
        <w:t>.</w:t>
      </w:r>
      <w:r w:rsidR="00AC7852" w:rsidRPr="0062753C">
        <w:rPr>
          <w:vertAlign w:val="superscript"/>
        </w:rPr>
        <w:t>1</w:t>
      </w:r>
      <w:r w:rsidR="00BA7662" w:rsidRPr="0062753C">
        <w:rPr>
          <w:vertAlign w:val="superscript"/>
        </w:rPr>
        <w:t>5</w:t>
      </w:r>
      <w:r w:rsidRPr="0011034B">
        <w:rPr>
          <w:color w:val="00B050"/>
        </w:rPr>
        <w:t xml:space="preserve"> </w:t>
      </w:r>
      <w:r w:rsidRPr="0011034B">
        <w:t>K</w:t>
      </w:r>
      <w:r>
        <w:t xml:space="preserve">atara </w:t>
      </w:r>
      <w:r w:rsidR="002349B8">
        <w:t>et al.,</w:t>
      </w:r>
      <w:r>
        <w:t xml:space="preserve"> prepared a nano particle formulation of aceclofenac and claimed that the drug efficacy in local action can be improved if residence time of the formulation is amplified</w:t>
      </w:r>
      <w:r w:rsidR="00AB2F84">
        <w:t>.</w:t>
      </w:r>
      <w:r w:rsidRPr="00AC7852">
        <w:rPr>
          <w:vertAlign w:val="superscript"/>
        </w:rPr>
        <w:t>1</w:t>
      </w:r>
      <w:r w:rsidR="0062753C">
        <w:rPr>
          <w:vertAlign w:val="superscript"/>
        </w:rPr>
        <w:t>6</w:t>
      </w:r>
      <w:r>
        <w:t xml:space="preserve">  </w:t>
      </w:r>
    </w:p>
    <w:p w:rsidR="00561BE6" w:rsidRPr="00A20D64" w:rsidRDefault="0011034B">
      <w:pPr>
        <w:spacing w:after="0" w:line="360" w:lineRule="auto"/>
        <w:jc w:val="both"/>
      </w:pPr>
      <w:r>
        <w:t xml:space="preserve">      In this present study </w:t>
      </w:r>
      <w:r w:rsidRPr="00AC7852">
        <w:t>the influence of TiO</w:t>
      </w:r>
      <w:r w:rsidRPr="008A6748">
        <w:rPr>
          <w:vertAlign w:val="subscript"/>
        </w:rPr>
        <w:t>2</w:t>
      </w:r>
      <w:r w:rsidRPr="00AC7852">
        <w:t xml:space="preserve"> has been explored on the mucosal permeation of aceclofenac in liquid formulation. Solid state crystal strain and dislocation density have also been analysed.</w:t>
      </w:r>
      <w:r w:rsidR="008A6748">
        <w:t xml:space="preserve"> </w:t>
      </w:r>
    </w:p>
    <w:p w:rsidR="00561BE6" w:rsidRDefault="0011034B" w:rsidP="00B52F2E">
      <w:pPr>
        <w:spacing w:before="240" w:line="360" w:lineRule="auto"/>
        <w:jc w:val="center"/>
        <w:rPr>
          <w:b/>
        </w:rPr>
      </w:pPr>
      <w:r>
        <w:rPr>
          <w:b/>
        </w:rPr>
        <w:t>2. Experimental</w:t>
      </w:r>
    </w:p>
    <w:p w:rsidR="00561BE6" w:rsidRDefault="0011034B">
      <w:pPr>
        <w:spacing w:line="360" w:lineRule="auto"/>
        <w:jc w:val="both"/>
        <w:rPr>
          <w:rFonts w:ascii="Garamond" w:eastAsia="Garamond" w:hAnsi="Garamond" w:cs="Garamond"/>
          <w:color w:val="000000"/>
          <w:sz w:val="22"/>
          <w:szCs w:val="22"/>
        </w:rPr>
      </w:pPr>
      <w:r>
        <w:rPr>
          <w:b/>
        </w:rPr>
        <w:t>2.1. Materials</w:t>
      </w:r>
      <w:r>
        <w:rPr>
          <w:rFonts w:ascii="Garamond" w:eastAsia="Garamond" w:hAnsi="Garamond" w:cs="Garamond"/>
          <w:color w:val="000000"/>
          <w:sz w:val="22"/>
          <w:szCs w:val="22"/>
        </w:rPr>
        <w:t xml:space="preserve"> </w:t>
      </w:r>
    </w:p>
    <w:p w:rsidR="00561BE6" w:rsidRDefault="0011034B" w:rsidP="00B52F2E">
      <w:pPr>
        <w:spacing w:after="0" w:line="360" w:lineRule="auto"/>
        <w:ind w:firstLine="720"/>
        <w:jc w:val="both"/>
      </w:pPr>
      <w:r>
        <w:t xml:space="preserve">Aceclofenac was </w:t>
      </w:r>
      <w:r w:rsidR="00E538F2" w:rsidRPr="00A20D64">
        <w:t>receiv</w:t>
      </w:r>
      <w:r w:rsidRPr="00A20D64">
        <w:t xml:space="preserve">ed </w:t>
      </w:r>
      <w:r>
        <w:t xml:space="preserve">from Mannequin Pharmaceuticals Pvt. Ltd., (Bhubaneswar, India) as a gift sample. Titanium Dioxidee was procured from Merck Specialities Pvt. Ltd, (Mumbai India). </w:t>
      </w:r>
    </w:p>
    <w:p w:rsidR="00561BE6" w:rsidRDefault="0011034B" w:rsidP="00B52F2E">
      <w:pPr>
        <w:spacing w:after="0" w:line="360" w:lineRule="auto"/>
        <w:jc w:val="both"/>
        <w:rPr>
          <w:b/>
        </w:rPr>
      </w:pPr>
      <w:r>
        <w:rPr>
          <w:b/>
        </w:rPr>
        <w:t>2.2. Preparation of Aceclofenac TiO</w:t>
      </w:r>
      <w:r w:rsidRPr="005D010E">
        <w:rPr>
          <w:b/>
          <w:vertAlign w:val="subscript"/>
        </w:rPr>
        <w:t>2</w:t>
      </w:r>
      <w:r>
        <w:rPr>
          <w:b/>
        </w:rPr>
        <w:t xml:space="preserve"> Kneaded </w:t>
      </w:r>
      <w:r w:rsidR="005D010E">
        <w:rPr>
          <w:b/>
        </w:rPr>
        <w:t>M</w:t>
      </w:r>
      <w:r>
        <w:rPr>
          <w:b/>
        </w:rPr>
        <w:t>ixture</w:t>
      </w:r>
    </w:p>
    <w:p w:rsidR="00561BE6" w:rsidRDefault="0011034B">
      <w:pPr>
        <w:spacing w:line="360" w:lineRule="auto"/>
        <w:ind w:firstLine="720"/>
        <w:jc w:val="both"/>
      </w:pPr>
      <w:r>
        <w:t>Aceclofenac was dissolved in a minimal amount of acetone and a kneaded mixture was prepared with titanium dioxide at different ratios</w:t>
      </w:r>
      <w:r w:rsidR="00AB2F84">
        <w:t xml:space="preserve"> (</w:t>
      </w:r>
      <w:r>
        <w:t>Table 1</w:t>
      </w:r>
      <w:r w:rsidR="00AB2F84">
        <w:t>)</w:t>
      </w:r>
      <w:r>
        <w:t>.</w:t>
      </w:r>
      <w:r w:rsidR="00AB2F84" w:rsidRPr="00AB2F84">
        <w:rPr>
          <w:vertAlign w:val="superscript"/>
        </w:rPr>
        <w:t xml:space="preserve"> </w:t>
      </w:r>
      <w:r w:rsidR="00AB2F84">
        <w:rPr>
          <w:vertAlign w:val="superscript"/>
        </w:rPr>
        <w:t>17,18</w:t>
      </w:r>
      <w:r>
        <w:t xml:space="preserve"> The mass was dried at 50 °C until constant weight and preserved in a desiccator.</w:t>
      </w:r>
    </w:p>
    <w:p w:rsidR="00561BE6" w:rsidRDefault="0011034B" w:rsidP="00B52F2E">
      <w:pPr>
        <w:spacing w:after="0" w:line="360" w:lineRule="auto"/>
        <w:jc w:val="both"/>
        <w:rPr>
          <w:b/>
        </w:rPr>
      </w:pPr>
      <w:r>
        <w:rPr>
          <w:b/>
        </w:rPr>
        <w:t>2.3. FTIR Study</w:t>
      </w:r>
    </w:p>
    <w:p w:rsidR="00561BE6" w:rsidRDefault="0011034B">
      <w:pPr>
        <w:spacing w:line="360" w:lineRule="auto"/>
        <w:ind w:firstLine="720"/>
        <w:jc w:val="both"/>
      </w:pPr>
      <w:r>
        <w:t>KBR pellet method was used to carry out the FTIR study of pure drug and formulated powder</w:t>
      </w:r>
      <w:r w:rsidR="00674261">
        <w:t>.</w:t>
      </w:r>
      <w:r w:rsidR="0062753C">
        <w:rPr>
          <w:vertAlign w:val="superscript"/>
        </w:rPr>
        <w:t>19</w:t>
      </w:r>
      <w:r>
        <w:t xml:space="preserve"> A mean of 80 times was taken to obtain the average FTIR spectrum from 400 to 4000</w:t>
      </w:r>
      <w:r w:rsidR="00AB1DDB">
        <w:t xml:space="preserve"> </w:t>
      </w:r>
      <w:r>
        <w:t>cm</w:t>
      </w:r>
      <w:r>
        <w:rPr>
          <w:vertAlign w:val="superscript"/>
        </w:rPr>
        <w:t>-1</w:t>
      </w:r>
      <w:r>
        <w:t xml:space="preserve"> (Model: JASCO FTIR 4100</w:t>
      </w:r>
      <w:r w:rsidR="00AB1DDB">
        <w:t xml:space="preserve"> </w:t>
      </w:r>
      <w:r>
        <w:t xml:space="preserve">type A). </w:t>
      </w:r>
    </w:p>
    <w:p w:rsidR="00561BE6" w:rsidRDefault="0011034B" w:rsidP="00AB1DDB">
      <w:pPr>
        <w:spacing w:after="0" w:line="360" w:lineRule="auto"/>
        <w:jc w:val="both"/>
        <w:rPr>
          <w:b/>
        </w:rPr>
      </w:pPr>
      <w:r>
        <w:rPr>
          <w:b/>
        </w:rPr>
        <w:t>2.</w:t>
      </w:r>
      <w:r w:rsidR="00A2637E">
        <w:rPr>
          <w:b/>
        </w:rPr>
        <w:t>4</w:t>
      </w:r>
      <w:r>
        <w:rPr>
          <w:b/>
        </w:rPr>
        <w:t>. DSC Study</w:t>
      </w:r>
    </w:p>
    <w:p w:rsidR="00561BE6" w:rsidRDefault="0011034B">
      <w:pPr>
        <w:spacing w:line="360" w:lineRule="auto"/>
        <w:ind w:firstLine="720"/>
        <w:jc w:val="both"/>
      </w:pPr>
      <w:r>
        <w:t xml:space="preserve">Differential scanning calorimetry cell was calibrated with Indium (melting point: 156.5 C, </w:t>
      </w:r>
      <w:r>
        <w:rPr>
          <w:i/>
        </w:rPr>
        <w:t>ΔH</w:t>
      </w:r>
      <w:r>
        <w:rPr>
          <w:i/>
          <w:vertAlign w:val="subscript"/>
        </w:rPr>
        <w:t>fus</w:t>
      </w:r>
      <w:r>
        <w:t>= 28.54 J/g)</w:t>
      </w:r>
      <w:r w:rsidR="00674261">
        <w:t>.</w:t>
      </w:r>
      <w:r>
        <w:rPr>
          <w:vertAlign w:val="superscript"/>
        </w:rPr>
        <w:t>2</w:t>
      </w:r>
      <w:r w:rsidR="0062753C">
        <w:rPr>
          <w:vertAlign w:val="superscript"/>
        </w:rPr>
        <w:t>0</w:t>
      </w:r>
      <w:r>
        <w:t xml:space="preserve"> The thermogram was recorded under nitrogen atmosphere (50 ml/min) while taking a sample weighing between 4-6 mg in an aluminium crucible. The rate of heating was 10 C/min and the upper limit was set as 200 °C</w:t>
      </w:r>
      <w:r w:rsidR="00674261">
        <w:t>.</w:t>
      </w:r>
      <w:r>
        <w:t xml:space="preserve"> </w:t>
      </w:r>
      <w:r>
        <w:rPr>
          <w:vertAlign w:val="superscript"/>
        </w:rPr>
        <w:t>2</w:t>
      </w:r>
      <w:r w:rsidR="0062753C">
        <w:rPr>
          <w:vertAlign w:val="superscript"/>
        </w:rPr>
        <w:t>1,22</w:t>
      </w:r>
    </w:p>
    <w:p w:rsidR="00561BE6" w:rsidRDefault="0011034B" w:rsidP="00AB1DDB">
      <w:pPr>
        <w:spacing w:after="0" w:line="360" w:lineRule="auto"/>
        <w:jc w:val="both"/>
        <w:rPr>
          <w:b/>
        </w:rPr>
      </w:pPr>
      <w:r>
        <w:rPr>
          <w:b/>
        </w:rPr>
        <w:t>2.</w:t>
      </w:r>
      <w:r w:rsidR="00A2637E">
        <w:rPr>
          <w:b/>
        </w:rPr>
        <w:t>5</w:t>
      </w:r>
      <w:r>
        <w:rPr>
          <w:b/>
        </w:rPr>
        <w:t>. XRD Study</w:t>
      </w:r>
    </w:p>
    <w:p w:rsidR="00561BE6" w:rsidRDefault="0011034B" w:rsidP="008A6748">
      <w:pPr>
        <w:spacing w:line="360" w:lineRule="auto"/>
        <w:ind w:right="4" w:firstLine="720"/>
        <w:jc w:val="both"/>
      </w:pPr>
      <w:r>
        <w:lastRenderedPageBreak/>
        <w:t>X-ray diffraction pattern of pure aceclofenac and kneaded mixtures were subjected for XRD study. The scan was carried out at a speed of 1°/ min from 5-70° in Rigaku Ultima IV. CU was used as a source for Xray.</w:t>
      </w:r>
    </w:p>
    <w:p w:rsidR="00561BE6" w:rsidRDefault="0011034B" w:rsidP="00AB1DDB">
      <w:pPr>
        <w:spacing w:after="0" w:line="360" w:lineRule="auto"/>
        <w:jc w:val="both"/>
        <w:rPr>
          <w:b/>
        </w:rPr>
      </w:pPr>
      <w:r>
        <w:rPr>
          <w:b/>
        </w:rPr>
        <w:t>2.</w:t>
      </w:r>
      <w:r w:rsidR="00A2637E">
        <w:rPr>
          <w:b/>
        </w:rPr>
        <w:t>6</w:t>
      </w:r>
      <w:r>
        <w:rPr>
          <w:b/>
        </w:rPr>
        <w:t>.</w:t>
      </w:r>
      <w:r>
        <w:rPr>
          <w:b/>
          <w:i/>
        </w:rPr>
        <w:t xml:space="preserve"> In vitro</w:t>
      </w:r>
      <w:r>
        <w:rPr>
          <w:b/>
        </w:rPr>
        <w:t xml:space="preserve"> drug release study</w:t>
      </w:r>
    </w:p>
    <w:p w:rsidR="00561BE6" w:rsidRDefault="0011034B">
      <w:pPr>
        <w:spacing w:line="360" w:lineRule="auto"/>
        <w:ind w:firstLine="720"/>
        <w:jc w:val="both"/>
      </w:pPr>
      <w:r>
        <w:t xml:space="preserve">In vitro </w:t>
      </w:r>
      <w:r w:rsidR="0023258E">
        <w:t>drug diffusion</w:t>
      </w:r>
      <w:r>
        <w:t xml:space="preserve"> study was done in </w:t>
      </w:r>
      <w:r w:rsidR="0023258E">
        <w:t xml:space="preserve">both side open glass tube </w:t>
      </w:r>
      <w:r w:rsidR="0023258E" w:rsidRPr="0023258E">
        <w:t>using</w:t>
      </w:r>
      <w:r w:rsidR="0023258E">
        <w:t xml:space="preserve"> dialysis membrane</w:t>
      </w:r>
      <w:r w:rsidR="00A20D64">
        <w:t xml:space="preserve"> (HIMEDIA Dialysis Membrane-150</w:t>
      </w:r>
      <w:r w:rsidR="0030186C">
        <w:t>) (surface area of diffusion = 1.54 cm</w:t>
      </w:r>
      <w:r w:rsidR="0030186C" w:rsidRPr="005B512C">
        <w:rPr>
          <w:vertAlign w:val="superscript"/>
        </w:rPr>
        <w:t>2</w:t>
      </w:r>
      <w:r w:rsidR="0030186C">
        <w:t xml:space="preserve">). </w:t>
      </w:r>
      <w:r w:rsidR="0030186C" w:rsidRPr="0030186C">
        <w:t>Acurately weighed amount of the powder samples were taken inside the diffusion tube with 2 ml amount of fresh liquid medium. The dialysis tube was placed in vessel containing 200 ml phosphate buffer (pH 7.4 at 34±0.5 °C) under a paddle speed of 50 rpm</w:t>
      </w:r>
      <w:r w:rsidR="00CD2186">
        <w:t>.</w:t>
      </w:r>
      <w:r>
        <w:rPr>
          <w:vertAlign w:val="superscript"/>
        </w:rPr>
        <w:t>2</w:t>
      </w:r>
      <w:r w:rsidR="0062753C">
        <w:rPr>
          <w:vertAlign w:val="superscript"/>
        </w:rPr>
        <w:t>3,2</w:t>
      </w:r>
      <w:r>
        <w:rPr>
          <w:vertAlign w:val="superscript"/>
        </w:rPr>
        <w:t>4</w:t>
      </w:r>
      <w:r>
        <w:t xml:space="preserve"> Aliquot of 10 ml was drawn at particular time intervals and replaced with same volume of fresh medium. </w:t>
      </w:r>
      <w:r w:rsidR="00560523">
        <w:t>T</w:t>
      </w:r>
      <w:r>
        <w:t>he absorbance was checked in a UV-Visible spectrophotometer (JASCO V-630 UV-Visible spectrophotometer) at 274</w:t>
      </w:r>
      <w:r w:rsidR="0023258E">
        <w:t xml:space="preserve"> </w:t>
      </w:r>
      <w:r>
        <w:t>nm.</w:t>
      </w:r>
      <w:r w:rsidR="0023258E">
        <w:t xml:space="preserve"> </w:t>
      </w:r>
    </w:p>
    <w:p w:rsidR="00561BE6" w:rsidRDefault="0011034B" w:rsidP="002E3416">
      <w:pPr>
        <w:spacing w:after="0" w:line="360" w:lineRule="auto"/>
        <w:jc w:val="both"/>
        <w:rPr>
          <w:b/>
        </w:rPr>
      </w:pPr>
      <w:r>
        <w:rPr>
          <w:b/>
        </w:rPr>
        <w:t>2.</w:t>
      </w:r>
      <w:r w:rsidR="00A2637E">
        <w:rPr>
          <w:b/>
        </w:rPr>
        <w:t>7</w:t>
      </w:r>
      <w:r>
        <w:rPr>
          <w:b/>
        </w:rPr>
        <w:t>.</w:t>
      </w:r>
      <w:r>
        <w:rPr>
          <w:b/>
          <w:i/>
        </w:rPr>
        <w:t xml:space="preserve"> Ex vivo</w:t>
      </w:r>
      <w:r>
        <w:rPr>
          <w:b/>
        </w:rPr>
        <w:t xml:space="preserve"> permeation Study</w:t>
      </w:r>
    </w:p>
    <w:p w:rsidR="00561BE6" w:rsidRDefault="0030186C">
      <w:pPr>
        <w:spacing w:line="360" w:lineRule="auto"/>
        <w:ind w:firstLine="720"/>
        <w:jc w:val="both"/>
      </w:pPr>
      <w:r>
        <w:t xml:space="preserve">The similar diffusion system </w:t>
      </w:r>
      <w:r w:rsidR="0011034B">
        <w:t>was used to study drug permeation through the cornea</w:t>
      </w:r>
      <w:r>
        <w:t>l mucosa</w:t>
      </w:r>
      <w:r w:rsidR="0011034B" w:rsidRPr="0030186C">
        <w:t>.</w:t>
      </w:r>
      <w:r w:rsidRPr="0030186C">
        <w:t xml:space="preserve"> </w:t>
      </w:r>
      <w:r w:rsidR="0011034B">
        <w:t>Whole fresh eye ball of goat was brought from the local butcher shop. The cornea was carefully separated out along with 2 to 4 mm of surrounding sclera tissue and washed thoroughly.  The cornea was tied tightly with thread along the circumference of vertical cylindrical diffusion tube to prevent any kind of leakage.</w:t>
      </w:r>
      <w:r w:rsidR="00EF4FE4" w:rsidRPr="00EF4FE4">
        <w:t xml:space="preserve"> </w:t>
      </w:r>
      <w:r w:rsidR="00EF4FE4" w:rsidRPr="0030186C">
        <w:t>Powder samples were taken inside the tube with 2 ml amount of fresh liquid medium and the tube was placed in vessel containing 200 ml phosphate buffer (pH 7.4 at 34±0.5 °C) under a paddle speed of 50 rpm</w:t>
      </w:r>
      <w:r w:rsidR="00EF4FE4">
        <w:t>.</w:t>
      </w:r>
      <w:r w:rsidR="0011034B">
        <w:t xml:space="preserve"> Then the formulation were put inside the diffusion tube carefully so that it doesn’t stick to the wall. The tubes were attached with paddle using adhesive tapes and paddles were put down as the as the cornea just touches the dissolution medium. Samples (10ml) were withdrawn at 0.5, 1, 2, 3, 4, 5, 6, 7, 11, 20 h and replenished with 10ml of fresh medium. The samples were filtered through 0.45 µm syringe driven filter and analysed by UV-Visible spectrophotometer. The studies of all formulations were performed in triplicate</w:t>
      </w:r>
      <w:r w:rsidR="00CD2186">
        <w:t>.</w:t>
      </w:r>
      <w:r w:rsidR="0011034B">
        <w:rPr>
          <w:vertAlign w:val="superscript"/>
        </w:rPr>
        <w:t>2</w:t>
      </w:r>
      <w:r w:rsidR="00245C9B">
        <w:rPr>
          <w:vertAlign w:val="superscript"/>
        </w:rPr>
        <w:t>5</w:t>
      </w:r>
    </w:p>
    <w:p w:rsidR="00561BE6" w:rsidRDefault="0011034B" w:rsidP="002E3416">
      <w:pPr>
        <w:spacing w:before="240" w:after="0" w:line="360" w:lineRule="auto"/>
        <w:jc w:val="center"/>
        <w:rPr>
          <w:b/>
        </w:rPr>
      </w:pPr>
      <w:r>
        <w:rPr>
          <w:b/>
        </w:rPr>
        <w:t>3. Results and discussion</w:t>
      </w:r>
    </w:p>
    <w:p w:rsidR="00561BE6" w:rsidRDefault="0011034B">
      <w:pPr>
        <w:spacing w:line="360" w:lineRule="auto"/>
        <w:jc w:val="both"/>
        <w:rPr>
          <w:b/>
        </w:rPr>
      </w:pPr>
      <w:r>
        <w:rPr>
          <w:b/>
        </w:rPr>
        <w:t>3.1. FTIR</w:t>
      </w:r>
    </w:p>
    <w:p w:rsidR="00561BE6" w:rsidRPr="008A6748" w:rsidRDefault="0011034B">
      <w:pPr>
        <w:spacing w:line="360" w:lineRule="auto"/>
        <w:ind w:firstLine="720"/>
        <w:jc w:val="both"/>
      </w:pPr>
      <w:r>
        <w:t>As depicted in Figure 1, an intense peak was observed at 3317 cm</w:t>
      </w:r>
      <w:r>
        <w:rPr>
          <w:vertAlign w:val="superscript"/>
        </w:rPr>
        <w:t>-1</w:t>
      </w:r>
      <w:r>
        <w:t xml:space="preserve"> may be due to the amine group</w:t>
      </w:r>
      <w:r w:rsidR="00CD2186">
        <w:t>.</w:t>
      </w:r>
      <w:r>
        <w:rPr>
          <w:vertAlign w:val="superscript"/>
        </w:rPr>
        <w:t>2</w:t>
      </w:r>
      <w:r w:rsidR="00245C9B">
        <w:rPr>
          <w:vertAlign w:val="superscript"/>
        </w:rPr>
        <w:t>6</w:t>
      </w:r>
      <w:r>
        <w:t xml:space="preserve"> Peaks at 1715 and 1771 cm</w:t>
      </w:r>
      <w:r>
        <w:rPr>
          <w:vertAlign w:val="superscript"/>
        </w:rPr>
        <w:t>-1</w:t>
      </w:r>
      <w:r>
        <w:t xml:space="preserve"> may be formed due to stretching of two carbonyl (C=O) groups in the drug structure</w:t>
      </w:r>
      <w:r w:rsidR="00CD2186">
        <w:t>.</w:t>
      </w:r>
      <w:r>
        <w:rPr>
          <w:vertAlign w:val="superscript"/>
        </w:rPr>
        <w:t>2</w:t>
      </w:r>
      <w:r w:rsidR="00245C9B">
        <w:rPr>
          <w:vertAlign w:val="superscript"/>
        </w:rPr>
        <w:t>7,28</w:t>
      </w:r>
      <w:r>
        <w:t xml:space="preserve"> The peak at 2969 cm</w:t>
      </w:r>
      <w:r>
        <w:rPr>
          <w:vertAlign w:val="superscript"/>
        </w:rPr>
        <w:t>-1</w:t>
      </w:r>
      <w:r>
        <w:t xml:space="preserve"> may be because of symmetric stretching of CH2 in both pure drug and formulations</w:t>
      </w:r>
      <w:r w:rsidR="00CD2186">
        <w:t>.</w:t>
      </w:r>
      <w:r w:rsidR="00245C9B">
        <w:rPr>
          <w:vertAlign w:val="superscript"/>
        </w:rPr>
        <w:t>29</w:t>
      </w:r>
      <w:r>
        <w:rPr>
          <w:vertAlign w:val="superscript"/>
        </w:rPr>
        <w:t xml:space="preserve"> </w:t>
      </w:r>
      <w:r>
        <w:t xml:space="preserve">In the formulations, the intensity of the </w:t>
      </w:r>
      <w:r>
        <w:lastRenderedPageBreak/>
        <w:t>peaks has decreased along with the increase of TiO</w:t>
      </w:r>
      <w:r w:rsidRPr="008A6748">
        <w:rPr>
          <w:vertAlign w:val="subscript"/>
        </w:rPr>
        <w:t>2</w:t>
      </w:r>
      <w:r>
        <w:t xml:space="preserve"> indicating a possible binding between drug and TiO</w:t>
      </w:r>
      <w:r w:rsidRPr="008A6748">
        <w:rPr>
          <w:vertAlign w:val="subscript"/>
        </w:rPr>
        <w:t>2</w:t>
      </w:r>
      <w:r w:rsidR="008A6748" w:rsidRPr="008A6748">
        <w:t>.</w:t>
      </w:r>
    </w:p>
    <w:p w:rsidR="00561BE6" w:rsidRDefault="00E273BF">
      <w:pPr>
        <w:spacing w:line="360" w:lineRule="auto"/>
        <w:jc w:val="both"/>
        <w:rPr>
          <w:color w:val="FF0000"/>
        </w:rPr>
      </w:pPr>
      <w:r>
        <w:rPr>
          <w:noProof/>
          <w:color w:val="FF0000"/>
          <w:lang w:val="en-US"/>
        </w:rPr>
        <w:drawing>
          <wp:inline distT="0" distB="0" distL="0" distR="0">
            <wp:extent cx="2880360" cy="4431792"/>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360" cy="4431792"/>
                    </a:xfrm>
                    <a:prstGeom prst="rect">
                      <a:avLst/>
                    </a:prstGeom>
                  </pic:spPr>
                </pic:pic>
              </a:graphicData>
            </a:graphic>
          </wp:inline>
        </w:drawing>
      </w:r>
    </w:p>
    <w:p w:rsidR="00561BE6" w:rsidRDefault="0011034B">
      <w:pPr>
        <w:spacing w:line="360" w:lineRule="auto"/>
        <w:jc w:val="both"/>
      </w:pPr>
      <w:r>
        <w:rPr>
          <w:b/>
        </w:rPr>
        <w:t>Figure 1.</w:t>
      </w:r>
      <w:r>
        <w:t xml:space="preserve"> FTIR spectra of pure </w:t>
      </w:r>
      <w:r w:rsidR="005D010E">
        <w:t>aceclofenac</w:t>
      </w:r>
      <w:r>
        <w:t>, TiO</w:t>
      </w:r>
      <w:r>
        <w:rPr>
          <w:vertAlign w:val="subscript"/>
        </w:rPr>
        <w:t>2</w:t>
      </w:r>
      <w:r>
        <w:t xml:space="preserve"> and </w:t>
      </w:r>
      <w:r w:rsidR="008A6748">
        <w:t xml:space="preserve">solid </w:t>
      </w:r>
      <w:r w:rsidRPr="00852CCD">
        <w:t>formulations.</w:t>
      </w:r>
    </w:p>
    <w:p w:rsidR="00561BE6" w:rsidRDefault="0011034B">
      <w:pPr>
        <w:spacing w:line="360" w:lineRule="auto"/>
        <w:jc w:val="both"/>
        <w:rPr>
          <w:b/>
        </w:rPr>
      </w:pPr>
      <w:r>
        <w:rPr>
          <w:b/>
        </w:rPr>
        <w:t xml:space="preserve">3.2. DSC </w:t>
      </w:r>
    </w:p>
    <w:p w:rsidR="00561BE6" w:rsidRDefault="0011034B">
      <w:pPr>
        <w:spacing w:line="360" w:lineRule="auto"/>
        <w:ind w:firstLine="720"/>
        <w:jc w:val="both"/>
      </w:pPr>
      <w:r>
        <w:t>The pure drug has shown a sharp melting point at 15</w:t>
      </w:r>
      <w:r w:rsidR="00A45247">
        <w:t>2.97</w:t>
      </w:r>
      <w:r>
        <w:t xml:space="preserve"> °C (Figure 2). The formulations </w:t>
      </w:r>
      <w:r w:rsidR="00560523">
        <w:t xml:space="preserve">have </w:t>
      </w:r>
      <w:r>
        <w:t>showed a ±</w:t>
      </w:r>
      <w:r w:rsidR="00B34E52">
        <w:t>2</w:t>
      </w:r>
      <w:r>
        <w:t xml:space="preserve"> °C shifting of melting point along with </w:t>
      </w:r>
      <w:r w:rsidR="00A45247">
        <w:t>lower</w:t>
      </w:r>
      <w:r>
        <w:t xml:space="preserve"> peak intensity comparing to the pure drug. </w:t>
      </w:r>
      <w:r w:rsidR="00A45247">
        <w:t>The pure drug has the highest enthalpy of melting (-155.76 jg</w:t>
      </w:r>
      <w:r w:rsidR="00A45247" w:rsidRPr="001B6FCB">
        <w:rPr>
          <w:vertAlign w:val="superscript"/>
        </w:rPr>
        <w:t>-1</w:t>
      </w:r>
      <w:r w:rsidR="00A45247">
        <w:t>), where the enthalpy has reduced along with the increase of the content of TiO2</w:t>
      </w:r>
      <w:r w:rsidR="003D3C8A">
        <w:t xml:space="preserve"> (Table 1)</w:t>
      </w:r>
      <w:r w:rsidR="00A45247">
        <w:t xml:space="preserve">. </w:t>
      </w:r>
      <w:r>
        <w:t xml:space="preserve">Probably the </w:t>
      </w:r>
      <w:r w:rsidR="00B34E52">
        <w:t>bond formation between TiO2</w:t>
      </w:r>
      <w:r>
        <w:t xml:space="preserve"> </w:t>
      </w:r>
      <w:r w:rsidR="00B34E52">
        <w:t xml:space="preserve">and aceclofenac </w:t>
      </w:r>
      <w:r>
        <w:t xml:space="preserve">is the cause of the </w:t>
      </w:r>
      <w:r w:rsidR="00B34E52">
        <w:t>de</w:t>
      </w:r>
      <w:r>
        <w:t xml:space="preserve">creased </w:t>
      </w:r>
      <w:r w:rsidR="00B34E52">
        <w:t>enthalpy</w:t>
      </w:r>
      <w:r w:rsidR="00A45247">
        <w:t xml:space="preserve"> of the formulations</w:t>
      </w:r>
      <w:r>
        <w:t xml:space="preserve">. </w:t>
      </w:r>
    </w:p>
    <w:p w:rsidR="003D3C8A" w:rsidRDefault="003D3C8A" w:rsidP="003D3C8A">
      <w:pPr>
        <w:spacing w:line="360" w:lineRule="auto"/>
        <w:jc w:val="both"/>
      </w:pPr>
      <w:r>
        <w:rPr>
          <w:b/>
        </w:rPr>
        <w:t>Table 1.</w:t>
      </w:r>
      <w:r>
        <w:t xml:space="preserve"> </w:t>
      </w:r>
      <w:r w:rsidR="004A06C7">
        <w:t>Thermal behaviour of TiO</w:t>
      </w:r>
      <w:r w:rsidR="004A06C7" w:rsidRPr="008A6748">
        <w:rPr>
          <w:vertAlign w:val="subscript"/>
        </w:rPr>
        <w:t>2</w:t>
      </w:r>
      <w:r w:rsidR="004A06C7">
        <w:t xml:space="preserve"> kneaded aceclofenac formulation </w:t>
      </w:r>
      <w:r>
        <w:t xml:space="preserve"> </w:t>
      </w:r>
    </w:p>
    <w:tbl>
      <w:tblPr>
        <w:tblStyle w:val="PlainTable4"/>
        <w:tblW w:w="0" w:type="auto"/>
        <w:tblInd w:w="142" w:type="dxa"/>
        <w:shd w:val="clear" w:color="auto" w:fill="FFFFFF" w:themeFill="background1"/>
        <w:tblLook w:val="04A0" w:firstRow="1" w:lastRow="0" w:firstColumn="1" w:lastColumn="0" w:noHBand="0" w:noVBand="1"/>
      </w:tblPr>
      <w:tblGrid>
        <w:gridCol w:w="1589"/>
        <w:gridCol w:w="948"/>
        <w:gridCol w:w="1455"/>
        <w:gridCol w:w="1031"/>
        <w:gridCol w:w="1006"/>
      </w:tblGrid>
      <w:tr w:rsidR="001B4B56" w:rsidTr="008A6748">
        <w:trPr>
          <w:cnfStyle w:val="100000000000" w:firstRow="1" w:lastRow="0" w:firstColumn="0" w:lastColumn="0" w:oddVBand="0" w:evenVBand="0" w:oddHBand="0"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589" w:type="dxa"/>
            <w:tcBorders>
              <w:top w:val="single" w:sz="4" w:space="0" w:color="auto"/>
              <w:bottom w:val="single" w:sz="4" w:space="0" w:color="auto"/>
            </w:tcBorders>
            <w:shd w:val="clear" w:color="auto" w:fill="FFFFFF" w:themeFill="background1"/>
          </w:tcPr>
          <w:p w:rsidR="001B4B56" w:rsidRPr="00BC766B" w:rsidRDefault="001B4B56" w:rsidP="002E3416">
            <w:pPr>
              <w:shd w:val="clear" w:color="auto" w:fill="FFFFFF" w:themeFill="background1"/>
              <w:jc w:val="center"/>
              <w:rPr>
                <w:rFonts w:ascii="Times New Roman" w:hAnsi="Times New Roman" w:cs="Times New Roman"/>
                <w:sz w:val="20"/>
                <w:szCs w:val="20"/>
              </w:rPr>
            </w:pPr>
            <w:r w:rsidRPr="00BC766B">
              <w:rPr>
                <w:rFonts w:ascii="Times New Roman" w:hAnsi="Times New Roman" w:cs="Times New Roman"/>
                <w:sz w:val="20"/>
                <w:szCs w:val="20"/>
              </w:rPr>
              <w:t>Formulation Code</w:t>
            </w:r>
          </w:p>
          <w:p w:rsidR="00A6393F" w:rsidRPr="00BC766B" w:rsidRDefault="00A6393F" w:rsidP="002E3416">
            <w:pPr>
              <w:shd w:val="clear" w:color="auto" w:fill="FFFFFF" w:themeFill="background1"/>
              <w:jc w:val="center"/>
              <w:rPr>
                <w:rFonts w:ascii="Times New Roman" w:hAnsi="Times New Roman" w:cs="Times New Roman"/>
                <w:sz w:val="20"/>
                <w:szCs w:val="20"/>
              </w:rPr>
            </w:pPr>
            <w:r w:rsidRPr="00BC766B">
              <w:rPr>
                <w:rFonts w:ascii="Times New Roman" w:hAnsi="Times New Roman" w:cs="Times New Roman"/>
                <w:sz w:val="20"/>
                <w:szCs w:val="20"/>
              </w:rPr>
              <w:t>(Drug:TiO2)</w:t>
            </w:r>
          </w:p>
        </w:tc>
        <w:tc>
          <w:tcPr>
            <w:tcW w:w="948" w:type="dxa"/>
            <w:tcBorders>
              <w:top w:val="single" w:sz="4" w:space="0" w:color="auto"/>
              <w:bottom w:val="single" w:sz="4" w:space="0" w:color="auto"/>
            </w:tcBorders>
            <w:shd w:val="clear" w:color="auto" w:fill="FFFFFF" w:themeFill="background1"/>
          </w:tcPr>
          <w:p w:rsidR="001B4B56" w:rsidRPr="00BC766B" w:rsidRDefault="001B4B56" w:rsidP="002E3416">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O</w:t>
            </w:r>
            <w:r w:rsidR="00C95977" w:rsidRPr="00BC766B">
              <w:rPr>
                <w:rFonts w:ascii="Times New Roman" w:hAnsi="Times New Roman" w:cs="Times New Roman"/>
                <w:sz w:val="20"/>
                <w:szCs w:val="20"/>
              </w:rPr>
              <w:t xml:space="preserve">nset </w:t>
            </w:r>
            <w:r w:rsidRPr="00BC766B">
              <w:rPr>
                <w:rFonts w:ascii="Times New Roman" w:hAnsi="Times New Roman" w:cs="Times New Roman"/>
                <w:sz w:val="20"/>
                <w:szCs w:val="20"/>
              </w:rPr>
              <w:t>of Melting</w:t>
            </w:r>
            <w:r w:rsidR="00C95977" w:rsidRPr="00BC766B">
              <w:rPr>
                <w:rFonts w:ascii="Times New Roman" w:hAnsi="Times New Roman" w:cs="Times New Roman"/>
                <w:sz w:val="20"/>
                <w:szCs w:val="20"/>
              </w:rPr>
              <w:t xml:space="preserve"> </w:t>
            </w:r>
            <w:r w:rsidRPr="00BC766B">
              <w:rPr>
                <w:rFonts w:ascii="Times New Roman" w:hAnsi="Times New Roman" w:cs="Times New Roman"/>
                <w:sz w:val="20"/>
                <w:szCs w:val="20"/>
              </w:rPr>
              <w:t>(</w:t>
            </w:r>
            <w:r w:rsidR="00C95977" w:rsidRPr="00BC766B">
              <w:rPr>
                <w:rFonts w:ascii="Times New Roman" w:hAnsi="Times New Roman" w:cs="Times New Roman"/>
                <w:sz w:val="20"/>
                <w:szCs w:val="20"/>
              </w:rPr>
              <w:t>°</w:t>
            </w:r>
            <w:r w:rsidRPr="00BC766B">
              <w:rPr>
                <w:rFonts w:ascii="Times New Roman" w:hAnsi="Times New Roman" w:cs="Times New Roman"/>
                <w:sz w:val="20"/>
                <w:szCs w:val="20"/>
              </w:rPr>
              <w:t>C)</w:t>
            </w:r>
          </w:p>
        </w:tc>
        <w:tc>
          <w:tcPr>
            <w:tcW w:w="1455" w:type="dxa"/>
            <w:tcBorders>
              <w:top w:val="single" w:sz="4" w:space="0" w:color="auto"/>
              <w:bottom w:val="single" w:sz="4" w:space="0" w:color="auto"/>
            </w:tcBorders>
            <w:shd w:val="clear" w:color="auto" w:fill="FFFFFF" w:themeFill="background1"/>
          </w:tcPr>
          <w:p w:rsidR="003B5B03" w:rsidRDefault="001B4B56" w:rsidP="002E3416">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 xml:space="preserve">Endset of Melting </w:t>
            </w:r>
          </w:p>
          <w:p w:rsidR="001B4B56" w:rsidRPr="00BC766B" w:rsidRDefault="00C95977" w:rsidP="002E3416">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(°C)</w:t>
            </w:r>
          </w:p>
        </w:tc>
        <w:tc>
          <w:tcPr>
            <w:tcW w:w="1031" w:type="dxa"/>
            <w:tcBorders>
              <w:top w:val="single" w:sz="4" w:space="0" w:color="auto"/>
              <w:bottom w:val="single" w:sz="4" w:space="0" w:color="auto"/>
            </w:tcBorders>
            <w:shd w:val="clear" w:color="auto" w:fill="FFFFFF" w:themeFill="background1"/>
          </w:tcPr>
          <w:p w:rsidR="001B4B56" w:rsidRPr="00BC766B" w:rsidRDefault="001B4B56" w:rsidP="002E3416">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 xml:space="preserve">Melting Point </w:t>
            </w:r>
            <w:r w:rsidR="00C95977" w:rsidRPr="00BC766B">
              <w:rPr>
                <w:rFonts w:ascii="Times New Roman" w:hAnsi="Times New Roman" w:cs="Times New Roman"/>
                <w:sz w:val="20"/>
                <w:szCs w:val="20"/>
              </w:rPr>
              <w:t>(°C)</w:t>
            </w:r>
          </w:p>
        </w:tc>
        <w:tc>
          <w:tcPr>
            <w:tcW w:w="1006" w:type="dxa"/>
            <w:tcBorders>
              <w:top w:val="single" w:sz="4" w:space="0" w:color="auto"/>
              <w:bottom w:val="single" w:sz="4" w:space="0" w:color="auto"/>
            </w:tcBorders>
            <w:shd w:val="clear" w:color="auto" w:fill="FFFFFF" w:themeFill="background1"/>
          </w:tcPr>
          <w:p w:rsidR="001B4B56" w:rsidRPr="00BC766B" w:rsidRDefault="001B4B56" w:rsidP="002E3416">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Enthalpy (jg</w:t>
            </w:r>
            <w:r w:rsidRPr="00BC766B">
              <w:rPr>
                <w:rFonts w:ascii="Times New Roman" w:hAnsi="Times New Roman" w:cs="Times New Roman"/>
                <w:sz w:val="20"/>
                <w:szCs w:val="20"/>
                <w:vertAlign w:val="superscript"/>
              </w:rPr>
              <w:t>-1</w:t>
            </w:r>
            <w:r w:rsidRPr="00BC766B">
              <w:rPr>
                <w:rFonts w:ascii="Times New Roman" w:hAnsi="Times New Roman" w:cs="Times New Roman"/>
                <w:sz w:val="20"/>
                <w:szCs w:val="20"/>
              </w:rPr>
              <w:t>)</w:t>
            </w:r>
          </w:p>
        </w:tc>
      </w:tr>
      <w:tr w:rsidR="001B4B56" w:rsidTr="002E341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589" w:type="dxa"/>
            <w:tcBorders>
              <w:top w:val="single" w:sz="4" w:space="0" w:color="auto"/>
            </w:tcBorders>
            <w:shd w:val="clear" w:color="auto" w:fill="FFFFFF" w:themeFill="background1"/>
          </w:tcPr>
          <w:p w:rsidR="001B4B56" w:rsidRPr="00BC766B" w:rsidRDefault="001B4B56" w:rsidP="002E3416">
            <w:pPr>
              <w:shd w:val="clear" w:color="auto" w:fill="FFFFFF" w:themeFill="background1"/>
              <w:jc w:val="center"/>
              <w:rPr>
                <w:rFonts w:ascii="Times New Roman" w:hAnsi="Times New Roman" w:cs="Times New Roman"/>
                <w:sz w:val="20"/>
                <w:szCs w:val="20"/>
              </w:rPr>
            </w:pPr>
            <w:r w:rsidRPr="00BC766B">
              <w:rPr>
                <w:rFonts w:ascii="Times New Roman" w:hAnsi="Times New Roman" w:cs="Times New Roman"/>
                <w:sz w:val="20"/>
                <w:szCs w:val="20"/>
              </w:rPr>
              <w:t>Aceclofenac</w:t>
            </w:r>
          </w:p>
        </w:tc>
        <w:tc>
          <w:tcPr>
            <w:tcW w:w="948" w:type="dxa"/>
            <w:tcBorders>
              <w:top w:val="single" w:sz="4" w:space="0" w:color="auto"/>
            </w:tcBorders>
            <w:shd w:val="clear" w:color="auto" w:fill="FFFFFF" w:themeFill="background1"/>
          </w:tcPr>
          <w:p w:rsidR="001B4B56" w:rsidRPr="00BC766B" w:rsidRDefault="001B4B56" w:rsidP="002E3416">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152.01</w:t>
            </w:r>
          </w:p>
        </w:tc>
        <w:tc>
          <w:tcPr>
            <w:tcW w:w="1455" w:type="dxa"/>
            <w:tcBorders>
              <w:top w:val="single" w:sz="4" w:space="0" w:color="auto"/>
            </w:tcBorders>
            <w:shd w:val="clear" w:color="auto" w:fill="FFFFFF" w:themeFill="background1"/>
          </w:tcPr>
          <w:p w:rsidR="001B4B56" w:rsidRPr="00BC766B" w:rsidRDefault="001B4B56" w:rsidP="002E3416">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156.77</w:t>
            </w:r>
          </w:p>
        </w:tc>
        <w:tc>
          <w:tcPr>
            <w:tcW w:w="1031" w:type="dxa"/>
            <w:tcBorders>
              <w:top w:val="single" w:sz="4" w:space="0" w:color="auto"/>
            </w:tcBorders>
            <w:shd w:val="clear" w:color="auto" w:fill="FFFFFF" w:themeFill="background1"/>
          </w:tcPr>
          <w:p w:rsidR="001B4B56" w:rsidRPr="00BC766B" w:rsidRDefault="001B4B56" w:rsidP="002E3416">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152.97</w:t>
            </w:r>
          </w:p>
        </w:tc>
        <w:tc>
          <w:tcPr>
            <w:tcW w:w="1006" w:type="dxa"/>
            <w:tcBorders>
              <w:top w:val="single" w:sz="4" w:space="0" w:color="auto"/>
            </w:tcBorders>
            <w:shd w:val="clear" w:color="auto" w:fill="FFFFFF" w:themeFill="background1"/>
          </w:tcPr>
          <w:p w:rsidR="001B4B56" w:rsidRPr="00BC766B" w:rsidRDefault="001B4B56" w:rsidP="002E3416">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-155.76</w:t>
            </w:r>
          </w:p>
        </w:tc>
      </w:tr>
      <w:tr w:rsidR="001B4B56" w:rsidTr="002E3416">
        <w:trPr>
          <w:trHeight w:val="325"/>
        </w:trPr>
        <w:tc>
          <w:tcPr>
            <w:cnfStyle w:val="001000000000" w:firstRow="0" w:lastRow="0" w:firstColumn="1" w:lastColumn="0" w:oddVBand="0" w:evenVBand="0" w:oddHBand="0" w:evenHBand="0" w:firstRowFirstColumn="0" w:firstRowLastColumn="0" w:lastRowFirstColumn="0" w:lastRowLastColumn="0"/>
            <w:tcW w:w="1589" w:type="dxa"/>
            <w:shd w:val="clear" w:color="auto" w:fill="FFFFFF" w:themeFill="background1"/>
          </w:tcPr>
          <w:p w:rsidR="00BC766B" w:rsidRPr="00BC766B" w:rsidRDefault="001B4B56" w:rsidP="002E3416">
            <w:pPr>
              <w:shd w:val="clear" w:color="auto" w:fill="FFFFFF" w:themeFill="background1"/>
              <w:jc w:val="center"/>
              <w:rPr>
                <w:rFonts w:ascii="Times New Roman" w:hAnsi="Times New Roman" w:cs="Times New Roman"/>
                <w:sz w:val="20"/>
                <w:szCs w:val="20"/>
              </w:rPr>
            </w:pPr>
            <w:r w:rsidRPr="00BC766B">
              <w:rPr>
                <w:rFonts w:ascii="Times New Roman" w:hAnsi="Times New Roman" w:cs="Times New Roman"/>
                <w:sz w:val="20"/>
                <w:szCs w:val="20"/>
              </w:rPr>
              <w:lastRenderedPageBreak/>
              <w:t>A1T1</w:t>
            </w:r>
            <w:r w:rsidR="002E3416">
              <w:rPr>
                <w:rFonts w:ascii="Times New Roman" w:hAnsi="Times New Roman" w:cs="Times New Roman"/>
                <w:sz w:val="20"/>
                <w:szCs w:val="20"/>
              </w:rPr>
              <w:t xml:space="preserve"> </w:t>
            </w:r>
            <w:r w:rsidR="00BC766B" w:rsidRPr="00BC766B">
              <w:rPr>
                <w:rFonts w:ascii="Times New Roman" w:hAnsi="Times New Roman" w:cs="Times New Roman"/>
                <w:sz w:val="20"/>
                <w:szCs w:val="20"/>
              </w:rPr>
              <w:t>(1:1)</w:t>
            </w:r>
          </w:p>
        </w:tc>
        <w:tc>
          <w:tcPr>
            <w:tcW w:w="948" w:type="dxa"/>
            <w:shd w:val="clear" w:color="auto" w:fill="FFFFFF" w:themeFill="background1"/>
          </w:tcPr>
          <w:p w:rsidR="001B4B56" w:rsidRPr="00BC766B" w:rsidRDefault="001B4B56" w:rsidP="002E341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149.50</w:t>
            </w:r>
          </w:p>
        </w:tc>
        <w:tc>
          <w:tcPr>
            <w:tcW w:w="1455" w:type="dxa"/>
            <w:shd w:val="clear" w:color="auto" w:fill="FFFFFF" w:themeFill="background1"/>
          </w:tcPr>
          <w:p w:rsidR="001B4B56" w:rsidRPr="00BC766B" w:rsidRDefault="001B4B56" w:rsidP="002E341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156.44</w:t>
            </w:r>
          </w:p>
        </w:tc>
        <w:tc>
          <w:tcPr>
            <w:tcW w:w="1031" w:type="dxa"/>
            <w:shd w:val="clear" w:color="auto" w:fill="FFFFFF" w:themeFill="background1"/>
          </w:tcPr>
          <w:p w:rsidR="001B4B56" w:rsidRPr="00BC766B" w:rsidRDefault="001B4B56" w:rsidP="002E341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153.73</w:t>
            </w:r>
          </w:p>
        </w:tc>
        <w:tc>
          <w:tcPr>
            <w:tcW w:w="1006" w:type="dxa"/>
            <w:shd w:val="clear" w:color="auto" w:fill="FFFFFF" w:themeFill="background1"/>
          </w:tcPr>
          <w:p w:rsidR="001B4B56" w:rsidRPr="00BC766B" w:rsidRDefault="001B4B56" w:rsidP="002E341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-62.11</w:t>
            </w:r>
          </w:p>
        </w:tc>
      </w:tr>
      <w:tr w:rsidR="001B4B56" w:rsidTr="002E341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89" w:type="dxa"/>
            <w:shd w:val="clear" w:color="auto" w:fill="FFFFFF" w:themeFill="background1"/>
          </w:tcPr>
          <w:p w:rsidR="00BC766B" w:rsidRPr="00BC766B" w:rsidRDefault="001B4B56" w:rsidP="002E3416">
            <w:pPr>
              <w:shd w:val="clear" w:color="auto" w:fill="FFFFFF" w:themeFill="background1"/>
              <w:jc w:val="center"/>
              <w:rPr>
                <w:rFonts w:ascii="Times New Roman" w:hAnsi="Times New Roman" w:cs="Times New Roman"/>
                <w:sz w:val="20"/>
                <w:szCs w:val="20"/>
              </w:rPr>
            </w:pPr>
            <w:r w:rsidRPr="00BC766B">
              <w:rPr>
                <w:rFonts w:ascii="Times New Roman" w:hAnsi="Times New Roman" w:cs="Times New Roman"/>
                <w:sz w:val="20"/>
                <w:szCs w:val="20"/>
              </w:rPr>
              <w:t>A1T2</w:t>
            </w:r>
            <w:r w:rsidR="002E3416">
              <w:rPr>
                <w:rFonts w:ascii="Times New Roman" w:hAnsi="Times New Roman" w:cs="Times New Roman"/>
                <w:sz w:val="20"/>
                <w:szCs w:val="20"/>
              </w:rPr>
              <w:t xml:space="preserve"> </w:t>
            </w:r>
            <w:r w:rsidR="00BC766B" w:rsidRPr="00BC766B">
              <w:rPr>
                <w:rFonts w:ascii="Times New Roman" w:hAnsi="Times New Roman" w:cs="Times New Roman"/>
                <w:sz w:val="20"/>
                <w:szCs w:val="20"/>
              </w:rPr>
              <w:t>(1:2)</w:t>
            </w:r>
          </w:p>
        </w:tc>
        <w:tc>
          <w:tcPr>
            <w:tcW w:w="948" w:type="dxa"/>
            <w:shd w:val="clear" w:color="auto" w:fill="FFFFFF" w:themeFill="background1"/>
          </w:tcPr>
          <w:p w:rsidR="001B4B56" w:rsidRPr="00BC766B" w:rsidRDefault="001D2689" w:rsidP="002E3416">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147.15</w:t>
            </w:r>
          </w:p>
        </w:tc>
        <w:tc>
          <w:tcPr>
            <w:tcW w:w="1455" w:type="dxa"/>
            <w:shd w:val="clear" w:color="auto" w:fill="FFFFFF" w:themeFill="background1"/>
          </w:tcPr>
          <w:p w:rsidR="001B4B56" w:rsidRPr="00BC766B" w:rsidRDefault="001D2689" w:rsidP="002E3416">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155.02</w:t>
            </w:r>
          </w:p>
        </w:tc>
        <w:tc>
          <w:tcPr>
            <w:tcW w:w="1031" w:type="dxa"/>
            <w:shd w:val="clear" w:color="auto" w:fill="FFFFFF" w:themeFill="background1"/>
          </w:tcPr>
          <w:p w:rsidR="001B4B56" w:rsidRPr="00BC766B" w:rsidRDefault="001D2689" w:rsidP="002E3416">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151.57</w:t>
            </w:r>
          </w:p>
        </w:tc>
        <w:tc>
          <w:tcPr>
            <w:tcW w:w="1006" w:type="dxa"/>
            <w:shd w:val="clear" w:color="auto" w:fill="FFFFFF" w:themeFill="background1"/>
          </w:tcPr>
          <w:p w:rsidR="001B4B56" w:rsidRPr="00BC766B" w:rsidRDefault="001D2689" w:rsidP="002E3416">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-32.23</w:t>
            </w:r>
          </w:p>
        </w:tc>
      </w:tr>
      <w:tr w:rsidR="001B4B56" w:rsidTr="002E3416">
        <w:trPr>
          <w:trHeight w:val="280"/>
        </w:trPr>
        <w:tc>
          <w:tcPr>
            <w:cnfStyle w:val="001000000000" w:firstRow="0" w:lastRow="0" w:firstColumn="1" w:lastColumn="0" w:oddVBand="0" w:evenVBand="0" w:oddHBand="0" w:evenHBand="0" w:firstRowFirstColumn="0" w:firstRowLastColumn="0" w:lastRowFirstColumn="0" w:lastRowLastColumn="0"/>
            <w:tcW w:w="1589" w:type="dxa"/>
            <w:shd w:val="clear" w:color="auto" w:fill="FFFFFF" w:themeFill="background1"/>
          </w:tcPr>
          <w:p w:rsidR="00BC766B" w:rsidRPr="00BC766B" w:rsidRDefault="001B4B56" w:rsidP="002E3416">
            <w:pPr>
              <w:shd w:val="clear" w:color="auto" w:fill="FFFFFF" w:themeFill="background1"/>
              <w:jc w:val="center"/>
              <w:rPr>
                <w:rFonts w:ascii="Times New Roman" w:hAnsi="Times New Roman" w:cs="Times New Roman"/>
                <w:sz w:val="20"/>
                <w:szCs w:val="20"/>
              </w:rPr>
            </w:pPr>
            <w:r w:rsidRPr="00BC766B">
              <w:rPr>
                <w:rFonts w:ascii="Times New Roman" w:hAnsi="Times New Roman" w:cs="Times New Roman"/>
                <w:sz w:val="20"/>
                <w:szCs w:val="20"/>
              </w:rPr>
              <w:t>A2T1</w:t>
            </w:r>
            <w:r w:rsidR="002E3416">
              <w:rPr>
                <w:rFonts w:ascii="Times New Roman" w:hAnsi="Times New Roman" w:cs="Times New Roman"/>
                <w:sz w:val="20"/>
                <w:szCs w:val="20"/>
              </w:rPr>
              <w:t xml:space="preserve"> </w:t>
            </w:r>
            <w:r w:rsidR="00BC766B" w:rsidRPr="00BC766B">
              <w:rPr>
                <w:rFonts w:ascii="Times New Roman" w:hAnsi="Times New Roman" w:cs="Times New Roman"/>
                <w:sz w:val="20"/>
                <w:szCs w:val="20"/>
              </w:rPr>
              <w:t>(2:1)</w:t>
            </w:r>
          </w:p>
        </w:tc>
        <w:tc>
          <w:tcPr>
            <w:tcW w:w="948" w:type="dxa"/>
            <w:shd w:val="clear" w:color="auto" w:fill="FFFFFF" w:themeFill="background1"/>
          </w:tcPr>
          <w:p w:rsidR="001B4B56" w:rsidRPr="00BC766B" w:rsidRDefault="001D2689" w:rsidP="002E341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149.07</w:t>
            </w:r>
          </w:p>
        </w:tc>
        <w:tc>
          <w:tcPr>
            <w:tcW w:w="1455" w:type="dxa"/>
            <w:shd w:val="clear" w:color="auto" w:fill="FFFFFF" w:themeFill="background1"/>
          </w:tcPr>
          <w:p w:rsidR="001B4B56" w:rsidRPr="00BC766B" w:rsidRDefault="001D2689" w:rsidP="002E341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157.31</w:t>
            </w:r>
          </w:p>
        </w:tc>
        <w:tc>
          <w:tcPr>
            <w:tcW w:w="1031" w:type="dxa"/>
            <w:shd w:val="clear" w:color="auto" w:fill="FFFFFF" w:themeFill="background1"/>
          </w:tcPr>
          <w:p w:rsidR="001B4B56" w:rsidRPr="00BC766B" w:rsidRDefault="001D2689" w:rsidP="002E341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153.83</w:t>
            </w:r>
          </w:p>
        </w:tc>
        <w:tc>
          <w:tcPr>
            <w:tcW w:w="1006" w:type="dxa"/>
            <w:shd w:val="clear" w:color="auto" w:fill="FFFFFF" w:themeFill="background1"/>
          </w:tcPr>
          <w:p w:rsidR="001B4B56" w:rsidRPr="00BC766B" w:rsidRDefault="001D2689" w:rsidP="002E341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-66.67</w:t>
            </w:r>
          </w:p>
        </w:tc>
      </w:tr>
      <w:tr w:rsidR="001B4B56" w:rsidTr="002E341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89" w:type="dxa"/>
            <w:tcBorders>
              <w:bottom w:val="single" w:sz="4" w:space="0" w:color="auto"/>
            </w:tcBorders>
            <w:shd w:val="clear" w:color="auto" w:fill="FFFFFF" w:themeFill="background1"/>
          </w:tcPr>
          <w:p w:rsidR="00BC766B" w:rsidRPr="00BC766B" w:rsidRDefault="001B4B56" w:rsidP="002E3416">
            <w:pPr>
              <w:shd w:val="clear" w:color="auto" w:fill="FFFFFF" w:themeFill="background1"/>
              <w:jc w:val="center"/>
              <w:rPr>
                <w:rFonts w:ascii="Times New Roman" w:hAnsi="Times New Roman" w:cs="Times New Roman"/>
                <w:sz w:val="20"/>
                <w:szCs w:val="20"/>
              </w:rPr>
            </w:pPr>
            <w:r w:rsidRPr="00BC766B">
              <w:rPr>
                <w:rFonts w:ascii="Times New Roman" w:hAnsi="Times New Roman" w:cs="Times New Roman"/>
                <w:sz w:val="20"/>
                <w:szCs w:val="20"/>
              </w:rPr>
              <w:t>A3T1</w:t>
            </w:r>
            <w:r w:rsidR="002E3416">
              <w:rPr>
                <w:rFonts w:ascii="Times New Roman" w:hAnsi="Times New Roman" w:cs="Times New Roman"/>
                <w:sz w:val="20"/>
                <w:szCs w:val="20"/>
              </w:rPr>
              <w:t xml:space="preserve"> </w:t>
            </w:r>
            <w:r w:rsidR="00BC766B" w:rsidRPr="00BC766B">
              <w:rPr>
                <w:rFonts w:ascii="Times New Roman" w:hAnsi="Times New Roman" w:cs="Times New Roman"/>
                <w:sz w:val="20"/>
                <w:szCs w:val="20"/>
              </w:rPr>
              <w:t>(3:1)</w:t>
            </w:r>
          </w:p>
        </w:tc>
        <w:tc>
          <w:tcPr>
            <w:tcW w:w="948" w:type="dxa"/>
            <w:tcBorders>
              <w:bottom w:val="single" w:sz="4" w:space="0" w:color="auto"/>
            </w:tcBorders>
            <w:shd w:val="clear" w:color="auto" w:fill="FFFFFF" w:themeFill="background1"/>
          </w:tcPr>
          <w:p w:rsidR="001B4B56" w:rsidRPr="00BC766B" w:rsidRDefault="001D2689" w:rsidP="002E3416">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150.81</w:t>
            </w:r>
          </w:p>
        </w:tc>
        <w:tc>
          <w:tcPr>
            <w:tcW w:w="1455" w:type="dxa"/>
            <w:tcBorders>
              <w:bottom w:val="single" w:sz="4" w:space="0" w:color="auto"/>
            </w:tcBorders>
            <w:shd w:val="clear" w:color="auto" w:fill="FFFFFF" w:themeFill="background1"/>
          </w:tcPr>
          <w:p w:rsidR="001B4B56" w:rsidRPr="00BC766B" w:rsidRDefault="001D2689" w:rsidP="002E3416">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155.83</w:t>
            </w:r>
          </w:p>
        </w:tc>
        <w:tc>
          <w:tcPr>
            <w:tcW w:w="1031" w:type="dxa"/>
            <w:tcBorders>
              <w:bottom w:val="single" w:sz="4" w:space="0" w:color="auto"/>
            </w:tcBorders>
            <w:shd w:val="clear" w:color="auto" w:fill="FFFFFF" w:themeFill="background1"/>
          </w:tcPr>
          <w:p w:rsidR="001B4B56" w:rsidRPr="00BC766B" w:rsidRDefault="001D2689" w:rsidP="002E3416">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153.16</w:t>
            </w:r>
          </w:p>
        </w:tc>
        <w:tc>
          <w:tcPr>
            <w:tcW w:w="1006" w:type="dxa"/>
            <w:tcBorders>
              <w:bottom w:val="single" w:sz="4" w:space="0" w:color="auto"/>
            </w:tcBorders>
            <w:shd w:val="clear" w:color="auto" w:fill="FFFFFF" w:themeFill="background1"/>
          </w:tcPr>
          <w:p w:rsidR="001B4B56" w:rsidRPr="00BC766B" w:rsidRDefault="001D2689" w:rsidP="002E3416">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766B">
              <w:rPr>
                <w:rFonts w:ascii="Times New Roman" w:hAnsi="Times New Roman" w:cs="Times New Roman"/>
                <w:sz w:val="20"/>
                <w:szCs w:val="20"/>
              </w:rPr>
              <w:t>-153.09</w:t>
            </w:r>
          </w:p>
        </w:tc>
      </w:tr>
    </w:tbl>
    <w:p w:rsidR="001B4B56" w:rsidRDefault="001B4B56" w:rsidP="00C95977">
      <w:pPr>
        <w:shd w:val="clear" w:color="auto" w:fill="FFFFFF" w:themeFill="background1"/>
        <w:spacing w:line="360" w:lineRule="auto"/>
        <w:ind w:firstLine="720"/>
        <w:jc w:val="both"/>
      </w:pPr>
    </w:p>
    <w:p w:rsidR="00D85F28" w:rsidRDefault="00E273BF" w:rsidP="00D85F28">
      <w:pPr>
        <w:spacing w:line="360" w:lineRule="auto"/>
        <w:jc w:val="both"/>
      </w:pPr>
      <w:r>
        <w:rPr>
          <w:noProof/>
          <w:lang w:val="en-US"/>
        </w:rPr>
        <w:drawing>
          <wp:inline distT="0" distB="0" distL="0" distR="0">
            <wp:extent cx="2886456" cy="1383792"/>
            <wp:effectExtent l="0" t="0" r="952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6456" cy="1383792"/>
                    </a:xfrm>
                    <a:prstGeom prst="rect">
                      <a:avLst/>
                    </a:prstGeom>
                  </pic:spPr>
                </pic:pic>
              </a:graphicData>
            </a:graphic>
          </wp:inline>
        </w:drawing>
      </w:r>
    </w:p>
    <w:p w:rsidR="00561BE6" w:rsidRDefault="0011034B">
      <w:pPr>
        <w:spacing w:line="360" w:lineRule="auto"/>
        <w:jc w:val="both"/>
      </w:pPr>
      <w:r>
        <w:rPr>
          <w:b/>
        </w:rPr>
        <w:t>Figure 2.</w:t>
      </w:r>
      <w:r>
        <w:t xml:space="preserve"> DSC Thermogram of aceclofenac and the formulations.</w:t>
      </w:r>
    </w:p>
    <w:p w:rsidR="00561BE6" w:rsidRDefault="0011034B">
      <w:pPr>
        <w:spacing w:line="360" w:lineRule="auto"/>
        <w:jc w:val="both"/>
        <w:rPr>
          <w:b/>
        </w:rPr>
      </w:pPr>
      <w:r>
        <w:rPr>
          <w:b/>
        </w:rPr>
        <w:t>3.3. XRD Study</w:t>
      </w:r>
    </w:p>
    <w:p w:rsidR="00561BE6" w:rsidRDefault="0011034B">
      <w:pPr>
        <w:spacing w:line="360" w:lineRule="auto"/>
        <w:ind w:firstLine="720"/>
        <w:jc w:val="both"/>
      </w:pPr>
      <w:r>
        <w:t>X ray diffraction data is portrayed in Figure 3. The TiO</w:t>
      </w:r>
      <w:r w:rsidRPr="00C1697D">
        <w:rPr>
          <w:vertAlign w:val="subscript"/>
        </w:rPr>
        <w:t>2</w:t>
      </w:r>
      <w:r>
        <w:t xml:space="preserve"> as well as the formulations has shown a particular kind of diffraction pattern at 38.5</w:t>
      </w:r>
      <w:r w:rsidR="00D72859">
        <w:t>°</w:t>
      </w:r>
      <w:r>
        <w:t xml:space="preserve"> and 55</w:t>
      </w:r>
      <w:r w:rsidR="00D72859">
        <w:t>°</w:t>
      </w:r>
      <w:r>
        <w:t xml:space="preserve"> 2θ. The diffraction position and pattern proved that the TiO</w:t>
      </w:r>
      <w:r w:rsidRPr="00C1697D">
        <w:rPr>
          <w:vertAlign w:val="subscript"/>
        </w:rPr>
        <w:t>2</w:t>
      </w:r>
      <w:r>
        <w:t xml:space="preserve"> anatase crystals has not changed in the formulations</w:t>
      </w:r>
      <w:r w:rsidR="00CD2186">
        <w:t>.</w:t>
      </w:r>
      <w:r>
        <w:rPr>
          <w:vertAlign w:val="superscript"/>
        </w:rPr>
        <w:t>3</w:t>
      </w:r>
      <w:r w:rsidR="00245C9B">
        <w:rPr>
          <w:vertAlign w:val="superscript"/>
        </w:rPr>
        <w:t>0</w:t>
      </w:r>
      <w:r w:rsidR="00CD2186">
        <w:t xml:space="preserve"> </w:t>
      </w:r>
      <w:r>
        <w:t>The most intense peaks then subjected to further calculation and an average value was taken as a representation for the whole formulation. The particle size was determined from the Debye-Scherrer’s equation</w:t>
      </w:r>
      <w:r w:rsidR="00CD2186">
        <w:t>.</w:t>
      </w:r>
      <w:r>
        <w:rPr>
          <w:vertAlign w:val="superscript"/>
        </w:rPr>
        <w:t>3</w:t>
      </w:r>
      <w:r w:rsidR="00245C9B">
        <w:rPr>
          <w:vertAlign w:val="superscript"/>
        </w:rPr>
        <w:t>1</w:t>
      </w:r>
    </w:p>
    <w:p w:rsidR="00561BE6" w:rsidRDefault="0011034B">
      <w:pPr>
        <w:jc w:val="center"/>
        <w:rPr>
          <w:rFonts w:ascii="Cambria Math" w:eastAsia="Cambria Math" w:hAnsi="Cambria Math" w:cs="Cambria Math"/>
        </w:rPr>
      </w:pPr>
      <m:oMathPara>
        <m:oMath>
          <m:r>
            <w:rPr>
              <w:rFonts w:ascii="Cambria Math" w:eastAsia="Cambria Math" w:hAnsi="Cambria Math" w:cs="Cambria Math"/>
            </w:rPr>
            <m:t>D=</m:t>
          </m:r>
          <m:f>
            <m:fPr>
              <m:ctrlPr>
                <w:rPr>
                  <w:rFonts w:ascii="Cambria Math" w:eastAsia="Cambria Math" w:hAnsi="Cambria Math" w:cs="Cambria Math"/>
                </w:rPr>
              </m:ctrlPr>
            </m:fPr>
            <m:num>
              <m:r>
                <w:rPr>
                  <w:rFonts w:ascii="Cambria Math" w:eastAsia="Cambria Math" w:hAnsi="Cambria Math" w:cs="Cambria Math"/>
                </w:rPr>
                <m:t>Kλ</m:t>
              </m:r>
            </m:num>
            <m:den>
              <m:r>
                <w:rPr>
                  <w:rFonts w:ascii="Cambria Math" w:eastAsia="Cambria Math" w:hAnsi="Cambria Math" w:cs="Cambria Math"/>
                </w:rPr>
                <m:t>βCosθ</m:t>
              </m:r>
            </m:den>
          </m:f>
        </m:oMath>
      </m:oMathPara>
    </w:p>
    <w:p w:rsidR="00561BE6" w:rsidRDefault="0011034B">
      <w:pPr>
        <w:spacing w:line="360" w:lineRule="auto"/>
        <w:ind w:firstLine="720"/>
        <w:jc w:val="both"/>
      </w:pPr>
      <w:r>
        <w:t xml:space="preserve">Where, D is the crystal size (nm), K is a constant with a value of 0.9, λ is the wavelength of the Xray (0.1541 nm) and β is the value of FWHM (full width at half maxima) in radian. </w:t>
      </w:r>
    </w:p>
    <w:p w:rsidR="004C5C71" w:rsidRDefault="0011034B" w:rsidP="003B1F97">
      <w:pPr>
        <w:spacing w:line="360" w:lineRule="auto"/>
        <w:ind w:firstLine="720"/>
        <w:jc w:val="both"/>
        <w:rPr>
          <w:b/>
        </w:rPr>
      </w:pPr>
      <w:r>
        <w:t xml:space="preserve">Other characteristic properties of the formulations like, strain and dislocation </w:t>
      </w:r>
      <w:r w:rsidR="009B6861">
        <w:t>density are tabulated in Table 2</w:t>
      </w:r>
      <w:r>
        <w:t>. Scherrer’s formula was employed for the determination of the particle size. Dislocation density can be described as the length of dislocation lines per unit volume of the crystals where a dislocation is a linear defect found in crystals. The untreated and treated pure TiO</w:t>
      </w:r>
      <w:r w:rsidRPr="00C1697D">
        <w:rPr>
          <w:vertAlign w:val="subscript"/>
        </w:rPr>
        <w:t>2</w:t>
      </w:r>
      <w:r>
        <w:t xml:space="preserve"> has shown dislocation density of 0.80 and 0.71 respectively whereas the formulation with highest </w:t>
      </w:r>
      <w:r w:rsidR="00D72859">
        <w:t>content</w:t>
      </w:r>
      <w:r>
        <w:t xml:space="preserve"> of aceclofenac has shown almost 1.4 times higher dislocation lines per unit area. The similarity has also followed in the case of pure TiO</w:t>
      </w:r>
      <w:r w:rsidRPr="00C1697D">
        <w:rPr>
          <w:vertAlign w:val="subscript"/>
        </w:rPr>
        <w:t>2</w:t>
      </w:r>
      <w:r>
        <w:t xml:space="preserve"> crystal strain (0.73) and the formulation, A3T1 has shown the highest strain. The above mentioned changes may have occurred due to the binding of aceclofenac with titanium dioxide</w:t>
      </w:r>
      <w:r w:rsidR="00CD2186">
        <w:t>.</w:t>
      </w:r>
      <w:r>
        <w:rPr>
          <w:vertAlign w:val="superscript"/>
        </w:rPr>
        <w:t>19</w:t>
      </w:r>
      <w:r>
        <w:t xml:space="preserve"> A similar phenomenon was noticeable in the case of aceclofenac where the dislocation density of A1T2 was higher than </w:t>
      </w:r>
      <w:r>
        <w:lastRenderedPageBreak/>
        <w:t>any other formulations or the pure drug itself. Particle size was found to be lowest in the case of the A1T2 formulation than the pure drug (98.08 nm).</w:t>
      </w:r>
    </w:p>
    <w:p w:rsidR="00852CCD" w:rsidRDefault="00852CCD">
      <w:pPr>
        <w:spacing w:line="360" w:lineRule="auto"/>
        <w:jc w:val="both"/>
        <w:rPr>
          <w:b/>
        </w:rPr>
      </w:pPr>
    </w:p>
    <w:p w:rsidR="00561BE6" w:rsidRDefault="009B6861">
      <w:pPr>
        <w:spacing w:line="360" w:lineRule="auto"/>
        <w:jc w:val="both"/>
      </w:pPr>
      <w:r>
        <w:rPr>
          <w:b/>
        </w:rPr>
        <w:t>Table 2</w:t>
      </w:r>
      <w:r w:rsidR="0011034B">
        <w:rPr>
          <w:b/>
        </w:rPr>
        <w:t>.</w:t>
      </w:r>
      <w:r w:rsidR="0011034B">
        <w:t xml:space="preserve"> </w:t>
      </w:r>
      <w:r w:rsidR="00BD5792" w:rsidRPr="00BD5792">
        <w:t xml:space="preserve">Solid state </w:t>
      </w:r>
      <w:r w:rsidR="00BD5792">
        <w:t>p</w:t>
      </w:r>
      <w:r w:rsidR="0011034B">
        <w:t>article prope</w:t>
      </w:r>
      <w:r w:rsidR="00143C06">
        <w:t xml:space="preserve">rties </w:t>
      </w:r>
      <w:r w:rsidR="00200CA0">
        <w:t xml:space="preserve">of aceclofenac-titanium </w:t>
      </w:r>
      <w:r w:rsidR="00BD5792">
        <w:t xml:space="preserve">kneaded product </w:t>
      </w:r>
    </w:p>
    <w:tbl>
      <w:tblPr>
        <w:tblStyle w:val="PlainTable4"/>
        <w:tblW w:w="9203" w:type="dxa"/>
        <w:tblLayout w:type="fixed"/>
        <w:tblLook w:val="04A0" w:firstRow="1" w:lastRow="0" w:firstColumn="1" w:lastColumn="0" w:noHBand="0" w:noVBand="1"/>
      </w:tblPr>
      <w:tblGrid>
        <w:gridCol w:w="1410"/>
        <w:gridCol w:w="1140"/>
        <w:gridCol w:w="1275"/>
        <w:gridCol w:w="1276"/>
        <w:gridCol w:w="1331"/>
        <w:gridCol w:w="1321"/>
        <w:gridCol w:w="1450"/>
      </w:tblGrid>
      <w:tr w:rsidR="001C6B42" w:rsidRPr="00572248" w:rsidTr="00C1697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410" w:type="dxa"/>
            <w:vMerge w:val="restart"/>
            <w:tcBorders>
              <w:top w:val="single" w:sz="4" w:space="0" w:color="auto"/>
            </w:tcBorders>
            <w:shd w:val="clear" w:color="auto" w:fill="auto"/>
          </w:tcPr>
          <w:p w:rsidR="001C6B42" w:rsidRPr="00A6393F" w:rsidRDefault="001C6B42" w:rsidP="00A6393F">
            <w:pPr>
              <w:spacing w:line="360" w:lineRule="auto"/>
              <w:jc w:val="center"/>
              <w:rPr>
                <w:rFonts w:ascii="Times New Roman" w:hAnsi="Times New Roman" w:cs="Times New Roman"/>
                <w:sz w:val="20"/>
                <w:szCs w:val="20"/>
              </w:rPr>
            </w:pPr>
            <w:r w:rsidRPr="001C6B42">
              <w:rPr>
                <w:rFonts w:ascii="Times New Roman" w:hAnsi="Times New Roman" w:cs="Times New Roman"/>
                <w:sz w:val="20"/>
                <w:szCs w:val="20"/>
              </w:rPr>
              <w:t>Formulation Code</w:t>
            </w:r>
          </w:p>
        </w:tc>
        <w:tc>
          <w:tcPr>
            <w:tcW w:w="3691" w:type="dxa"/>
            <w:gridSpan w:val="3"/>
            <w:tcBorders>
              <w:top w:val="single" w:sz="4" w:space="0" w:color="auto"/>
              <w:bottom w:val="single" w:sz="4" w:space="0" w:color="auto"/>
            </w:tcBorders>
            <w:shd w:val="clear" w:color="auto" w:fill="auto"/>
          </w:tcPr>
          <w:p w:rsidR="001C6B42" w:rsidRPr="001C6B42" w:rsidRDefault="001C6B42" w:rsidP="002250D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C6B42">
              <w:rPr>
                <w:rFonts w:ascii="Times New Roman" w:hAnsi="Times New Roman" w:cs="Times New Roman"/>
                <w:sz w:val="20"/>
                <w:szCs w:val="20"/>
              </w:rPr>
              <w:t>TiO</w:t>
            </w:r>
            <w:r w:rsidRPr="00C1697D">
              <w:rPr>
                <w:rFonts w:ascii="Times New Roman" w:hAnsi="Times New Roman" w:cs="Times New Roman"/>
                <w:sz w:val="20"/>
                <w:szCs w:val="20"/>
                <w:vertAlign w:val="subscript"/>
              </w:rPr>
              <w:t>2</w:t>
            </w:r>
          </w:p>
        </w:tc>
        <w:tc>
          <w:tcPr>
            <w:tcW w:w="4102" w:type="dxa"/>
            <w:gridSpan w:val="3"/>
            <w:tcBorders>
              <w:top w:val="single" w:sz="4" w:space="0" w:color="auto"/>
              <w:bottom w:val="single" w:sz="4" w:space="0" w:color="auto"/>
            </w:tcBorders>
            <w:shd w:val="clear" w:color="auto" w:fill="auto"/>
          </w:tcPr>
          <w:p w:rsidR="001C6B42" w:rsidRPr="001C6B42" w:rsidRDefault="001C6B42" w:rsidP="002250D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C6B42">
              <w:rPr>
                <w:rFonts w:ascii="Times New Roman" w:hAnsi="Times New Roman" w:cs="Times New Roman"/>
                <w:sz w:val="20"/>
                <w:szCs w:val="20"/>
              </w:rPr>
              <w:t>Aceclofenac</w:t>
            </w:r>
          </w:p>
        </w:tc>
      </w:tr>
      <w:tr w:rsidR="001C6B42" w:rsidRPr="00572248" w:rsidTr="00C1697D">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410" w:type="dxa"/>
            <w:vMerge/>
            <w:tcBorders>
              <w:bottom w:val="single" w:sz="4" w:space="0" w:color="auto"/>
            </w:tcBorders>
            <w:shd w:val="clear" w:color="auto" w:fill="auto"/>
          </w:tcPr>
          <w:p w:rsidR="001C6B42" w:rsidRPr="001C6B42" w:rsidRDefault="001C6B42" w:rsidP="002250D2">
            <w:pPr>
              <w:spacing w:line="360" w:lineRule="auto"/>
              <w:jc w:val="center"/>
              <w:rPr>
                <w:rFonts w:ascii="Times New Roman" w:hAnsi="Times New Roman" w:cs="Times New Roman"/>
                <w:b w:val="0"/>
                <w:sz w:val="20"/>
                <w:szCs w:val="20"/>
              </w:rPr>
            </w:pPr>
          </w:p>
        </w:tc>
        <w:tc>
          <w:tcPr>
            <w:tcW w:w="1140" w:type="dxa"/>
            <w:tcBorders>
              <w:top w:val="single" w:sz="4" w:space="0" w:color="auto"/>
              <w:bottom w:val="single" w:sz="4" w:space="0" w:color="auto"/>
            </w:tcBorders>
            <w:shd w:val="clear" w:color="auto" w:fill="auto"/>
          </w:tcPr>
          <w:p w:rsidR="001C6B42" w:rsidRPr="001C6B42" w:rsidRDefault="001C6B42" w:rsidP="002250D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C6B42">
              <w:rPr>
                <w:rFonts w:ascii="Times New Roman" w:hAnsi="Times New Roman" w:cs="Times New Roman"/>
                <w:b/>
                <w:sz w:val="20"/>
                <w:szCs w:val="20"/>
              </w:rPr>
              <w:t>Particle Size (nm)</w:t>
            </w:r>
          </w:p>
        </w:tc>
        <w:tc>
          <w:tcPr>
            <w:tcW w:w="1275" w:type="dxa"/>
            <w:tcBorders>
              <w:top w:val="single" w:sz="4" w:space="0" w:color="auto"/>
              <w:bottom w:val="single" w:sz="4" w:space="0" w:color="auto"/>
            </w:tcBorders>
            <w:shd w:val="clear" w:color="auto" w:fill="auto"/>
          </w:tcPr>
          <w:p w:rsidR="001C6B42" w:rsidRPr="001C6B42" w:rsidRDefault="001C6B42" w:rsidP="002250D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C6B42">
              <w:rPr>
                <w:rFonts w:ascii="Times New Roman" w:hAnsi="Times New Roman" w:cs="Times New Roman"/>
                <w:b/>
                <w:sz w:val="20"/>
                <w:szCs w:val="20"/>
              </w:rPr>
              <w:t>Strain</w:t>
            </w:r>
          </w:p>
        </w:tc>
        <w:tc>
          <w:tcPr>
            <w:tcW w:w="1275" w:type="dxa"/>
            <w:tcBorders>
              <w:top w:val="single" w:sz="4" w:space="0" w:color="auto"/>
              <w:bottom w:val="single" w:sz="4" w:space="0" w:color="auto"/>
            </w:tcBorders>
            <w:shd w:val="clear" w:color="auto" w:fill="auto"/>
          </w:tcPr>
          <w:p w:rsidR="001C6B42" w:rsidRPr="001C6B42" w:rsidRDefault="001C6B42" w:rsidP="002250D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C6B42">
              <w:rPr>
                <w:rFonts w:ascii="Times New Roman" w:hAnsi="Times New Roman" w:cs="Times New Roman"/>
                <w:b/>
                <w:sz w:val="20"/>
                <w:szCs w:val="20"/>
              </w:rPr>
              <w:t>Dislocation Density*10</w:t>
            </w:r>
            <w:r w:rsidRPr="001C6B42">
              <w:rPr>
                <w:rFonts w:ascii="Times New Roman" w:hAnsi="Times New Roman" w:cs="Times New Roman"/>
                <w:b/>
                <w:sz w:val="20"/>
                <w:szCs w:val="20"/>
                <w:vertAlign w:val="superscript"/>
              </w:rPr>
              <w:t>-3</w:t>
            </w:r>
          </w:p>
        </w:tc>
        <w:tc>
          <w:tcPr>
            <w:tcW w:w="1331" w:type="dxa"/>
            <w:tcBorders>
              <w:top w:val="single" w:sz="4" w:space="0" w:color="auto"/>
              <w:bottom w:val="single" w:sz="4" w:space="0" w:color="auto"/>
            </w:tcBorders>
            <w:shd w:val="clear" w:color="auto" w:fill="auto"/>
          </w:tcPr>
          <w:p w:rsidR="001C6B42" w:rsidRPr="001C6B42" w:rsidRDefault="001C6B42" w:rsidP="002250D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C6B42">
              <w:rPr>
                <w:rFonts w:ascii="Times New Roman" w:hAnsi="Times New Roman" w:cs="Times New Roman"/>
                <w:b/>
                <w:sz w:val="20"/>
                <w:szCs w:val="20"/>
              </w:rPr>
              <w:t>Particle Size (nm)</w:t>
            </w:r>
          </w:p>
        </w:tc>
        <w:tc>
          <w:tcPr>
            <w:tcW w:w="1321" w:type="dxa"/>
            <w:tcBorders>
              <w:top w:val="single" w:sz="4" w:space="0" w:color="auto"/>
              <w:bottom w:val="single" w:sz="4" w:space="0" w:color="auto"/>
            </w:tcBorders>
            <w:shd w:val="clear" w:color="auto" w:fill="auto"/>
          </w:tcPr>
          <w:p w:rsidR="001C6B42" w:rsidRPr="001C6B42" w:rsidRDefault="001C6B42" w:rsidP="002250D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C6B42">
              <w:rPr>
                <w:rFonts w:ascii="Times New Roman" w:hAnsi="Times New Roman" w:cs="Times New Roman"/>
                <w:b/>
                <w:sz w:val="20"/>
                <w:szCs w:val="20"/>
              </w:rPr>
              <w:t>Strain</w:t>
            </w:r>
          </w:p>
        </w:tc>
        <w:tc>
          <w:tcPr>
            <w:tcW w:w="1449" w:type="dxa"/>
            <w:tcBorders>
              <w:top w:val="single" w:sz="4" w:space="0" w:color="auto"/>
              <w:bottom w:val="single" w:sz="4" w:space="0" w:color="auto"/>
            </w:tcBorders>
            <w:shd w:val="clear" w:color="auto" w:fill="auto"/>
          </w:tcPr>
          <w:p w:rsidR="001C6B42" w:rsidRPr="001C6B42" w:rsidRDefault="001C6B42" w:rsidP="002250D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C6B42">
              <w:rPr>
                <w:rFonts w:ascii="Times New Roman" w:hAnsi="Times New Roman" w:cs="Times New Roman"/>
                <w:b/>
                <w:sz w:val="20"/>
                <w:szCs w:val="20"/>
              </w:rPr>
              <w:t>Dislocation Density *10</w:t>
            </w:r>
            <w:r w:rsidRPr="001C6B42">
              <w:rPr>
                <w:rFonts w:ascii="Times New Roman" w:hAnsi="Times New Roman" w:cs="Times New Roman"/>
                <w:b/>
                <w:sz w:val="20"/>
                <w:szCs w:val="20"/>
                <w:vertAlign w:val="superscript"/>
              </w:rPr>
              <w:t>-3</w:t>
            </w:r>
          </w:p>
        </w:tc>
      </w:tr>
      <w:tr w:rsidR="001C6B42" w:rsidRPr="00572248" w:rsidTr="00C1697D">
        <w:trPr>
          <w:trHeight w:val="216"/>
        </w:trPr>
        <w:tc>
          <w:tcPr>
            <w:cnfStyle w:val="001000000000" w:firstRow="0" w:lastRow="0" w:firstColumn="1" w:lastColumn="0" w:oddVBand="0" w:evenVBand="0" w:oddHBand="0" w:evenHBand="0" w:firstRowFirstColumn="0" w:firstRowLastColumn="0" w:lastRowFirstColumn="0" w:lastRowLastColumn="0"/>
            <w:tcW w:w="1410" w:type="dxa"/>
            <w:tcBorders>
              <w:top w:val="single" w:sz="4" w:space="0" w:color="auto"/>
            </w:tcBorders>
            <w:shd w:val="clear" w:color="auto" w:fill="auto"/>
          </w:tcPr>
          <w:p w:rsidR="001C6B42" w:rsidRPr="001C6B42" w:rsidRDefault="001C6B42" w:rsidP="00F30096">
            <w:pPr>
              <w:jc w:val="center"/>
              <w:rPr>
                <w:rFonts w:ascii="Times New Roman" w:hAnsi="Times New Roman" w:cs="Times New Roman"/>
                <w:color w:val="000000"/>
                <w:sz w:val="20"/>
                <w:szCs w:val="20"/>
              </w:rPr>
            </w:pPr>
            <w:r w:rsidRPr="001C6B42">
              <w:rPr>
                <w:rFonts w:ascii="Times New Roman" w:hAnsi="Times New Roman" w:cs="Times New Roman"/>
                <w:color w:val="000000"/>
                <w:sz w:val="20"/>
                <w:szCs w:val="20"/>
              </w:rPr>
              <w:t>Aceclofenac</w:t>
            </w:r>
          </w:p>
        </w:tc>
        <w:tc>
          <w:tcPr>
            <w:tcW w:w="1140" w:type="dxa"/>
            <w:tcBorders>
              <w:top w:val="single" w:sz="4" w:space="0" w:color="auto"/>
            </w:tcBorders>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w:t>
            </w:r>
          </w:p>
        </w:tc>
        <w:tc>
          <w:tcPr>
            <w:tcW w:w="1275" w:type="dxa"/>
            <w:tcBorders>
              <w:top w:val="single" w:sz="4" w:space="0" w:color="auto"/>
            </w:tcBorders>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w:t>
            </w:r>
          </w:p>
        </w:tc>
        <w:tc>
          <w:tcPr>
            <w:tcW w:w="1275" w:type="dxa"/>
            <w:tcBorders>
              <w:top w:val="single" w:sz="4" w:space="0" w:color="auto"/>
            </w:tcBorders>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w:t>
            </w:r>
          </w:p>
        </w:tc>
        <w:tc>
          <w:tcPr>
            <w:tcW w:w="1331" w:type="dxa"/>
            <w:tcBorders>
              <w:top w:val="single" w:sz="4" w:space="0" w:color="auto"/>
            </w:tcBorders>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98.08±16.5</w:t>
            </w:r>
          </w:p>
        </w:tc>
        <w:tc>
          <w:tcPr>
            <w:tcW w:w="1321" w:type="dxa"/>
            <w:tcBorders>
              <w:top w:val="single" w:sz="4" w:space="0" w:color="auto"/>
            </w:tcBorders>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0.114±0.014</w:t>
            </w:r>
          </w:p>
        </w:tc>
        <w:tc>
          <w:tcPr>
            <w:tcW w:w="1449" w:type="dxa"/>
            <w:tcBorders>
              <w:top w:val="single" w:sz="4" w:space="0" w:color="auto"/>
            </w:tcBorders>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0.44±0.10</w:t>
            </w:r>
          </w:p>
        </w:tc>
      </w:tr>
      <w:tr w:rsidR="001C6B42" w:rsidRPr="00572248" w:rsidTr="00C1697D">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rsidR="001C6B42" w:rsidRPr="001C6B42" w:rsidRDefault="001C6B42" w:rsidP="00F30096">
            <w:pPr>
              <w:jc w:val="center"/>
              <w:rPr>
                <w:rFonts w:ascii="Times New Roman" w:hAnsi="Times New Roman" w:cs="Times New Roman"/>
                <w:color w:val="000000"/>
                <w:sz w:val="20"/>
                <w:szCs w:val="20"/>
              </w:rPr>
            </w:pPr>
            <w:r w:rsidRPr="001C6B42">
              <w:rPr>
                <w:rFonts w:ascii="Times New Roman" w:hAnsi="Times New Roman" w:cs="Times New Roman"/>
                <w:color w:val="000000"/>
                <w:sz w:val="20"/>
                <w:szCs w:val="20"/>
              </w:rPr>
              <w:t>T1 (untreated TiO</w:t>
            </w:r>
            <w:r w:rsidRPr="00C1697D">
              <w:rPr>
                <w:rFonts w:ascii="Times New Roman" w:hAnsi="Times New Roman" w:cs="Times New Roman"/>
                <w:color w:val="000000"/>
                <w:sz w:val="20"/>
                <w:szCs w:val="20"/>
                <w:vertAlign w:val="subscript"/>
              </w:rPr>
              <w:t>2</w:t>
            </w:r>
            <w:r w:rsidRPr="001C6B42">
              <w:rPr>
                <w:rFonts w:ascii="Times New Roman" w:hAnsi="Times New Roman" w:cs="Times New Roman"/>
                <w:color w:val="000000"/>
                <w:sz w:val="20"/>
                <w:szCs w:val="20"/>
              </w:rPr>
              <w:t>)</w:t>
            </w:r>
          </w:p>
        </w:tc>
        <w:tc>
          <w:tcPr>
            <w:tcW w:w="1140"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70.89±3.64</w:t>
            </w:r>
          </w:p>
        </w:tc>
        <w:tc>
          <w:tcPr>
            <w:tcW w:w="1275"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0.073±0.016</w:t>
            </w:r>
          </w:p>
        </w:tc>
        <w:tc>
          <w:tcPr>
            <w:tcW w:w="1275"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0.80±0.088</w:t>
            </w:r>
          </w:p>
        </w:tc>
        <w:tc>
          <w:tcPr>
            <w:tcW w:w="1331"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w:t>
            </w:r>
          </w:p>
        </w:tc>
        <w:tc>
          <w:tcPr>
            <w:tcW w:w="1321"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w:t>
            </w:r>
          </w:p>
        </w:tc>
        <w:tc>
          <w:tcPr>
            <w:tcW w:w="1449"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w:t>
            </w:r>
          </w:p>
        </w:tc>
      </w:tr>
      <w:tr w:rsidR="001C6B42" w:rsidRPr="00572248" w:rsidTr="00C1697D">
        <w:trPr>
          <w:trHeight w:val="433"/>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rsidR="001C6B42" w:rsidRPr="001C6B42" w:rsidRDefault="000503B5" w:rsidP="00F30096">
            <w:pPr>
              <w:jc w:val="center"/>
              <w:rPr>
                <w:rFonts w:ascii="Times New Roman" w:hAnsi="Times New Roman" w:cs="Times New Roman"/>
                <w:color w:val="000000"/>
                <w:sz w:val="20"/>
                <w:szCs w:val="20"/>
              </w:rPr>
            </w:pPr>
            <w:r>
              <w:rPr>
                <w:rFonts w:ascii="Times New Roman" w:hAnsi="Times New Roman" w:cs="Times New Roman"/>
                <w:color w:val="000000"/>
                <w:sz w:val="20"/>
                <w:szCs w:val="20"/>
              </w:rPr>
              <w:t>T2 (Acetone t</w:t>
            </w:r>
            <w:r w:rsidR="001C6B42" w:rsidRPr="001C6B42">
              <w:rPr>
                <w:rFonts w:ascii="Times New Roman" w:hAnsi="Times New Roman" w:cs="Times New Roman"/>
                <w:color w:val="000000"/>
                <w:sz w:val="20"/>
                <w:szCs w:val="20"/>
              </w:rPr>
              <w:t>reated TiO</w:t>
            </w:r>
            <w:r w:rsidR="001C6B42" w:rsidRPr="00C1697D">
              <w:rPr>
                <w:rFonts w:ascii="Times New Roman" w:hAnsi="Times New Roman" w:cs="Times New Roman"/>
                <w:color w:val="000000"/>
                <w:sz w:val="20"/>
                <w:szCs w:val="20"/>
                <w:vertAlign w:val="subscript"/>
              </w:rPr>
              <w:t>2</w:t>
            </w:r>
            <w:r w:rsidR="001C6B42" w:rsidRPr="001C6B42">
              <w:rPr>
                <w:rFonts w:ascii="Times New Roman" w:hAnsi="Times New Roman" w:cs="Times New Roman"/>
                <w:color w:val="000000"/>
                <w:sz w:val="20"/>
                <w:szCs w:val="20"/>
              </w:rPr>
              <w:t>)</w:t>
            </w:r>
          </w:p>
        </w:tc>
        <w:tc>
          <w:tcPr>
            <w:tcW w:w="1140" w:type="dxa"/>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74.87±1.60</w:t>
            </w:r>
          </w:p>
        </w:tc>
        <w:tc>
          <w:tcPr>
            <w:tcW w:w="1275" w:type="dxa"/>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0.068±0.012</w:t>
            </w:r>
          </w:p>
        </w:tc>
        <w:tc>
          <w:tcPr>
            <w:tcW w:w="1275" w:type="dxa"/>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0.71±0.030</w:t>
            </w:r>
          </w:p>
        </w:tc>
        <w:tc>
          <w:tcPr>
            <w:tcW w:w="1331" w:type="dxa"/>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w:t>
            </w:r>
          </w:p>
        </w:tc>
        <w:tc>
          <w:tcPr>
            <w:tcW w:w="1321" w:type="dxa"/>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w:t>
            </w:r>
          </w:p>
        </w:tc>
        <w:tc>
          <w:tcPr>
            <w:tcW w:w="1449" w:type="dxa"/>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w:t>
            </w:r>
          </w:p>
        </w:tc>
      </w:tr>
      <w:tr w:rsidR="001C6B42" w:rsidRPr="00572248" w:rsidTr="00C1697D">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rsidR="001C6B42" w:rsidRPr="001C6B42" w:rsidRDefault="001C6B42" w:rsidP="00F30096">
            <w:pPr>
              <w:jc w:val="center"/>
              <w:rPr>
                <w:rFonts w:ascii="Times New Roman" w:hAnsi="Times New Roman" w:cs="Times New Roman"/>
                <w:color w:val="000000"/>
                <w:sz w:val="20"/>
                <w:szCs w:val="20"/>
              </w:rPr>
            </w:pPr>
            <w:r w:rsidRPr="001C6B42">
              <w:rPr>
                <w:rFonts w:ascii="Times New Roman" w:hAnsi="Times New Roman" w:cs="Times New Roman"/>
                <w:color w:val="000000"/>
                <w:sz w:val="20"/>
                <w:szCs w:val="20"/>
              </w:rPr>
              <w:t>A1T1</w:t>
            </w:r>
          </w:p>
          <w:p w:rsidR="001C6B42" w:rsidRPr="001C6B42" w:rsidRDefault="001C6B42" w:rsidP="00F30096">
            <w:pPr>
              <w:jc w:val="center"/>
              <w:rPr>
                <w:rFonts w:ascii="Times New Roman" w:hAnsi="Times New Roman" w:cs="Times New Roman"/>
                <w:color w:val="000000"/>
                <w:sz w:val="20"/>
                <w:szCs w:val="20"/>
              </w:rPr>
            </w:pPr>
          </w:p>
        </w:tc>
        <w:tc>
          <w:tcPr>
            <w:tcW w:w="1140"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68.65±0.84</w:t>
            </w:r>
          </w:p>
        </w:tc>
        <w:tc>
          <w:tcPr>
            <w:tcW w:w="1275"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0.075±0.013</w:t>
            </w:r>
          </w:p>
        </w:tc>
        <w:tc>
          <w:tcPr>
            <w:tcW w:w="1275"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0.84±0.021</w:t>
            </w:r>
          </w:p>
        </w:tc>
        <w:tc>
          <w:tcPr>
            <w:tcW w:w="1331"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73.47±19.46</w:t>
            </w:r>
          </w:p>
        </w:tc>
        <w:tc>
          <w:tcPr>
            <w:tcW w:w="1321"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0.157±0.037</w:t>
            </w:r>
          </w:p>
        </w:tc>
        <w:tc>
          <w:tcPr>
            <w:tcW w:w="1449"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0.90±0.5</w:t>
            </w:r>
            <w:r w:rsidR="000503B5">
              <w:rPr>
                <w:rFonts w:ascii="Times New Roman" w:hAnsi="Times New Roman" w:cs="Times New Roman"/>
                <w:color w:val="000000"/>
                <w:sz w:val="20"/>
                <w:szCs w:val="20"/>
              </w:rPr>
              <w:t>0</w:t>
            </w:r>
          </w:p>
        </w:tc>
      </w:tr>
      <w:tr w:rsidR="001C6B42" w:rsidRPr="00572248" w:rsidTr="00C1697D">
        <w:trPr>
          <w:trHeight w:val="433"/>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rsidR="001C6B42" w:rsidRPr="001C6B42" w:rsidRDefault="001C6B42" w:rsidP="00F30096">
            <w:pPr>
              <w:jc w:val="center"/>
              <w:rPr>
                <w:rFonts w:ascii="Times New Roman" w:hAnsi="Times New Roman" w:cs="Times New Roman"/>
                <w:color w:val="000000"/>
                <w:sz w:val="20"/>
                <w:szCs w:val="20"/>
              </w:rPr>
            </w:pPr>
            <w:r w:rsidRPr="001C6B42">
              <w:rPr>
                <w:rFonts w:ascii="Times New Roman" w:hAnsi="Times New Roman" w:cs="Times New Roman"/>
                <w:color w:val="000000"/>
                <w:sz w:val="20"/>
                <w:szCs w:val="20"/>
              </w:rPr>
              <w:t>A1T2</w:t>
            </w:r>
          </w:p>
          <w:p w:rsidR="001C6B42" w:rsidRPr="001C6B42" w:rsidRDefault="001C6B42" w:rsidP="00F30096">
            <w:pPr>
              <w:jc w:val="center"/>
              <w:rPr>
                <w:rFonts w:ascii="Times New Roman" w:hAnsi="Times New Roman" w:cs="Times New Roman"/>
                <w:color w:val="000000"/>
                <w:sz w:val="20"/>
                <w:szCs w:val="20"/>
              </w:rPr>
            </w:pPr>
          </w:p>
        </w:tc>
        <w:tc>
          <w:tcPr>
            <w:tcW w:w="1140" w:type="dxa"/>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64.44±1.34</w:t>
            </w:r>
          </w:p>
        </w:tc>
        <w:tc>
          <w:tcPr>
            <w:tcW w:w="1275" w:type="dxa"/>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0.079±0.015</w:t>
            </w:r>
          </w:p>
        </w:tc>
        <w:tc>
          <w:tcPr>
            <w:tcW w:w="1275" w:type="dxa"/>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0.96±0.040</w:t>
            </w:r>
          </w:p>
        </w:tc>
        <w:tc>
          <w:tcPr>
            <w:tcW w:w="1331" w:type="dxa"/>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59.67±11.56</w:t>
            </w:r>
          </w:p>
        </w:tc>
        <w:tc>
          <w:tcPr>
            <w:tcW w:w="1321" w:type="dxa"/>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0.132±0.054</w:t>
            </w:r>
          </w:p>
        </w:tc>
        <w:tc>
          <w:tcPr>
            <w:tcW w:w="1449" w:type="dxa"/>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1.22±0.40</w:t>
            </w:r>
          </w:p>
        </w:tc>
      </w:tr>
      <w:tr w:rsidR="001C6B42" w:rsidRPr="00572248" w:rsidTr="00C1697D">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rsidR="001C6B42" w:rsidRPr="001C6B42" w:rsidRDefault="001C6B42" w:rsidP="00F30096">
            <w:pPr>
              <w:jc w:val="center"/>
              <w:rPr>
                <w:rFonts w:ascii="Times New Roman" w:hAnsi="Times New Roman" w:cs="Times New Roman"/>
                <w:color w:val="000000"/>
                <w:sz w:val="20"/>
                <w:szCs w:val="20"/>
              </w:rPr>
            </w:pPr>
            <w:r w:rsidRPr="001C6B42">
              <w:rPr>
                <w:rFonts w:ascii="Times New Roman" w:hAnsi="Times New Roman" w:cs="Times New Roman"/>
                <w:color w:val="000000"/>
                <w:sz w:val="20"/>
                <w:szCs w:val="20"/>
              </w:rPr>
              <w:t>A2T1</w:t>
            </w:r>
          </w:p>
          <w:p w:rsidR="001C6B42" w:rsidRPr="001C6B42" w:rsidRDefault="001C6B42" w:rsidP="00F30096">
            <w:pPr>
              <w:jc w:val="center"/>
              <w:rPr>
                <w:rFonts w:ascii="Times New Roman" w:hAnsi="Times New Roman" w:cs="Times New Roman"/>
                <w:color w:val="000000"/>
                <w:sz w:val="20"/>
                <w:szCs w:val="20"/>
              </w:rPr>
            </w:pPr>
          </w:p>
        </w:tc>
        <w:tc>
          <w:tcPr>
            <w:tcW w:w="1140"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65.88±3.15</w:t>
            </w:r>
          </w:p>
        </w:tc>
        <w:tc>
          <w:tcPr>
            <w:tcW w:w="1275"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0.077±0.010</w:t>
            </w:r>
          </w:p>
        </w:tc>
        <w:tc>
          <w:tcPr>
            <w:tcW w:w="1275"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0.92±0.092</w:t>
            </w:r>
          </w:p>
        </w:tc>
        <w:tc>
          <w:tcPr>
            <w:tcW w:w="1331"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71.09±14.81</w:t>
            </w:r>
          </w:p>
        </w:tc>
        <w:tc>
          <w:tcPr>
            <w:tcW w:w="1321"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0.158±0.054</w:t>
            </w:r>
          </w:p>
        </w:tc>
        <w:tc>
          <w:tcPr>
            <w:tcW w:w="1449" w:type="dxa"/>
            <w:shd w:val="clear" w:color="auto" w:fill="auto"/>
          </w:tcPr>
          <w:p w:rsidR="001C6B42" w:rsidRPr="001C6B42" w:rsidRDefault="001C6B42" w:rsidP="00F300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0.98±0.40</w:t>
            </w:r>
          </w:p>
        </w:tc>
      </w:tr>
      <w:tr w:rsidR="001C6B42" w:rsidRPr="00572248" w:rsidTr="00C1697D">
        <w:trPr>
          <w:trHeight w:val="433"/>
        </w:trPr>
        <w:tc>
          <w:tcPr>
            <w:cnfStyle w:val="001000000000" w:firstRow="0" w:lastRow="0" w:firstColumn="1" w:lastColumn="0" w:oddVBand="0" w:evenVBand="0" w:oddHBand="0" w:evenHBand="0" w:firstRowFirstColumn="0" w:firstRowLastColumn="0" w:lastRowFirstColumn="0" w:lastRowLastColumn="0"/>
            <w:tcW w:w="1410" w:type="dxa"/>
            <w:tcBorders>
              <w:bottom w:val="single" w:sz="4" w:space="0" w:color="auto"/>
            </w:tcBorders>
            <w:shd w:val="clear" w:color="auto" w:fill="auto"/>
          </w:tcPr>
          <w:p w:rsidR="001C6B42" w:rsidRPr="001C6B42" w:rsidRDefault="001C6B42" w:rsidP="00F30096">
            <w:pPr>
              <w:jc w:val="center"/>
              <w:rPr>
                <w:rFonts w:ascii="Times New Roman" w:hAnsi="Times New Roman" w:cs="Times New Roman"/>
                <w:color w:val="000000"/>
                <w:sz w:val="20"/>
                <w:szCs w:val="20"/>
              </w:rPr>
            </w:pPr>
            <w:r w:rsidRPr="001C6B42">
              <w:rPr>
                <w:rFonts w:ascii="Times New Roman" w:hAnsi="Times New Roman" w:cs="Times New Roman"/>
                <w:color w:val="000000"/>
                <w:sz w:val="20"/>
                <w:szCs w:val="20"/>
              </w:rPr>
              <w:t>A3T1</w:t>
            </w:r>
          </w:p>
          <w:p w:rsidR="001C6B42" w:rsidRPr="001C6B42" w:rsidRDefault="001C6B42" w:rsidP="00F30096">
            <w:pPr>
              <w:jc w:val="center"/>
              <w:rPr>
                <w:rFonts w:ascii="Times New Roman" w:hAnsi="Times New Roman" w:cs="Times New Roman"/>
                <w:color w:val="000000"/>
                <w:sz w:val="20"/>
                <w:szCs w:val="20"/>
              </w:rPr>
            </w:pPr>
          </w:p>
        </w:tc>
        <w:tc>
          <w:tcPr>
            <w:tcW w:w="1140" w:type="dxa"/>
            <w:tcBorders>
              <w:bottom w:val="single" w:sz="4" w:space="0" w:color="auto"/>
            </w:tcBorders>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63.01±1.25</w:t>
            </w:r>
          </w:p>
        </w:tc>
        <w:tc>
          <w:tcPr>
            <w:tcW w:w="1275" w:type="dxa"/>
            <w:tcBorders>
              <w:bottom w:val="single" w:sz="4" w:space="0" w:color="auto"/>
            </w:tcBorders>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0.081±0.013</w:t>
            </w:r>
          </w:p>
        </w:tc>
        <w:tc>
          <w:tcPr>
            <w:tcW w:w="1275" w:type="dxa"/>
            <w:tcBorders>
              <w:bottom w:val="single" w:sz="4" w:space="0" w:color="auto"/>
            </w:tcBorders>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1.0</w:t>
            </w:r>
            <w:r w:rsidR="000503B5">
              <w:rPr>
                <w:rFonts w:ascii="Times New Roman" w:hAnsi="Times New Roman" w:cs="Times New Roman"/>
                <w:color w:val="000000"/>
                <w:sz w:val="20"/>
                <w:szCs w:val="20"/>
              </w:rPr>
              <w:t>0</w:t>
            </w:r>
            <w:r w:rsidRPr="001C6B42">
              <w:rPr>
                <w:rFonts w:ascii="Times New Roman" w:hAnsi="Times New Roman" w:cs="Times New Roman"/>
                <w:color w:val="000000"/>
                <w:sz w:val="20"/>
                <w:szCs w:val="20"/>
              </w:rPr>
              <w:t>±0.041</w:t>
            </w:r>
          </w:p>
        </w:tc>
        <w:tc>
          <w:tcPr>
            <w:tcW w:w="1331" w:type="dxa"/>
            <w:tcBorders>
              <w:bottom w:val="single" w:sz="4" w:space="0" w:color="auto"/>
            </w:tcBorders>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70.88±14.58</w:t>
            </w:r>
          </w:p>
        </w:tc>
        <w:tc>
          <w:tcPr>
            <w:tcW w:w="1321" w:type="dxa"/>
            <w:tcBorders>
              <w:bottom w:val="single" w:sz="4" w:space="0" w:color="auto"/>
            </w:tcBorders>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0.149±0.036</w:t>
            </w:r>
          </w:p>
        </w:tc>
        <w:tc>
          <w:tcPr>
            <w:tcW w:w="1449" w:type="dxa"/>
            <w:tcBorders>
              <w:bottom w:val="single" w:sz="4" w:space="0" w:color="auto"/>
            </w:tcBorders>
            <w:shd w:val="clear" w:color="auto" w:fill="auto"/>
          </w:tcPr>
          <w:p w:rsidR="001C6B42" w:rsidRPr="001C6B42" w:rsidRDefault="001C6B42" w:rsidP="00F300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C6B42">
              <w:rPr>
                <w:rFonts w:ascii="Times New Roman" w:hAnsi="Times New Roman" w:cs="Times New Roman"/>
                <w:color w:val="000000"/>
                <w:sz w:val="20"/>
                <w:szCs w:val="20"/>
              </w:rPr>
              <w:t>0.87±0.30</w:t>
            </w:r>
          </w:p>
        </w:tc>
      </w:tr>
    </w:tbl>
    <w:p w:rsidR="00561BE6" w:rsidRDefault="00561BE6">
      <w:pPr>
        <w:spacing w:line="360" w:lineRule="auto"/>
        <w:jc w:val="both"/>
        <w:rPr>
          <w:b/>
        </w:rPr>
      </w:pPr>
    </w:p>
    <w:p w:rsidR="00561BE6" w:rsidRDefault="00E273BF">
      <w:pPr>
        <w:spacing w:line="360" w:lineRule="auto"/>
        <w:jc w:val="both"/>
        <w:rPr>
          <w:b/>
        </w:rPr>
      </w:pPr>
      <w:r>
        <w:rPr>
          <w:b/>
          <w:noProof/>
          <w:lang w:val="en-US"/>
        </w:rPr>
        <w:drawing>
          <wp:inline distT="0" distB="0" distL="0" distR="0">
            <wp:extent cx="2880360" cy="309067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e 3.jp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360" cy="3090672"/>
                    </a:xfrm>
                    <a:prstGeom prst="rect">
                      <a:avLst/>
                    </a:prstGeom>
                  </pic:spPr>
                </pic:pic>
              </a:graphicData>
            </a:graphic>
          </wp:inline>
        </w:drawing>
      </w:r>
    </w:p>
    <w:p w:rsidR="00561BE6" w:rsidRDefault="0011034B">
      <w:pPr>
        <w:spacing w:line="360" w:lineRule="auto"/>
        <w:jc w:val="both"/>
      </w:pPr>
      <w:r>
        <w:rPr>
          <w:b/>
        </w:rPr>
        <w:t>Figure 3.</w:t>
      </w:r>
      <w:r>
        <w:t xml:space="preserve"> Powder Xray diffraction overlay of pure drug, formulation, </w:t>
      </w:r>
      <w:r w:rsidR="00095A67">
        <w:t xml:space="preserve">untreated and </w:t>
      </w:r>
      <w:r>
        <w:t>treated</w:t>
      </w:r>
      <w:r w:rsidR="00095A67">
        <w:t xml:space="preserve"> </w:t>
      </w:r>
      <w:r>
        <w:t xml:space="preserve"> titanium dioxide</w:t>
      </w:r>
      <w:r w:rsidR="00095A67">
        <w:t xml:space="preserve"> (T1 and T2 respectively)</w:t>
      </w:r>
      <w:r>
        <w:t>.</w:t>
      </w:r>
    </w:p>
    <w:p w:rsidR="00561BE6" w:rsidRDefault="0011034B">
      <w:pPr>
        <w:spacing w:line="360" w:lineRule="auto"/>
        <w:jc w:val="both"/>
        <w:rPr>
          <w:b/>
        </w:rPr>
      </w:pPr>
      <w:r>
        <w:rPr>
          <w:b/>
        </w:rPr>
        <w:t xml:space="preserve">3.4. </w:t>
      </w:r>
      <w:r>
        <w:rPr>
          <w:b/>
          <w:i/>
        </w:rPr>
        <w:t>In vitro</w:t>
      </w:r>
      <w:r>
        <w:rPr>
          <w:b/>
        </w:rPr>
        <w:t xml:space="preserve"> </w:t>
      </w:r>
      <w:r w:rsidR="00A2637E">
        <w:rPr>
          <w:b/>
        </w:rPr>
        <w:t>diffusion</w:t>
      </w:r>
      <w:r>
        <w:rPr>
          <w:b/>
        </w:rPr>
        <w:t xml:space="preserve"> study</w:t>
      </w:r>
    </w:p>
    <w:p w:rsidR="00561BE6" w:rsidRDefault="00EC3C45" w:rsidP="00EC3C45">
      <w:pPr>
        <w:spacing w:line="360" w:lineRule="auto"/>
        <w:ind w:firstLine="720"/>
        <w:jc w:val="both"/>
      </w:pPr>
      <w:r>
        <w:rPr>
          <w:noProof/>
          <w:lang w:val="en-US"/>
        </w:rPr>
        <w:lastRenderedPageBreak/>
        <w:drawing>
          <wp:anchor distT="0" distB="0" distL="114300" distR="114300" simplePos="0" relativeHeight="251659264" behindDoc="0" locked="0" layoutInCell="1" hidden="0" allowOverlap="1" wp14:anchorId="0B934152" wp14:editId="2B3D90D3">
            <wp:simplePos x="0" y="0"/>
            <wp:positionH relativeFrom="column">
              <wp:posOffset>-228600</wp:posOffset>
            </wp:positionH>
            <wp:positionV relativeFrom="paragraph">
              <wp:posOffset>1449070</wp:posOffset>
            </wp:positionV>
            <wp:extent cx="3315335" cy="2638425"/>
            <wp:effectExtent l="0" t="0" r="0" b="0"/>
            <wp:wrapTopAndBottom distT="0" dist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065F08" w:rsidRPr="00065F08">
        <w:t xml:space="preserve"> </w:t>
      </w:r>
      <w:r w:rsidR="00065F08">
        <w:t xml:space="preserve">The observation was replicated </w:t>
      </w:r>
      <w:r w:rsidR="0011034B">
        <w:t>in triplicate and the mean value is used to prepare the time vs cumulative percent release in Figure 3. The highest rel</w:t>
      </w:r>
      <w:r w:rsidR="00065F08">
        <w:t>ease was found in the case of A2T1</w:t>
      </w:r>
      <w:r w:rsidR="0011034B">
        <w:t xml:space="preserve"> (89.88%) at 2 hours followed by A1T1 (89.13%). The formulation containing highest amount of TiO2 (A1T2) has shown lowest amount of drug release 82.55% in contrast </w:t>
      </w:r>
      <w:r w:rsidR="00B57093">
        <w:t>to others at 120 mins</w:t>
      </w:r>
      <w:r w:rsidR="0011034B">
        <w:t xml:space="preserve">. </w:t>
      </w:r>
    </w:p>
    <w:p w:rsidR="00EC3C45" w:rsidRDefault="00EC3C45">
      <w:pPr>
        <w:spacing w:line="360" w:lineRule="auto"/>
        <w:jc w:val="both"/>
        <w:rPr>
          <w:b/>
        </w:rPr>
      </w:pPr>
      <w:bookmarkStart w:id="1" w:name="_gjdgxs" w:colFirst="0" w:colLast="0"/>
      <w:bookmarkEnd w:id="1"/>
      <w:r>
        <w:rPr>
          <w:b/>
        </w:rPr>
        <w:t>Figure 4.</w:t>
      </w:r>
      <w:r>
        <w:t xml:space="preserve"> </w:t>
      </w:r>
      <w:r>
        <w:rPr>
          <w:i/>
        </w:rPr>
        <w:t>In vitro</w:t>
      </w:r>
      <w:r>
        <w:t xml:space="preserve"> drug diffusion profile of the formulation</w:t>
      </w:r>
    </w:p>
    <w:p w:rsidR="00561BE6" w:rsidRDefault="0011034B">
      <w:pPr>
        <w:spacing w:line="360" w:lineRule="auto"/>
        <w:jc w:val="both"/>
        <w:rPr>
          <w:b/>
        </w:rPr>
      </w:pPr>
      <w:r>
        <w:rPr>
          <w:b/>
        </w:rPr>
        <w:t xml:space="preserve">3.5. </w:t>
      </w:r>
      <w:r>
        <w:rPr>
          <w:b/>
          <w:i/>
        </w:rPr>
        <w:t>Ex vivo</w:t>
      </w:r>
      <w:r>
        <w:rPr>
          <w:b/>
        </w:rPr>
        <w:t xml:space="preserve"> permeation Study</w:t>
      </w:r>
    </w:p>
    <w:p w:rsidR="00561BE6" w:rsidRDefault="0011034B">
      <w:pPr>
        <w:spacing w:line="360" w:lineRule="auto"/>
        <w:ind w:firstLine="720"/>
        <w:jc w:val="both"/>
      </w:pPr>
      <w:r>
        <w:t>The data was presented as a plot of time vs percentage permeated in Figure 4. The highest release was found in the case of A3T1 (45.29%) at 20 hours followed by A1T1 (42.40%). In all of the formulations the permeation was continued up to 20 hours while maintaining an increasing order.</w:t>
      </w:r>
    </w:p>
    <w:p w:rsidR="00095A67" w:rsidRDefault="00095A67" w:rsidP="00095A67">
      <w:pPr>
        <w:spacing w:line="360" w:lineRule="auto"/>
        <w:jc w:val="both"/>
        <w:rPr>
          <w:b/>
        </w:rPr>
      </w:pPr>
    </w:p>
    <w:p w:rsidR="00095A67" w:rsidRDefault="00095A67" w:rsidP="00095A67">
      <w:pPr>
        <w:spacing w:line="360" w:lineRule="auto"/>
        <w:jc w:val="both"/>
      </w:pPr>
      <w:r>
        <w:rPr>
          <w:noProof/>
          <w:lang w:val="en-US"/>
        </w:rPr>
        <w:lastRenderedPageBreak/>
        <w:drawing>
          <wp:anchor distT="0" distB="0" distL="114300" distR="114300" simplePos="0" relativeHeight="251660288" behindDoc="0" locked="0" layoutInCell="1" hidden="0" allowOverlap="1" wp14:anchorId="6BF1A834" wp14:editId="30CEC2E9">
            <wp:simplePos x="0" y="0"/>
            <wp:positionH relativeFrom="column">
              <wp:posOffset>0</wp:posOffset>
            </wp:positionH>
            <wp:positionV relativeFrom="paragraph">
              <wp:posOffset>0</wp:posOffset>
            </wp:positionV>
            <wp:extent cx="3219450" cy="2752725"/>
            <wp:effectExtent l="0" t="0" r="0" b="0"/>
            <wp:wrapTopAndBottom distT="0" dist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b/>
        </w:rPr>
        <w:t>Figure 5.</w:t>
      </w:r>
      <w:r>
        <w:t xml:space="preserve"> </w:t>
      </w:r>
      <w:r>
        <w:rPr>
          <w:i/>
        </w:rPr>
        <w:t>Ex vivo</w:t>
      </w:r>
      <w:r>
        <w:t xml:space="preserve"> permeation study of the formulations through goat cornea</w:t>
      </w:r>
      <w:r w:rsidR="00C1697D">
        <w:t>l mucosa</w:t>
      </w:r>
    </w:p>
    <w:p w:rsidR="00561BE6" w:rsidRDefault="0011034B" w:rsidP="008959C6">
      <w:pPr>
        <w:spacing w:before="240" w:after="0" w:line="360" w:lineRule="auto"/>
        <w:jc w:val="center"/>
        <w:rPr>
          <w:rFonts w:ascii="Calibri" w:eastAsia="Calibri" w:hAnsi="Calibri" w:cs="Calibri"/>
          <w:b/>
          <w:color w:val="000000"/>
        </w:rPr>
      </w:pPr>
      <w:r>
        <w:rPr>
          <w:b/>
        </w:rPr>
        <w:t>4. Conclusion</w:t>
      </w:r>
    </w:p>
    <w:p w:rsidR="002A5C69" w:rsidRDefault="00095A67" w:rsidP="00EF266B">
      <w:pPr>
        <w:spacing w:line="360" w:lineRule="auto"/>
        <w:jc w:val="both"/>
      </w:pPr>
      <w:r>
        <w:tab/>
      </w:r>
      <w:r w:rsidR="002A5C69">
        <w:t>Influence of titanium dioxide on mucosal permeation of aceclofenac has been carried out in aqueous state. FTIR results revealed the decreased intensity of some characteristic peaks of aceclofenac in the formulation with the increased content of TiO</w:t>
      </w:r>
      <w:r w:rsidR="002A5C69">
        <w:rPr>
          <w:vertAlign w:val="subscript"/>
        </w:rPr>
        <w:t xml:space="preserve">2 </w:t>
      </w:r>
      <w:r w:rsidR="002A5C69">
        <w:t>indicating possible binding between drug and TiO</w:t>
      </w:r>
      <w:r w:rsidR="002A5C69">
        <w:rPr>
          <w:vertAlign w:val="subscript"/>
        </w:rPr>
        <w:t>2</w:t>
      </w:r>
      <w:r w:rsidR="002A5C69">
        <w:t>. Thermal analysis has also exhibited decreased melting enthalpy as the TiO</w:t>
      </w:r>
      <w:r w:rsidR="002A5C69">
        <w:rPr>
          <w:vertAlign w:val="subscript"/>
        </w:rPr>
        <w:t>2</w:t>
      </w:r>
      <w:r w:rsidR="002A5C69">
        <w:t xml:space="preserve"> content increased in the solid. The change in crystal strain and dislocation density of TiO</w:t>
      </w:r>
      <w:r w:rsidR="002A5C69">
        <w:rPr>
          <w:vertAlign w:val="subscript"/>
        </w:rPr>
        <w:t>2</w:t>
      </w:r>
      <w:r w:rsidR="002A5C69">
        <w:t xml:space="preserve"> and aceclofenac in the solid formulation has been noticed. Sustained mucosal permeation of aceclofenac has been observed for more than 20 h in presence of titanium dioxide. Titanium dioxide could be used in designing formulation for sustaining and controlling mucosal delivery of aceclofenac after assessing risk factor associated with TiO</w:t>
      </w:r>
      <w:r w:rsidR="002A5C69">
        <w:rPr>
          <w:vertAlign w:val="subscript"/>
        </w:rPr>
        <w:t>2</w:t>
      </w:r>
      <w:r w:rsidR="002A5C69">
        <w:t>.</w:t>
      </w:r>
    </w:p>
    <w:p w:rsidR="00561BE6" w:rsidRDefault="0011034B" w:rsidP="00050542">
      <w:pPr>
        <w:spacing w:after="0" w:line="360" w:lineRule="auto"/>
        <w:rPr>
          <w:b/>
          <w:color w:val="000000"/>
        </w:rPr>
      </w:pPr>
      <w:r>
        <w:rPr>
          <w:b/>
        </w:rPr>
        <w:t>Acknowledgement</w:t>
      </w:r>
    </w:p>
    <w:p w:rsidR="00561BE6" w:rsidRDefault="0011034B">
      <w:pPr>
        <w:spacing w:after="0" w:line="360" w:lineRule="auto"/>
        <w:ind w:firstLine="720"/>
        <w:jc w:val="both"/>
      </w:pPr>
      <w:r>
        <w:t xml:space="preserve">The authors are grateful to Dr. Monojranjan Nayak, President, Siksha ‘O’Anusandhan University for financial support and laboratory facility. We are also grateful to receive Aceclofenac as gift sample from Mannequin Pharmaceuticals Pvt. Ltd., Bhubaneswar, Odisha. </w:t>
      </w:r>
    </w:p>
    <w:p w:rsidR="00561BE6" w:rsidRDefault="0011034B" w:rsidP="00EF266B">
      <w:pPr>
        <w:spacing w:before="240" w:after="0" w:line="360" w:lineRule="auto"/>
        <w:rPr>
          <w:b/>
          <w:color w:val="000000"/>
        </w:rPr>
      </w:pPr>
      <w:r>
        <w:rPr>
          <w:b/>
        </w:rPr>
        <w:t>Conflict of interest</w:t>
      </w:r>
    </w:p>
    <w:p w:rsidR="00561BE6" w:rsidRDefault="0011034B">
      <w:pPr>
        <w:spacing w:after="0" w:line="360" w:lineRule="auto"/>
        <w:jc w:val="both"/>
      </w:pPr>
      <w:r>
        <w:t xml:space="preserve">The authors declare no conflict of interests. </w:t>
      </w:r>
    </w:p>
    <w:p w:rsidR="00561BE6" w:rsidRDefault="00050542" w:rsidP="00EF266B">
      <w:pPr>
        <w:spacing w:before="240" w:line="360" w:lineRule="auto"/>
        <w:jc w:val="center"/>
        <w:rPr>
          <w:b/>
        </w:rPr>
      </w:pPr>
      <w:r>
        <w:rPr>
          <w:b/>
        </w:rPr>
        <w:t>5</w:t>
      </w:r>
      <w:r w:rsidR="0011034B">
        <w:rPr>
          <w:b/>
        </w:rPr>
        <w:t>. References</w:t>
      </w:r>
    </w:p>
    <w:p w:rsidR="005420E7" w:rsidRDefault="005420E7"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H. M. A. Shawish, H. Tamous, S. Saadeh, A. Tbaza, </w:t>
      </w:r>
      <w:r>
        <w:rPr>
          <w:i/>
          <w:color w:val="000000"/>
        </w:rPr>
        <w:t>Acta Chim</w:t>
      </w:r>
      <w:r w:rsidR="006B4069">
        <w:rPr>
          <w:i/>
          <w:color w:val="000000"/>
        </w:rPr>
        <w:t>.</w:t>
      </w:r>
      <w:r>
        <w:rPr>
          <w:i/>
          <w:color w:val="000000"/>
        </w:rPr>
        <w:t xml:space="preserve"> Slov</w:t>
      </w:r>
      <w:r w:rsidR="006B4069">
        <w:rPr>
          <w:color w:val="000000"/>
        </w:rPr>
        <w:t>.</w:t>
      </w:r>
      <w:r>
        <w:rPr>
          <w:color w:val="000000"/>
        </w:rPr>
        <w:t xml:space="preserve"> </w:t>
      </w:r>
      <w:r>
        <w:rPr>
          <w:b/>
          <w:color w:val="000000"/>
        </w:rPr>
        <w:t>2018</w:t>
      </w:r>
      <w:r>
        <w:rPr>
          <w:color w:val="000000"/>
        </w:rPr>
        <w:t xml:space="preserve">, </w:t>
      </w:r>
      <w:r w:rsidRPr="00D4297D">
        <w:rPr>
          <w:i/>
          <w:color w:val="000000"/>
        </w:rPr>
        <w:t>65</w:t>
      </w:r>
      <w:r>
        <w:rPr>
          <w:color w:val="000000"/>
        </w:rPr>
        <w:t>, 811-822.</w:t>
      </w:r>
    </w:p>
    <w:p w:rsidR="005420E7" w:rsidRDefault="005420E7"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M. Skocaj, M. Filipic, J. Petkovic, S. Novak, </w:t>
      </w:r>
      <w:r w:rsidR="00013893">
        <w:rPr>
          <w:i/>
          <w:color w:val="000000"/>
        </w:rPr>
        <w:t>Radiol</w:t>
      </w:r>
      <w:r w:rsidR="006B4069">
        <w:rPr>
          <w:i/>
          <w:color w:val="000000"/>
        </w:rPr>
        <w:t>.</w:t>
      </w:r>
      <w:r w:rsidR="00013893">
        <w:rPr>
          <w:i/>
          <w:color w:val="000000"/>
        </w:rPr>
        <w:t xml:space="preserve"> O</w:t>
      </w:r>
      <w:r>
        <w:rPr>
          <w:i/>
          <w:color w:val="000000"/>
        </w:rPr>
        <w:t>ncol</w:t>
      </w:r>
      <w:r w:rsidR="006B4069">
        <w:rPr>
          <w:color w:val="000000"/>
        </w:rPr>
        <w:t>.</w:t>
      </w:r>
      <w:r>
        <w:rPr>
          <w:color w:val="000000"/>
        </w:rPr>
        <w:t xml:space="preserve"> </w:t>
      </w:r>
      <w:r>
        <w:rPr>
          <w:b/>
          <w:color w:val="000000"/>
        </w:rPr>
        <w:t>2011</w:t>
      </w:r>
      <w:r>
        <w:rPr>
          <w:color w:val="000000"/>
        </w:rPr>
        <w:t xml:space="preserve">, </w:t>
      </w:r>
      <w:r w:rsidRPr="00D4297D">
        <w:rPr>
          <w:i/>
          <w:color w:val="000000"/>
        </w:rPr>
        <w:t>45</w:t>
      </w:r>
      <w:r>
        <w:rPr>
          <w:color w:val="000000"/>
        </w:rPr>
        <w:t>, 227-247.</w:t>
      </w:r>
    </w:p>
    <w:p w:rsidR="005420E7" w:rsidRDefault="005420E7"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E. Y. Chen, M. Garnica, Y. C. Wang, C. S. Chen, W. C. Chin, </w:t>
      </w:r>
      <w:r>
        <w:rPr>
          <w:i/>
          <w:color w:val="000000"/>
        </w:rPr>
        <w:t>PloS one</w:t>
      </w:r>
      <w:r>
        <w:rPr>
          <w:color w:val="000000"/>
        </w:rPr>
        <w:t xml:space="preserve">. </w:t>
      </w:r>
      <w:r>
        <w:rPr>
          <w:b/>
          <w:color w:val="000000"/>
        </w:rPr>
        <w:t>2011</w:t>
      </w:r>
      <w:r>
        <w:rPr>
          <w:color w:val="000000"/>
        </w:rPr>
        <w:t xml:space="preserve">, </w:t>
      </w:r>
      <w:r w:rsidRPr="00D4297D">
        <w:rPr>
          <w:i/>
          <w:color w:val="000000"/>
        </w:rPr>
        <w:t>6</w:t>
      </w:r>
      <w:r>
        <w:rPr>
          <w:color w:val="000000"/>
        </w:rPr>
        <w:t>, e16198.</w:t>
      </w:r>
    </w:p>
    <w:p w:rsidR="005420E7" w:rsidRDefault="005420E7"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lastRenderedPageBreak/>
        <w:t xml:space="preserve">S. Riivari, K. Shahramian, I. Kangasniemi, J. Willberg, T. O. Närhi, </w:t>
      </w:r>
      <w:r>
        <w:rPr>
          <w:i/>
          <w:color w:val="000000"/>
        </w:rPr>
        <w:t>Int</w:t>
      </w:r>
      <w:r w:rsidR="006B4069">
        <w:rPr>
          <w:i/>
          <w:color w:val="000000"/>
        </w:rPr>
        <w:t>.</w:t>
      </w:r>
      <w:r>
        <w:rPr>
          <w:i/>
          <w:color w:val="000000"/>
        </w:rPr>
        <w:t xml:space="preserve"> J</w:t>
      </w:r>
      <w:r w:rsidR="006B4069">
        <w:rPr>
          <w:i/>
          <w:color w:val="000000"/>
        </w:rPr>
        <w:t>.</w:t>
      </w:r>
      <w:r>
        <w:rPr>
          <w:i/>
          <w:color w:val="000000"/>
        </w:rPr>
        <w:t xml:space="preserve"> Oral Maxillofac</w:t>
      </w:r>
      <w:r w:rsidR="006B4069">
        <w:rPr>
          <w:i/>
          <w:color w:val="000000"/>
        </w:rPr>
        <w:t>.</w:t>
      </w:r>
      <w:r>
        <w:rPr>
          <w:i/>
          <w:color w:val="000000"/>
        </w:rPr>
        <w:t xml:space="preserve"> Implants</w:t>
      </w:r>
      <w:r w:rsidR="006B4069">
        <w:rPr>
          <w:color w:val="000000"/>
        </w:rPr>
        <w:t>.</w:t>
      </w:r>
      <w:r>
        <w:rPr>
          <w:color w:val="000000"/>
        </w:rPr>
        <w:t xml:space="preserve"> </w:t>
      </w:r>
      <w:r>
        <w:rPr>
          <w:b/>
          <w:color w:val="000000"/>
        </w:rPr>
        <w:t>2019</w:t>
      </w:r>
      <w:r>
        <w:rPr>
          <w:color w:val="000000"/>
        </w:rPr>
        <w:t xml:space="preserve">, </w:t>
      </w:r>
      <w:r w:rsidRPr="00D4297D">
        <w:rPr>
          <w:i/>
          <w:color w:val="000000"/>
        </w:rPr>
        <w:t>34</w:t>
      </w:r>
      <w:r>
        <w:rPr>
          <w:color w:val="000000"/>
        </w:rPr>
        <w:t>, 313-319.</w:t>
      </w:r>
    </w:p>
    <w:p w:rsidR="005420E7" w:rsidRDefault="005420E7"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R. Masa, Á. Deák, G. Braunitzer, Z. Tóth, J. Kopniczky, I. Pelsőczi-Kovács, K. Ungvári, I. Dékány, K. Turzó, </w:t>
      </w:r>
      <w:r w:rsidRPr="00FE3B0F">
        <w:rPr>
          <w:i/>
          <w:color w:val="000000"/>
        </w:rPr>
        <w:t>J. Nanosci.</w:t>
      </w:r>
      <w:r>
        <w:rPr>
          <w:color w:val="000000"/>
        </w:rPr>
        <w:t xml:space="preserve"> </w:t>
      </w:r>
      <w:r>
        <w:rPr>
          <w:i/>
          <w:color w:val="000000"/>
        </w:rPr>
        <w:t>Nanotechnol</w:t>
      </w:r>
      <w:r w:rsidR="006B4069">
        <w:rPr>
          <w:color w:val="000000"/>
        </w:rPr>
        <w:t>.</w:t>
      </w:r>
      <w:r>
        <w:rPr>
          <w:color w:val="000000"/>
        </w:rPr>
        <w:t xml:space="preserve"> </w:t>
      </w:r>
      <w:r>
        <w:rPr>
          <w:b/>
          <w:color w:val="000000"/>
        </w:rPr>
        <w:t>2018</w:t>
      </w:r>
      <w:r w:rsidR="00D4297D">
        <w:rPr>
          <w:color w:val="000000"/>
        </w:rPr>
        <w:t>,</w:t>
      </w:r>
      <w:r w:rsidR="00D4297D" w:rsidRPr="00D4297D">
        <w:rPr>
          <w:i/>
          <w:color w:val="000000"/>
        </w:rPr>
        <w:t xml:space="preserve"> 18</w:t>
      </w:r>
      <w:r>
        <w:rPr>
          <w:color w:val="000000"/>
        </w:rPr>
        <w:t>, 3916-3924.</w:t>
      </w:r>
    </w:p>
    <w:p w:rsidR="005420E7" w:rsidRPr="00661460" w:rsidRDefault="00661460" w:rsidP="00116554">
      <w:pPr>
        <w:numPr>
          <w:ilvl w:val="0"/>
          <w:numId w:val="1"/>
        </w:numPr>
        <w:pBdr>
          <w:top w:val="nil"/>
          <w:left w:val="nil"/>
          <w:bottom w:val="nil"/>
          <w:right w:val="nil"/>
          <w:between w:val="nil"/>
        </w:pBdr>
        <w:spacing w:after="0" w:line="360" w:lineRule="auto"/>
        <w:ind w:left="426" w:hanging="426"/>
        <w:jc w:val="both"/>
        <w:rPr>
          <w:color w:val="000000"/>
        </w:rPr>
      </w:pPr>
      <w:r w:rsidRPr="00661460">
        <w:rPr>
          <w:color w:val="000000"/>
        </w:rPr>
        <w:t>B</w:t>
      </w:r>
      <w:r>
        <w:rPr>
          <w:color w:val="000000"/>
        </w:rPr>
        <w:t xml:space="preserve">. </w:t>
      </w:r>
      <w:r w:rsidRPr="00661460">
        <w:rPr>
          <w:color w:val="000000"/>
        </w:rPr>
        <w:t>J</w:t>
      </w:r>
      <w:r>
        <w:rPr>
          <w:color w:val="000000"/>
        </w:rPr>
        <w:t>.</w:t>
      </w:r>
      <w:r w:rsidRPr="00661460">
        <w:rPr>
          <w:color w:val="000000"/>
        </w:rPr>
        <w:t xml:space="preserve"> Teubl, G</w:t>
      </w:r>
      <w:r>
        <w:rPr>
          <w:color w:val="000000"/>
        </w:rPr>
        <w:t>.</w:t>
      </w:r>
      <w:r w:rsidRPr="00661460">
        <w:rPr>
          <w:color w:val="000000"/>
        </w:rPr>
        <w:t xml:space="preserve"> Leitinger, M</w:t>
      </w:r>
      <w:r>
        <w:rPr>
          <w:color w:val="000000"/>
        </w:rPr>
        <w:t>.</w:t>
      </w:r>
      <w:r w:rsidRPr="00661460">
        <w:rPr>
          <w:color w:val="000000"/>
        </w:rPr>
        <w:t xml:space="preserve"> Schneider, C</w:t>
      </w:r>
      <w:r>
        <w:rPr>
          <w:color w:val="000000"/>
        </w:rPr>
        <w:t xml:space="preserve">. </w:t>
      </w:r>
      <w:r w:rsidRPr="00661460">
        <w:rPr>
          <w:color w:val="000000"/>
        </w:rPr>
        <w:t>M</w:t>
      </w:r>
      <w:r>
        <w:rPr>
          <w:color w:val="000000"/>
        </w:rPr>
        <w:t>.</w:t>
      </w:r>
      <w:r w:rsidRPr="00661460">
        <w:rPr>
          <w:color w:val="000000"/>
        </w:rPr>
        <w:t xml:space="preserve"> Lehr, E</w:t>
      </w:r>
      <w:r>
        <w:rPr>
          <w:color w:val="000000"/>
        </w:rPr>
        <w:t>.</w:t>
      </w:r>
      <w:r w:rsidRPr="00661460">
        <w:rPr>
          <w:color w:val="000000"/>
        </w:rPr>
        <w:t xml:space="preserve"> Fröhlich, A</w:t>
      </w:r>
      <w:r>
        <w:rPr>
          <w:color w:val="000000"/>
        </w:rPr>
        <w:t>.</w:t>
      </w:r>
      <w:r w:rsidRPr="00661460">
        <w:rPr>
          <w:color w:val="000000"/>
        </w:rPr>
        <w:t xml:space="preserve"> Zimmer, E.</w:t>
      </w:r>
      <w:r>
        <w:rPr>
          <w:color w:val="000000"/>
        </w:rPr>
        <w:t xml:space="preserve"> </w:t>
      </w:r>
      <w:r w:rsidRPr="00661460">
        <w:rPr>
          <w:color w:val="000000"/>
        </w:rPr>
        <w:t>Roblegg</w:t>
      </w:r>
      <w:r w:rsidR="002D5E16">
        <w:rPr>
          <w:color w:val="000000"/>
        </w:rPr>
        <w:t>,</w:t>
      </w:r>
      <w:r w:rsidRPr="00661460">
        <w:rPr>
          <w:color w:val="000000"/>
        </w:rPr>
        <w:t xml:space="preserve"> </w:t>
      </w:r>
      <w:r w:rsidRPr="002D5E16">
        <w:rPr>
          <w:i/>
          <w:color w:val="000000"/>
        </w:rPr>
        <w:t>Nanotoxicology</w:t>
      </w:r>
      <w:r w:rsidR="002D5E16">
        <w:rPr>
          <w:color w:val="000000"/>
        </w:rPr>
        <w:t>,</w:t>
      </w:r>
      <w:r w:rsidRPr="00661460">
        <w:rPr>
          <w:color w:val="000000"/>
        </w:rPr>
        <w:t xml:space="preserve"> </w:t>
      </w:r>
      <w:r w:rsidRPr="002D5E16">
        <w:rPr>
          <w:b/>
          <w:color w:val="000000"/>
        </w:rPr>
        <w:t>2015</w:t>
      </w:r>
      <w:r w:rsidR="002D5E16">
        <w:rPr>
          <w:color w:val="000000"/>
        </w:rPr>
        <w:t xml:space="preserve">, </w:t>
      </w:r>
      <w:r w:rsidRPr="00D4297D">
        <w:rPr>
          <w:i/>
          <w:color w:val="000000"/>
        </w:rPr>
        <w:t>9</w:t>
      </w:r>
      <w:r w:rsidR="002D5E16">
        <w:rPr>
          <w:color w:val="000000"/>
        </w:rPr>
        <w:t xml:space="preserve">, </w:t>
      </w:r>
      <w:r w:rsidRPr="00661460">
        <w:rPr>
          <w:color w:val="000000"/>
        </w:rPr>
        <w:t>253-</w:t>
      </w:r>
      <w:r w:rsidR="002D5E16">
        <w:rPr>
          <w:color w:val="000000"/>
        </w:rPr>
        <w:t>2</w:t>
      </w:r>
      <w:r w:rsidRPr="00661460">
        <w:rPr>
          <w:color w:val="000000"/>
        </w:rPr>
        <w:t>61.</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T. Soni, C. Nagda, T. Gandhi, N. P.Chotai, </w:t>
      </w:r>
      <w:r>
        <w:rPr>
          <w:i/>
          <w:color w:val="000000"/>
        </w:rPr>
        <w:t>Dissolut</w:t>
      </w:r>
      <w:r w:rsidR="006B4069">
        <w:rPr>
          <w:i/>
          <w:color w:val="000000"/>
        </w:rPr>
        <w:t>.</w:t>
      </w:r>
      <w:r>
        <w:rPr>
          <w:i/>
          <w:color w:val="000000"/>
        </w:rPr>
        <w:t xml:space="preserve"> Technol</w:t>
      </w:r>
      <w:r w:rsidR="006B4069">
        <w:rPr>
          <w:i/>
          <w:color w:val="000000"/>
        </w:rPr>
        <w:t>.</w:t>
      </w:r>
      <w:r>
        <w:rPr>
          <w:color w:val="000000"/>
        </w:rPr>
        <w:t xml:space="preserve"> </w:t>
      </w:r>
      <w:r>
        <w:rPr>
          <w:b/>
          <w:color w:val="000000"/>
        </w:rPr>
        <w:t>2008</w:t>
      </w:r>
      <w:r>
        <w:rPr>
          <w:color w:val="000000"/>
        </w:rPr>
        <w:t xml:space="preserve">, </w:t>
      </w:r>
      <w:r w:rsidRPr="00D4297D">
        <w:rPr>
          <w:i/>
          <w:color w:val="000000"/>
        </w:rPr>
        <w:t>15</w:t>
      </w:r>
      <w:r>
        <w:rPr>
          <w:color w:val="000000"/>
        </w:rPr>
        <w:t xml:space="preserve">, 31-35. </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M. Grau, J. Guasch, J. L. Montero, A. Felipe, E. Carrasco, S. Juliá, </w:t>
      </w:r>
      <w:r>
        <w:rPr>
          <w:i/>
          <w:color w:val="000000"/>
        </w:rPr>
        <w:t>Arzneim-Forsch Drug Res</w:t>
      </w:r>
      <w:r>
        <w:rPr>
          <w:color w:val="000000"/>
        </w:rPr>
        <w:t xml:space="preserve">, </w:t>
      </w:r>
      <w:r>
        <w:rPr>
          <w:b/>
          <w:color w:val="000000"/>
        </w:rPr>
        <w:t>1991</w:t>
      </w:r>
      <w:r>
        <w:rPr>
          <w:color w:val="000000"/>
        </w:rPr>
        <w:t xml:space="preserve">, </w:t>
      </w:r>
      <w:r w:rsidRPr="00D4297D">
        <w:rPr>
          <w:i/>
          <w:color w:val="000000"/>
        </w:rPr>
        <w:t>41</w:t>
      </w:r>
      <w:r>
        <w:rPr>
          <w:color w:val="000000"/>
        </w:rPr>
        <w:t>, 1265-1276.</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N. Sethuraman, S. Shanmuganathan, K. Sandhya, B. Anbarasan</w:t>
      </w:r>
      <w:r>
        <w:rPr>
          <w:i/>
          <w:color w:val="000000"/>
        </w:rPr>
        <w:t>, Indian J</w:t>
      </w:r>
      <w:r w:rsidR="006B4069">
        <w:rPr>
          <w:i/>
          <w:color w:val="000000"/>
        </w:rPr>
        <w:t>.</w:t>
      </w:r>
      <w:r>
        <w:rPr>
          <w:i/>
          <w:color w:val="000000"/>
        </w:rPr>
        <w:t xml:space="preserve"> Pharm</w:t>
      </w:r>
      <w:r w:rsidR="006B4069">
        <w:rPr>
          <w:i/>
          <w:color w:val="000000"/>
        </w:rPr>
        <w:t>.</w:t>
      </w:r>
      <w:r>
        <w:rPr>
          <w:i/>
          <w:color w:val="000000"/>
        </w:rPr>
        <w:t xml:space="preserve"> Educ</w:t>
      </w:r>
      <w:r w:rsidR="006B4069">
        <w:rPr>
          <w:i/>
          <w:color w:val="000000"/>
        </w:rPr>
        <w:t>.</w:t>
      </w:r>
      <w:r>
        <w:rPr>
          <w:color w:val="000000"/>
        </w:rPr>
        <w:t xml:space="preserve"> </w:t>
      </w:r>
      <w:r>
        <w:rPr>
          <w:b/>
          <w:color w:val="000000"/>
        </w:rPr>
        <w:t>2018</w:t>
      </w:r>
      <w:r>
        <w:rPr>
          <w:color w:val="000000"/>
        </w:rPr>
        <w:t xml:space="preserve">, </w:t>
      </w:r>
      <w:r w:rsidRPr="00D4297D">
        <w:rPr>
          <w:i/>
          <w:color w:val="000000"/>
        </w:rPr>
        <w:t>52</w:t>
      </w:r>
      <w:r>
        <w:rPr>
          <w:color w:val="000000"/>
        </w:rPr>
        <w:t xml:space="preserve">, 581-586. </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R. Raj, P. Mongia, A. Ram, N. K. Jain, </w:t>
      </w:r>
      <w:r>
        <w:rPr>
          <w:i/>
          <w:color w:val="000000"/>
        </w:rPr>
        <w:t>Artif Cells Nanomed</w:t>
      </w:r>
      <w:r w:rsidR="006B4069">
        <w:rPr>
          <w:i/>
          <w:color w:val="000000"/>
        </w:rPr>
        <w:t>.</w:t>
      </w:r>
      <w:r>
        <w:rPr>
          <w:i/>
          <w:color w:val="000000"/>
        </w:rPr>
        <w:t xml:space="preserve"> Biotechnol</w:t>
      </w:r>
      <w:r w:rsidR="006B4069">
        <w:rPr>
          <w:color w:val="000000"/>
        </w:rPr>
        <w:t>.</w:t>
      </w:r>
      <w:r>
        <w:rPr>
          <w:color w:val="000000"/>
        </w:rPr>
        <w:t xml:space="preserve"> </w:t>
      </w:r>
      <w:r>
        <w:rPr>
          <w:b/>
          <w:color w:val="000000"/>
        </w:rPr>
        <w:t>2016</w:t>
      </w:r>
      <w:r>
        <w:rPr>
          <w:color w:val="000000"/>
        </w:rPr>
        <w:t xml:space="preserve">, </w:t>
      </w:r>
      <w:r w:rsidRPr="00D4297D">
        <w:rPr>
          <w:i/>
          <w:color w:val="000000"/>
        </w:rPr>
        <w:t>44</w:t>
      </w:r>
      <w:r>
        <w:rPr>
          <w:color w:val="000000"/>
        </w:rPr>
        <w:t>, 1434-1439.</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https://pubchem.ncbi.nlm.nih.gov/compound/Aceclofenac#section=Melting-Point</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B. Tubić, A. Uzunović, S. Pilipović, Ž. Gagić, </w:t>
      </w:r>
      <w:r w:rsidRPr="00157731">
        <w:rPr>
          <w:i/>
          <w:color w:val="000000"/>
        </w:rPr>
        <w:t>Acta Chim</w:t>
      </w:r>
      <w:r w:rsidR="006B4069">
        <w:rPr>
          <w:i/>
          <w:color w:val="000000"/>
        </w:rPr>
        <w:t>.</w:t>
      </w:r>
      <w:r w:rsidRPr="00157731">
        <w:rPr>
          <w:i/>
          <w:color w:val="000000"/>
        </w:rPr>
        <w:t xml:space="preserve"> Slov</w:t>
      </w:r>
      <w:r w:rsidR="006B4069">
        <w:rPr>
          <w:color w:val="000000"/>
        </w:rPr>
        <w:t>.</w:t>
      </w:r>
      <w:r>
        <w:rPr>
          <w:color w:val="000000"/>
        </w:rPr>
        <w:t xml:space="preserve"> </w:t>
      </w:r>
      <w:r>
        <w:rPr>
          <w:b/>
          <w:color w:val="000000"/>
        </w:rPr>
        <w:t>2016</w:t>
      </w:r>
      <w:r>
        <w:rPr>
          <w:color w:val="000000"/>
        </w:rPr>
        <w:t xml:space="preserve">, </w:t>
      </w:r>
      <w:r w:rsidRPr="00D4297D">
        <w:rPr>
          <w:i/>
          <w:color w:val="000000"/>
        </w:rPr>
        <w:t>63</w:t>
      </w:r>
      <w:r>
        <w:rPr>
          <w:color w:val="000000"/>
        </w:rPr>
        <w:t>, 193-9.</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S. Korani, M. Korani, S. Bahrami, T. P. Johnston, A. E. Butler, M. Banach, A. Sahebkar, </w:t>
      </w:r>
      <w:r w:rsidR="005420E7">
        <w:rPr>
          <w:color w:val="000000"/>
        </w:rPr>
        <w:t xml:space="preserve">  </w:t>
      </w:r>
      <w:r>
        <w:rPr>
          <w:i/>
          <w:color w:val="000000"/>
        </w:rPr>
        <w:t>Drug Discov</w:t>
      </w:r>
      <w:r w:rsidR="006B4069">
        <w:rPr>
          <w:i/>
          <w:color w:val="000000"/>
        </w:rPr>
        <w:t>.</w:t>
      </w:r>
      <w:r>
        <w:rPr>
          <w:i/>
          <w:color w:val="000000"/>
        </w:rPr>
        <w:t xml:space="preserve"> Today</w:t>
      </w:r>
      <w:r>
        <w:rPr>
          <w:color w:val="000000"/>
        </w:rPr>
        <w:t xml:space="preserve">. </w:t>
      </w:r>
      <w:r w:rsidRPr="00C055F4">
        <w:rPr>
          <w:b/>
          <w:color w:val="000000"/>
        </w:rPr>
        <w:t>2019</w:t>
      </w:r>
      <w:r>
        <w:rPr>
          <w:color w:val="000000"/>
        </w:rPr>
        <w:t xml:space="preserve">, </w:t>
      </w:r>
      <w:r w:rsidRPr="00730180">
        <w:rPr>
          <w:i/>
          <w:color w:val="000000"/>
        </w:rPr>
        <w:t>24</w:t>
      </w:r>
      <w:r>
        <w:rPr>
          <w:color w:val="000000"/>
        </w:rPr>
        <w:t>, 567-574.</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V. Dave, S. Paliwal, </w:t>
      </w:r>
      <w:r>
        <w:rPr>
          <w:i/>
          <w:color w:val="000000"/>
        </w:rPr>
        <w:t>Saudi</w:t>
      </w:r>
      <w:r>
        <w:rPr>
          <w:color w:val="000000"/>
        </w:rPr>
        <w:t xml:space="preserve"> </w:t>
      </w:r>
      <w:r>
        <w:rPr>
          <w:i/>
          <w:color w:val="000000"/>
        </w:rPr>
        <w:t>Pharm</w:t>
      </w:r>
      <w:r w:rsidR="006B4069">
        <w:rPr>
          <w:i/>
          <w:color w:val="000000"/>
        </w:rPr>
        <w:t>.</w:t>
      </w:r>
      <w:r>
        <w:rPr>
          <w:i/>
          <w:color w:val="000000"/>
        </w:rPr>
        <w:t xml:space="preserve"> J</w:t>
      </w:r>
      <w:r w:rsidR="006B4069">
        <w:rPr>
          <w:color w:val="000000"/>
        </w:rPr>
        <w:t>.</w:t>
      </w:r>
      <w:r>
        <w:rPr>
          <w:b/>
          <w:color w:val="000000"/>
        </w:rPr>
        <w:t xml:space="preserve"> 2014</w:t>
      </w:r>
      <w:r>
        <w:rPr>
          <w:color w:val="000000"/>
        </w:rPr>
        <w:t xml:space="preserve">, </w:t>
      </w:r>
      <w:r w:rsidRPr="00730180">
        <w:rPr>
          <w:i/>
          <w:color w:val="000000"/>
        </w:rPr>
        <w:t>22</w:t>
      </w:r>
      <w:r>
        <w:rPr>
          <w:color w:val="000000"/>
        </w:rPr>
        <w:t>, 240-245.</w:t>
      </w:r>
    </w:p>
    <w:p w:rsidR="00461EE2" w:rsidRPr="00461EE2" w:rsidRDefault="002D5E16" w:rsidP="00116554">
      <w:pPr>
        <w:pStyle w:val="ListParagraph"/>
        <w:numPr>
          <w:ilvl w:val="0"/>
          <w:numId w:val="1"/>
        </w:numPr>
        <w:spacing w:after="0" w:line="360" w:lineRule="auto"/>
        <w:ind w:left="426" w:hanging="426"/>
        <w:jc w:val="both"/>
        <w:rPr>
          <w:rFonts w:eastAsia="Times New Roman" w:cs="Times New Roman"/>
          <w:color w:val="000000"/>
          <w:szCs w:val="24"/>
        </w:rPr>
      </w:pPr>
      <w:r w:rsidRPr="00461EE2">
        <w:rPr>
          <w:rFonts w:eastAsia="Times New Roman" w:cs="Times New Roman"/>
          <w:color w:val="000000"/>
          <w:szCs w:val="24"/>
        </w:rPr>
        <w:t>M</w:t>
      </w:r>
      <w:r>
        <w:rPr>
          <w:rFonts w:eastAsia="Times New Roman" w:cs="Times New Roman"/>
          <w:color w:val="000000"/>
          <w:szCs w:val="24"/>
        </w:rPr>
        <w:t xml:space="preserve">. </w:t>
      </w:r>
      <w:r w:rsidRPr="00461EE2">
        <w:rPr>
          <w:rFonts w:eastAsia="Times New Roman" w:cs="Times New Roman"/>
          <w:color w:val="000000"/>
          <w:szCs w:val="24"/>
        </w:rPr>
        <w:t>S</w:t>
      </w:r>
      <w:r>
        <w:rPr>
          <w:rFonts w:eastAsia="Times New Roman" w:cs="Times New Roman"/>
          <w:color w:val="000000"/>
          <w:szCs w:val="24"/>
        </w:rPr>
        <w:t>.</w:t>
      </w:r>
      <w:r w:rsidRPr="00461EE2">
        <w:rPr>
          <w:rFonts w:eastAsia="Times New Roman" w:cs="Times New Roman"/>
          <w:color w:val="000000"/>
          <w:szCs w:val="24"/>
        </w:rPr>
        <w:t xml:space="preserve"> </w:t>
      </w:r>
      <w:r w:rsidR="00461EE2" w:rsidRPr="00461EE2">
        <w:rPr>
          <w:rFonts w:eastAsia="Times New Roman" w:cs="Times New Roman"/>
          <w:color w:val="000000"/>
          <w:szCs w:val="24"/>
        </w:rPr>
        <w:t xml:space="preserve">Hasnain, </w:t>
      </w:r>
      <w:r w:rsidRPr="00461EE2">
        <w:rPr>
          <w:rFonts w:eastAsia="Times New Roman" w:cs="Times New Roman"/>
          <w:color w:val="000000"/>
          <w:szCs w:val="24"/>
        </w:rPr>
        <w:t>P</w:t>
      </w:r>
      <w:r>
        <w:rPr>
          <w:rFonts w:eastAsia="Times New Roman" w:cs="Times New Roman"/>
          <w:color w:val="000000"/>
          <w:szCs w:val="24"/>
        </w:rPr>
        <w:t>.</w:t>
      </w:r>
      <w:r w:rsidRPr="00461EE2">
        <w:rPr>
          <w:rFonts w:eastAsia="Times New Roman" w:cs="Times New Roman"/>
          <w:color w:val="000000"/>
          <w:szCs w:val="24"/>
        </w:rPr>
        <w:t xml:space="preserve"> </w:t>
      </w:r>
      <w:r w:rsidR="00461EE2" w:rsidRPr="00461EE2">
        <w:rPr>
          <w:rFonts w:eastAsia="Times New Roman" w:cs="Times New Roman"/>
          <w:color w:val="000000"/>
          <w:szCs w:val="24"/>
        </w:rPr>
        <w:t xml:space="preserve">Rishishwar, </w:t>
      </w:r>
      <w:r w:rsidRPr="00461EE2">
        <w:rPr>
          <w:rFonts w:eastAsia="Times New Roman" w:cs="Times New Roman"/>
          <w:color w:val="000000"/>
          <w:szCs w:val="24"/>
        </w:rPr>
        <w:t>S</w:t>
      </w:r>
      <w:r>
        <w:rPr>
          <w:rFonts w:eastAsia="Times New Roman" w:cs="Times New Roman"/>
          <w:color w:val="000000"/>
          <w:szCs w:val="24"/>
        </w:rPr>
        <w:t>.</w:t>
      </w:r>
      <w:r w:rsidRPr="00461EE2">
        <w:rPr>
          <w:rFonts w:eastAsia="Times New Roman" w:cs="Times New Roman"/>
          <w:color w:val="000000"/>
          <w:szCs w:val="24"/>
        </w:rPr>
        <w:t xml:space="preserve"> </w:t>
      </w:r>
      <w:r w:rsidR="00461EE2" w:rsidRPr="00461EE2">
        <w:rPr>
          <w:rFonts w:eastAsia="Times New Roman" w:cs="Times New Roman"/>
          <w:color w:val="000000"/>
          <w:szCs w:val="24"/>
        </w:rPr>
        <w:t xml:space="preserve">Ali, </w:t>
      </w:r>
      <w:r w:rsidRPr="00461EE2">
        <w:rPr>
          <w:rFonts w:eastAsia="Times New Roman" w:cs="Times New Roman"/>
          <w:color w:val="000000"/>
          <w:szCs w:val="24"/>
        </w:rPr>
        <w:t>A</w:t>
      </w:r>
      <w:r>
        <w:rPr>
          <w:rFonts w:eastAsia="Times New Roman" w:cs="Times New Roman"/>
          <w:color w:val="000000"/>
          <w:szCs w:val="24"/>
        </w:rPr>
        <w:t xml:space="preserve">. </w:t>
      </w:r>
      <w:r w:rsidRPr="00461EE2">
        <w:rPr>
          <w:rFonts w:eastAsia="Times New Roman" w:cs="Times New Roman"/>
          <w:color w:val="000000"/>
          <w:szCs w:val="24"/>
        </w:rPr>
        <w:t>K.</w:t>
      </w:r>
      <w:r>
        <w:rPr>
          <w:rFonts w:eastAsia="Times New Roman" w:cs="Times New Roman"/>
          <w:color w:val="000000"/>
          <w:szCs w:val="24"/>
        </w:rPr>
        <w:t xml:space="preserve"> </w:t>
      </w:r>
      <w:r w:rsidR="00461EE2" w:rsidRPr="00461EE2">
        <w:rPr>
          <w:rFonts w:eastAsia="Times New Roman" w:cs="Times New Roman"/>
          <w:color w:val="000000"/>
          <w:szCs w:val="24"/>
        </w:rPr>
        <w:t>Nayak</w:t>
      </w:r>
      <w:r>
        <w:rPr>
          <w:rFonts w:eastAsia="Times New Roman" w:cs="Times New Roman"/>
          <w:color w:val="000000"/>
          <w:szCs w:val="24"/>
        </w:rPr>
        <w:t>,</w:t>
      </w:r>
      <w:r w:rsidR="00461EE2" w:rsidRPr="00461EE2">
        <w:rPr>
          <w:rFonts w:eastAsia="Times New Roman" w:cs="Times New Roman"/>
          <w:color w:val="000000"/>
          <w:szCs w:val="24"/>
        </w:rPr>
        <w:t xml:space="preserve"> </w:t>
      </w:r>
      <w:r w:rsidR="00031D8C" w:rsidRPr="00031D8C">
        <w:rPr>
          <w:rFonts w:eastAsia="Times New Roman" w:cs="Times New Roman"/>
          <w:i/>
          <w:color w:val="000000"/>
          <w:szCs w:val="24"/>
        </w:rPr>
        <w:t xml:space="preserve">SN </w:t>
      </w:r>
      <w:r w:rsidR="006B4069">
        <w:rPr>
          <w:rFonts w:eastAsia="Times New Roman" w:cs="Times New Roman"/>
          <w:i/>
          <w:color w:val="000000"/>
          <w:szCs w:val="24"/>
        </w:rPr>
        <w:t>App. Sci.</w:t>
      </w:r>
      <w:r w:rsidR="00461EE2" w:rsidRPr="00031D8C">
        <w:rPr>
          <w:rFonts w:eastAsia="Times New Roman" w:cs="Times New Roman"/>
          <w:b/>
          <w:color w:val="000000"/>
          <w:szCs w:val="24"/>
        </w:rPr>
        <w:t xml:space="preserve"> 2020</w:t>
      </w:r>
      <w:r w:rsidR="00031D8C">
        <w:rPr>
          <w:rFonts w:eastAsia="Times New Roman" w:cs="Times New Roman"/>
          <w:color w:val="000000"/>
          <w:szCs w:val="24"/>
        </w:rPr>
        <w:t xml:space="preserve">, </w:t>
      </w:r>
      <w:r w:rsidR="00461EE2" w:rsidRPr="00730180">
        <w:rPr>
          <w:rFonts w:eastAsia="Times New Roman" w:cs="Times New Roman"/>
          <w:i/>
          <w:color w:val="000000"/>
          <w:szCs w:val="24"/>
        </w:rPr>
        <w:t>2</w:t>
      </w:r>
      <w:r w:rsidR="00031D8C">
        <w:rPr>
          <w:rFonts w:eastAsia="Times New Roman" w:cs="Times New Roman"/>
          <w:color w:val="000000"/>
          <w:szCs w:val="24"/>
        </w:rPr>
        <w:t xml:space="preserve">, </w:t>
      </w:r>
      <w:r w:rsidR="00461EE2" w:rsidRPr="00461EE2">
        <w:rPr>
          <w:rFonts w:eastAsia="Times New Roman" w:cs="Times New Roman"/>
          <w:color w:val="000000"/>
          <w:szCs w:val="24"/>
        </w:rPr>
        <w:t>1-8.</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R. Katara, D. K. Majumdar, </w:t>
      </w:r>
      <w:r>
        <w:rPr>
          <w:i/>
          <w:color w:val="000000"/>
        </w:rPr>
        <w:t>Colloid Surface</w:t>
      </w:r>
      <w:r>
        <w:rPr>
          <w:color w:val="000000"/>
        </w:rPr>
        <w:t xml:space="preserve"> </w:t>
      </w:r>
      <w:r w:rsidRPr="00517540">
        <w:rPr>
          <w:i/>
          <w:color w:val="000000"/>
        </w:rPr>
        <w:t>B</w:t>
      </w:r>
      <w:r w:rsidR="00FE3B0F">
        <w:rPr>
          <w:color w:val="000000"/>
        </w:rPr>
        <w:t>.</w:t>
      </w:r>
      <w:r>
        <w:rPr>
          <w:color w:val="000000"/>
        </w:rPr>
        <w:t xml:space="preserve"> </w:t>
      </w:r>
      <w:r>
        <w:rPr>
          <w:b/>
          <w:color w:val="000000"/>
        </w:rPr>
        <w:t>2013</w:t>
      </w:r>
      <w:r>
        <w:rPr>
          <w:color w:val="000000"/>
        </w:rPr>
        <w:t xml:space="preserve">, </w:t>
      </w:r>
      <w:r w:rsidRPr="00730180">
        <w:rPr>
          <w:i/>
          <w:color w:val="000000"/>
        </w:rPr>
        <w:t>103</w:t>
      </w:r>
      <w:r>
        <w:rPr>
          <w:color w:val="000000"/>
        </w:rPr>
        <w:t>, 455-462.</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A. Modi, P. Tayade, </w:t>
      </w:r>
      <w:r w:rsidR="00FE3B0F">
        <w:rPr>
          <w:i/>
          <w:color w:val="000000"/>
        </w:rPr>
        <w:t>AAPS P</w:t>
      </w:r>
      <w:r>
        <w:rPr>
          <w:i/>
          <w:color w:val="000000"/>
        </w:rPr>
        <w:t>harmSciTech</w:t>
      </w:r>
      <w:r w:rsidR="00FE3B0F">
        <w:rPr>
          <w:color w:val="000000"/>
        </w:rPr>
        <w:t>.</w:t>
      </w:r>
      <w:r>
        <w:rPr>
          <w:color w:val="000000"/>
        </w:rPr>
        <w:t xml:space="preserve"> </w:t>
      </w:r>
      <w:r>
        <w:rPr>
          <w:b/>
          <w:color w:val="000000"/>
        </w:rPr>
        <w:t>2006</w:t>
      </w:r>
      <w:r>
        <w:rPr>
          <w:color w:val="000000"/>
        </w:rPr>
        <w:t xml:space="preserve">, </w:t>
      </w:r>
      <w:r w:rsidRPr="00730180">
        <w:rPr>
          <w:i/>
          <w:color w:val="000000"/>
        </w:rPr>
        <w:t>7</w:t>
      </w:r>
      <w:r>
        <w:rPr>
          <w:color w:val="000000"/>
        </w:rPr>
        <w:t>, E87.</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S. Nandi, S. A. Mishra, R. N. Sahoo, R. Swain, S. Mallick, </w:t>
      </w:r>
      <w:r w:rsidRPr="00517540">
        <w:rPr>
          <w:i/>
          <w:color w:val="000000"/>
        </w:rPr>
        <w:t>Indian J</w:t>
      </w:r>
      <w:r w:rsidR="00FE3B0F">
        <w:rPr>
          <w:i/>
          <w:color w:val="000000"/>
        </w:rPr>
        <w:t>.</w:t>
      </w:r>
      <w:r w:rsidRPr="00517540">
        <w:rPr>
          <w:i/>
          <w:color w:val="000000"/>
        </w:rPr>
        <w:t xml:space="preserve"> Pharm</w:t>
      </w:r>
      <w:r w:rsidR="00FE3B0F">
        <w:rPr>
          <w:i/>
          <w:color w:val="000000"/>
        </w:rPr>
        <w:t>.</w:t>
      </w:r>
      <w:r w:rsidRPr="00517540">
        <w:rPr>
          <w:i/>
          <w:color w:val="000000"/>
        </w:rPr>
        <w:t xml:space="preserve"> Educ.</w:t>
      </w:r>
      <w:r>
        <w:rPr>
          <w:color w:val="000000"/>
        </w:rPr>
        <w:t xml:space="preserve"> </w:t>
      </w:r>
      <w:r>
        <w:rPr>
          <w:b/>
          <w:color w:val="000000"/>
        </w:rPr>
        <w:t>2020</w:t>
      </w:r>
      <w:r>
        <w:rPr>
          <w:color w:val="000000"/>
        </w:rPr>
        <w:t xml:space="preserve">, </w:t>
      </w:r>
      <w:r w:rsidRPr="00730180">
        <w:rPr>
          <w:i/>
          <w:color w:val="000000"/>
        </w:rPr>
        <w:t>54</w:t>
      </w:r>
      <w:r>
        <w:rPr>
          <w:color w:val="000000"/>
        </w:rPr>
        <w:t>, 68-72.</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M. Starsinic, R. L. Taylor, P. L. Walker Jr, P. C.Painter, </w:t>
      </w:r>
      <w:r>
        <w:rPr>
          <w:i/>
          <w:color w:val="000000"/>
        </w:rPr>
        <w:t>Carbon</w:t>
      </w:r>
      <w:r w:rsidR="00FE3B0F">
        <w:rPr>
          <w:color w:val="000000"/>
        </w:rPr>
        <w:t>.</w:t>
      </w:r>
      <w:r>
        <w:rPr>
          <w:color w:val="000000"/>
        </w:rPr>
        <w:t xml:space="preserve"> </w:t>
      </w:r>
      <w:r>
        <w:rPr>
          <w:b/>
          <w:color w:val="000000"/>
        </w:rPr>
        <w:t>1982</w:t>
      </w:r>
      <w:r>
        <w:rPr>
          <w:color w:val="000000"/>
        </w:rPr>
        <w:t xml:space="preserve">, </w:t>
      </w:r>
      <w:r w:rsidRPr="00517540">
        <w:rPr>
          <w:i/>
          <w:color w:val="000000"/>
        </w:rPr>
        <w:t>21</w:t>
      </w:r>
      <w:r>
        <w:rPr>
          <w:color w:val="000000"/>
        </w:rPr>
        <w:t>, 69-74.</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G. Vanden, V. B. F.Mathot, </w:t>
      </w:r>
      <w:r>
        <w:rPr>
          <w:i/>
          <w:color w:val="000000"/>
        </w:rPr>
        <w:t>Thermochim. Acta</w:t>
      </w:r>
      <w:r w:rsidR="00FE3B0F">
        <w:rPr>
          <w:color w:val="000000"/>
        </w:rPr>
        <w:t>.</w:t>
      </w:r>
      <w:r>
        <w:rPr>
          <w:i/>
          <w:color w:val="000000"/>
        </w:rPr>
        <w:t xml:space="preserve"> </w:t>
      </w:r>
      <w:r>
        <w:rPr>
          <w:b/>
          <w:color w:val="000000"/>
        </w:rPr>
        <w:t>2006</w:t>
      </w:r>
      <w:r>
        <w:rPr>
          <w:color w:val="000000"/>
        </w:rPr>
        <w:t xml:space="preserve">, </w:t>
      </w:r>
      <w:r w:rsidRPr="00730180">
        <w:rPr>
          <w:i/>
          <w:color w:val="000000"/>
        </w:rPr>
        <w:t>446</w:t>
      </w:r>
      <w:r>
        <w:rPr>
          <w:color w:val="000000"/>
        </w:rPr>
        <w:t>, 41–54.</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R. N. Sahoo, A. Nanda, A. Pramanik, S. Nandi, R. Swain, S. K. Pradhan, S. Mallick, </w:t>
      </w:r>
      <w:r>
        <w:rPr>
          <w:i/>
          <w:color w:val="000000"/>
        </w:rPr>
        <w:t>Acta Chim</w:t>
      </w:r>
      <w:r w:rsidR="00FE3B0F">
        <w:rPr>
          <w:i/>
          <w:color w:val="000000"/>
        </w:rPr>
        <w:t>.</w:t>
      </w:r>
      <w:r>
        <w:rPr>
          <w:i/>
          <w:color w:val="000000"/>
        </w:rPr>
        <w:t xml:space="preserve"> Slov</w:t>
      </w:r>
      <w:r w:rsidR="00FE3B0F">
        <w:rPr>
          <w:i/>
          <w:color w:val="000000"/>
        </w:rPr>
        <w:t>.</w:t>
      </w:r>
      <w:r>
        <w:rPr>
          <w:color w:val="000000"/>
        </w:rPr>
        <w:t xml:space="preserve"> </w:t>
      </w:r>
      <w:r>
        <w:rPr>
          <w:b/>
          <w:color w:val="000000"/>
        </w:rPr>
        <w:t>2019</w:t>
      </w:r>
      <w:r>
        <w:rPr>
          <w:color w:val="000000"/>
        </w:rPr>
        <w:t xml:space="preserve">, </w:t>
      </w:r>
      <w:r w:rsidRPr="00730180">
        <w:rPr>
          <w:i/>
          <w:color w:val="000000"/>
        </w:rPr>
        <w:t>66</w:t>
      </w:r>
      <w:r>
        <w:rPr>
          <w:color w:val="000000"/>
        </w:rPr>
        <w:t>, 923-933.</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M. Acharya, S. Mishra, R. N. Sahoo, S. Mallick, </w:t>
      </w:r>
      <w:r>
        <w:rPr>
          <w:i/>
          <w:color w:val="000000"/>
        </w:rPr>
        <w:t>Acta Chim</w:t>
      </w:r>
      <w:r w:rsidR="00FE3B0F">
        <w:rPr>
          <w:i/>
          <w:color w:val="000000"/>
        </w:rPr>
        <w:t>.</w:t>
      </w:r>
      <w:r>
        <w:rPr>
          <w:i/>
          <w:color w:val="000000"/>
        </w:rPr>
        <w:t xml:space="preserve"> Slov</w:t>
      </w:r>
      <w:r w:rsidR="00FE3B0F">
        <w:rPr>
          <w:i/>
          <w:color w:val="000000"/>
        </w:rPr>
        <w:t>.</w:t>
      </w:r>
      <w:r>
        <w:rPr>
          <w:color w:val="000000"/>
        </w:rPr>
        <w:t xml:space="preserve"> </w:t>
      </w:r>
      <w:r>
        <w:rPr>
          <w:b/>
          <w:color w:val="000000"/>
        </w:rPr>
        <w:t>2017</w:t>
      </w:r>
      <w:r>
        <w:rPr>
          <w:color w:val="000000"/>
        </w:rPr>
        <w:t xml:space="preserve">, </w:t>
      </w:r>
      <w:r w:rsidRPr="00730180">
        <w:rPr>
          <w:i/>
          <w:color w:val="000000"/>
        </w:rPr>
        <w:t>64</w:t>
      </w:r>
      <w:r>
        <w:rPr>
          <w:color w:val="000000"/>
        </w:rPr>
        <w:t>, 45-54.</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S. A. Agnihotri, T. M. Aminabhavi, </w:t>
      </w:r>
      <w:r>
        <w:rPr>
          <w:i/>
          <w:color w:val="000000"/>
        </w:rPr>
        <w:t>J</w:t>
      </w:r>
      <w:r w:rsidR="00FE3B0F">
        <w:rPr>
          <w:i/>
          <w:color w:val="000000"/>
        </w:rPr>
        <w:t>.</w:t>
      </w:r>
      <w:r>
        <w:rPr>
          <w:i/>
          <w:color w:val="000000"/>
        </w:rPr>
        <w:t xml:space="preserve"> Control</w:t>
      </w:r>
      <w:r w:rsidR="00FE3B0F">
        <w:rPr>
          <w:i/>
          <w:color w:val="000000"/>
        </w:rPr>
        <w:t>.</w:t>
      </w:r>
      <w:r>
        <w:rPr>
          <w:i/>
          <w:color w:val="000000"/>
        </w:rPr>
        <w:t xml:space="preserve"> Release</w:t>
      </w:r>
      <w:r w:rsidR="00FE3B0F">
        <w:rPr>
          <w:i/>
          <w:color w:val="000000"/>
        </w:rPr>
        <w:t>.</w:t>
      </w:r>
      <w:r>
        <w:rPr>
          <w:color w:val="000000"/>
        </w:rPr>
        <w:t xml:space="preserve"> </w:t>
      </w:r>
      <w:r>
        <w:rPr>
          <w:b/>
          <w:color w:val="000000"/>
        </w:rPr>
        <w:t>2004</w:t>
      </w:r>
      <w:r>
        <w:rPr>
          <w:color w:val="000000"/>
        </w:rPr>
        <w:t xml:space="preserve">, </w:t>
      </w:r>
      <w:r w:rsidRPr="00730180">
        <w:rPr>
          <w:i/>
          <w:color w:val="000000"/>
        </w:rPr>
        <w:t>96</w:t>
      </w:r>
      <w:r>
        <w:rPr>
          <w:color w:val="000000"/>
        </w:rPr>
        <w:t xml:space="preserve">, 245–259. </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M. S. Bhandari, S. M. Wairkar, U. S. Patil, N. R. Jadhav, </w:t>
      </w:r>
      <w:r w:rsidRPr="00517540">
        <w:rPr>
          <w:i/>
          <w:color w:val="000000"/>
        </w:rPr>
        <w:t>Acta Chim</w:t>
      </w:r>
      <w:r w:rsidR="00FE3B0F">
        <w:rPr>
          <w:i/>
          <w:color w:val="000000"/>
        </w:rPr>
        <w:t>.</w:t>
      </w:r>
      <w:r w:rsidRPr="00517540">
        <w:rPr>
          <w:i/>
          <w:color w:val="000000"/>
        </w:rPr>
        <w:t xml:space="preserve"> Slov</w:t>
      </w:r>
      <w:r>
        <w:rPr>
          <w:color w:val="000000"/>
        </w:rPr>
        <w:t xml:space="preserve">, </w:t>
      </w:r>
      <w:r>
        <w:rPr>
          <w:b/>
          <w:color w:val="000000"/>
        </w:rPr>
        <w:t>2018</w:t>
      </w:r>
      <w:r>
        <w:rPr>
          <w:color w:val="000000"/>
        </w:rPr>
        <w:t xml:space="preserve">, </w:t>
      </w:r>
      <w:r w:rsidRPr="00730180">
        <w:rPr>
          <w:i/>
          <w:color w:val="000000"/>
        </w:rPr>
        <w:t>65</w:t>
      </w:r>
      <w:r>
        <w:rPr>
          <w:color w:val="000000"/>
        </w:rPr>
        <w:t>, 492-501.</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M. S. Kaynak, M. Celebier, S. Sahin, S. Altinöz, </w:t>
      </w:r>
      <w:r w:rsidRPr="00517540">
        <w:rPr>
          <w:i/>
          <w:color w:val="000000"/>
        </w:rPr>
        <w:t>Rev. Chim</w:t>
      </w:r>
      <w:r w:rsidR="00FE3B0F">
        <w:rPr>
          <w:i/>
          <w:color w:val="000000"/>
        </w:rPr>
        <w:t>.</w:t>
      </w:r>
      <w:r w:rsidRPr="00517540">
        <w:rPr>
          <w:i/>
          <w:color w:val="000000"/>
        </w:rPr>
        <w:t xml:space="preserve"> (Bucharest)</w:t>
      </w:r>
      <w:r w:rsidR="00FE3B0F">
        <w:rPr>
          <w:i/>
          <w:color w:val="000000"/>
        </w:rPr>
        <w:t>.</w:t>
      </w:r>
      <w:r>
        <w:rPr>
          <w:color w:val="000000"/>
        </w:rPr>
        <w:t xml:space="preserve"> </w:t>
      </w:r>
      <w:r>
        <w:rPr>
          <w:b/>
          <w:color w:val="000000"/>
        </w:rPr>
        <w:t>2013</w:t>
      </w:r>
      <w:r>
        <w:rPr>
          <w:color w:val="000000"/>
        </w:rPr>
        <w:t xml:space="preserve">, </w:t>
      </w:r>
      <w:r w:rsidRPr="00730180">
        <w:rPr>
          <w:i/>
          <w:color w:val="000000"/>
        </w:rPr>
        <w:t>64</w:t>
      </w:r>
      <w:r>
        <w:rPr>
          <w:color w:val="000000"/>
        </w:rPr>
        <w:t>, 27-30.</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R. Mohapatra, S. Senapati, C. Sahoo, S. Mallick, </w:t>
      </w:r>
      <w:r>
        <w:rPr>
          <w:i/>
          <w:color w:val="000000"/>
        </w:rPr>
        <w:t>Farmacia</w:t>
      </w:r>
      <w:r>
        <w:rPr>
          <w:color w:val="000000"/>
        </w:rPr>
        <w:t xml:space="preserve">. </w:t>
      </w:r>
      <w:r>
        <w:rPr>
          <w:b/>
          <w:color w:val="000000"/>
        </w:rPr>
        <w:t>2016</w:t>
      </w:r>
      <w:r>
        <w:rPr>
          <w:color w:val="000000"/>
        </w:rPr>
        <w:t xml:space="preserve">, </w:t>
      </w:r>
      <w:r w:rsidRPr="00730180">
        <w:rPr>
          <w:i/>
          <w:color w:val="000000"/>
        </w:rPr>
        <w:t>64</w:t>
      </w:r>
      <w:r>
        <w:rPr>
          <w:color w:val="000000"/>
        </w:rPr>
        <w:t>, 72-81.</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C. Y. Won, C. C. Chu, J. D. Lee, </w:t>
      </w:r>
      <w:r>
        <w:rPr>
          <w:i/>
          <w:color w:val="000000"/>
        </w:rPr>
        <w:t>Polymer</w:t>
      </w:r>
      <w:r>
        <w:rPr>
          <w:color w:val="000000"/>
        </w:rPr>
        <w:t xml:space="preserve">, </w:t>
      </w:r>
      <w:r>
        <w:rPr>
          <w:b/>
          <w:color w:val="000000"/>
        </w:rPr>
        <w:t>1998</w:t>
      </w:r>
      <w:r>
        <w:rPr>
          <w:color w:val="000000"/>
        </w:rPr>
        <w:t xml:space="preserve">, </w:t>
      </w:r>
      <w:r w:rsidRPr="00730180">
        <w:rPr>
          <w:i/>
          <w:color w:val="000000"/>
        </w:rPr>
        <w:t>39</w:t>
      </w:r>
      <w:r>
        <w:rPr>
          <w:color w:val="000000"/>
        </w:rPr>
        <w:t>, 6677-6681.</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lastRenderedPageBreak/>
        <w:t xml:space="preserve">W. J. Ray, J. E. Katon, B. Phillips, </w:t>
      </w:r>
      <w:r>
        <w:rPr>
          <w:i/>
          <w:color w:val="000000"/>
        </w:rPr>
        <w:t>J. Mol. Struct</w:t>
      </w:r>
      <w:r w:rsidR="00FE3B0F">
        <w:rPr>
          <w:i/>
          <w:color w:val="000000"/>
        </w:rPr>
        <w:t>.</w:t>
      </w:r>
      <w:r>
        <w:rPr>
          <w:color w:val="000000"/>
        </w:rPr>
        <w:t xml:space="preserve"> </w:t>
      </w:r>
      <w:r>
        <w:rPr>
          <w:b/>
          <w:color w:val="000000"/>
        </w:rPr>
        <w:t>1981</w:t>
      </w:r>
      <w:r>
        <w:rPr>
          <w:color w:val="000000"/>
        </w:rPr>
        <w:t xml:space="preserve">, </w:t>
      </w:r>
      <w:r w:rsidRPr="00730180">
        <w:rPr>
          <w:i/>
          <w:color w:val="000000"/>
        </w:rPr>
        <w:t>74</w:t>
      </w:r>
      <w:r>
        <w:rPr>
          <w:color w:val="000000"/>
        </w:rPr>
        <w:t>, 75–84.</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P. S. Thomas, J. Guerbois, G. F. Russell, B. J.Briscoe, </w:t>
      </w:r>
      <w:r>
        <w:rPr>
          <w:i/>
          <w:color w:val="000000"/>
        </w:rPr>
        <w:t>J. Therm. Anal. Cal</w:t>
      </w:r>
      <w:r w:rsidR="00FE3B0F">
        <w:rPr>
          <w:i/>
          <w:color w:val="000000"/>
        </w:rPr>
        <w:t>.</w:t>
      </w:r>
      <w:r>
        <w:rPr>
          <w:color w:val="000000"/>
        </w:rPr>
        <w:t xml:space="preserve"> </w:t>
      </w:r>
      <w:r>
        <w:rPr>
          <w:b/>
          <w:color w:val="000000"/>
        </w:rPr>
        <w:t>2001</w:t>
      </w:r>
      <w:r>
        <w:rPr>
          <w:color w:val="000000"/>
        </w:rPr>
        <w:t xml:space="preserve">, </w:t>
      </w:r>
      <w:r w:rsidRPr="00730180">
        <w:rPr>
          <w:i/>
          <w:color w:val="000000"/>
        </w:rPr>
        <w:t>64</w:t>
      </w:r>
      <w:r>
        <w:rPr>
          <w:color w:val="000000"/>
        </w:rPr>
        <w:t>, 501–508.</w:t>
      </w:r>
    </w:p>
    <w:p w:rsidR="00561BE6" w:rsidRDefault="0011034B" w:rsidP="00116554">
      <w:pPr>
        <w:numPr>
          <w:ilvl w:val="0"/>
          <w:numId w:val="1"/>
        </w:numPr>
        <w:pBdr>
          <w:top w:val="nil"/>
          <w:left w:val="nil"/>
          <w:bottom w:val="nil"/>
          <w:right w:val="nil"/>
          <w:between w:val="nil"/>
        </w:pBdr>
        <w:spacing w:after="0" w:line="360" w:lineRule="auto"/>
        <w:ind w:left="426" w:hanging="426"/>
        <w:jc w:val="both"/>
        <w:rPr>
          <w:color w:val="000000"/>
        </w:rPr>
      </w:pPr>
      <w:r>
        <w:rPr>
          <w:color w:val="000000"/>
        </w:rPr>
        <w:t xml:space="preserve">A. Di Paola, M. Bellardita, B. Megna, F. Parrino, L. Palmisano, </w:t>
      </w:r>
      <w:r>
        <w:rPr>
          <w:i/>
          <w:color w:val="000000"/>
        </w:rPr>
        <w:t>Catal. Today</w:t>
      </w:r>
      <w:r w:rsidR="00FE3B0F">
        <w:rPr>
          <w:i/>
          <w:color w:val="000000"/>
        </w:rPr>
        <w:t>.</w:t>
      </w:r>
      <w:r>
        <w:rPr>
          <w:color w:val="000000"/>
        </w:rPr>
        <w:t xml:space="preserve"> </w:t>
      </w:r>
      <w:r>
        <w:rPr>
          <w:b/>
          <w:color w:val="000000"/>
        </w:rPr>
        <w:t>2015</w:t>
      </w:r>
      <w:r>
        <w:rPr>
          <w:color w:val="000000"/>
        </w:rPr>
        <w:t xml:space="preserve">, </w:t>
      </w:r>
      <w:r w:rsidRPr="00140753">
        <w:rPr>
          <w:i/>
          <w:color w:val="000000"/>
        </w:rPr>
        <w:t>252</w:t>
      </w:r>
      <w:r>
        <w:rPr>
          <w:color w:val="000000"/>
        </w:rPr>
        <w:t>, 195-200.</w:t>
      </w:r>
    </w:p>
    <w:p w:rsidR="00561BE6" w:rsidRDefault="0011034B" w:rsidP="00116554">
      <w:pPr>
        <w:numPr>
          <w:ilvl w:val="0"/>
          <w:numId w:val="1"/>
        </w:numPr>
        <w:pBdr>
          <w:top w:val="nil"/>
          <w:left w:val="nil"/>
          <w:bottom w:val="nil"/>
          <w:right w:val="nil"/>
          <w:between w:val="nil"/>
        </w:pBdr>
        <w:spacing w:line="360" w:lineRule="auto"/>
        <w:ind w:left="426" w:hanging="426"/>
        <w:jc w:val="both"/>
        <w:rPr>
          <w:color w:val="000000"/>
        </w:rPr>
      </w:pPr>
      <w:r>
        <w:rPr>
          <w:color w:val="000000"/>
        </w:rPr>
        <w:t xml:space="preserve">W. Anku, S. O. Oppong, S. K. Shukla, P. P. Govender, </w:t>
      </w:r>
      <w:r>
        <w:rPr>
          <w:i/>
          <w:color w:val="000000"/>
        </w:rPr>
        <w:t>Acta Chim</w:t>
      </w:r>
      <w:r w:rsidR="00FE3B0F">
        <w:rPr>
          <w:i/>
          <w:color w:val="000000"/>
        </w:rPr>
        <w:t>.</w:t>
      </w:r>
      <w:r>
        <w:rPr>
          <w:i/>
          <w:color w:val="000000"/>
        </w:rPr>
        <w:t xml:space="preserve"> Slov</w:t>
      </w:r>
      <w:r w:rsidR="00FE3B0F">
        <w:rPr>
          <w:i/>
          <w:color w:val="000000"/>
        </w:rPr>
        <w:t>.</w:t>
      </w:r>
      <w:r>
        <w:rPr>
          <w:color w:val="000000"/>
        </w:rPr>
        <w:t xml:space="preserve"> </w:t>
      </w:r>
      <w:r>
        <w:rPr>
          <w:b/>
          <w:color w:val="000000"/>
        </w:rPr>
        <w:t>2016</w:t>
      </w:r>
      <w:r>
        <w:rPr>
          <w:color w:val="000000"/>
        </w:rPr>
        <w:t xml:space="preserve">, </w:t>
      </w:r>
      <w:r w:rsidRPr="00140753">
        <w:rPr>
          <w:i/>
          <w:color w:val="000000"/>
        </w:rPr>
        <w:t>63</w:t>
      </w:r>
      <w:r>
        <w:rPr>
          <w:color w:val="000000"/>
        </w:rPr>
        <w:t>, 380-391.</w:t>
      </w:r>
    </w:p>
    <w:sectPr w:rsidR="00561BE6" w:rsidSect="00245C9B">
      <w:footerReference w:type="default" r:id="rId12"/>
      <w:pgSz w:w="11906" w:h="16838"/>
      <w:pgMar w:top="1440" w:right="1440" w:bottom="1440" w:left="1440" w:header="708" w:footer="708"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900" w:rsidRDefault="00CA6900" w:rsidP="00B3519D">
      <w:pPr>
        <w:spacing w:after="0" w:line="240" w:lineRule="auto"/>
      </w:pPr>
      <w:r>
        <w:separator/>
      </w:r>
    </w:p>
  </w:endnote>
  <w:endnote w:type="continuationSeparator" w:id="0">
    <w:p w:rsidR="00CA6900" w:rsidRDefault="00CA6900" w:rsidP="00B3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36160"/>
      <w:docPartObj>
        <w:docPartGallery w:val="Page Numbers (Bottom of Page)"/>
        <w:docPartUnique/>
      </w:docPartObj>
    </w:sdtPr>
    <w:sdtEndPr>
      <w:rPr>
        <w:noProof/>
      </w:rPr>
    </w:sdtEndPr>
    <w:sdtContent>
      <w:p w:rsidR="00B3519D" w:rsidRDefault="00B3519D">
        <w:pPr>
          <w:pStyle w:val="Footer"/>
          <w:jc w:val="right"/>
        </w:pPr>
        <w:r>
          <w:fldChar w:fldCharType="begin"/>
        </w:r>
        <w:r>
          <w:instrText xml:space="preserve"> PAGE   \* MERGEFORMAT </w:instrText>
        </w:r>
        <w:r>
          <w:fldChar w:fldCharType="separate"/>
        </w:r>
        <w:r w:rsidR="008F5198">
          <w:rPr>
            <w:noProof/>
          </w:rPr>
          <w:t>1</w:t>
        </w:r>
        <w:r>
          <w:rPr>
            <w:noProof/>
          </w:rPr>
          <w:fldChar w:fldCharType="end"/>
        </w:r>
      </w:p>
    </w:sdtContent>
  </w:sdt>
  <w:p w:rsidR="00B3519D" w:rsidRDefault="00B351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900" w:rsidRDefault="00CA6900" w:rsidP="00B3519D">
      <w:pPr>
        <w:spacing w:after="0" w:line="240" w:lineRule="auto"/>
      </w:pPr>
      <w:r>
        <w:separator/>
      </w:r>
    </w:p>
  </w:footnote>
  <w:footnote w:type="continuationSeparator" w:id="0">
    <w:p w:rsidR="00CA6900" w:rsidRDefault="00CA6900" w:rsidP="00B35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34C6F"/>
    <w:multiLevelType w:val="multilevel"/>
    <w:tmpl w:val="352C67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C8001A7"/>
    <w:multiLevelType w:val="hybridMultilevel"/>
    <w:tmpl w:val="28AEF9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E6"/>
    <w:rsid w:val="000128FD"/>
    <w:rsid w:val="00013893"/>
    <w:rsid w:val="00015FBA"/>
    <w:rsid w:val="00031D8C"/>
    <w:rsid w:val="000503B5"/>
    <w:rsid w:val="00050542"/>
    <w:rsid w:val="00056F66"/>
    <w:rsid w:val="00065F08"/>
    <w:rsid w:val="00084FE7"/>
    <w:rsid w:val="00095A67"/>
    <w:rsid w:val="0011034B"/>
    <w:rsid w:val="00116554"/>
    <w:rsid w:val="00140753"/>
    <w:rsid w:val="00143C06"/>
    <w:rsid w:val="00157731"/>
    <w:rsid w:val="00172DA1"/>
    <w:rsid w:val="001B4B56"/>
    <w:rsid w:val="001B6FCB"/>
    <w:rsid w:val="001C6B42"/>
    <w:rsid w:val="001D2689"/>
    <w:rsid w:val="001F68C8"/>
    <w:rsid w:val="001F7C6C"/>
    <w:rsid w:val="00200CA0"/>
    <w:rsid w:val="0022202D"/>
    <w:rsid w:val="00223B79"/>
    <w:rsid w:val="002250D2"/>
    <w:rsid w:val="0023258E"/>
    <w:rsid w:val="002349B8"/>
    <w:rsid w:val="00245C9B"/>
    <w:rsid w:val="00295955"/>
    <w:rsid w:val="002A5C69"/>
    <w:rsid w:val="002D5E16"/>
    <w:rsid w:val="002E1E2D"/>
    <w:rsid w:val="002E3416"/>
    <w:rsid w:val="0030186C"/>
    <w:rsid w:val="003219D9"/>
    <w:rsid w:val="003B1F97"/>
    <w:rsid w:val="003B5B03"/>
    <w:rsid w:val="003D3C8A"/>
    <w:rsid w:val="004611EF"/>
    <w:rsid w:val="00461EE2"/>
    <w:rsid w:val="004A06C7"/>
    <w:rsid w:val="004B34F1"/>
    <w:rsid w:val="004B5EEE"/>
    <w:rsid w:val="004C5C71"/>
    <w:rsid w:val="00517540"/>
    <w:rsid w:val="005420E7"/>
    <w:rsid w:val="00560523"/>
    <w:rsid w:val="00560E4C"/>
    <w:rsid w:val="00561BE6"/>
    <w:rsid w:val="005D010E"/>
    <w:rsid w:val="005D4BEA"/>
    <w:rsid w:val="00610F90"/>
    <w:rsid w:val="00620F4E"/>
    <w:rsid w:val="0062753C"/>
    <w:rsid w:val="00661460"/>
    <w:rsid w:val="00672D75"/>
    <w:rsid w:val="00674261"/>
    <w:rsid w:val="0069684F"/>
    <w:rsid w:val="006B4069"/>
    <w:rsid w:val="00730180"/>
    <w:rsid w:val="007B36A1"/>
    <w:rsid w:val="00802EE4"/>
    <w:rsid w:val="00820226"/>
    <w:rsid w:val="00852CCD"/>
    <w:rsid w:val="008959C6"/>
    <w:rsid w:val="008A6748"/>
    <w:rsid w:val="008C74E9"/>
    <w:rsid w:val="008E4DFE"/>
    <w:rsid w:val="008F5198"/>
    <w:rsid w:val="008F5AAC"/>
    <w:rsid w:val="009721A2"/>
    <w:rsid w:val="009910E8"/>
    <w:rsid w:val="009B6861"/>
    <w:rsid w:val="009C1356"/>
    <w:rsid w:val="009C7342"/>
    <w:rsid w:val="009F3016"/>
    <w:rsid w:val="00A05D50"/>
    <w:rsid w:val="00A20D64"/>
    <w:rsid w:val="00A2637E"/>
    <w:rsid w:val="00A45247"/>
    <w:rsid w:val="00A6393F"/>
    <w:rsid w:val="00AB1DDB"/>
    <w:rsid w:val="00AB2F84"/>
    <w:rsid w:val="00AC7852"/>
    <w:rsid w:val="00B34E52"/>
    <w:rsid w:val="00B3519D"/>
    <w:rsid w:val="00B52F2E"/>
    <w:rsid w:val="00B57093"/>
    <w:rsid w:val="00B94654"/>
    <w:rsid w:val="00BA7662"/>
    <w:rsid w:val="00BC766B"/>
    <w:rsid w:val="00BD5792"/>
    <w:rsid w:val="00C055F4"/>
    <w:rsid w:val="00C1697D"/>
    <w:rsid w:val="00C22CAB"/>
    <w:rsid w:val="00C401FC"/>
    <w:rsid w:val="00C95977"/>
    <w:rsid w:val="00CA3EF3"/>
    <w:rsid w:val="00CA6900"/>
    <w:rsid w:val="00CD2186"/>
    <w:rsid w:val="00D4297D"/>
    <w:rsid w:val="00D72859"/>
    <w:rsid w:val="00D85F28"/>
    <w:rsid w:val="00DC2F56"/>
    <w:rsid w:val="00DE4426"/>
    <w:rsid w:val="00E26802"/>
    <w:rsid w:val="00E273BF"/>
    <w:rsid w:val="00E538F2"/>
    <w:rsid w:val="00E63B1B"/>
    <w:rsid w:val="00EB5D81"/>
    <w:rsid w:val="00EC3C45"/>
    <w:rsid w:val="00EE7605"/>
    <w:rsid w:val="00EF266B"/>
    <w:rsid w:val="00EF4FE4"/>
    <w:rsid w:val="00EF5467"/>
    <w:rsid w:val="00F30096"/>
    <w:rsid w:val="00F66CEA"/>
    <w:rsid w:val="00FD2A78"/>
    <w:rsid w:val="00FE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7E16"/>
  <w15:docId w15:val="{5B08FE7F-61D1-4C8A-8848-05BCE9E6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auto"/>
    </w:tc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auto"/>
    </w:tc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8C74E9"/>
    <w:rPr>
      <w:color w:val="0000FF" w:themeColor="hyperlink"/>
      <w:u w:val="single"/>
    </w:rPr>
  </w:style>
  <w:style w:type="paragraph" w:styleId="ListParagraph">
    <w:name w:val="List Paragraph"/>
    <w:basedOn w:val="Normal"/>
    <w:uiPriority w:val="34"/>
    <w:qFormat/>
    <w:rsid w:val="00015FBA"/>
    <w:pPr>
      <w:ind w:left="720"/>
      <w:contextualSpacing/>
    </w:pPr>
    <w:rPr>
      <w:rFonts w:eastAsiaTheme="minorHAnsi" w:cstheme="minorBidi"/>
      <w:szCs w:val="22"/>
    </w:rPr>
  </w:style>
  <w:style w:type="table" w:styleId="PlainTable2">
    <w:name w:val="Plain Table 2"/>
    <w:basedOn w:val="TableNormal"/>
    <w:uiPriority w:val="42"/>
    <w:rsid w:val="001C6B42"/>
    <w:pPr>
      <w:spacing w:after="0" w:line="240" w:lineRule="auto"/>
    </w:pPr>
    <w:rPr>
      <w:rFonts w:asciiTheme="minorHAnsi" w:eastAsiaTheme="minorHAnsi" w:hAnsiTheme="minorHAnsi" w:cstheme="minorBidi"/>
      <w:sz w:val="22"/>
      <w:szCs w:val="22"/>
      <w:lang w:val="en-IN"/>
    </w:rPr>
    <w:tblPr>
      <w:tblStyleRowBandSize w:val="1"/>
      <w:tblStyleColBandSize w:val="1"/>
      <w:tblBorders>
        <w:top w:val="single" w:sz="4" w:space="0" w:color="auto"/>
        <w:bottom w:val="single" w:sz="4" w:space="0" w:color="auto"/>
        <w:insideH w:val="single" w:sz="4" w:space="0" w:color="auto"/>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1C6B42"/>
    <w:pPr>
      <w:spacing w:after="0" w:line="240" w:lineRule="auto"/>
    </w:pPr>
    <w:rPr>
      <w:rFonts w:asciiTheme="minorHAnsi" w:eastAsiaTheme="minorHAnsi" w:hAnsiTheme="minorHAnsi" w:cstheme="minorBidi"/>
      <w:sz w:val="22"/>
      <w:szCs w:val="22"/>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245C9B"/>
  </w:style>
  <w:style w:type="table" w:styleId="TableGrid">
    <w:name w:val="Table Grid"/>
    <w:basedOn w:val="TableNormal"/>
    <w:uiPriority w:val="39"/>
    <w:rsid w:val="001B4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19D"/>
  </w:style>
  <w:style w:type="paragraph" w:styleId="Footer">
    <w:name w:val="footer"/>
    <w:basedOn w:val="Normal"/>
    <w:link w:val="FooterChar"/>
    <w:uiPriority w:val="99"/>
    <w:unhideWhenUsed/>
    <w:rsid w:val="00B3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Works\Satyaki%20Paper\Data\Data%20sheet\Disso%20(Kneaded%20Mi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Works\Satyaki%20Paper\Data\final\Data%20sheet\Permeation%20Study%20(Knd%20Mi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36539897174794"/>
          <c:y val="3.7448064285746367E-2"/>
          <c:w val="0.79925015119135778"/>
          <c:h val="0.82766347347375802"/>
        </c:manualLayout>
      </c:layout>
      <c:scatterChart>
        <c:scatterStyle val="smoothMarker"/>
        <c:varyColors val="0"/>
        <c:ser>
          <c:idx val="2"/>
          <c:order val="2"/>
          <c:tx>
            <c:strRef>
              <c:f>Sheet4!$E$1</c:f>
              <c:strCache>
                <c:ptCount val="1"/>
                <c:pt idx="0">
                  <c:v>A1T1</c:v>
                </c:pt>
              </c:strCache>
            </c:strRef>
          </c:tx>
          <c:spPr>
            <a:ln w="9525">
              <a:solidFill>
                <a:schemeClr val="tx1"/>
              </a:solidFill>
            </a:ln>
          </c:spPr>
          <c:marker>
            <c:symbol val="triangle"/>
            <c:size val="7"/>
            <c:spPr>
              <a:solidFill>
                <a:sysClr val="windowText" lastClr="000000"/>
              </a:solidFill>
              <a:ln>
                <a:solidFill>
                  <a:schemeClr val="tx1"/>
                </a:solidFill>
              </a:ln>
            </c:spPr>
          </c:marker>
          <c:xVal>
            <c:numRef>
              <c:f>Sheet4!$A$2:$A$10</c:f>
              <c:numCache>
                <c:formatCode>General</c:formatCode>
                <c:ptCount val="9"/>
                <c:pt idx="0">
                  <c:v>0</c:v>
                </c:pt>
                <c:pt idx="1">
                  <c:v>10</c:v>
                </c:pt>
                <c:pt idx="2">
                  <c:v>20</c:v>
                </c:pt>
                <c:pt idx="3">
                  <c:v>30</c:v>
                </c:pt>
                <c:pt idx="4">
                  <c:v>45</c:v>
                </c:pt>
                <c:pt idx="5">
                  <c:v>60</c:v>
                </c:pt>
                <c:pt idx="6">
                  <c:v>120</c:v>
                </c:pt>
                <c:pt idx="7">
                  <c:v>180</c:v>
                </c:pt>
                <c:pt idx="8">
                  <c:v>240</c:v>
                </c:pt>
              </c:numCache>
            </c:numRef>
          </c:xVal>
          <c:yVal>
            <c:numRef>
              <c:f>Sheet4!$E$2:$E$10</c:f>
              <c:numCache>
                <c:formatCode>General</c:formatCode>
                <c:ptCount val="9"/>
                <c:pt idx="0">
                  <c:v>0</c:v>
                </c:pt>
                <c:pt idx="1">
                  <c:v>70.616319444444443</c:v>
                </c:pt>
                <c:pt idx="2">
                  <c:v>80.946180555555557</c:v>
                </c:pt>
                <c:pt idx="3">
                  <c:v>85.216254340277786</c:v>
                </c:pt>
                <c:pt idx="4">
                  <c:v>86.904296875</c:v>
                </c:pt>
                <c:pt idx="5">
                  <c:v>87.878906250000014</c:v>
                </c:pt>
                <c:pt idx="6">
                  <c:v>89.138563368055557</c:v>
                </c:pt>
                <c:pt idx="7">
                  <c:v>90.0947265625</c:v>
                </c:pt>
                <c:pt idx="8">
                  <c:v>88.500759548611128</c:v>
                </c:pt>
              </c:numCache>
            </c:numRef>
          </c:yVal>
          <c:smooth val="1"/>
          <c:extLst>
            <c:ext xmlns:c16="http://schemas.microsoft.com/office/drawing/2014/chart" uri="{C3380CC4-5D6E-409C-BE32-E72D297353CC}">
              <c16:uniqueId val="{00000000-0461-462D-BE82-324C8454E01B}"/>
            </c:ext>
          </c:extLst>
        </c:ser>
        <c:ser>
          <c:idx val="3"/>
          <c:order val="3"/>
          <c:tx>
            <c:strRef>
              <c:f>Sheet4!$L$1</c:f>
              <c:strCache>
                <c:ptCount val="1"/>
                <c:pt idx="0">
                  <c:v>A1T2</c:v>
                </c:pt>
              </c:strCache>
            </c:strRef>
          </c:tx>
          <c:spPr>
            <a:ln w="9525">
              <a:solidFill>
                <a:schemeClr val="tx1"/>
              </a:solidFill>
            </a:ln>
          </c:spPr>
          <c:marker>
            <c:symbol val="circle"/>
            <c:size val="7"/>
            <c:spPr>
              <a:solidFill>
                <a:sysClr val="windowText" lastClr="000000"/>
              </a:solidFill>
              <a:ln>
                <a:solidFill>
                  <a:schemeClr val="tx1"/>
                </a:solidFill>
              </a:ln>
            </c:spPr>
          </c:marker>
          <c:xVal>
            <c:numRef>
              <c:f>Sheet4!$H$2:$H$10</c:f>
              <c:numCache>
                <c:formatCode>General</c:formatCode>
                <c:ptCount val="9"/>
                <c:pt idx="0">
                  <c:v>0</c:v>
                </c:pt>
                <c:pt idx="1">
                  <c:v>10</c:v>
                </c:pt>
                <c:pt idx="2">
                  <c:v>20</c:v>
                </c:pt>
                <c:pt idx="3">
                  <c:v>30</c:v>
                </c:pt>
                <c:pt idx="4">
                  <c:v>45</c:v>
                </c:pt>
                <c:pt idx="5">
                  <c:v>60</c:v>
                </c:pt>
                <c:pt idx="6">
                  <c:v>120</c:v>
                </c:pt>
                <c:pt idx="7">
                  <c:v>180</c:v>
                </c:pt>
                <c:pt idx="8">
                  <c:v>240</c:v>
                </c:pt>
              </c:numCache>
            </c:numRef>
          </c:xVal>
          <c:yVal>
            <c:numRef>
              <c:f>Sheet4!$L$2:$L$10</c:f>
              <c:numCache>
                <c:formatCode>General</c:formatCode>
                <c:ptCount val="9"/>
                <c:pt idx="0">
                  <c:v>0</c:v>
                </c:pt>
                <c:pt idx="1">
                  <c:v>60.388454861111107</c:v>
                </c:pt>
                <c:pt idx="2">
                  <c:v>68.941731770833329</c:v>
                </c:pt>
                <c:pt idx="3">
                  <c:v>73.763454861111114</c:v>
                </c:pt>
                <c:pt idx="4">
                  <c:v>77.203125</c:v>
                </c:pt>
                <c:pt idx="5">
                  <c:v>80.6396484375</c:v>
                </c:pt>
                <c:pt idx="6">
                  <c:v>82.555772569444443</c:v>
                </c:pt>
                <c:pt idx="7">
                  <c:v>85.0129123263889</c:v>
                </c:pt>
                <c:pt idx="8">
                  <c:v>83.5517578125</c:v>
                </c:pt>
              </c:numCache>
            </c:numRef>
          </c:yVal>
          <c:smooth val="1"/>
          <c:extLst>
            <c:ext xmlns:c16="http://schemas.microsoft.com/office/drawing/2014/chart" uri="{C3380CC4-5D6E-409C-BE32-E72D297353CC}">
              <c16:uniqueId val="{00000001-0461-462D-BE82-324C8454E01B}"/>
            </c:ext>
          </c:extLst>
        </c:ser>
        <c:ser>
          <c:idx val="1"/>
          <c:order val="1"/>
          <c:tx>
            <c:strRef>
              <c:f>Sheet4!$E$12</c:f>
              <c:strCache>
                <c:ptCount val="1"/>
                <c:pt idx="0">
                  <c:v>A2T1</c:v>
                </c:pt>
              </c:strCache>
            </c:strRef>
          </c:tx>
          <c:spPr>
            <a:ln w="9525">
              <a:solidFill>
                <a:schemeClr val="tx1"/>
              </a:solidFill>
            </a:ln>
          </c:spPr>
          <c:marker>
            <c:symbol val="square"/>
            <c:size val="7"/>
            <c:spPr>
              <a:noFill/>
              <a:ln>
                <a:solidFill>
                  <a:schemeClr val="tx1"/>
                </a:solidFill>
              </a:ln>
            </c:spPr>
          </c:marker>
          <c:xVal>
            <c:numRef>
              <c:f>Sheet4!$A$13:$A$21</c:f>
              <c:numCache>
                <c:formatCode>General</c:formatCode>
                <c:ptCount val="9"/>
                <c:pt idx="0">
                  <c:v>0</c:v>
                </c:pt>
                <c:pt idx="1">
                  <c:v>10</c:v>
                </c:pt>
                <c:pt idx="2">
                  <c:v>20</c:v>
                </c:pt>
                <c:pt idx="3">
                  <c:v>30</c:v>
                </c:pt>
                <c:pt idx="4">
                  <c:v>45</c:v>
                </c:pt>
                <c:pt idx="5">
                  <c:v>60</c:v>
                </c:pt>
                <c:pt idx="6">
                  <c:v>120</c:v>
                </c:pt>
                <c:pt idx="7">
                  <c:v>180</c:v>
                </c:pt>
                <c:pt idx="8">
                  <c:v>240</c:v>
                </c:pt>
              </c:numCache>
            </c:numRef>
          </c:xVal>
          <c:yVal>
            <c:numRef>
              <c:f>Sheet4!$E$13:$E$21</c:f>
              <c:numCache>
                <c:formatCode>General</c:formatCode>
                <c:ptCount val="9"/>
                <c:pt idx="0">
                  <c:v>0</c:v>
                </c:pt>
                <c:pt idx="1">
                  <c:v>74.839409722222214</c:v>
                </c:pt>
                <c:pt idx="2">
                  <c:v>82.227213541666643</c:v>
                </c:pt>
                <c:pt idx="3">
                  <c:v>85.394097222222214</c:v>
                </c:pt>
                <c:pt idx="4">
                  <c:v>87.648546006944457</c:v>
                </c:pt>
                <c:pt idx="5">
                  <c:v>88.918619791666671</c:v>
                </c:pt>
                <c:pt idx="6">
                  <c:v>89.886176215277771</c:v>
                </c:pt>
                <c:pt idx="7">
                  <c:v>91.9638671875</c:v>
                </c:pt>
                <c:pt idx="8">
                  <c:v>89.836371527777771</c:v>
                </c:pt>
              </c:numCache>
            </c:numRef>
          </c:yVal>
          <c:smooth val="1"/>
          <c:extLst>
            <c:ext xmlns:c16="http://schemas.microsoft.com/office/drawing/2014/chart" uri="{C3380CC4-5D6E-409C-BE32-E72D297353CC}">
              <c16:uniqueId val="{00000002-0461-462D-BE82-324C8454E01B}"/>
            </c:ext>
          </c:extLst>
        </c:ser>
        <c:ser>
          <c:idx val="0"/>
          <c:order val="0"/>
          <c:tx>
            <c:strRef>
              <c:f>Sheet4!$L$12</c:f>
              <c:strCache>
                <c:ptCount val="1"/>
                <c:pt idx="0">
                  <c:v>A3T1</c:v>
                </c:pt>
              </c:strCache>
            </c:strRef>
          </c:tx>
          <c:spPr>
            <a:ln w="9525">
              <a:solidFill>
                <a:schemeClr val="tx1"/>
              </a:solidFill>
            </a:ln>
          </c:spPr>
          <c:marker>
            <c:symbol val="diamond"/>
            <c:size val="7"/>
            <c:spPr>
              <a:noFill/>
              <a:ln>
                <a:solidFill>
                  <a:schemeClr val="tx1"/>
                </a:solidFill>
              </a:ln>
            </c:spPr>
          </c:marker>
          <c:xVal>
            <c:numRef>
              <c:f>Sheet4!$H$13:$H$21</c:f>
              <c:numCache>
                <c:formatCode>General</c:formatCode>
                <c:ptCount val="9"/>
                <c:pt idx="0">
                  <c:v>0</c:v>
                </c:pt>
                <c:pt idx="1">
                  <c:v>10</c:v>
                </c:pt>
                <c:pt idx="2">
                  <c:v>20</c:v>
                </c:pt>
                <c:pt idx="3">
                  <c:v>30</c:v>
                </c:pt>
                <c:pt idx="4">
                  <c:v>45</c:v>
                </c:pt>
                <c:pt idx="5">
                  <c:v>60</c:v>
                </c:pt>
                <c:pt idx="6">
                  <c:v>120</c:v>
                </c:pt>
              </c:numCache>
            </c:numRef>
          </c:xVal>
          <c:yVal>
            <c:numRef>
              <c:f>Sheet4!$L$13:$L$21</c:f>
              <c:numCache>
                <c:formatCode>General</c:formatCode>
                <c:ptCount val="9"/>
                <c:pt idx="0">
                  <c:v>0</c:v>
                </c:pt>
                <c:pt idx="1">
                  <c:v>69.774305555555557</c:v>
                </c:pt>
                <c:pt idx="2">
                  <c:v>77.657552083333329</c:v>
                </c:pt>
                <c:pt idx="3">
                  <c:v>82.5791015625</c:v>
                </c:pt>
                <c:pt idx="4">
                  <c:v>85.2370876736111</c:v>
                </c:pt>
                <c:pt idx="5">
                  <c:v>86.457139756944443</c:v>
                </c:pt>
                <c:pt idx="6">
                  <c:v>88.965277777777786</c:v>
                </c:pt>
              </c:numCache>
            </c:numRef>
          </c:yVal>
          <c:smooth val="1"/>
          <c:extLst>
            <c:ext xmlns:c16="http://schemas.microsoft.com/office/drawing/2014/chart" uri="{C3380CC4-5D6E-409C-BE32-E72D297353CC}">
              <c16:uniqueId val="{00000003-0461-462D-BE82-324C8454E01B}"/>
            </c:ext>
          </c:extLst>
        </c:ser>
        <c:dLbls>
          <c:showLegendKey val="0"/>
          <c:showVal val="0"/>
          <c:showCatName val="0"/>
          <c:showSerName val="0"/>
          <c:showPercent val="0"/>
          <c:showBubbleSize val="0"/>
        </c:dLbls>
        <c:axId val="875656560"/>
        <c:axId val="875657104"/>
      </c:scatterChart>
      <c:valAx>
        <c:axId val="875656560"/>
        <c:scaling>
          <c:orientation val="minMax"/>
          <c:max val="120"/>
          <c:min val="0"/>
        </c:scaling>
        <c:delete val="0"/>
        <c:axPos val="b"/>
        <c:title>
          <c:tx>
            <c:rich>
              <a:bodyPr/>
              <a:lstStyle/>
              <a:p>
                <a:pPr>
                  <a:defRPr/>
                </a:pPr>
                <a:r>
                  <a:rPr lang="en-US"/>
                  <a:t>Time (Min.)</a:t>
                </a:r>
              </a:p>
            </c:rich>
          </c:tx>
          <c:overlay val="0"/>
        </c:title>
        <c:numFmt formatCode="General" sourceLinked="1"/>
        <c:majorTickMark val="out"/>
        <c:minorTickMark val="none"/>
        <c:tickLblPos val="nextTo"/>
        <c:spPr>
          <a:ln>
            <a:solidFill>
              <a:schemeClr val="tx1"/>
            </a:solidFill>
          </a:ln>
        </c:spPr>
        <c:crossAx val="875657104"/>
        <c:crosses val="autoZero"/>
        <c:crossBetween val="midCat"/>
      </c:valAx>
      <c:valAx>
        <c:axId val="875657104"/>
        <c:scaling>
          <c:orientation val="minMax"/>
        </c:scaling>
        <c:delete val="0"/>
        <c:axPos val="l"/>
        <c:title>
          <c:tx>
            <c:rich>
              <a:bodyPr rot="-5400000" vert="horz"/>
              <a:lstStyle/>
              <a:p>
                <a:pPr>
                  <a:defRPr/>
                </a:pPr>
                <a:r>
                  <a:rPr lang="en-US"/>
                  <a:t>% Drug released</a:t>
                </a:r>
              </a:p>
            </c:rich>
          </c:tx>
          <c:layout>
            <c:manualLayout>
              <c:xMode val="edge"/>
              <c:yMode val="edge"/>
              <c:x val="6.0235240179348315E-4"/>
              <c:y val="0.29483271269791639"/>
            </c:manualLayout>
          </c:layout>
          <c:overlay val="0"/>
        </c:title>
        <c:numFmt formatCode="General" sourceLinked="1"/>
        <c:majorTickMark val="out"/>
        <c:minorTickMark val="none"/>
        <c:tickLblPos val="nextTo"/>
        <c:spPr>
          <a:noFill/>
          <a:ln>
            <a:solidFill>
              <a:schemeClr val="tx1"/>
            </a:solidFill>
          </a:ln>
        </c:spPr>
        <c:crossAx val="875656560"/>
        <c:crosses val="autoZero"/>
        <c:crossBetween val="midCat"/>
      </c:valAx>
      <c:spPr>
        <a:noFill/>
        <a:ln>
          <a:solidFill>
            <a:schemeClr val="tx1"/>
          </a:solidFill>
        </a:ln>
      </c:spPr>
    </c:plotArea>
    <c:legend>
      <c:legendPos val="r"/>
      <c:layout>
        <c:manualLayout>
          <c:xMode val="edge"/>
          <c:yMode val="edge"/>
          <c:x val="0.19093304296549218"/>
          <c:y val="0.76819238750390861"/>
          <c:w val="0.69944036656434894"/>
          <c:h val="8.9638725907184039E-2"/>
        </c:manualLayout>
      </c:layout>
      <c:overlay val="0"/>
      <c:txPr>
        <a:bodyPr/>
        <a:lstStyle/>
        <a:p>
          <a:pPr>
            <a:defRPr b="1"/>
          </a:pPr>
          <a:endParaRPr lang="en-US"/>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62013697991894"/>
          <c:y val="2.3205369225040646E-2"/>
          <c:w val="0.80815698333566288"/>
          <c:h val="0.84344059068740995"/>
        </c:manualLayout>
      </c:layout>
      <c:scatterChart>
        <c:scatterStyle val="smoothMarker"/>
        <c:varyColors val="0"/>
        <c:ser>
          <c:idx val="1"/>
          <c:order val="1"/>
          <c:tx>
            <c:strRef>
              <c:f>Sheet1!$J$3</c:f>
              <c:strCache>
                <c:ptCount val="1"/>
                <c:pt idx="0">
                  <c:v>A1T1</c:v>
                </c:pt>
              </c:strCache>
            </c:strRef>
          </c:tx>
          <c:spPr>
            <a:ln w="9525">
              <a:solidFill>
                <a:schemeClr val="tx1"/>
              </a:solidFill>
            </a:ln>
          </c:spPr>
          <c:marker>
            <c:symbol val="square"/>
            <c:size val="6"/>
            <c:spPr>
              <a:noFill/>
              <a:ln w="9525">
                <a:solidFill>
                  <a:schemeClr val="tx1"/>
                </a:solidFill>
              </a:ln>
            </c:spPr>
          </c:marker>
          <c:xVal>
            <c:numRef>
              <c:f>Sheet1!$A$4:$A$15</c:f>
              <c:numCache>
                <c:formatCode>General</c:formatCode>
                <c:ptCount val="12"/>
                <c:pt idx="0">
                  <c:v>0</c:v>
                </c:pt>
                <c:pt idx="1">
                  <c:v>0.5</c:v>
                </c:pt>
                <c:pt idx="2">
                  <c:v>1</c:v>
                </c:pt>
                <c:pt idx="3">
                  <c:v>2</c:v>
                </c:pt>
                <c:pt idx="4">
                  <c:v>3</c:v>
                </c:pt>
                <c:pt idx="5">
                  <c:v>4</c:v>
                </c:pt>
                <c:pt idx="6">
                  <c:v>5</c:v>
                </c:pt>
                <c:pt idx="7">
                  <c:v>6</c:v>
                </c:pt>
                <c:pt idx="8">
                  <c:v>7</c:v>
                </c:pt>
                <c:pt idx="9">
                  <c:v>11</c:v>
                </c:pt>
                <c:pt idx="10">
                  <c:v>20</c:v>
                </c:pt>
                <c:pt idx="11">
                  <c:v>21</c:v>
                </c:pt>
              </c:numCache>
            </c:numRef>
          </c:xVal>
          <c:yVal>
            <c:numRef>
              <c:f>Sheet1!$J$4:$J$15</c:f>
              <c:numCache>
                <c:formatCode>General</c:formatCode>
                <c:ptCount val="12"/>
                <c:pt idx="0">
                  <c:v>0</c:v>
                </c:pt>
                <c:pt idx="1">
                  <c:v>1.0874079561781609</c:v>
                </c:pt>
                <c:pt idx="2">
                  <c:v>1.6468968884698274</c:v>
                </c:pt>
                <c:pt idx="3">
                  <c:v>3.9434323365660924</c:v>
                </c:pt>
                <c:pt idx="4">
                  <c:v>5.9368966639726999</c:v>
                </c:pt>
                <c:pt idx="5">
                  <c:v>7.4662833378232749</c:v>
                </c:pt>
                <c:pt idx="6">
                  <c:v>9.219465584590516</c:v>
                </c:pt>
                <c:pt idx="7">
                  <c:v>9.780357623922411</c:v>
                </c:pt>
                <c:pt idx="8">
                  <c:v>12.018313353089082</c:v>
                </c:pt>
                <c:pt idx="9">
                  <c:v>19.952532888829026</c:v>
                </c:pt>
                <c:pt idx="10">
                  <c:v>42.408208737428161</c:v>
                </c:pt>
                <c:pt idx="11">
                  <c:v>43.598043507543096</c:v>
                </c:pt>
              </c:numCache>
            </c:numRef>
          </c:yVal>
          <c:smooth val="1"/>
          <c:extLst>
            <c:ext xmlns:c16="http://schemas.microsoft.com/office/drawing/2014/chart" uri="{C3380CC4-5D6E-409C-BE32-E72D297353CC}">
              <c16:uniqueId val="{00000000-96BA-4F5F-BCBE-8ABDAC2F6EE3}"/>
            </c:ext>
          </c:extLst>
        </c:ser>
        <c:ser>
          <c:idx val="2"/>
          <c:order val="2"/>
          <c:tx>
            <c:strRef>
              <c:f>Sheet1!$U$3</c:f>
              <c:strCache>
                <c:ptCount val="1"/>
                <c:pt idx="0">
                  <c:v>A1T2</c:v>
                </c:pt>
              </c:strCache>
            </c:strRef>
          </c:tx>
          <c:spPr>
            <a:ln w="6350">
              <a:solidFill>
                <a:schemeClr val="tx1"/>
              </a:solidFill>
            </a:ln>
          </c:spPr>
          <c:marker>
            <c:symbol val="triangle"/>
            <c:size val="7"/>
            <c:spPr>
              <a:noFill/>
              <a:ln w="9525">
                <a:solidFill>
                  <a:schemeClr val="tx1"/>
                </a:solidFill>
              </a:ln>
            </c:spPr>
          </c:marker>
          <c:xVal>
            <c:numRef>
              <c:f>Sheet1!$L$4:$L$15</c:f>
              <c:numCache>
                <c:formatCode>General</c:formatCode>
                <c:ptCount val="12"/>
                <c:pt idx="0">
                  <c:v>0</c:v>
                </c:pt>
                <c:pt idx="1">
                  <c:v>0.5</c:v>
                </c:pt>
                <c:pt idx="2">
                  <c:v>1</c:v>
                </c:pt>
                <c:pt idx="3">
                  <c:v>2</c:v>
                </c:pt>
                <c:pt idx="4">
                  <c:v>3</c:v>
                </c:pt>
                <c:pt idx="5">
                  <c:v>4</c:v>
                </c:pt>
                <c:pt idx="6">
                  <c:v>5</c:v>
                </c:pt>
                <c:pt idx="7">
                  <c:v>6</c:v>
                </c:pt>
                <c:pt idx="8">
                  <c:v>7</c:v>
                </c:pt>
                <c:pt idx="9">
                  <c:v>11</c:v>
                </c:pt>
                <c:pt idx="10">
                  <c:v>20</c:v>
                </c:pt>
                <c:pt idx="11">
                  <c:v>21</c:v>
                </c:pt>
              </c:numCache>
            </c:numRef>
          </c:xVal>
          <c:yVal>
            <c:numRef>
              <c:f>Sheet1!$U$4:$U$15</c:f>
              <c:numCache>
                <c:formatCode>General</c:formatCode>
                <c:ptCount val="12"/>
                <c:pt idx="0">
                  <c:v>0</c:v>
                </c:pt>
                <c:pt idx="1">
                  <c:v>3.9676936914323955</c:v>
                </c:pt>
                <c:pt idx="2">
                  <c:v>4.7216862240629176</c:v>
                </c:pt>
                <c:pt idx="3">
                  <c:v>5.7126291624832648</c:v>
                </c:pt>
                <c:pt idx="4">
                  <c:v>6.1600568942436418</c:v>
                </c:pt>
                <c:pt idx="5">
                  <c:v>7.2245361654953131</c:v>
                </c:pt>
                <c:pt idx="6">
                  <c:v>9.7469957956827304</c:v>
                </c:pt>
                <c:pt idx="7">
                  <c:v>8.8371062374497971</c:v>
                </c:pt>
                <c:pt idx="8">
                  <c:v>10.449022653112447</c:v>
                </c:pt>
                <c:pt idx="9">
                  <c:v>16.477040976405622</c:v>
                </c:pt>
                <c:pt idx="10">
                  <c:v>34.65587610860107</c:v>
                </c:pt>
                <c:pt idx="11">
                  <c:v>39.002690449297184</c:v>
                </c:pt>
              </c:numCache>
            </c:numRef>
          </c:yVal>
          <c:smooth val="1"/>
          <c:extLst>
            <c:ext xmlns:c16="http://schemas.microsoft.com/office/drawing/2014/chart" uri="{C3380CC4-5D6E-409C-BE32-E72D297353CC}">
              <c16:uniqueId val="{00000001-96BA-4F5F-BCBE-8ABDAC2F6EE3}"/>
            </c:ext>
          </c:extLst>
        </c:ser>
        <c:ser>
          <c:idx val="3"/>
          <c:order val="3"/>
          <c:tx>
            <c:strRef>
              <c:f>Sheet1!$J$18</c:f>
              <c:strCache>
                <c:ptCount val="1"/>
                <c:pt idx="0">
                  <c:v>A2T1</c:v>
                </c:pt>
              </c:strCache>
            </c:strRef>
          </c:tx>
          <c:spPr>
            <a:ln w="6350">
              <a:solidFill>
                <a:schemeClr val="tx1"/>
              </a:solidFill>
            </a:ln>
          </c:spPr>
          <c:marker>
            <c:symbol val="circle"/>
            <c:size val="5"/>
            <c:spPr>
              <a:solidFill>
                <a:sysClr val="windowText" lastClr="000000"/>
              </a:solidFill>
              <a:ln w="12700">
                <a:solidFill>
                  <a:schemeClr val="tx1"/>
                </a:solidFill>
              </a:ln>
            </c:spPr>
          </c:marker>
          <c:xVal>
            <c:numRef>
              <c:f>Sheet1!$A$19:$A$30</c:f>
              <c:numCache>
                <c:formatCode>General</c:formatCode>
                <c:ptCount val="12"/>
                <c:pt idx="0">
                  <c:v>0</c:v>
                </c:pt>
                <c:pt idx="1">
                  <c:v>0.5</c:v>
                </c:pt>
                <c:pt idx="2">
                  <c:v>1</c:v>
                </c:pt>
                <c:pt idx="3">
                  <c:v>2</c:v>
                </c:pt>
                <c:pt idx="4">
                  <c:v>3</c:v>
                </c:pt>
                <c:pt idx="5">
                  <c:v>4</c:v>
                </c:pt>
                <c:pt idx="6">
                  <c:v>5</c:v>
                </c:pt>
                <c:pt idx="7">
                  <c:v>6</c:v>
                </c:pt>
                <c:pt idx="8">
                  <c:v>7</c:v>
                </c:pt>
                <c:pt idx="9">
                  <c:v>11</c:v>
                </c:pt>
                <c:pt idx="10">
                  <c:v>20</c:v>
                </c:pt>
                <c:pt idx="11">
                  <c:v>21</c:v>
                </c:pt>
              </c:numCache>
            </c:numRef>
          </c:xVal>
          <c:yVal>
            <c:numRef>
              <c:f>Sheet1!$J$19:$J$30</c:f>
              <c:numCache>
                <c:formatCode>General</c:formatCode>
                <c:ptCount val="12"/>
                <c:pt idx="0">
                  <c:v>0</c:v>
                </c:pt>
                <c:pt idx="1">
                  <c:v>0.96937039705411454</c:v>
                </c:pt>
                <c:pt idx="2">
                  <c:v>2.2060994036183152</c:v>
                </c:pt>
                <c:pt idx="3">
                  <c:v>4.0713556676272811</c:v>
                </c:pt>
                <c:pt idx="4">
                  <c:v>5.9744486471341656</c:v>
                </c:pt>
                <c:pt idx="5">
                  <c:v>7.4375725464297133</c:v>
                </c:pt>
                <c:pt idx="6">
                  <c:v>9.0661148134806258</c:v>
                </c:pt>
                <c:pt idx="7">
                  <c:v>10.196213076368876</c:v>
                </c:pt>
                <c:pt idx="8">
                  <c:v>11.906682776977268</c:v>
                </c:pt>
                <c:pt idx="9">
                  <c:v>20.841463536663454</c:v>
                </c:pt>
                <c:pt idx="10">
                  <c:v>34.281627741754718</c:v>
                </c:pt>
                <c:pt idx="11">
                  <c:v>44.526309337976308</c:v>
                </c:pt>
              </c:numCache>
            </c:numRef>
          </c:yVal>
          <c:smooth val="1"/>
          <c:extLst>
            <c:ext xmlns:c16="http://schemas.microsoft.com/office/drawing/2014/chart" uri="{C3380CC4-5D6E-409C-BE32-E72D297353CC}">
              <c16:uniqueId val="{00000002-96BA-4F5F-BCBE-8ABDAC2F6EE3}"/>
            </c:ext>
          </c:extLst>
        </c:ser>
        <c:ser>
          <c:idx val="0"/>
          <c:order val="0"/>
          <c:tx>
            <c:strRef>
              <c:f>Sheet1!$U$18</c:f>
              <c:strCache>
                <c:ptCount val="1"/>
                <c:pt idx="0">
                  <c:v>A3T1</c:v>
                </c:pt>
              </c:strCache>
            </c:strRef>
          </c:tx>
          <c:spPr>
            <a:ln w="6350">
              <a:solidFill>
                <a:schemeClr val="tx1"/>
              </a:solidFill>
            </a:ln>
          </c:spPr>
          <c:marker>
            <c:symbol val="diamond"/>
            <c:size val="7"/>
            <c:spPr>
              <a:solidFill>
                <a:sysClr val="windowText" lastClr="000000"/>
              </a:solidFill>
              <a:ln>
                <a:solidFill>
                  <a:schemeClr val="tx1"/>
                </a:solidFill>
              </a:ln>
            </c:spPr>
          </c:marker>
          <c:xVal>
            <c:numRef>
              <c:f>Sheet1!$L$19:$L$30</c:f>
              <c:numCache>
                <c:formatCode>General</c:formatCode>
                <c:ptCount val="12"/>
                <c:pt idx="0">
                  <c:v>0</c:v>
                </c:pt>
                <c:pt idx="1">
                  <c:v>0.5</c:v>
                </c:pt>
                <c:pt idx="2">
                  <c:v>1</c:v>
                </c:pt>
                <c:pt idx="3">
                  <c:v>2</c:v>
                </c:pt>
                <c:pt idx="4">
                  <c:v>3</c:v>
                </c:pt>
                <c:pt idx="5">
                  <c:v>4</c:v>
                </c:pt>
                <c:pt idx="6">
                  <c:v>5</c:v>
                </c:pt>
                <c:pt idx="7">
                  <c:v>6</c:v>
                </c:pt>
                <c:pt idx="8">
                  <c:v>7</c:v>
                </c:pt>
                <c:pt idx="9">
                  <c:v>11</c:v>
                </c:pt>
                <c:pt idx="10">
                  <c:v>20</c:v>
                </c:pt>
                <c:pt idx="11">
                  <c:v>21</c:v>
                </c:pt>
              </c:numCache>
            </c:numRef>
          </c:xVal>
          <c:yVal>
            <c:numRef>
              <c:f>Sheet1!$U$19:$U$30</c:f>
              <c:numCache>
                <c:formatCode>General</c:formatCode>
                <c:ptCount val="12"/>
                <c:pt idx="0">
                  <c:v>0</c:v>
                </c:pt>
                <c:pt idx="1">
                  <c:v>1.0307605549880832</c:v>
                </c:pt>
                <c:pt idx="2">
                  <c:v>3.2103203736806267</c:v>
                </c:pt>
                <c:pt idx="3">
                  <c:v>6.0282867296561129</c:v>
                </c:pt>
                <c:pt idx="4">
                  <c:v>7.8420928030303036</c:v>
                </c:pt>
                <c:pt idx="5">
                  <c:v>10.855903664453525</c:v>
                </c:pt>
                <c:pt idx="6">
                  <c:v>12.77178828311202</c:v>
                </c:pt>
                <c:pt idx="7">
                  <c:v>14.918097761321079</c:v>
                </c:pt>
                <c:pt idx="8">
                  <c:v>18.852278047327211</c:v>
                </c:pt>
                <c:pt idx="9">
                  <c:v>29.833535495403467</c:v>
                </c:pt>
                <c:pt idx="10">
                  <c:v>45.293281303200558</c:v>
                </c:pt>
                <c:pt idx="11">
                  <c:v>58.068394620360934</c:v>
                </c:pt>
              </c:numCache>
            </c:numRef>
          </c:yVal>
          <c:smooth val="1"/>
          <c:extLst>
            <c:ext xmlns:c16="http://schemas.microsoft.com/office/drawing/2014/chart" uri="{C3380CC4-5D6E-409C-BE32-E72D297353CC}">
              <c16:uniqueId val="{00000003-96BA-4F5F-BCBE-8ABDAC2F6EE3}"/>
            </c:ext>
          </c:extLst>
        </c:ser>
        <c:dLbls>
          <c:showLegendKey val="0"/>
          <c:showVal val="0"/>
          <c:showCatName val="0"/>
          <c:showSerName val="0"/>
          <c:showPercent val="0"/>
          <c:showBubbleSize val="0"/>
        </c:dLbls>
        <c:axId val="875659280"/>
        <c:axId val="734111232"/>
      </c:scatterChart>
      <c:valAx>
        <c:axId val="875659280"/>
        <c:scaling>
          <c:orientation val="minMax"/>
          <c:max val="20"/>
        </c:scaling>
        <c:delete val="0"/>
        <c:axPos val="b"/>
        <c:title>
          <c:tx>
            <c:rich>
              <a:bodyPr/>
              <a:lstStyle/>
              <a:p>
                <a:pPr>
                  <a:defRPr/>
                </a:pPr>
                <a:r>
                  <a:rPr lang="en-IN"/>
                  <a:t>Time (h)</a:t>
                </a:r>
              </a:p>
            </c:rich>
          </c:tx>
          <c:layout>
            <c:manualLayout>
              <c:xMode val="edge"/>
              <c:yMode val="edge"/>
              <c:x val="0.47114861404519559"/>
              <c:y val="0.95159828705622318"/>
            </c:manualLayout>
          </c:layout>
          <c:overlay val="0"/>
        </c:title>
        <c:numFmt formatCode="General" sourceLinked="1"/>
        <c:majorTickMark val="out"/>
        <c:minorTickMark val="none"/>
        <c:tickLblPos val="nextTo"/>
        <c:spPr>
          <a:ln>
            <a:solidFill>
              <a:schemeClr val="tx1"/>
            </a:solidFill>
          </a:ln>
        </c:spPr>
        <c:crossAx val="734111232"/>
        <c:crosses val="autoZero"/>
        <c:crossBetween val="midCat"/>
      </c:valAx>
      <c:valAx>
        <c:axId val="734111232"/>
        <c:scaling>
          <c:orientation val="minMax"/>
          <c:max val="50"/>
        </c:scaling>
        <c:delete val="0"/>
        <c:axPos val="l"/>
        <c:title>
          <c:tx>
            <c:rich>
              <a:bodyPr/>
              <a:lstStyle/>
              <a:p>
                <a:pPr>
                  <a:defRPr/>
                </a:pPr>
                <a:r>
                  <a:rPr lang="en-IN"/>
                  <a:t>Percentage Permeated </a:t>
                </a:r>
              </a:p>
            </c:rich>
          </c:tx>
          <c:layout>
            <c:manualLayout>
              <c:xMode val="edge"/>
              <c:yMode val="edge"/>
              <c:x val="6.925966588347798E-3"/>
              <c:y val="0.3034147375443913"/>
            </c:manualLayout>
          </c:layout>
          <c:overlay val="0"/>
        </c:title>
        <c:numFmt formatCode="General" sourceLinked="1"/>
        <c:majorTickMark val="out"/>
        <c:minorTickMark val="none"/>
        <c:tickLblPos val="nextTo"/>
        <c:spPr>
          <a:ln>
            <a:solidFill>
              <a:schemeClr val="tx1"/>
            </a:solidFill>
          </a:ln>
        </c:spPr>
        <c:crossAx val="875659280"/>
        <c:crosses val="autoZero"/>
        <c:crossBetween val="midCat"/>
      </c:valAx>
      <c:spPr>
        <a:ln>
          <a:solidFill>
            <a:schemeClr val="tx1"/>
          </a:solidFill>
        </a:ln>
      </c:spPr>
    </c:plotArea>
    <c:legend>
      <c:legendPos val="r"/>
      <c:layout>
        <c:manualLayout>
          <c:xMode val="edge"/>
          <c:yMode val="edge"/>
          <c:x val="0.10389538585783285"/>
          <c:y val="2.1435123377743875E-2"/>
          <c:w val="0.61226451723120412"/>
          <c:h val="0.12398273693281721"/>
        </c:manualLayout>
      </c:layout>
      <c:overlay val="0"/>
      <c:txPr>
        <a:bodyPr/>
        <a:lstStyle/>
        <a:p>
          <a:pPr>
            <a:defRPr b="1"/>
          </a:pPr>
          <a:endParaRPr lang="en-US"/>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10</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Subrata Mallick</dc:creator>
  <cp:lastModifiedBy>Admin</cp:lastModifiedBy>
  <cp:revision>48</cp:revision>
  <cp:lastPrinted>2020-05-22T09:42:00Z</cp:lastPrinted>
  <dcterms:created xsi:type="dcterms:W3CDTF">2020-05-13T09:45:00Z</dcterms:created>
  <dcterms:modified xsi:type="dcterms:W3CDTF">2020-05-22T09:43:00Z</dcterms:modified>
</cp:coreProperties>
</file>