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D19" w:rsidRDefault="002E49ED" w:rsidP="0039663F">
      <w:pPr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2E49E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 this study, we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designed and synthesized new pyrazoline derivatives. We investigated</w:t>
      </w:r>
      <w:r w:rsidRPr="002E49E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different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pharmacological </w:t>
      </w:r>
      <w:r w:rsidRPr="002E49E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activities of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pyrazoline</w:t>
      </w:r>
      <w:r w:rsidRPr="002E49ED">
        <w:rPr>
          <w:rFonts w:ascii="Times New Roman" w:hAnsi="Times New Roman" w:cs="Times New Roman"/>
          <w:noProof/>
          <w:sz w:val="24"/>
          <w:szCs w:val="24"/>
          <w:lang w:val="en-US"/>
        </w:rPr>
        <w:t>s such as antioxidant, anti-lipoxygenase and</w:t>
      </w:r>
      <w:r w:rsidR="00BB1E32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2E49E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α-g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lucosidase inhibitory effects.</w:t>
      </w:r>
      <w:r w:rsidR="003E54A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Especially, </w:t>
      </w:r>
      <w:r w:rsidR="003E54A4" w:rsidRPr="000B4E8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lipoxygenase inhibitory </w:t>
      </w:r>
      <w:r w:rsidR="003E54A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activity of all pyrazolines </w:t>
      </w:r>
      <w:r w:rsidR="00BB1E32">
        <w:rPr>
          <w:rFonts w:ascii="Times New Roman" w:hAnsi="Times New Roman" w:cs="Times New Roman"/>
          <w:noProof/>
          <w:sz w:val="24"/>
          <w:szCs w:val="24"/>
          <w:lang w:val="en-US"/>
        </w:rPr>
        <w:t>was</w:t>
      </w:r>
      <w:r w:rsidR="003E54A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found significantly higher than reference drug i</w:t>
      </w:r>
      <w:r w:rsidR="003E54A4" w:rsidRPr="007802C0">
        <w:rPr>
          <w:rFonts w:ascii="Times New Roman" w:hAnsi="Times New Roman" w:cs="Times New Roman"/>
          <w:noProof/>
          <w:sz w:val="24"/>
          <w:szCs w:val="24"/>
          <w:lang w:val="en-US"/>
        </w:rPr>
        <w:t>ndomethacin</w:t>
      </w:r>
      <w:r w:rsidR="003E54A4">
        <w:rPr>
          <w:rFonts w:ascii="Times New Roman" w:hAnsi="Times New Roman" w:cs="Times New Roman"/>
          <w:noProof/>
          <w:sz w:val="24"/>
          <w:szCs w:val="24"/>
          <w:lang w:val="en-US"/>
        </w:rPr>
        <w:t>. Also, we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3E54A4">
        <w:rPr>
          <w:rFonts w:ascii="Times New Roman" w:hAnsi="Times New Roman" w:cs="Times New Roman"/>
          <w:noProof/>
          <w:sz w:val="24"/>
          <w:szCs w:val="24"/>
          <w:lang w:val="en-US"/>
        </w:rPr>
        <w:t>calcul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ated </w:t>
      </w:r>
      <w:r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their drug-likeness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properties </w:t>
      </w:r>
      <w:r w:rsidR="00BB1E32">
        <w:rPr>
          <w:rFonts w:ascii="Times New Roman" w:hAnsi="Times New Roman" w:cs="Times New Roman"/>
          <w:noProof/>
          <w:sz w:val="24"/>
          <w:szCs w:val="24"/>
          <w:lang w:val="en-US"/>
        </w:rPr>
        <w:t>which were</w:t>
      </w:r>
      <w:r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defined as Lipinski and Veber rules.</w:t>
      </w:r>
    </w:p>
    <w:p w:rsidR="00974EA0" w:rsidRPr="00974EA0" w:rsidRDefault="00974EA0" w:rsidP="00974EA0">
      <w:pPr>
        <w:jc w:val="right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bookmarkStart w:id="0" w:name="_GoBack"/>
      <w:bookmarkEnd w:id="0"/>
      <w:r w:rsidRPr="00974EA0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Prof.Dr.Bedia Koçyiğit-Kaymakçıoğlu</w:t>
      </w:r>
    </w:p>
    <w:sectPr w:rsidR="00974EA0" w:rsidRPr="00974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0NbawNLI0NLcwsbRQ0lEKTi0uzszPAykwrAUAwNithSwAAAA="/>
  </w:docVars>
  <w:rsids>
    <w:rsidRoot w:val="0039663F"/>
    <w:rsid w:val="002E49ED"/>
    <w:rsid w:val="0039663F"/>
    <w:rsid w:val="003E54A4"/>
    <w:rsid w:val="00974EA0"/>
    <w:rsid w:val="00BB1E32"/>
    <w:rsid w:val="00BF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0396"/>
  <w15:chartTrackingRefBased/>
  <w15:docId w15:val="{0B787D46-F906-4CCE-9C30-0F2D7929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referee</dc:creator>
  <cp:keywords/>
  <dc:description/>
  <cp:lastModifiedBy>referee</cp:lastModifiedBy>
  <cp:revision>4</cp:revision>
  <dcterms:created xsi:type="dcterms:W3CDTF">2020-03-31T18:46:00Z</dcterms:created>
  <dcterms:modified xsi:type="dcterms:W3CDTF">2020-03-31T19:03:00Z</dcterms:modified>
</cp:coreProperties>
</file>