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B15" w:rsidRDefault="000053D6">
      <w:pPr>
        <w:rPr>
          <w:rStyle w:val="Krepko"/>
          <w:rFonts w:ascii="Times New Roman" w:hAnsi="Times New Roman" w:cs="Times New Roman"/>
          <w:sz w:val="24"/>
          <w:szCs w:val="24"/>
          <w:lang w:val="en-GB"/>
        </w:rPr>
      </w:pPr>
      <w:r w:rsidRPr="00243304">
        <w:rPr>
          <w:rStyle w:val="Krepko"/>
          <w:rFonts w:ascii="Times New Roman" w:hAnsi="Times New Roman" w:cs="Times New Roman"/>
          <w:sz w:val="24"/>
          <w:szCs w:val="24"/>
          <w:lang w:val="en-GB"/>
        </w:rPr>
        <w:t>List of suggested reviewers</w:t>
      </w:r>
    </w:p>
    <w:p w:rsidR="00243304" w:rsidRPr="00243304" w:rsidRDefault="00243304">
      <w:pPr>
        <w:rPr>
          <w:rStyle w:val="Krepko"/>
          <w:rFonts w:ascii="Times New Roman" w:hAnsi="Times New Roman" w:cs="Times New Roman"/>
          <w:sz w:val="24"/>
          <w:szCs w:val="24"/>
          <w:lang w:val="en-GB"/>
        </w:rPr>
      </w:pPr>
    </w:p>
    <w:p w:rsidR="008020AE" w:rsidRPr="00243304" w:rsidRDefault="005540BF" w:rsidP="00243304">
      <w:pPr>
        <w:pStyle w:val="Naslov1"/>
        <w:numPr>
          <w:ilvl w:val="0"/>
          <w:numId w:val="3"/>
        </w:numPr>
        <w:spacing w:line="240" w:lineRule="auto"/>
        <w:rPr>
          <w:rFonts w:ascii="Times New Roman" w:eastAsiaTheme="minorHAnsi" w:hAnsi="Times New Roman" w:cs="Times New Roman"/>
          <w:b/>
          <w:i/>
          <w:color w:val="auto"/>
          <w:sz w:val="24"/>
          <w:szCs w:val="24"/>
        </w:rPr>
      </w:pPr>
      <w:bookmarkStart w:id="0" w:name="bau1"/>
      <w:r w:rsidRPr="00163A65">
        <w:rPr>
          <w:rStyle w:val="text"/>
          <w:rFonts w:ascii="Times New Roman" w:hAnsi="Times New Roman" w:cs="Times New Roman"/>
          <w:b/>
          <w:color w:val="auto"/>
          <w:sz w:val="24"/>
          <w:szCs w:val="24"/>
          <w:u w:val="single"/>
        </w:rPr>
        <w:t>Irantzu Pérez-Ruiz</w:t>
      </w:r>
      <w:bookmarkEnd w:id="0"/>
      <w:r w:rsidRPr="00243304">
        <w:rPr>
          <w:rStyle w:val="text"/>
          <w:rFonts w:ascii="Times New Roman" w:hAnsi="Times New Roman" w:cs="Times New Roman"/>
          <w:b/>
          <w:color w:val="auto"/>
          <w:sz w:val="24"/>
          <w:szCs w:val="24"/>
        </w:rPr>
        <w:t xml:space="preserve">; </w:t>
      </w:r>
      <w:r w:rsidRPr="00243304">
        <w:rPr>
          <w:rFonts w:ascii="Times New Roman" w:hAnsi="Times New Roman" w:cs="Times New Roman"/>
          <w:i/>
          <w:color w:val="auto"/>
          <w:sz w:val="24"/>
          <w:szCs w:val="24"/>
        </w:rPr>
        <w:t>irantzuperez0@gmail.com</w:t>
      </w:r>
    </w:p>
    <w:p w:rsidR="005540BF" w:rsidRPr="00243304" w:rsidRDefault="00163A65" w:rsidP="00243304">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w:t>
      </w:r>
      <w:r w:rsidR="005540BF" w:rsidRPr="00243304">
        <w:rPr>
          <w:rFonts w:ascii="Times New Roman" w:eastAsia="Times New Roman" w:hAnsi="Times New Roman" w:cs="Times New Roman"/>
          <w:sz w:val="24"/>
          <w:szCs w:val="24"/>
          <w:lang w:eastAsia="sl-SI"/>
        </w:rPr>
        <w:t>Free Radicals and Oxidative Stress (FROS) Research Group of the Department of Physiology, Medicine and Nursing School, University of the Basque Country UPV/EHU, 48940, Leioa, Bizkaia, Spain</w:t>
      </w:r>
    </w:p>
    <w:p w:rsidR="005540BF" w:rsidRPr="00243304" w:rsidRDefault="005540BF" w:rsidP="00243304">
      <w:pPr>
        <w:spacing w:after="0" w:line="240" w:lineRule="auto"/>
        <w:rPr>
          <w:rFonts w:ascii="Times New Roman" w:eastAsia="Times New Roman" w:hAnsi="Times New Roman" w:cs="Times New Roman"/>
          <w:sz w:val="24"/>
          <w:szCs w:val="24"/>
          <w:lang w:eastAsia="sl-SI"/>
        </w:rPr>
      </w:pPr>
    </w:p>
    <w:p w:rsidR="005540BF" w:rsidRPr="00243304" w:rsidRDefault="00163A65" w:rsidP="00243304">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w:t>
      </w:r>
      <w:r w:rsidR="005540BF" w:rsidRPr="00243304">
        <w:rPr>
          <w:rFonts w:ascii="Times New Roman" w:eastAsia="Times New Roman" w:hAnsi="Times New Roman" w:cs="Times New Roman"/>
          <w:sz w:val="24"/>
          <w:szCs w:val="24"/>
          <w:lang w:eastAsia="sl-SI"/>
        </w:rPr>
        <w:t>Biocruces Bizkaia Health Research Institute, Plaza de Cruces 12, 48903, Barakaldo, Bizkaia, Spain</w:t>
      </w:r>
    </w:p>
    <w:p w:rsidR="00163A65" w:rsidRPr="00163A65" w:rsidRDefault="00163A65" w:rsidP="00163A65">
      <w:pPr>
        <w:rPr>
          <w:rFonts w:ascii="Times New Roman" w:eastAsia="Times New Roman" w:hAnsi="Times New Roman" w:cs="Times New Roman"/>
          <w:sz w:val="24"/>
          <w:szCs w:val="24"/>
          <w:lang w:eastAsia="sl-SI"/>
        </w:rPr>
      </w:pPr>
      <w:r>
        <w:rPr>
          <w:rFonts w:ascii="Times New Roman" w:hAnsi="Times New Roman" w:cs="Times New Roman"/>
          <w:b/>
          <w:bCs/>
          <w:sz w:val="24"/>
          <w:szCs w:val="24"/>
          <w:lang w:val="en-GB"/>
        </w:rPr>
        <w:t xml:space="preserve">Field of expertise: </w:t>
      </w:r>
      <w:hyperlink r:id="rId8" w:history="1">
        <w:r w:rsidRPr="00163A65">
          <w:rPr>
            <w:rFonts w:ascii="Times New Roman" w:eastAsia="Times New Roman" w:hAnsi="Times New Roman" w:cs="Times New Roman"/>
            <w:sz w:val="24"/>
            <w:szCs w:val="24"/>
            <w:lang w:eastAsia="sl-SI"/>
          </w:rPr>
          <w:t>Reproductive Biology</w:t>
        </w:r>
      </w:hyperlink>
      <w:r>
        <w:rPr>
          <w:rFonts w:ascii="Times New Roman" w:eastAsia="Times New Roman" w:hAnsi="Times New Roman" w:cs="Times New Roman"/>
          <w:sz w:val="24"/>
          <w:szCs w:val="24"/>
          <w:lang w:eastAsia="sl-SI"/>
        </w:rPr>
        <w:t xml:space="preserve">, </w:t>
      </w:r>
      <w:hyperlink r:id="rId9" w:history="1">
        <w:r w:rsidRPr="00163A65">
          <w:rPr>
            <w:rFonts w:ascii="Times New Roman" w:eastAsia="Times New Roman" w:hAnsi="Times New Roman" w:cs="Times New Roman"/>
            <w:sz w:val="24"/>
            <w:szCs w:val="24"/>
            <w:lang w:eastAsia="sl-SI"/>
          </w:rPr>
          <w:t>Ovarian Stimulation</w:t>
        </w:r>
      </w:hyperlink>
      <w:r>
        <w:rPr>
          <w:rFonts w:ascii="Times New Roman" w:eastAsia="Times New Roman" w:hAnsi="Times New Roman" w:cs="Times New Roman"/>
          <w:sz w:val="24"/>
          <w:szCs w:val="24"/>
          <w:lang w:eastAsia="sl-SI"/>
        </w:rPr>
        <w:t xml:space="preserve">, </w:t>
      </w:r>
      <w:hyperlink r:id="rId10" w:history="1">
        <w:r w:rsidRPr="00163A65">
          <w:rPr>
            <w:rFonts w:ascii="Times New Roman" w:eastAsia="Times New Roman" w:hAnsi="Times New Roman" w:cs="Times New Roman"/>
            <w:sz w:val="24"/>
            <w:szCs w:val="24"/>
            <w:lang w:eastAsia="sl-SI"/>
          </w:rPr>
          <w:t>Follicular Fluid</w:t>
        </w:r>
      </w:hyperlink>
      <w:r>
        <w:rPr>
          <w:rFonts w:ascii="Times New Roman" w:eastAsia="Times New Roman" w:hAnsi="Times New Roman" w:cs="Times New Roman"/>
          <w:sz w:val="24"/>
          <w:szCs w:val="24"/>
          <w:lang w:eastAsia="sl-SI"/>
        </w:rPr>
        <w:t xml:space="preserve">, </w:t>
      </w:r>
      <w:hyperlink r:id="rId11" w:history="1">
        <w:r w:rsidRPr="00163A65">
          <w:rPr>
            <w:rFonts w:ascii="Times New Roman" w:eastAsia="Times New Roman" w:hAnsi="Times New Roman" w:cs="Times New Roman"/>
            <w:sz w:val="24"/>
            <w:szCs w:val="24"/>
            <w:lang w:eastAsia="sl-SI"/>
          </w:rPr>
          <w:t>In Vitro Fertilization</w:t>
        </w:r>
      </w:hyperlink>
      <w:r>
        <w:rPr>
          <w:rFonts w:ascii="Times New Roman" w:eastAsia="Times New Roman" w:hAnsi="Times New Roman" w:cs="Times New Roman"/>
          <w:sz w:val="24"/>
          <w:szCs w:val="24"/>
          <w:lang w:eastAsia="sl-SI"/>
        </w:rPr>
        <w:t xml:space="preserve">, </w:t>
      </w:r>
      <w:hyperlink r:id="rId12" w:history="1">
        <w:r w:rsidRPr="00163A65">
          <w:rPr>
            <w:rFonts w:ascii="Times New Roman" w:eastAsia="Times New Roman" w:hAnsi="Times New Roman" w:cs="Times New Roman"/>
            <w:sz w:val="24"/>
            <w:szCs w:val="24"/>
            <w:lang w:eastAsia="sl-SI"/>
          </w:rPr>
          <w:t>Infertility</w:t>
        </w:r>
      </w:hyperlink>
      <w:r>
        <w:rPr>
          <w:rFonts w:ascii="Times New Roman" w:eastAsia="Times New Roman" w:hAnsi="Times New Roman" w:cs="Times New Roman"/>
          <w:sz w:val="24"/>
          <w:szCs w:val="24"/>
          <w:lang w:eastAsia="sl-SI"/>
        </w:rPr>
        <w:t xml:space="preserve">, </w:t>
      </w:r>
      <w:hyperlink r:id="rId13" w:history="1">
        <w:r w:rsidRPr="00163A65">
          <w:rPr>
            <w:rFonts w:ascii="Times New Roman" w:eastAsia="Times New Roman" w:hAnsi="Times New Roman" w:cs="Times New Roman"/>
            <w:sz w:val="24"/>
            <w:szCs w:val="24"/>
            <w:lang w:eastAsia="sl-SI"/>
          </w:rPr>
          <w:t>Oocytes</w:t>
        </w:r>
      </w:hyperlink>
    </w:p>
    <w:p w:rsidR="005171FA" w:rsidRPr="00243304" w:rsidRDefault="00243304" w:rsidP="00243304">
      <w:pPr>
        <w:spacing w:after="0" w:line="240" w:lineRule="auto"/>
        <w:rPr>
          <w:rFonts w:ascii="Times New Roman" w:eastAsia="Times New Roman" w:hAnsi="Times New Roman" w:cs="Times New Roman"/>
          <w:sz w:val="24"/>
          <w:szCs w:val="24"/>
          <w:lang w:eastAsia="sl-SI"/>
        </w:rPr>
      </w:pPr>
      <w:r w:rsidRPr="00243304">
        <w:rPr>
          <w:rFonts w:ascii="Times New Roman" w:hAnsi="Times New Roman" w:cs="Times New Roman"/>
          <w:b/>
          <w:bCs/>
          <w:sz w:val="24"/>
          <w:szCs w:val="24"/>
          <w:lang w:val="en-GB"/>
        </w:rPr>
        <w:t>References-</w:t>
      </w:r>
      <w:r w:rsidRPr="00243304">
        <w:rPr>
          <w:rFonts w:ascii="Times New Roman" w:hAnsi="Times New Roman" w:cs="Times New Roman"/>
          <w:sz w:val="24"/>
          <w:szCs w:val="24"/>
          <w:lang w:val="en-GB"/>
        </w:rPr>
        <w:t xml:space="preserve"> </w:t>
      </w:r>
      <w:r w:rsidRPr="00243304">
        <w:rPr>
          <w:rStyle w:val="Sprotnaopomba-sklic"/>
          <w:rFonts w:ascii="Times New Roman" w:hAnsi="Times New Roman" w:cs="Times New Roman"/>
          <w:sz w:val="24"/>
          <w:szCs w:val="24"/>
          <w:lang w:val="en-GB"/>
        </w:rPr>
        <w:fldChar w:fldCharType="begin" w:fldLock="1"/>
      </w:r>
      <w:r w:rsidR="00163A65">
        <w:rPr>
          <w:rFonts w:ascii="Times New Roman" w:hAnsi="Times New Roman" w:cs="Times New Roman"/>
          <w:sz w:val="24"/>
          <w:szCs w:val="24"/>
          <w:lang w:val="en-GB"/>
        </w:rPr>
        <w:instrText>ADDIN CSL_CITATION {"citationItems":[{"id":"ITEM-1","itemData":{"DOI":"10.1016/j.freeradbiomed.2009.12.015","ISSN":"1873-4596","PMID":"20036736","abstract":"The oxidative stress theory of aging predicts that manipulations that alter oxidative stress/damage will alter aging. The gold standard for determining whether aging is altered is life span, i.e., does altering oxidative stress/damage change life span? Mice with genetic manipulations in their antioxidant defense system designed to directly address this prediction have, with few exceptions, shown no change in life span. However, when these transgenic/knockout mice are tested using models that develop various types of age-related pathology, they show alterations in progression and/or severity of pathology as predicted by the oxidative stress theory: increased oxidative stress accelerates pathology and reduced oxidative stress retards pathology. These contradictory observations might mean that (a) oxidative stress plays a very limited, if any, role in aging but a major role in health span and/or (b) the role that oxidative stress plays in aging depends on environment. In environments with minimal stress, as expected under optimal husbandry, oxidative damage plays little role in aging. However, under chronic stress, including pathological phenotypes that diminish optimal health, oxidative stress/damage plays a major role in aging. Under these conditions, enhanced antioxidant defenses exert an \"antiaging\" action, leading to changes in life span, age-related pathology, and physiological function as predicted by the oxidative stress theory of aging.","author":[{"dropping-particle":"","family":"Salmon","given":"Adam B","non-dropping-particle":"","parse-names":false,"suffix":""},{"dropping-particle":"","family":"Richardson","given":"Arlan","non-dropping-particle":"","parse-names":false,"suffix":""},{"dropping-particle":"","family":"Pérez","given":"Viviana I","non-dropping-particle":"","parse-names":false,"suffix":""}],"container-title":"Free radical biology &amp; medicine","id":"ITEM-1","issue":"5","issued":{"date-parts":[["2010","3","1"]]},"page":"642-55","title":"Update on the oxidative stress theory of aging: does oxidative stress play a role in aging or healthy aging?","type":"article-journal","volume":"48"},"uris":["http://www.mendeley.com/documents/?uuid=67451bb6-cdb8-4cfd-ad5d-1ba50a2d5e12"]},{"id":"ITEM-2","itemData":{"DOI":"10.1016/j.rbmo.2017.06.008","ISSN":"14726491","abstract":"The paraoxonases (PONs) are antioxidant enzymes associated with beneficial effects against several diseases and some exposures. Little is known, however, about the role of PONs in human reproduction. This work was conducted to investigate whether any association existed between the activities of the PON enzymes (1, 2, and 3) with the follicular size and fertility parameters in assisted reproduction. The study included 100 subfertile women (patients) and 55 proven fertile women (oocyte donors), all undergoing an ovarian stimulation cycle. Follicular fluid from small (diameter &lt;12 mm) and large (diameter ≥18 mm) follicles was collected from each woman. The PONs were quantified in follicular fluid by immunoblotting. PON1 arylesterase and paraoxonase, PON2 methyl paraoxonase and PON3 simvastatinase activities from both donors and patients were significantly higher (P &lt; 0.001) in follicular fluid from large follicles compared with small ones. In large follicles, PON3 activity was significantly higher (P &lt; 0.01) in donors compared with patients. Follicular fluid PON1 arylesterase and paraoxonase activity was positively correlated with the number of retrieved oocytes in donors. This study shows an increase in the activities of PONs with follicle size, thus providing indirect evidence for the role of PONs in follicle maturation.","author":[{"dropping-particle":"","family":"Meijide","given":"Susana","non-dropping-particle":"","parse-names":false,"suffix":""},{"dropping-particle":"","family":"Pérez-Ruiz","given":"Irantzu","non-dropping-particle":"","parse-names":false,"suffix":""},{"dropping-particle":"","family":"Hernández","given":"M. Luisa","non-dropping-particle":"","parse-names":false,"suffix":""},{"dropping-particle":"","family":"Navarro","given":"Rosaura","non-dropping-particle":"","parse-names":false,"suffix":""},{"dropping-particle":"","family":"Ferrando","given":"Marcos","non-dropping-particle":"","parse-names":false,"suffix":""},{"dropping-particle":"","family":"Larreategui","given":"Zaloa","non-dropping-particle":"","parse-names":false,"suffix":""},{"dropping-particle":"","family":"Ruiz-Sanz","given":"José Ignacio","non-dropping-particle":"","parse-names":false,"suffix":""},{"dropping-particle":"","family":"Ruiz-Larrea","given":"M. Begoña","non-dropping-particle":"","parse-names":false,"suffix":""}],"container-title":"Reproductive BioMedicine Online","id":"ITEM-2","issue":"4","issued":{"date-parts":[["2017","10","1"]]},"page":"351-362","publisher":"Elsevier Ltd","title":"Paraoxonase activities in human follicular fluid: role in follicular maturation","type":"article-journal","volume":"35"},"uris":["http://www.mendeley.com/documents/?uuid=a484ef0f-494e-3089-b01e-b4b8a4b28073"]}],"mendeley":{"formattedCitation":"[1], [2]","plainTextFormattedCitation":"[1], [2]","previouslyFormattedCitation":"&lt;sup&gt;1,2&lt;/sup&gt;"},"properties":{"noteIndex":0},"schema":"https://github.com/citation-style-language/schema/raw/master/csl-citation.json"}</w:instrText>
      </w:r>
      <w:r w:rsidRPr="00243304">
        <w:rPr>
          <w:rStyle w:val="Sprotnaopomba-sklic"/>
          <w:rFonts w:ascii="Times New Roman" w:hAnsi="Times New Roman" w:cs="Times New Roman"/>
          <w:sz w:val="24"/>
          <w:szCs w:val="24"/>
          <w:lang w:val="en-GB"/>
        </w:rPr>
        <w:fldChar w:fldCharType="separate"/>
      </w:r>
      <w:r w:rsidR="00163A65" w:rsidRPr="00163A65">
        <w:rPr>
          <w:rFonts w:ascii="Times New Roman" w:hAnsi="Times New Roman" w:cs="Times New Roman"/>
          <w:noProof/>
          <w:sz w:val="24"/>
          <w:szCs w:val="24"/>
          <w:lang w:val="en-GB"/>
        </w:rPr>
        <w:t>[1], [2]</w:t>
      </w:r>
      <w:r w:rsidRPr="00243304">
        <w:rPr>
          <w:rStyle w:val="Sprotnaopomba-sklic"/>
          <w:rFonts w:ascii="Times New Roman" w:hAnsi="Times New Roman" w:cs="Times New Roman"/>
          <w:sz w:val="24"/>
          <w:szCs w:val="24"/>
          <w:lang w:val="en-GB"/>
        </w:rPr>
        <w:fldChar w:fldCharType="end"/>
      </w:r>
    </w:p>
    <w:p w:rsidR="005540BF" w:rsidRPr="00243304" w:rsidRDefault="005540BF" w:rsidP="00243304">
      <w:pPr>
        <w:spacing w:line="240" w:lineRule="auto"/>
        <w:rPr>
          <w:rFonts w:ascii="Times New Roman" w:hAnsi="Times New Roman" w:cs="Times New Roman"/>
          <w:sz w:val="24"/>
          <w:szCs w:val="24"/>
        </w:rPr>
      </w:pPr>
    </w:p>
    <w:p w:rsidR="00415683" w:rsidRPr="00243304" w:rsidRDefault="00415683" w:rsidP="00243304">
      <w:pPr>
        <w:pStyle w:val="Naslov4"/>
        <w:numPr>
          <w:ilvl w:val="0"/>
          <w:numId w:val="3"/>
        </w:numPr>
        <w:spacing w:line="240" w:lineRule="auto"/>
        <w:rPr>
          <w:rStyle w:val="text"/>
          <w:rFonts w:ascii="Times New Roman" w:hAnsi="Times New Roman" w:cs="Times New Roman"/>
          <w:b/>
          <w:bCs/>
          <w:i w:val="0"/>
          <w:iCs w:val="0"/>
          <w:color w:val="auto"/>
          <w:sz w:val="24"/>
          <w:szCs w:val="24"/>
        </w:rPr>
      </w:pPr>
      <w:r w:rsidRPr="00163A65">
        <w:rPr>
          <w:rStyle w:val="text"/>
          <w:rFonts w:ascii="Times New Roman" w:hAnsi="Times New Roman" w:cs="Times New Roman"/>
          <w:b/>
          <w:bCs/>
          <w:i w:val="0"/>
          <w:iCs w:val="0"/>
          <w:color w:val="auto"/>
          <w:sz w:val="24"/>
          <w:szCs w:val="24"/>
          <w:u w:val="single"/>
        </w:rPr>
        <w:t>Riddhi Thaker</w:t>
      </w:r>
      <w:r w:rsidR="005171FA" w:rsidRPr="00243304">
        <w:rPr>
          <w:rStyle w:val="text"/>
          <w:rFonts w:ascii="Times New Roman" w:hAnsi="Times New Roman" w:cs="Times New Roman"/>
          <w:b/>
          <w:bCs/>
          <w:i w:val="0"/>
          <w:iCs w:val="0"/>
          <w:color w:val="auto"/>
          <w:sz w:val="24"/>
          <w:szCs w:val="24"/>
        </w:rPr>
        <w:t xml:space="preserve">; </w:t>
      </w:r>
      <w:r w:rsidR="005171FA" w:rsidRPr="00243304">
        <w:rPr>
          <w:rStyle w:val="orcid-id-https"/>
          <w:rFonts w:ascii="Times New Roman" w:hAnsi="Times New Roman" w:cs="Times New Roman"/>
          <w:color w:val="494A4C"/>
          <w:sz w:val="24"/>
          <w:szCs w:val="24"/>
          <w:shd w:val="clear" w:color="auto" w:fill="FFFFFF"/>
        </w:rPr>
        <w:t>https://orcid.org/0000-0002-2336-7142</w:t>
      </w:r>
    </w:p>
    <w:p w:rsidR="00243304" w:rsidRDefault="00415683" w:rsidP="00243304">
      <w:pPr>
        <w:pStyle w:val="Naslov4"/>
        <w:spacing w:line="240" w:lineRule="auto"/>
        <w:rPr>
          <w:rFonts w:ascii="Times New Roman" w:eastAsia="Times New Roman" w:hAnsi="Times New Roman" w:cs="Times New Roman"/>
          <w:i w:val="0"/>
          <w:iCs w:val="0"/>
          <w:color w:val="auto"/>
          <w:sz w:val="24"/>
          <w:szCs w:val="24"/>
          <w:lang w:eastAsia="sl-SI"/>
        </w:rPr>
      </w:pPr>
      <w:r w:rsidRPr="00243304">
        <w:rPr>
          <w:rFonts w:ascii="Times New Roman" w:eastAsia="Times New Roman" w:hAnsi="Times New Roman" w:cs="Times New Roman"/>
          <w:i w:val="0"/>
          <w:iCs w:val="0"/>
          <w:color w:val="auto"/>
          <w:sz w:val="24"/>
          <w:szCs w:val="24"/>
          <w:lang w:eastAsia="sl-SI"/>
        </w:rPr>
        <w:t>Division of Reproductive &amp; Cyto-toxicology, National Institute of Occupational Health, (ICMR), Ahmedabad, India</w:t>
      </w:r>
    </w:p>
    <w:p w:rsidR="00163A65" w:rsidRPr="00D52E1C" w:rsidRDefault="00163A65" w:rsidP="00D52E1C">
      <w:pPr>
        <w:rPr>
          <w:rFonts w:ascii="Times New Roman" w:eastAsia="Times New Roman" w:hAnsi="Times New Roman" w:cs="Times New Roman"/>
          <w:sz w:val="24"/>
          <w:szCs w:val="24"/>
          <w:lang w:eastAsia="sl-SI"/>
        </w:rPr>
      </w:pPr>
      <w:r>
        <w:rPr>
          <w:rFonts w:ascii="Times New Roman" w:hAnsi="Times New Roman" w:cs="Times New Roman"/>
          <w:b/>
          <w:bCs/>
          <w:sz w:val="24"/>
          <w:szCs w:val="24"/>
          <w:lang w:val="en-GB"/>
        </w:rPr>
        <w:t>Field of expertise:</w:t>
      </w:r>
      <w:r w:rsidR="00D52E1C">
        <w:rPr>
          <w:rFonts w:ascii="Times New Roman" w:hAnsi="Times New Roman" w:cs="Times New Roman"/>
          <w:b/>
          <w:bCs/>
          <w:sz w:val="24"/>
          <w:szCs w:val="24"/>
          <w:lang w:val="en-GB"/>
        </w:rPr>
        <w:t xml:space="preserve"> </w:t>
      </w:r>
      <w:r w:rsidR="00D52E1C" w:rsidRPr="00D52E1C">
        <w:rPr>
          <w:rFonts w:ascii="Times New Roman" w:eastAsia="Times New Roman" w:hAnsi="Times New Roman" w:cs="Times New Roman"/>
          <w:sz w:val="24"/>
          <w:szCs w:val="24"/>
          <w:lang w:eastAsia="sl-SI"/>
        </w:rPr>
        <w:t>Sponta</w:t>
      </w:r>
      <w:r w:rsidR="00D52E1C">
        <w:rPr>
          <w:rFonts w:ascii="Times New Roman" w:eastAsia="Times New Roman" w:hAnsi="Times New Roman" w:cs="Times New Roman"/>
          <w:sz w:val="24"/>
          <w:szCs w:val="24"/>
          <w:lang w:eastAsia="sl-SI"/>
        </w:rPr>
        <w:t>neous abortion; Preterm birth; In Vitro F</w:t>
      </w:r>
      <w:r w:rsidR="00D52E1C" w:rsidRPr="00D52E1C">
        <w:rPr>
          <w:rFonts w:ascii="Times New Roman" w:eastAsia="Times New Roman" w:hAnsi="Times New Roman" w:cs="Times New Roman"/>
          <w:sz w:val="24"/>
          <w:szCs w:val="24"/>
          <w:lang w:eastAsia="sl-SI"/>
        </w:rPr>
        <w:t>ertilization</w:t>
      </w:r>
      <w:r w:rsidR="00D52E1C">
        <w:rPr>
          <w:rFonts w:ascii="Times New Roman" w:eastAsia="Times New Roman" w:hAnsi="Times New Roman" w:cs="Times New Roman"/>
          <w:sz w:val="24"/>
          <w:szCs w:val="24"/>
          <w:lang w:eastAsia="sl-SI"/>
        </w:rPr>
        <w:t>, Oxidative stress</w:t>
      </w:r>
    </w:p>
    <w:p w:rsidR="00ED03C1" w:rsidRPr="00243304" w:rsidRDefault="00243304" w:rsidP="00243304">
      <w:pPr>
        <w:spacing w:line="240" w:lineRule="auto"/>
        <w:rPr>
          <w:rFonts w:ascii="Times New Roman" w:hAnsi="Times New Roman" w:cs="Times New Roman"/>
          <w:sz w:val="24"/>
          <w:szCs w:val="24"/>
          <w:lang w:eastAsia="sl-SI"/>
        </w:rPr>
      </w:pPr>
      <w:r w:rsidRPr="00243304">
        <w:rPr>
          <w:rFonts w:ascii="Times New Roman" w:hAnsi="Times New Roman" w:cs="Times New Roman"/>
          <w:b/>
          <w:bCs/>
          <w:sz w:val="24"/>
          <w:szCs w:val="24"/>
          <w:lang w:val="en-GB"/>
        </w:rPr>
        <w:t xml:space="preserve">References- </w:t>
      </w:r>
      <w:r w:rsidR="00ED03C1" w:rsidRPr="00243304">
        <w:rPr>
          <w:rFonts w:ascii="Times New Roman" w:hAnsi="Times New Roman" w:cs="Times New Roman"/>
          <w:sz w:val="24"/>
          <w:szCs w:val="24"/>
          <w:lang w:eastAsia="sl-SI"/>
        </w:rPr>
        <w:fldChar w:fldCharType="begin" w:fldLock="1"/>
      </w:r>
      <w:r w:rsidR="00163A65">
        <w:rPr>
          <w:rFonts w:ascii="Times New Roman" w:hAnsi="Times New Roman" w:cs="Times New Roman"/>
          <w:sz w:val="24"/>
          <w:szCs w:val="24"/>
          <w:lang w:eastAsia="sl-SI"/>
        </w:rPr>
        <w:instrText>ADDIN CSL_CITATION {"citationItems":[{"id":"ITEM-1","itemData":{"DOI":"10.4103/ijmr.IJMR_1864_17","ISSN":"09715916","abstract":"Background &amp; objectives: Oxidative stress, lifestyle factors as also exposure to certain environmental factors are known to affect the fertility status in human beings. The aim of this study was to evaluate the role of OS and lifestyle and environmental factors affecting IVF outcome. Methods: A total of 253 couples were included, and biological samples such as blood, follicular fluid (FF), cumulus cells and semen were collected. Relevant biochemical parameters and metals namely lead (Pb), cadmium (Cd), copper (Cu) and zinc (Zn) were determined in the biological samples. β-human chorionic gonadotropin levels ≥100 IU/l were considered to predict viable pregnancy on the 15 th day of embryo transfer (ET). Results: The mean body mass index (BMI) was significantly lower in females with positive IVF outcome compared to those with negative outcome. Couples residing in the residential area showed more percentage of positive IVF outcomes as compared to couples residing in industrial/agricultural area. FF Zn level was significantly higher (P&lt;0.001) among the females' participants who have undergone ET as compared to those who have not undergone ET. FF MDA and serum Cu levels were significantly higher (P&lt;0.05) in the female participants with negative IVF outcome as compared to positive IVF outcome. Logistic regression revealed that maternal BMI (P=0.034) and FF MDA level (P=0.047) were significantly associated with the IVF outcome. Interpretation &amp; conclusions: The success rate of IVF was about 31.8 per cent, and BMI was significantly lower in females with positive outcome. The higher levels of MDA in FF and SP might have a negative impact on IVF outcome, higher Zn level in SP, FF and serum might have a positive role in embryo transfer as well as IVF outcome. The role of stress management and nutrition supplementation during the IVF treatment may be explored.","author":[{"dropping-particle":"","family":"Kumar","given":"Sunil","non-dropping-particle":"","parse-names":false,"suffix":""},{"dropping-particle":"","family":"Mishra","given":"Vineet","non-dropping-particle":"","parse-names":false,"suffix":""},{"dropping-particle":"","family":"Thaker","given":"Riddhi","non-dropping-particle":"","parse-names":false,"suffix":""},{"dropping-particle":"","family":"Gor","given":"Mansi","non-dropping-particle":"","parse-names":false,"suffix":""},{"dropping-particle":"","family":"Perumal","given":"Siva","non-dropping-particle":"","parse-names":false,"suffix":""},{"dropping-particle":"","family":"Joshi","given":"Pratiksha","non-dropping-particle":"","parse-names":false,"suffix":""},{"dropping-particle":"","family":"Sheth","given":"Hardik","non-dropping-particle":"","parse-names":false,"suffix":""},{"dropping-particle":"","family":"Shaikh","given":"Idrish","non-dropping-particle":"","parse-names":false,"suffix":""},{"dropping-particle":"","family":"Gautam","given":"Anil K.","non-dropping-particle":"","parse-names":false,"suffix":""},{"dropping-particle":"","family":"Verma","given":"Yogendra","non-dropping-particle":"","parse-names":false,"suffix":""}],"container-title":"Indian Journal of Medical Research","id":"ITEM-1","issue":"7","issued":{"date-parts":[["2018","12","1"]]},"page":"125-133","publisher":"Wolters Kluwer Medknow Publications","title":"Role of environmental factors &amp; oxidative stress with respect to in vitro fertilization outcome","type":"article-journal","volume":"148"},"uris":["http://www.mendeley.com/documents/?uuid=1895f9c6-49bc-318a-9657-806474cfd9cf"]},{"id":"ITEM-2","itemData":{"DOI":"10.1080/14647273.2018.1551630","ISSN":"17428149","abstract":"The study was conducted on a population of 203 women attending the IVF clinic, Ahmedabad, India, to explore the role of stimulation protocol and the number of oocytes retrieved on oxidative stress in follicular fluid and IVF outcome. Follicular fluid was collected during ovum pick-up to determine the oxidative stress markers: superoxide dismutase (SOD), malondialdehyde (MDA), glutathione (GSH), total thiols (TT), l-ascorbic acid (AA), total protein, glutathione S-transferase (GST) and glutathione reductase (GRD). The average number of oocytes retrieved was significantly higher in the women receiving a long GnRH agonist protocol compared to GnRH antagonist protocol while the percentage of women with positive IVF outcome was lower in the long agonist protocol. The level of total thiols was significantly lower in the group of women administered a short agonist protocol. The proportion of ETs carried out and positive IVF outcome were higher following retrieval of an intermediate number of oocytes (6–10 oocytes) compared to a lower (0–5 oocytes) and higher (&gt;10 oocytes) number. Mean glutathione reductase (GRD) activity in follicular fluid was significantly elevated in the intermediate (6–10) and higher (&gt;10) oocyte retrieval groups compared to the lower oocyte retrieval group. Positive IVF outcomes were highest when oocyte retrieval was in the range of 6–10 oocytes, and the level of MDA was lower (1.76 ± 0.13 nmol/ml) as compared to 0–5 and &gt;10 oocytes retrieved groups.","author":[{"dropping-particle":"","family":"Thaker","given":"Riddhi","non-dropping-particle":"","parse-names":false,"suffix":""},{"dropping-particle":"","family":"Mishra","given":"Vineet","non-dropping-particle":"","parse-names":false,"suffix":""},{"dropping-particle":"","family":"Gor","given":"Mansi","non-dropping-particle":"","parse-names":false,"suffix":""},{"dropping-particle":"","family":"Agarwal","given":"Rohina","non-dropping-particle":"","parse-names":false,"suffix":""},{"dropping-particle":"","family":"Sheth","given":"Hardik","non-dropping-particle":"","parse-names":false,"suffix":""},{"dropping-particle":"","family":"Kapadia","given":"Prakruti","non-dropping-particle":"","parse-names":false,"suffix":""},{"dropping-particle":"","family":"Kumar","given":"Sunil","non-dropping-particle":"","parse-names":false,"suffix":""}],"container-title":"Human Fertility","id":"ITEM-2","issued":{"date-parts":[["2018"]]},"publisher":"Taylor and Francis Ltd","title":"The role of stimulation protocol, number of oocytes retrieved with respect to follicular fluid oxidative stress and IVF outcome","type":"article-journal"},"uris":["http://www.mendeley.com/documents/?uuid=a1e27de6-853a-35ec-8672-382975f610db"]}],"mendeley":{"formattedCitation":"[3], [4]","plainTextFormattedCitation":"[3], [4]","previouslyFormattedCitation":"&lt;sup&gt;3,4&lt;/sup&gt;"},"properties":{"noteIndex":0},"schema":"https://github.com/citation-style-language/schema/raw/master/csl-citation.json"}</w:instrText>
      </w:r>
      <w:r w:rsidR="00ED03C1" w:rsidRPr="00243304">
        <w:rPr>
          <w:rFonts w:ascii="Times New Roman" w:hAnsi="Times New Roman" w:cs="Times New Roman"/>
          <w:sz w:val="24"/>
          <w:szCs w:val="24"/>
          <w:lang w:eastAsia="sl-SI"/>
        </w:rPr>
        <w:fldChar w:fldCharType="separate"/>
      </w:r>
      <w:r w:rsidR="00163A65" w:rsidRPr="00163A65">
        <w:rPr>
          <w:rFonts w:ascii="Times New Roman" w:hAnsi="Times New Roman" w:cs="Times New Roman"/>
          <w:bCs/>
          <w:noProof/>
          <w:sz w:val="24"/>
          <w:szCs w:val="24"/>
          <w:lang w:val="en-GB"/>
        </w:rPr>
        <w:t>[3], [4]</w:t>
      </w:r>
      <w:r w:rsidR="00ED03C1" w:rsidRPr="00243304">
        <w:rPr>
          <w:rFonts w:ascii="Times New Roman" w:hAnsi="Times New Roman" w:cs="Times New Roman"/>
          <w:sz w:val="24"/>
          <w:szCs w:val="24"/>
          <w:lang w:eastAsia="sl-SI"/>
        </w:rPr>
        <w:fldChar w:fldCharType="end"/>
      </w:r>
    </w:p>
    <w:p w:rsidR="00ED03C1" w:rsidRPr="00243304" w:rsidRDefault="00ED03C1" w:rsidP="00243304">
      <w:pPr>
        <w:spacing w:line="240" w:lineRule="auto"/>
        <w:rPr>
          <w:rFonts w:ascii="Times New Roman" w:eastAsiaTheme="majorEastAsia" w:hAnsi="Times New Roman" w:cs="Times New Roman"/>
          <w:i/>
          <w:sz w:val="24"/>
          <w:szCs w:val="24"/>
        </w:rPr>
      </w:pPr>
    </w:p>
    <w:p w:rsidR="00ED03C1" w:rsidRPr="00243304" w:rsidRDefault="00ED03C1" w:rsidP="00243304">
      <w:pPr>
        <w:pStyle w:val="Odstavekseznama"/>
        <w:numPr>
          <w:ilvl w:val="0"/>
          <w:numId w:val="3"/>
        </w:numPr>
        <w:spacing w:line="240" w:lineRule="auto"/>
        <w:rPr>
          <w:rStyle w:val="text"/>
          <w:rFonts w:ascii="Times New Roman" w:eastAsiaTheme="majorEastAsia" w:hAnsi="Times New Roman" w:cs="Times New Roman"/>
          <w:b/>
          <w:bCs/>
          <w:sz w:val="24"/>
          <w:szCs w:val="24"/>
        </w:rPr>
      </w:pPr>
      <w:r w:rsidRPr="00163A65">
        <w:rPr>
          <w:rStyle w:val="text"/>
          <w:rFonts w:ascii="Times New Roman" w:eastAsiaTheme="majorEastAsia" w:hAnsi="Times New Roman" w:cs="Times New Roman"/>
          <w:b/>
          <w:bCs/>
          <w:sz w:val="24"/>
          <w:szCs w:val="24"/>
          <w:u w:val="single"/>
        </w:rPr>
        <w:t>Katarzyna Olszak-Wąsik, MD</w:t>
      </w:r>
      <w:r w:rsidR="006F4BF1" w:rsidRPr="00243304">
        <w:rPr>
          <w:rStyle w:val="text"/>
          <w:rFonts w:ascii="Times New Roman" w:eastAsiaTheme="majorEastAsia" w:hAnsi="Times New Roman" w:cs="Times New Roman"/>
          <w:b/>
          <w:bCs/>
          <w:sz w:val="24"/>
          <w:szCs w:val="24"/>
        </w:rPr>
        <w:t>;</w:t>
      </w:r>
      <w:r w:rsidR="006F4BF1" w:rsidRPr="00243304">
        <w:rPr>
          <w:rFonts w:ascii="Times New Roman" w:hAnsi="Times New Roman" w:cs="Times New Roman"/>
          <w:i/>
          <w:sz w:val="24"/>
          <w:szCs w:val="24"/>
        </w:rPr>
        <w:t xml:space="preserve"> </w:t>
      </w:r>
      <w:hyperlink r:id="rId14" w:history="1">
        <w:r w:rsidR="00243304" w:rsidRPr="00243304">
          <w:rPr>
            <w:rFonts w:ascii="Times New Roman" w:eastAsiaTheme="majorEastAsia" w:hAnsi="Times New Roman" w:cs="Times New Roman"/>
            <w:i/>
            <w:sz w:val="24"/>
            <w:szCs w:val="24"/>
          </w:rPr>
          <w:t>olszakwasik@tlen.pl</w:t>
        </w:r>
      </w:hyperlink>
    </w:p>
    <w:p w:rsidR="00243304" w:rsidRDefault="00243304" w:rsidP="00243304">
      <w:pPr>
        <w:spacing w:after="0" w:line="240" w:lineRule="auto"/>
        <w:rPr>
          <w:rFonts w:ascii="Times New Roman" w:eastAsia="Times New Roman" w:hAnsi="Times New Roman" w:cs="Times New Roman"/>
          <w:sz w:val="24"/>
          <w:szCs w:val="24"/>
          <w:lang w:eastAsia="sl-SI"/>
        </w:rPr>
      </w:pPr>
      <w:r w:rsidRPr="00243304">
        <w:rPr>
          <w:rFonts w:ascii="Times New Roman" w:eastAsia="Times New Roman" w:hAnsi="Times New Roman" w:cs="Times New Roman"/>
          <w:sz w:val="24"/>
          <w:szCs w:val="24"/>
          <w:lang w:eastAsia="sl-SI"/>
        </w:rPr>
        <w:t>Department of Gynaecology, Obstetrics, and Oncological Gynaecology, Medical University of Silesia, Bytom, Poland</w:t>
      </w:r>
    </w:p>
    <w:p w:rsidR="00D52E1C" w:rsidRDefault="00D52E1C" w:rsidP="00243304">
      <w:pPr>
        <w:spacing w:after="0" w:line="240" w:lineRule="auto"/>
        <w:rPr>
          <w:rFonts w:ascii="Times New Roman" w:hAnsi="Times New Roman" w:cs="Times New Roman"/>
          <w:bCs/>
          <w:sz w:val="24"/>
          <w:szCs w:val="24"/>
          <w:lang w:val="en-GB"/>
        </w:rPr>
      </w:pPr>
      <w:r>
        <w:rPr>
          <w:rFonts w:ascii="Times New Roman" w:hAnsi="Times New Roman" w:cs="Times New Roman"/>
          <w:b/>
          <w:bCs/>
          <w:sz w:val="24"/>
          <w:szCs w:val="24"/>
          <w:lang w:val="en-GB"/>
        </w:rPr>
        <w:t>Field of expertise:</w:t>
      </w:r>
      <w:r>
        <w:rPr>
          <w:rFonts w:ascii="Times New Roman" w:hAnsi="Times New Roman" w:cs="Times New Roman"/>
          <w:b/>
          <w:bCs/>
          <w:sz w:val="24"/>
          <w:szCs w:val="24"/>
          <w:lang w:val="en-GB"/>
        </w:rPr>
        <w:t xml:space="preserve"> </w:t>
      </w:r>
      <w:r w:rsidRPr="00D52E1C">
        <w:rPr>
          <w:rFonts w:ascii="Times New Roman" w:hAnsi="Times New Roman" w:cs="Times New Roman"/>
          <w:bCs/>
          <w:sz w:val="24"/>
          <w:szCs w:val="24"/>
          <w:lang w:val="en-GB"/>
        </w:rPr>
        <w:t>Reproduction, Ca</w:t>
      </w:r>
      <w:r>
        <w:rPr>
          <w:rFonts w:ascii="Times New Roman" w:hAnsi="Times New Roman" w:cs="Times New Roman"/>
          <w:bCs/>
          <w:sz w:val="24"/>
          <w:szCs w:val="24"/>
          <w:lang w:val="en-GB"/>
        </w:rPr>
        <w:t xml:space="preserve">ncer, Oxidative stress biomarkers, Follicular fluid, </w:t>
      </w:r>
    </w:p>
    <w:p w:rsidR="00D52E1C" w:rsidRPr="00D52E1C" w:rsidRDefault="00D52E1C" w:rsidP="00243304">
      <w:pPr>
        <w:spacing w:after="0" w:line="240" w:lineRule="auto"/>
        <w:rPr>
          <w:rFonts w:ascii="Times New Roman" w:hAnsi="Times New Roman" w:cs="Times New Roman"/>
          <w:bCs/>
          <w:sz w:val="24"/>
          <w:szCs w:val="24"/>
          <w:lang w:val="en-GB"/>
        </w:rPr>
      </w:pPr>
      <w:bookmarkStart w:id="1" w:name="_GoBack"/>
      <w:bookmarkEnd w:id="1"/>
    </w:p>
    <w:p w:rsidR="00ED03C1" w:rsidRPr="00243304" w:rsidRDefault="00243304" w:rsidP="00243304">
      <w:pPr>
        <w:spacing w:after="0" w:line="240" w:lineRule="auto"/>
        <w:rPr>
          <w:rFonts w:ascii="Times New Roman" w:eastAsia="Times New Roman" w:hAnsi="Times New Roman" w:cs="Times New Roman"/>
          <w:sz w:val="24"/>
          <w:szCs w:val="24"/>
          <w:lang w:eastAsia="sl-SI"/>
        </w:rPr>
      </w:pPr>
      <w:r w:rsidRPr="00243304">
        <w:rPr>
          <w:rFonts w:ascii="Times New Roman" w:hAnsi="Times New Roman" w:cs="Times New Roman"/>
          <w:b/>
          <w:bCs/>
          <w:sz w:val="24"/>
          <w:szCs w:val="24"/>
          <w:lang w:val="en-GB"/>
        </w:rPr>
        <w:t xml:space="preserve">References- </w:t>
      </w:r>
      <w:r w:rsidRPr="00243304">
        <w:rPr>
          <w:rFonts w:ascii="Times New Roman" w:hAnsi="Times New Roman" w:cs="Times New Roman"/>
          <w:sz w:val="24"/>
          <w:szCs w:val="24"/>
        </w:rPr>
        <w:fldChar w:fldCharType="begin" w:fldLock="1"/>
      </w:r>
      <w:r w:rsidR="00163A65">
        <w:rPr>
          <w:rFonts w:ascii="Times New Roman" w:hAnsi="Times New Roman" w:cs="Times New Roman"/>
          <w:sz w:val="24"/>
          <w:szCs w:val="24"/>
        </w:rPr>
        <w:instrText>ADDIN CSL_CITATION {"citationItems":[{"id":"ITEM-1","itemData":{"DOI":"10.1155/2019/1092415","ISSN":"19420994","abstract":"Background. Oxidative stress appears to be involved in oocyte growth and maturation that when impaired results in poor embryo quality and lower potential to implant. The biochemical microenvironment of the oocyte (follicular fluid (FF)) consists of hormones and other various substances regulating the balance between oxidants and antioxidants. Aim. The aim of this study was to examine the possible impact of selected biomarkers (\"every day,\" hormonal biomarkers, enzymatic and nonenzymatic antioxidants, and also oxidative stress markers) in serum and FF, on embryo quality and pregnancy success in infertile women undergoing infertility treatment. Methods. All 53 patients, mean age 34.7±4.1 years, with serum AMH level≥0.7 ng/mL, were diagnosed with idiopathic infertility. They were stimulated in short antagonist protocol, followed by in vitro fertilization (IVF-ICSI intracytoplasmatic sperm injection) and a single embryo transfer. Follicular fluid was aspirated from the first mature follicle. In statistical analyses the R software was used, then all data was assessed with the Shapiro-Wilk test, logistic regression, and later the receiver operating characteristic (ROC) curve was applied using \"pROC\" R package. Results. We did not observe any correlation between AMH and embryo quality and pregnancy rate. Statistically significant results were only found for biomarkers examined in follicular fluid. Greater levels of GPX in FF were associated with the increased chance of producing a high quality embryo (the optimal cut-off concentration was established at over 450 lU/L.) Regarding pregnancy success, increasing levels of GR (cut-off at 21 IU/L), CuZnSOD (cut-off at 9NU/mL), and GST (cut-off at 2.5 IU/L) resulted in lower chances of a successful pregnancy. Conclusion. Our results indicate that FF markers may have some advantages in predicting embryo quality and pregnancy over AMH. The GPX system seems to be mostly related to embryo quality and pregnancy.","author":[{"dropping-particle":"","family":"Olszak-Wa&amp;cedil;sik","given":"Katarzyna","non-dropping-particle":"","parse-names":false,"suffix":""},{"dropping-particle":"","family":"Bednarska-Czerwińska","given":"Anna","non-dropping-particle":"","parse-names":false,"suffix":""},{"dropping-particle":"","family":"Olejek","given":"Anita","non-dropping-particle":"","parse-names":false,"suffix":""},{"dropping-particle":"","family":"Tukiendorf","given":"Andrzej","non-dropping-particle":"","parse-names":false,"suffix":""}],"container-title":"Oxidative Medicine and Cellular Longevity","id":"ITEM-1","issued":{"date-parts":[["2019"]]},"publisher":"Hindawi Limited","title":"From \"every Day\" Hormonal to Oxidative Stress Biomarkers in Blood and Follicular Fluid, to Embryo Quality and Pregnancy Success?","type":"article-journal","volume":"2019"},"uris":["http://www.mendeley.com/documents/?uuid=2418cd96-bd13-3f87-a5d7-5756267b25a9"]},{"id":"ITEM-2","itemData":{"DOI":"10.3390/nu11051053","ISSN":"20726643","abstract":"Background: Anti-Müllerian hormone (AMH) is considered to be one of the most significant indicators of women’s fertility. Many studies have shown that vitamin D may modify human reproductive functions; however, the results are conflicting. The composition of follicular fluid (FF) creates the biochemical environment of the oocyte and affects its quality, which later determines the embryo quality. In this study, we aimed to revise with advanced statistical techniques the relationship between AMH and vitamin D in FF. Methods: The study was designed as a prospective singlecenter study in infertile patients with AMH ≥ 0.7 ng/mL who underwent controlled ovarian hyperstimulation for in vitro fertilization. AMH and vitamin D levels in FF were measured. Next, the standard and advanced statistical (including segmented regression) techniques were applied. Results: We observed a negative linear correlation between levels of AMH in serum and FF and total vitamin D concentrations up to approximately 30 ng/ml; with a statistically significant relationship in FF. Beyond that concentration, the trend was positive but statistically insignificant. Conclusions: As an existing “change-point problem” was noticed, we suggest segmentation in the relationship between vitamin D and AMH during infertility treatment.","author":[{"dropping-particle":"","family":"Bednarska-Czerwińska","given":"Anna","non-dropping-particle":"","parse-names":false,"suffix":""},{"dropping-particle":"","family":"Olszak-Wąsik","given":"Katarzyna","non-dropping-particle":"","parse-names":false,"suffix":""},{"dropping-particle":"","family":"Olejek","given":"Anita","non-dropping-particle":"","parse-names":false,"suffix":""},{"dropping-particle":"","family":"Czerwiński","given":"Michał","non-dropping-particle":"","parse-names":false,"suffix":""},{"dropping-particle":"","family":"Tukiendorf","given":"Andrzej","non-dropping-particle":"","parse-names":false,"suffix":""}],"container-title":"Nutrients","id":"ITEM-2","issue":"5","issued":{"date-parts":[["2019","5","1"]]},"publisher":"MDPI AG","title":"Vitamin D and anti-müllerian hormone levels in infertility treatment: The change-point problem","type":"article-journal","volume":"11"},"uris":["http://www.mendeley.com/documents/?uuid=d9a547b9-33ba-3d23-a070-a8c07b9bbafe"]}],"mendeley":{"formattedCitation":"[5], [6]","plainTextFormattedCitation":"[5], [6]","previouslyFormattedCitation":"&lt;sup&gt;5,6&lt;/sup&gt;"},"properties":{"noteIndex":0},"schema":"https://github.com/citation-style-language/schema/raw/master/csl-citation.json"}</w:instrText>
      </w:r>
      <w:r w:rsidRPr="00243304">
        <w:rPr>
          <w:rFonts w:ascii="Times New Roman" w:hAnsi="Times New Roman" w:cs="Times New Roman"/>
          <w:sz w:val="24"/>
          <w:szCs w:val="24"/>
        </w:rPr>
        <w:fldChar w:fldCharType="separate"/>
      </w:r>
      <w:r w:rsidR="00163A65" w:rsidRPr="00163A65">
        <w:rPr>
          <w:rFonts w:ascii="Times New Roman" w:hAnsi="Times New Roman" w:cs="Times New Roman"/>
          <w:noProof/>
          <w:sz w:val="24"/>
          <w:szCs w:val="24"/>
        </w:rPr>
        <w:t>[5], [6]</w:t>
      </w:r>
      <w:r w:rsidRPr="00243304">
        <w:rPr>
          <w:rFonts w:ascii="Times New Roman" w:hAnsi="Times New Roman" w:cs="Times New Roman"/>
          <w:sz w:val="24"/>
          <w:szCs w:val="24"/>
        </w:rPr>
        <w:fldChar w:fldCharType="end"/>
      </w:r>
    </w:p>
    <w:p w:rsidR="00ED03C1" w:rsidRDefault="00ED03C1" w:rsidP="00ED03C1">
      <w:pPr>
        <w:rPr>
          <w:rFonts w:ascii="Times New Roman" w:hAnsi="Times New Roman" w:cs="Times New Roman"/>
          <w:sz w:val="24"/>
          <w:szCs w:val="24"/>
        </w:rPr>
      </w:pPr>
    </w:p>
    <w:p w:rsidR="00243304" w:rsidRPr="00243304" w:rsidRDefault="00243304" w:rsidP="00ED03C1">
      <w:pPr>
        <w:rPr>
          <w:rFonts w:ascii="Times New Roman" w:hAnsi="Times New Roman" w:cs="Times New Roman"/>
          <w:sz w:val="24"/>
          <w:szCs w:val="24"/>
        </w:rPr>
      </w:pPr>
    </w:p>
    <w:p w:rsidR="00163A65" w:rsidRPr="00163A65" w:rsidRDefault="00ED03C1" w:rsidP="00163A65">
      <w:pPr>
        <w:widowControl w:val="0"/>
        <w:autoSpaceDE w:val="0"/>
        <w:autoSpaceDN w:val="0"/>
        <w:adjustRightInd w:val="0"/>
        <w:spacing w:line="240" w:lineRule="auto"/>
        <w:ind w:left="640" w:hanging="640"/>
        <w:rPr>
          <w:rFonts w:ascii="Times New Roman" w:hAnsi="Times New Roman" w:cs="Times New Roman"/>
          <w:noProof/>
          <w:sz w:val="24"/>
          <w:szCs w:val="24"/>
        </w:rPr>
      </w:pPr>
      <w:r w:rsidRPr="00243304">
        <w:rPr>
          <w:rFonts w:ascii="Times New Roman" w:hAnsi="Times New Roman" w:cs="Times New Roman"/>
          <w:sz w:val="24"/>
          <w:szCs w:val="24"/>
        </w:rPr>
        <w:fldChar w:fldCharType="begin" w:fldLock="1"/>
      </w:r>
      <w:r w:rsidRPr="00243304">
        <w:rPr>
          <w:rFonts w:ascii="Times New Roman" w:hAnsi="Times New Roman" w:cs="Times New Roman"/>
          <w:sz w:val="24"/>
          <w:szCs w:val="24"/>
        </w:rPr>
        <w:instrText xml:space="preserve">ADDIN Mendeley Bibliography CSL_BIBLIOGRAPHY </w:instrText>
      </w:r>
      <w:r w:rsidRPr="00243304">
        <w:rPr>
          <w:rFonts w:ascii="Times New Roman" w:hAnsi="Times New Roman" w:cs="Times New Roman"/>
          <w:sz w:val="24"/>
          <w:szCs w:val="24"/>
        </w:rPr>
        <w:fldChar w:fldCharType="separate"/>
      </w:r>
      <w:r w:rsidR="00163A65" w:rsidRPr="00163A65">
        <w:rPr>
          <w:rFonts w:ascii="Times New Roman" w:hAnsi="Times New Roman" w:cs="Times New Roman"/>
          <w:noProof/>
          <w:sz w:val="24"/>
          <w:szCs w:val="24"/>
        </w:rPr>
        <w:t>[1]</w:t>
      </w:r>
      <w:r w:rsidR="00163A65" w:rsidRPr="00163A65">
        <w:rPr>
          <w:rFonts w:ascii="Times New Roman" w:hAnsi="Times New Roman" w:cs="Times New Roman"/>
          <w:noProof/>
          <w:sz w:val="24"/>
          <w:szCs w:val="24"/>
        </w:rPr>
        <w:tab/>
        <w:t xml:space="preserve">A. B. Salmon, A. Richardson, and V. I. Pérez, “Update on the oxidative stress theory of aging: does oxidative stress play a role in aging or healthy aging?,” </w:t>
      </w:r>
      <w:r w:rsidR="00163A65" w:rsidRPr="00163A65">
        <w:rPr>
          <w:rFonts w:ascii="Times New Roman" w:hAnsi="Times New Roman" w:cs="Times New Roman"/>
          <w:i/>
          <w:iCs/>
          <w:noProof/>
          <w:sz w:val="24"/>
          <w:szCs w:val="24"/>
        </w:rPr>
        <w:t>Free Radic. Biol. Med.</w:t>
      </w:r>
      <w:r w:rsidR="00163A65" w:rsidRPr="00163A65">
        <w:rPr>
          <w:rFonts w:ascii="Times New Roman" w:hAnsi="Times New Roman" w:cs="Times New Roman"/>
          <w:noProof/>
          <w:sz w:val="24"/>
          <w:szCs w:val="24"/>
        </w:rPr>
        <w:t>, vol. 48, no. 5, pp. 642–55, Mar. 2010.</w:t>
      </w:r>
    </w:p>
    <w:p w:rsidR="00163A65" w:rsidRPr="00163A65" w:rsidRDefault="00163A65" w:rsidP="00163A65">
      <w:pPr>
        <w:widowControl w:val="0"/>
        <w:autoSpaceDE w:val="0"/>
        <w:autoSpaceDN w:val="0"/>
        <w:adjustRightInd w:val="0"/>
        <w:spacing w:line="240" w:lineRule="auto"/>
        <w:ind w:left="640" w:hanging="640"/>
        <w:rPr>
          <w:rFonts w:ascii="Times New Roman" w:hAnsi="Times New Roman" w:cs="Times New Roman"/>
          <w:noProof/>
          <w:sz w:val="24"/>
          <w:szCs w:val="24"/>
        </w:rPr>
      </w:pPr>
      <w:r w:rsidRPr="00163A65">
        <w:rPr>
          <w:rFonts w:ascii="Times New Roman" w:hAnsi="Times New Roman" w:cs="Times New Roman"/>
          <w:noProof/>
          <w:sz w:val="24"/>
          <w:szCs w:val="24"/>
        </w:rPr>
        <w:t>[2]</w:t>
      </w:r>
      <w:r w:rsidRPr="00163A65">
        <w:rPr>
          <w:rFonts w:ascii="Times New Roman" w:hAnsi="Times New Roman" w:cs="Times New Roman"/>
          <w:noProof/>
          <w:sz w:val="24"/>
          <w:szCs w:val="24"/>
        </w:rPr>
        <w:tab/>
        <w:t xml:space="preserve">S. Meijide </w:t>
      </w:r>
      <w:r w:rsidRPr="00163A65">
        <w:rPr>
          <w:rFonts w:ascii="Times New Roman" w:hAnsi="Times New Roman" w:cs="Times New Roman"/>
          <w:i/>
          <w:iCs/>
          <w:noProof/>
          <w:sz w:val="24"/>
          <w:szCs w:val="24"/>
        </w:rPr>
        <w:t>et al.</w:t>
      </w:r>
      <w:r w:rsidRPr="00163A65">
        <w:rPr>
          <w:rFonts w:ascii="Times New Roman" w:hAnsi="Times New Roman" w:cs="Times New Roman"/>
          <w:noProof/>
          <w:sz w:val="24"/>
          <w:szCs w:val="24"/>
        </w:rPr>
        <w:t xml:space="preserve">, “Paraoxonase activities in human follicular fluid: role in follicular maturation,” </w:t>
      </w:r>
      <w:r w:rsidRPr="00163A65">
        <w:rPr>
          <w:rFonts w:ascii="Times New Roman" w:hAnsi="Times New Roman" w:cs="Times New Roman"/>
          <w:i/>
          <w:iCs/>
          <w:noProof/>
          <w:sz w:val="24"/>
          <w:szCs w:val="24"/>
        </w:rPr>
        <w:t>Reprod. Biomed. Online</w:t>
      </w:r>
      <w:r w:rsidRPr="00163A65">
        <w:rPr>
          <w:rFonts w:ascii="Times New Roman" w:hAnsi="Times New Roman" w:cs="Times New Roman"/>
          <w:noProof/>
          <w:sz w:val="24"/>
          <w:szCs w:val="24"/>
        </w:rPr>
        <w:t>, vol. 35, no. 4, pp. 351–362, Oct. 2017.</w:t>
      </w:r>
    </w:p>
    <w:p w:rsidR="00163A65" w:rsidRPr="00163A65" w:rsidRDefault="00163A65" w:rsidP="00163A65">
      <w:pPr>
        <w:widowControl w:val="0"/>
        <w:autoSpaceDE w:val="0"/>
        <w:autoSpaceDN w:val="0"/>
        <w:adjustRightInd w:val="0"/>
        <w:spacing w:line="240" w:lineRule="auto"/>
        <w:ind w:left="640" w:hanging="640"/>
        <w:rPr>
          <w:rFonts w:ascii="Times New Roman" w:hAnsi="Times New Roman" w:cs="Times New Roman"/>
          <w:noProof/>
          <w:sz w:val="24"/>
          <w:szCs w:val="24"/>
        </w:rPr>
      </w:pPr>
      <w:r w:rsidRPr="00163A65">
        <w:rPr>
          <w:rFonts w:ascii="Times New Roman" w:hAnsi="Times New Roman" w:cs="Times New Roman"/>
          <w:noProof/>
          <w:sz w:val="24"/>
          <w:szCs w:val="24"/>
        </w:rPr>
        <w:t>[3]</w:t>
      </w:r>
      <w:r w:rsidRPr="00163A65">
        <w:rPr>
          <w:rFonts w:ascii="Times New Roman" w:hAnsi="Times New Roman" w:cs="Times New Roman"/>
          <w:noProof/>
          <w:sz w:val="24"/>
          <w:szCs w:val="24"/>
        </w:rPr>
        <w:tab/>
        <w:t xml:space="preserve">S. Kumar </w:t>
      </w:r>
      <w:r w:rsidRPr="00163A65">
        <w:rPr>
          <w:rFonts w:ascii="Times New Roman" w:hAnsi="Times New Roman" w:cs="Times New Roman"/>
          <w:i/>
          <w:iCs/>
          <w:noProof/>
          <w:sz w:val="24"/>
          <w:szCs w:val="24"/>
        </w:rPr>
        <w:t>et al.</w:t>
      </w:r>
      <w:r w:rsidRPr="00163A65">
        <w:rPr>
          <w:rFonts w:ascii="Times New Roman" w:hAnsi="Times New Roman" w:cs="Times New Roman"/>
          <w:noProof/>
          <w:sz w:val="24"/>
          <w:szCs w:val="24"/>
        </w:rPr>
        <w:t xml:space="preserve">, “Role of environmental factors &amp; oxidative stress with respect to in vitro fertilization outcome,” </w:t>
      </w:r>
      <w:r w:rsidRPr="00163A65">
        <w:rPr>
          <w:rFonts w:ascii="Times New Roman" w:hAnsi="Times New Roman" w:cs="Times New Roman"/>
          <w:i/>
          <w:iCs/>
          <w:noProof/>
          <w:sz w:val="24"/>
          <w:szCs w:val="24"/>
        </w:rPr>
        <w:t>Indian J. Med. Res.</w:t>
      </w:r>
      <w:r w:rsidRPr="00163A65">
        <w:rPr>
          <w:rFonts w:ascii="Times New Roman" w:hAnsi="Times New Roman" w:cs="Times New Roman"/>
          <w:noProof/>
          <w:sz w:val="24"/>
          <w:szCs w:val="24"/>
        </w:rPr>
        <w:t>, vol. 148, no. 7, pp. 125–133, Dec. 2018.</w:t>
      </w:r>
    </w:p>
    <w:p w:rsidR="00163A65" w:rsidRPr="00163A65" w:rsidRDefault="00163A65" w:rsidP="00163A65">
      <w:pPr>
        <w:widowControl w:val="0"/>
        <w:autoSpaceDE w:val="0"/>
        <w:autoSpaceDN w:val="0"/>
        <w:adjustRightInd w:val="0"/>
        <w:spacing w:line="240" w:lineRule="auto"/>
        <w:ind w:left="640" w:hanging="640"/>
        <w:rPr>
          <w:rFonts w:ascii="Times New Roman" w:hAnsi="Times New Roman" w:cs="Times New Roman"/>
          <w:noProof/>
          <w:sz w:val="24"/>
          <w:szCs w:val="24"/>
        </w:rPr>
      </w:pPr>
      <w:r w:rsidRPr="00163A65">
        <w:rPr>
          <w:rFonts w:ascii="Times New Roman" w:hAnsi="Times New Roman" w:cs="Times New Roman"/>
          <w:noProof/>
          <w:sz w:val="24"/>
          <w:szCs w:val="24"/>
        </w:rPr>
        <w:t>[4]</w:t>
      </w:r>
      <w:r w:rsidRPr="00163A65">
        <w:rPr>
          <w:rFonts w:ascii="Times New Roman" w:hAnsi="Times New Roman" w:cs="Times New Roman"/>
          <w:noProof/>
          <w:sz w:val="24"/>
          <w:szCs w:val="24"/>
        </w:rPr>
        <w:tab/>
        <w:t xml:space="preserve">R. Thaker </w:t>
      </w:r>
      <w:r w:rsidRPr="00163A65">
        <w:rPr>
          <w:rFonts w:ascii="Times New Roman" w:hAnsi="Times New Roman" w:cs="Times New Roman"/>
          <w:i/>
          <w:iCs/>
          <w:noProof/>
          <w:sz w:val="24"/>
          <w:szCs w:val="24"/>
        </w:rPr>
        <w:t>et al.</w:t>
      </w:r>
      <w:r w:rsidRPr="00163A65">
        <w:rPr>
          <w:rFonts w:ascii="Times New Roman" w:hAnsi="Times New Roman" w:cs="Times New Roman"/>
          <w:noProof/>
          <w:sz w:val="24"/>
          <w:szCs w:val="24"/>
        </w:rPr>
        <w:t xml:space="preserve">, “The role of stimulation protocol, number of oocytes retrieved with respect to follicular fluid oxidative stress and IVF outcome,” </w:t>
      </w:r>
      <w:r w:rsidRPr="00163A65">
        <w:rPr>
          <w:rFonts w:ascii="Times New Roman" w:hAnsi="Times New Roman" w:cs="Times New Roman"/>
          <w:i/>
          <w:iCs/>
          <w:noProof/>
          <w:sz w:val="24"/>
          <w:szCs w:val="24"/>
        </w:rPr>
        <w:t>Hum. Fertil.</w:t>
      </w:r>
      <w:r w:rsidRPr="00163A65">
        <w:rPr>
          <w:rFonts w:ascii="Times New Roman" w:hAnsi="Times New Roman" w:cs="Times New Roman"/>
          <w:noProof/>
          <w:sz w:val="24"/>
          <w:szCs w:val="24"/>
        </w:rPr>
        <w:t>, 2018.</w:t>
      </w:r>
    </w:p>
    <w:p w:rsidR="00163A65" w:rsidRPr="00163A65" w:rsidRDefault="00163A65" w:rsidP="00163A65">
      <w:pPr>
        <w:widowControl w:val="0"/>
        <w:autoSpaceDE w:val="0"/>
        <w:autoSpaceDN w:val="0"/>
        <w:adjustRightInd w:val="0"/>
        <w:spacing w:line="240" w:lineRule="auto"/>
        <w:ind w:left="640" w:hanging="640"/>
        <w:rPr>
          <w:rFonts w:ascii="Times New Roman" w:hAnsi="Times New Roman" w:cs="Times New Roman"/>
          <w:noProof/>
          <w:sz w:val="24"/>
          <w:szCs w:val="24"/>
        </w:rPr>
      </w:pPr>
      <w:r w:rsidRPr="00163A65">
        <w:rPr>
          <w:rFonts w:ascii="Times New Roman" w:hAnsi="Times New Roman" w:cs="Times New Roman"/>
          <w:noProof/>
          <w:sz w:val="24"/>
          <w:szCs w:val="24"/>
        </w:rPr>
        <w:t>[5]</w:t>
      </w:r>
      <w:r w:rsidRPr="00163A65">
        <w:rPr>
          <w:rFonts w:ascii="Times New Roman" w:hAnsi="Times New Roman" w:cs="Times New Roman"/>
          <w:noProof/>
          <w:sz w:val="24"/>
          <w:szCs w:val="24"/>
        </w:rPr>
        <w:tab/>
        <w:t xml:space="preserve">K. Olszak-Wa&amp;cedil;sik, A. Bednarska-Czerwińska, A. Olejek, and A. Tukiendorf, “From ‘every Day’ Hormonal to Oxidative Stress Biomarkers in Blood and Follicular Fluid, to Embryo Quality and Pregnancy Success?,” </w:t>
      </w:r>
      <w:r w:rsidRPr="00163A65">
        <w:rPr>
          <w:rFonts w:ascii="Times New Roman" w:hAnsi="Times New Roman" w:cs="Times New Roman"/>
          <w:i/>
          <w:iCs/>
          <w:noProof/>
          <w:sz w:val="24"/>
          <w:szCs w:val="24"/>
        </w:rPr>
        <w:t>Oxid. Med. Cell. Longev.</w:t>
      </w:r>
      <w:r w:rsidRPr="00163A65">
        <w:rPr>
          <w:rFonts w:ascii="Times New Roman" w:hAnsi="Times New Roman" w:cs="Times New Roman"/>
          <w:noProof/>
          <w:sz w:val="24"/>
          <w:szCs w:val="24"/>
        </w:rPr>
        <w:t>, vol. 2019, 2019.</w:t>
      </w:r>
    </w:p>
    <w:p w:rsidR="00163A65" w:rsidRPr="00163A65" w:rsidRDefault="00163A65" w:rsidP="00163A65">
      <w:pPr>
        <w:widowControl w:val="0"/>
        <w:autoSpaceDE w:val="0"/>
        <w:autoSpaceDN w:val="0"/>
        <w:adjustRightInd w:val="0"/>
        <w:spacing w:line="240" w:lineRule="auto"/>
        <w:ind w:left="640" w:hanging="640"/>
        <w:rPr>
          <w:rFonts w:ascii="Times New Roman" w:hAnsi="Times New Roman" w:cs="Times New Roman"/>
          <w:noProof/>
          <w:sz w:val="24"/>
        </w:rPr>
      </w:pPr>
      <w:r w:rsidRPr="00163A65">
        <w:rPr>
          <w:rFonts w:ascii="Times New Roman" w:hAnsi="Times New Roman" w:cs="Times New Roman"/>
          <w:noProof/>
          <w:sz w:val="24"/>
          <w:szCs w:val="24"/>
        </w:rPr>
        <w:t>[6]</w:t>
      </w:r>
      <w:r w:rsidRPr="00163A65">
        <w:rPr>
          <w:rFonts w:ascii="Times New Roman" w:hAnsi="Times New Roman" w:cs="Times New Roman"/>
          <w:noProof/>
          <w:sz w:val="24"/>
          <w:szCs w:val="24"/>
        </w:rPr>
        <w:tab/>
        <w:t xml:space="preserve">A. Bednarska-Czerwińska, K. Olszak-Wąsik, A. Olejek, M. Czerwiński, and A. Tukiendorf, “Vitamin D and anti-müllerian hormone levels in infertility treatment: The change-point problem,” </w:t>
      </w:r>
      <w:r w:rsidRPr="00163A65">
        <w:rPr>
          <w:rFonts w:ascii="Times New Roman" w:hAnsi="Times New Roman" w:cs="Times New Roman"/>
          <w:i/>
          <w:iCs/>
          <w:noProof/>
          <w:sz w:val="24"/>
          <w:szCs w:val="24"/>
        </w:rPr>
        <w:t>Nutrients</w:t>
      </w:r>
      <w:r w:rsidRPr="00163A65">
        <w:rPr>
          <w:rFonts w:ascii="Times New Roman" w:hAnsi="Times New Roman" w:cs="Times New Roman"/>
          <w:noProof/>
          <w:sz w:val="24"/>
          <w:szCs w:val="24"/>
        </w:rPr>
        <w:t>, vol. 11, no. 5, May 2019.</w:t>
      </w:r>
    </w:p>
    <w:p w:rsidR="00985F91" w:rsidRPr="00243304" w:rsidRDefault="00ED03C1">
      <w:pPr>
        <w:rPr>
          <w:rFonts w:ascii="Times New Roman" w:hAnsi="Times New Roman" w:cs="Times New Roman"/>
          <w:sz w:val="24"/>
          <w:szCs w:val="24"/>
        </w:rPr>
      </w:pPr>
      <w:r w:rsidRPr="00243304">
        <w:rPr>
          <w:rFonts w:ascii="Times New Roman" w:hAnsi="Times New Roman" w:cs="Times New Roman"/>
          <w:sz w:val="24"/>
          <w:szCs w:val="24"/>
        </w:rPr>
        <w:lastRenderedPageBreak/>
        <w:fldChar w:fldCharType="end"/>
      </w:r>
    </w:p>
    <w:sectPr w:rsidR="00985F91" w:rsidRPr="002433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129" w:rsidRDefault="00312129" w:rsidP="00860E9B">
      <w:pPr>
        <w:spacing w:after="0" w:line="240" w:lineRule="auto"/>
      </w:pPr>
      <w:r>
        <w:separator/>
      </w:r>
    </w:p>
  </w:endnote>
  <w:endnote w:type="continuationSeparator" w:id="0">
    <w:p w:rsidR="00312129" w:rsidRDefault="00312129" w:rsidP="0086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129" w:rsidRDefault="00312129" w:rsidP="00860E9B">
      <w:pPr>
        <w:spacing w:after="0" w:line="240" w:lineRule="auto"/>
      </w:pPr>
      <w:r>
        <w:separator/>
      </w:r>
    </w:p>
  </w:footnote>
  <w:footnote w:type="continuationSeparator" w:id="0">
    <w:p w:rsidR="00312129" w:rsidRDefault="00312129" w:rsidP="00860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A61"/>
    <w:multiLevelType w:val="hybridMultilevel"/>
    <w:tmpl w:val="20E8D584"/>
    <w:lvl w:ilvl="0" w:tplc="E3D88D60">
      <w:start w:val="1"/>
      <w:numFmt w:val="decimal"/>
      <w:lvlText w:val="%1."/>
      <w:lvlJc w:val="left"/>
      <w:pPr>
        <w:ind w:left="502" w:hanging="360"/>
      </w:pPr>
      <w:rPr>
        <w:rFonts w:asciiTheme="majorHAnsi" w:eastAsiaTheme="majorEastAsia" w:hAnsiTheme="majorHAnsi" w:cstheme="majorBidi" w:hint="default"/>
        <w:sz w:val="24"/>
        <w:szCs w:val="24"/>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 w15:restartNumberingAfterBreak="0">
    <w:nsid w:val="50202619"/>
    <w:multiLevelType w:val="hybridMultilevel"/>
    <w:tmpl w:val="2E98FD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D195FD2"/>
    <w:multiLevelType w:val="hybridMultilevel"/>
    <w:tmpl w:val="708882D2"/>
    <w:lvl w:ilvl="0" w:tplc="0424000F">
      <w:start w:val="1"/>
      <w:numFmt w:val="decimal"/>
      <w:lvlText w:val="%1."/>
      <w:lvlJc w:val="left"/>
      <w:pPr>
        <w:ind w:left="1500" w:hanging="360"/>
      </w:pPr>
    </w:lvl>
    <w:lvl w:ilvl="1" w:tplc="04240019" w:tentative="1">
      <w:start w:val="1"/>
      <w:numFmt w:val="lowerLetter"/>
      <w:lvlText w:val="%2."/>
      <w:lvlJc w:val="left"/>
      <w:pPr>
        <w:ind w:left="2220" w:hanging="360"/>
      </w:pPr>
    </w:lvl>
    <w:lvl w:ilvl="2" w:tplc="0424001B" w:tentative="1">
      <w:start w:val="1"/>
      <w:numFmt w:val="lowerRoman"/>
      <w:lvlText w:val="%3."/>
      <w:lvlJc w:val="right"/>
      <w:pPr>
        <w:ind w:left="2940" w:hanging="180"/>
      </w:pPr>
    </w:lvl>
    <w:lvl w:ilvl="3" w:tplc="0424000F" w:tentative="1">
      <w:start w:val="1"/>
      <w:numFmt w:val="decimal"/>
      <w:lvlText w:val="%4."/>
      <w:lvlJc w:val="left"/>
      <w:pPr>
        <w:ind w:left="3660" w:hanging="360"/>
      </w:pPr>
    </w:lvl>
    <w:lvl w:ilvl="4" w:tplc="04240019" w:tentative="1">
      <w:start w:val="1"/>
      <w:numFmt w:val="lowerLetter"/>
      <w:lvlText w:val="%5."/>
      <w:lvlJc w:val="left"/>
      <w:pPr>
        <w:ind w:left="4380" w:hanging="360"/>
      </w:pPr>
    </w:lvl>
    <w:lvl w:ilvl="5" w:tplc="0424001B" w:tentative="1">
      <w:start w:val="1"/>
      <w:numFmt w:val="lowerRoman"/>
      <w:lvlText w:val="%6."/>
      <w:lvlJc w:val="right"/>
      <w:pPr>
        <w:ind w:left="5100" w:hanging="180"/>
      </w:pPr>
    </w:lvl>
    <w:lvl w:ilvl="6" w:tplc="0424000F" w:tentative="1">
      <w:start w:val="1"/>
      <w:numFmt w:val="decimal"/>
      <w:lvlText w:val="%7."/>
      <w:lvlJc w:val="left"/>
      <w:pPr>
        <w:ind w:left="5820" w:hanging="360"/>
      </w:pPr>
    </w:lvl>
    <w:lvl w:ilvl="7" w:tplc="04240019" w:tentative="1">
      <w:start w:val="1"/>
      <w:numFmt w:val="lowerLetter"/>
      <w:lvlText w:val="%8."/>
      <w:lvlJc w:val="left"/>
      <w:pPr>
        <w:ind w:left="6540" w:hanging="360"/>
      </w:pPr>
    </w:lvl>
    <w:lvl w:ilvl="8" w:tplc="0424001B" w:tentative="1">
      <w:start w:val="1"/>
      <w:numFmt w:val="lowerRoman"/>
      <w:lvlText w:val="%9."/>
      <w:lvlJc w:val="right"/>
      <w:pPr>
        <w:ind w:left="7260" w:hanging="180"/>
      </w:pPr>
    </w:lvl>
  </w:abstractNum>
  <w:abstractNum w:abstractNumId="3" w15:restartNumberingAfterBreak="0">
    <w:nsid w:val="66E234F1"/>
    <w:multiLevelType w:val="hybridMultilevel"/>
    <w:tmpl w:val="FA1237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D6"/>
    <w:rsid w:val="000053D6"/>
    <w:rsid w:val="00163A65"/>
    <w:rsid w:val="00243304"/>
    <w:rsid w:val="00312129"/>
    <w:rsid w:val="00383B15"/>
    <w:rsid w:val="00415683"/>
    <w:rsid w:val="005171FA"/>
    <w:rsid w:val="005540BF"/>
    <w:rsid w:val="006F4BF1"/>
    <w:rsid w:val="008020AE"/>
    <w:rsid w:val="00860E9B"/>
    <w:rsid w:val="008A2340"/>
    <w:rsid w:val="00985F91"/>
    <w:rsid w:val="00C95BBB"/>
    <w:rsid w:val="00D15AA8"/>
    <w:rsid w:val="00D52E1C"/>
    <w:rsid w:val="00ED03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5CE41"/>
  <w15:chartTrackingRefBased/>
  <w15:docId w15:val="{28F7DFC0-351D-4D3B-86E4-B10D1508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8020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link w:val="Naslov2Znak"/>
    <w:uiPriority w:val="9"/>
    <w:qFormat/>
    <w:rsid w:val="00985F9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4">
    <w:name w:val="heading 4"/>
    <w:basedOn w:val="Navaden"/>
    <w:next w:val="Navaden"/>
    <w:link w:val="Naslov4Znak"/>
    <w:uiPriority w:val="9"/>
    <w:unhideWhenUsed/>
    <w:qFormat/>
    <w:rsid w:val="004156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0053D6"/>
    <w:rPr>
      <w:b/>
      <w:bCs/>
    </w:rPr>
  </w:style>
  <w:style w:type="character" w:customStyle="1" w:styleId="Naslov2Znak">
    <w:name w:val="Naslov 2 Znak"/>
    <w:basedOn w:val="Privzetapisavaodstavka"/>
    <w:link w:val="Naslov2"/>
    <w:uiPriority w:val="9"/>
    <w:rsid w:val="00985F91"/>
    <w:rPr>
      <w:rFonts w:ascii="Times New Roman" w:eastAsia="Times New Roman" w:hAnsi="Times New Roman" w:cs="Times New Roman"/>
      <w:b/>
      <w:bCs/>
      <w:sz w:val="36"/>
      <w:szCs w:val="36"/>
      <w:lang w:eastAsia="sl-SI"/>
    </w:rPr>
  </w:style>
  <w:style w:type="paragraph" w:styleId="Odstavekseznama">
    <w:name w:val="List Paragraph"/>
    <w:basedOn w:val="Navaden"/>
    <w:uiPriority w:val="34"/>
    <w:qFormat/>
    <w:rsid w:val="008020AE"/>
    <w:pPr>
      <w:ind w:left="720"/>
      <w:contextualSpacing/>
    </w:pPr>
  </w:style>
  <w:style w:type="character" w:customStyle="1" w:styleId="Naslov1Znak">
    <w:name w:val="Naslov 1 Znak"/>
    <w:basedOn w:val="Privzetapisavaodstavka"/>
    <w:link w:val="Naslov1"/>
    <w:uiPriority w:val="9"/>
    <w:rsid w:val="008020AE"/>
    <w:rPr>
      <w:rFonts w:asciiTheme="majorHAnsi" w:eastAsiaTheme="majorEastAsia" w:hAnsiTheme="majorHAnsi" w:cstheme="majorBidi"/>
      <w:color w:val="2E74B5" w:themeColor="accent1" w:themeShade="BF"/>
      <w:sz w:val="32"/>
      <w:szCs w:val="32"/>
    </w:rPr>
  </w:style>
  <w:style w:type="character" w:customStyle="1" w:styleId="st">
    <w:name w:val="st"/>
    <w:basedOn w:val="Privzetapisavaodstavka"/>
    <w:rsid w:val="008020AE"/>
  </w:style>
  <w:style w:type="character" w:styleId="Poudarek">
    <w:name w:val="Emphasis"/>
    <w:basedOn w:val="Privzetapisavaodstavka"/>
    <w:uiPriority w:val="20"/>
    <w:qFormat/>
    <w:rsid w:val="008020AE"/>
    <w:rPr>
      <w:i/>
      <w:iCs/>
    </w:rPr>
  </w:style>
  <w:style w:type="paragraph" w:customStyle="1" w:styleId="Naslov10">
    <w:name w:val="Naslov1"/>
    <w:basedOn w:val="Navaden"/>
    <w:rsid w:val="008A234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8A2340"/>
    <w:rPr>
      <w:color w:val="0000FF"/>
      <w:u w:val="single"/>
    </w:rPr>
  </w:style>
  <w:style w:type="paragraph" w:customStyle="1" w:styleId="desc">
    <w:name w:val="desc"/>
    <w:basedOn w:val="Navaden"/>
    <w:rsid w:val="008A234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tails">
    <w:name w:val="details"/>
    <w:basedOn w:val="Navaden"/>
    <w:rsid w:val="008A234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jrnl">
    <w:name w:val="jrnl"/>
    <w:basedOn w:val="Privzetapisavaodstavka"/>
    <w:rsid w:val="008A2340"/>
  </w:style>
  <w:style w:type="character" w:customStyle="1" w:styleId="text">
    <w:name w:val="text"/>
    <w:basedOn w:val="Privzetapisavaodstavka"/>
    <w:rsid w:val="005540BF"/>
  </w:style>
  <w:style w:type="paragraph" w:styleId="Sprotnaopomba-besedilo">
    <w:name w:val="footnote text"/>
    <w:basedOn w:val="Navaden"/>
    <w:link w:val="Sprotnaopomba-besediloZnak"/>
    <w:uiPriority w:val="99"/>
    <w:semiHidden/>
    <w:unhideWhenUsed/>
    <w:rsid w:val="00860E9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60E9B"/>
    <w:rPr>
      <w:sz w:val="20"/>
      <w:szCs w:val="20"/>
    </w:rPr>
  </w:style>
  <w:style w:type="character" w:styleId="Sprotnaopomba-sklic">
    <w:name w:val="footnote reference"/>
    <w:basedOn w:val="Privzetapisavaodstavka"/>
    <w:uiPriority w:val="99"/>
    <w:semiHidden/>
    <w:unhideWhenUsed/>
    <w:rsid w:val="00860E9B"/>
    <w:rPr>
      <w:vertAlign w:val="superscript"/>
    </w:rPr>
  </w:style>
  <w:style w:type="character" w:customStyle="1" w:styleId="Naslov4Znak">
    <w:name w:val="Naslov 4 Znak"/>
    <w:basedOn w:val="Privzetapisavaodstavka"/>
    <w:link w:val="Naslov4"/>
    <w:uiPriority w:val="9"/>
    <w:rsid w:val="00415683"/>
    <w:rPr>
      <w:rFonts w:asciiTheme="majorHAnsi" w:eastAsiaTheme="majorEastAsia" w:hAnsiTheme="majorHAnsi" w:cstheme="majorBidi"/>
      <w:i/>
      <w:iCs/>
      <w:color w:val="2E74B5" w:themeColor="accent1" w:themeShade="BF"/>
    </w:rPr>
  </w:style>
  <w:style w:type="paragraph" w:customStyle="1" w:styleId="Naslov20">
    <w:name w:val="Naslov2"/>
    <w:basedOn w:val="Navaden"/>
    <w:rsid w:val="0041568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orcid-id-https">
    <w:name w:val="orcid-id-https"/>
    <w:basedOn w:val="Privzetapisavaodstavka"/>
    <w:rsid w:val="005171FA"/>
  </w:style>
  <w:style w:type="paragraph" w:styleId="Navadensplet">
    <w:name w:val="Normal (Web)"/>
    <w:basedOn w:val="Navaden"/>
    <w:uiPriority w:val="99"/>
    <w:semiHidden/>
    <w:unhideWhenUsed/>
    <w:rsid w:val="006F4BF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22267">
      <w:bodyDiv w:val="1"/>
      <w:marLeft w:val="0"/>
      <w:marRight w:val="0"/>
      <w:marTop w:val="0"/>
      <w:marBottom w:val="0"/>
      <w:divBdr>
        <w:top w:val="none" w:sz="0" w:space="0" w:color="auto"/>
        <w:left w:val="none" w:sz="0" w:space="0" w:color="auto"/>
        <w:bottom w:val="none" w:sz="0" w:space="0" w:color="auto"/>
        <w:right w:val="none" w:sz="0" w:space="0" w:color="auto"/>
      </w:divBdr>
      <w:divsChild>
        <w:div w:id="352926167">
          <w:marLeft w:val="0"/>
          <w:marRight w:val="0"/>
          <w:marTop w:val="0"/>
          <w:marBottom w:val="0"/>
          <w:divBdr>
            <w:top w:val="none" w:sz="0" w:space="0" w:color="auto"/>
            <w:left w:val="none" w:sz="0" w:space="0" w:color="auto"/>
            <w:bottom w:val="none" w:sz="0" w:space="0" w:color="auto"/>
            <w:right w:val="none" w:sz="0" w:space="0" w:color="auto"/>
          </w:divBdr>
          <w:divsChild>
            <w:div w:id="421605789">
              <w:marLeft w:val="0"/>
              <w:marRight w:val="0"/>
              <w:marTop w:val="0"/>
              <w:marBottom w:val="0"/>
              <w:divBdr>
                <w:top w:val="none" w:sz="0" w:space="0" w:color="auto"/>
                <w:left w:val="none" w:sz="0" w:space="0" w:color="auto"/>
                <w:bottom w:val="none" w:sz="0" w:space="0" w:color="auto"/>
                <w:right w:val="none" w:sz="0" w:space="0" w:color="auto"/>
              </w:divBdr>
            </w:div>
            <w:div w:id="1976837328">
              <w:marLeft w:val="0"/>
              <w:marRight w:val="0"/>
              <w:marTop w:val="0"/>
              <w:marBottom w:val="0"/>
              <w:divBdr>
                <w:top w:val="none" w:sz="0" w:space="0" w:color="auto"/>
                <w:left w:val="none" w:sz="0" w:space="0" w:color="auto"/>
                <w:bottom w:val="none" w:sz="0" w:space="0" w:color="auto"/>
                <w:right w:val="none" w:sz="0" w:space="0" w:color="auto"/>
              </w:divBdr>
            </w:div>
            <w:div w:id="1598710675">
              <w:marLeft w:val="0"/>
              <w:marRight w:val="0"/>
              <w:marTop w:val="0"/>
              <w:marBottom w:val="0"/>
              <w:divBdr>
                <w:top w:val="none" w:sz="0" w:space="0" w:color="auto"/>
                <w:left w:val="none" w:sz="0" w:space="0" w:color="auto"/>
                <w:bottom w:val="none" w:sz="0" w:space="0" w:color="auto"/>
                <w:right w:val="none" w:sz="0" w:space="0" w:color="auto"/>
              </w:divBdr>
            </w:div>
            <w:div w:id="908420012">
              <w:marLeft w:val="0"/>
              <w:marRight w:val="0"/>
              <w:marTop w:val="0"/>
              <w:marBottom w:val="0"/>
              <w:divBdr>
                <w:top w:val="none" w:sz="0" w:space="0" w:color="auto"/>
                <w:left w:val="none" w:sz="0" w:space="0" w:color="auto"/>
                <w:bottom w:val="none" w:sz="0" w:space="0" w:color="auto"/>
                <w:right w:val="none" w:sz="0" w:space="0" w:color="auto"/>
              </w:divBdr>
            </w:div>
            <w:div w:id="1983726549">
              <w:marLeft w:val="0"/>
              <w:marRight w:val="0"/>
              <w:marTop w:val="0"/>
              <w:marBottom w:val="0"/>
              <w:divBdr>
                <w:top w:val="none" w:sz="0" w:space="0" w:color="auto"/>
                <w:left w:val="none" w:sz="0" w:space="0" w:color="auto"/>
                <w:bottom w:val="none" w:sz="0" w:space="0" w:color="auto"/>
                <w:right w:val="none" w:sz="0" w:space="0" w:color="auto"/>
              </w:divBdr>
            </w:div>
            <w:div w:id="16684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10971">
      <w:bodyDiv w:val="1"/>
      <w:marLeft w:val="0"/>
      <w:marRight w:val="0"/>
      <w:marTop w:val="0"/>
      <w:marBottom w:val="0"/>
      <w:divBdr>
        <w:top w:val="none" w:sz="0" w:space="0" w:color="auto"/>
        <w:left w:val="none" w:sz="0" w:space="0" w:color="auto"/>
        <w:bottom w:val="none" w:sz="0" w:space="0" w:color="auto"/>
        <w:right w:val="none" w:sz="0" w:space="0" w:color="auto"/>
      </w:divBdr>
    </w:div>
    <w:div w:id="612134194">
      <w:bodyDiv w:val="1"/>
      <w:marLeft w:val="0"/>
      <w:marRight w:val="0"/>
      <w:marTop w:val="0"/>
      <w:marBottom w:val="0"/>
      <w:divBdr>
        <w:top w:val="none" w:sz="0" w:space="0" w:color="auto"/>
        <w:left w:val="none" w:sz="0" w:space="0" w:color="auto"/>
        <w:bottom w:val="none" w:sz="0" w:space="0" w:color="auto"/>
        <w:right w:val="none" w:sz="0" w:space="0" w:color="auto"/>
      </w:divBdr>
      <w:divsChild>
        <w:div w:id="930971311">
          <w:marLeft w:val="0"/>
          <w:marRight w:val="0"/>
          <w:marTop w:val="0"/>
          <w:marBottom w:val="0"/>
          <w:divBdr>
            <w:top w:val="none" w:sz="0" w:space="0" w:color="auto"/>
            <w:left w:val="none" w:sz="0" w:space="0" w:color="auto"/>
            <w:bottom w:val="none" w:sz="0" w:space="0" w:color="auto"/>
            <w:right w:val="none" w:sz="0" w:space="0" w:color="auto"/>
          </w:divBdr>
        </w:div>
      </w:divsChild>
    </w:div>
    <w:div w:id="695887094">
      <w:bodyDiv w:val="1"/>
      <w:marLeft w:val="0"/>
      <w:marRight w:val="0"/>
      <w:marTop w:val="0"/>
      <w:marBottom w:val="0"/>
      <w:divBdr>
        <w:top w:val="none" w:sz="0" w:space="0" w:color="auto"/>
        <w:left w:val="none" w:sz="0" w:space="0" w:color="auto"/>
        <w:bottom w:val="none" w:sz="0" w:space="0" w:color="auto"/>
        <w:right w:val="none" w:sz="0" w:space="0" w:color="auto"/>
      </w:divBdr>
    </w:div>
    <w:div w:id="866605941">
      <w:bodyDiv w:val="1"/>
      <w:marLeft w:val="0"/>
      <w:marRight w:val="0"/>
      <w:marTop w:val="0"/>
      <w:marBottom w:val="0"/>
      <w:divBdr>
        <w:top w:val="none" w:sz="0" w:space="0" w:color="auto"/>
        <w:left w:val="none" w:sz="0" w:space="0" w:color="auto"/>
        <w:bottom w:val="none" w:sz="0" w:space="0" w:color="auto"/>
        <w:right w:val="none" w:sz="0" w:space="0" w:color="auto"/>
      </w:divBdr>
    </w:div>
    <w:div w:id="1024552019">
      <w:bodyDiv w:val="1"/>
      <w:marLeft w:val="0"/>
      <w:marRight w:val="0"/>
      <w:marTop w:val="0"/>
      <w:marBottom w:val="0"/>
      <w:divBdr>
        <w:top w:val="none" w:sz="0" w:space="0" w:color="auto"/>
        <w:left w:val="none" w:sz="0" w:space="0" w:color="auto"/>
        <w:bottom w:val="none" w:sz="0" w:space="0" w:color="auto"/>
        <w:right w:val="none" w:sz="0" w:space="0" w:color="auto"/>
      </w:divBdr>
    </w:div>
    <w:div w:id="1354305462">
      <w:bodyDiv w:val="1"/>
      <w:marLeft w:val="0"/>
      <w:marRight w:val="0"/>
      <w:marTop w:val="0"/>
      <w:marBottom w:val="0"/>
      <w:divBdr>
        <w:top w:val="none" w:sz="0" w:space="0" w:color="auto"/>
        <w:left w:val="none" w:sz="0" w:space="0" w:color="auto"/>
        <w:bottom w:val="none" w:sz="0" w:space="0" w:color="auto"/>
        <w:right w:val="none" w:sz="0" w:space="0" w:color="auto"/>
      </w:divBdr>
    </w:div>
    <w:div w:id="1468937032">
      <w:bodyDiv w:val="1"/>
      <w:marLeft w:val="0"/>
      <w:marRight w:val="0"/>
      <w:marTop w:val="0"/>
      <w:marBottom w:val="0"/>
      <w:divBdr>
        <w:top w:val="none" w:sz="0" w:space="0" w:color="auto"/>
        <w:left w:val="none" w:sz="0" w:space="0" w:color="auto"/>
        <w:bottom w:val="none" w:sz="0" w:space="0" w:color="auto"/>
        <w:right w:val="none" w:sz="0" w:space="0" w:color="auto"/>
      </w:divBdr>
    </w:div>
    <w:div w:id="1582638506">
      <w:bodyDiv w:val="1"/>
      <w:marLeft w:val="0"/>
      <w:marRight w:val="0"/>
      <w:marTop w:val="0"/>
      <w:marBottom w:val="0"/>
      <w:divBdr>
        <w:top w:val="none" w:sz="0" w:space="0" w:color="auto"/>
        <w:left w:val="none" w:sz="0" w:space="0" w:color="auto"/>
        <w:bottom w:val="none" w:sz="0" w:space="0" w:color="auto"/>
        <w:right w:val="none" w:sz="0" w:space="0" w:color="auto"/>
      </w:divBdr>
    </w:div>
    <w:div w:id="1703822280">
      <w:bodyDiv w:val="1"/>
      <w:marLeft w:val="0"/>
      <w:marRight w:val="0"/>
      <w:marTop w:val="0"/>
      <w:marBottom w:val="0"/>
      <w:divBdr>
        <w:top w:val="none" w:sz="0" w:space="0" w:color="auto"/>
        <w:left w:val="none" w:sz="0" w:space="0" w:color="auto"/>
        <w:bottom w:val="none" w:sz="0" w:space="0" w:color="auto"/>
        <w:right w:val="none" w:sz="0" w:space="0" w:color="auto"/>
      </w:divBdr>
      <w:divsChild>
        <w:div w:id="1576435462">
          <w:marLeft w:val="0"/>
          <w:marRight w:val="0"/>
          <w:marTop w:val="0"/>
          <w:marBottom w:val="0"/>
          <w:divBdr>
            <w:top w:val="none" w:sz="0" w:space="0" w:color="auto"/>
            <w:left w:val="none" w:sz="0" w:space="0" w:color="auto"/>
            <w:bottom w:val="none" w:sz="0" w:space="0" w:color="auto"/>
            <w:right w:val="none" w:sz="0" w:space="0" w:color="auto"/>
          </w:divBdr>
        </w:div>
        <w:div w:id="964962746">
          <w:marLeft w:val="0"/>
          <w:marRight w:val="0"/>
          <w:marTop w:val="0"/>
          <w:marBottom w:val="0"/>
          <w:divBdr>
            <w:top w:val="none" w:sz="0" w:space="0" w:color="auto"/>
            <w:left w:val="none" w:sz="0" w:space="0" w:color="auto"/>
            <w:bottom w:val="none" w:sz="0" w:space="0" w:color="auto"/>
            <w:right w:val="none" w:sz="0" w:space="0" w:color="auto"/>
          </w:divBdr>
          <w:divsChild>
            <w:div w:id="892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24598">
      <w:bodyDiv w:val="1"/>
      <w:marLeft w:val="0"/>
      <w:marRight w:val="0"/>
      <w:marTop w:val="0"/>
      <w:marBottom w:val="0"/>
      <w:divBdr>
        <w:top w:val="none" w:sz="0" w:space="0" w:color="auto"/>
        <w:left w:val="none" w:sz="0" w:space="0" w:color="auto"/>
        <w:bottom w:val="none" w:sz="0" w:space="0" w:color="auto"/>
        <w:right w:val="none" w:sz="0" w:space="0" w:color="auto"/>
      </w:divBdr>
      <w:divsChild>
        <w:div w:id="75563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topic/Reproductive-Biology" TargetMode="External"/><Relationship Id="rId13" Type="http://schemas.openxmlformats.org/officeDocument/2006/relationships/hyperlink" Target="https://www.researchgate.net/topic/Oocy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topic/Infertil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topic/In-Vitro-Fertiliz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searchgate.net/topic/Follicular-Fluid" TargetMode="External"/><Relationship Id="rId4" Type="http://schemas.openxmlformats.org/officeDocument/2006/relationships/settings" Target="settings.xml"/><Relationship Id="rId9" Type="http://schemas.openxmlformats.org/officeDocument/2006/relationships/hyperlink" Target="https://www.researchgate.net/topic/Ovarian-Stimulation" TargetMode="External"/><Relationship Id="rId14" Type="http://schemas.openxmlformats.org/officeDocument/2006/relationships/hyperlink" Target="mailto:nul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E86FCF-38F6-4E98-9493-86854190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3077</Words>
  <Characters>17540</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Laboratorij</dc:creator>
  <cp:keywords/>
  <dc:description/>
  <cp:lastModifiedBy>Laboratorij</cp:lastModifiedBy>
  <cp:revision>5</cp:revision>
  <dcterms:created xsi:type="dcterms:W3CDTF">2019-12-27T13:17:00Z</dcterms:created>
  <dcterms:modified xsi:type="dcterms:W3CDTF">2020-01-27T12:29:00Z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0cb70c5b-e03e-3085-8b03-de73858cc0bc</vt:lpwstr>
  </property>
  <property fmtid="{D5CDD505-2E9C-101B-9397-08002B2CF9AE}" pid="4" name="Mendeley Citation Style_1">
    <vt:lpwstr>http://www.zotero.org/styles/ieee</vt:lpwstr>
  </property>
  <property fmtid="{D5CDD505-2E9C-101B-9397-08002B2CF9AE}" pid="5" name="Mendeley Recent Style Id 0_1">
    <vt:lpwstr>https://csl.mendeley.com/styles/21281161/Acta-Chimica-Slovenica</vt:lpwstr>
  </property>
  <property fmtid="{D5CDD505-2E9C-101B-9397-08002B2CF9AE}" pid="6" name="Mendeley Recent Style Name 0_1">
    <vt:lpwstr>Acta Chimica Slovenica</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http://www.zotero.org/styles/analytical-sciences</vt:lpwstr>
  </property>
  <property fmtid="{D5CDD505-2E9C-101B-9397-08002B2CF9AE}" pid="10" name="Mendeley Recent Style Name 2_1">
    <vt:lpwstr>Analytical Sciences</vt:lpwstr>
  </property>
  <property fmtid="{D5CDD505-2E9C-101B-9397-08002B2CF9AE}" pid="11" name="Mendeley Recent Style Id 3_1">
    <vt:lpwstr>http://www.zotero.org/styles/angewandte-chemie</vt:lpwstr>
  </property>
  <property fmtid="{D5CDD505-2E9C-101B-9397-08002B2CF9AE}" pid="12" name="Mendeley Recent Style Name 3_1">
    <vt:lpwstr>Angewandte Chemie International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http://www.zotero.org/styles/international-journal-of-quantum-chemistry</vt:lpwstr>
  </property>
  <property fmtid="{D5CDD505-2E9C-101B-9397-08002B2CF9AE}" pid="18" name="Mendeley Recent Style Name 6_1">
    <vt:lpwstr>International Journal of Quantum Chemistry</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