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ED9" w:rsidRDefault="000718EA">
      <w:pPr>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Formation of cobalt ferrites investigated by transmission and emission Mössbauer spectroscopy</w:t>
      </w:r>
    </w:p>
    <w:p w:rsidR="00C42ED9" w:rsidRDefault="00C42ED9">
      <w:pPr>
        <w:rPr>
          <w:rFonts w:ascii="Times New Roman" w:eastAsia="Calibri" w:hAnsi="Times New Roman" w:cs="Times New Roman"/>
          <w:b/>
          <w:sz w:val="24"/>
          <w:szCs w:val="24"/>
          <w:lang w:eastAsia="en-US"/>
        </w:rPr>
      </w:pPr>
    </w:p>
    <w:p w:rsidR="00C42ED9" w:rsidRDefault="000718EA">
      <w:pPr>
        <w:jc w:val="center"/>
        <w:rPr>
          <w:rFonts w:ascii="Times New Roman" w:hAnsi="Times New Roman" w:cs="Times New Roman"/>
          <w:b/>
          <w:sz w:val="24"/>
          <w:szCs w:val="24"/>
          <w:vertAlign w:val="superscript"/>
        </w:rPr>
      </w:pPr>
      <w:r>
        <w:rPr>
          <w:rFonts w:ascii="Times New Roman" w:hAnsi="Times New Roman" w:cs="Times New Roman"/>
          <w:b/>
          <w:sz w:val="32"/>
          <w:szCs w:val="32"/>
          <w:shd w:val="clear" w:color="auto" w:fill="FFFFFF"/>
        </w:rPr>
        <w:t xml:space="preserve">Vit </w:t>
      </w:r>
      <w:proofErr w:type="spellStart"/>
      <w:r>
        <w:rPr>
          <w:rFonts w:ascii="Times New Roman" w:hAnsi="Times New Roman" w:cs="Times New Roman"/>
          <w:b/>
          <w:sz w:val="32"/>
          <w:szCs w:val="32"/>
          <w:shd w:val="clear" w:color="auto" w:fill="FFFFFF"/>
        </w:rPr>
        <w:t>Prochazka</w:t>
      </w:r>
      <w:proofErr w:type="spellEnd"/>
      <w:r>
        <w:rPr>
          <w:rFonts w:ascii="Times New Roman" w:hAnsi="Times New Roman" w:cs="Times New Roman"/>
          <w:b/>
          <w:sz w:val="32"/>
          <w:szCs w:val="32"/>
          <w:shd w:val="clear" w:color="auto" w:fill="FFFFFF"/>
        </w:rPr>
        <w:t xml:space="preserve">, </w:t>
      </w:r>
      <w:proofErr w:type="spellStart"/>
      <w:r>
        <w:rPr>
          <w:rFonts w:ascii="Times New Roman" w:hAnsi="Times New Roman" w:cs="Times New Roman"/>
          <w:b/>
          <w:sz w:val="32"/>
          <w:szCs w:val="32"/>
          <w:shd w:val="clear" w:color="auto" w:fill="FFFFFF"/>
        </w:rPr>
        <w:t>Anezka</w:t>
      </w:r>
      <w:proofErr w:type="spellEnd"/>
      <w:r>
        <w:rPr>
          <w:rFonts w:ascii="Times New Roman" w:hAnsi="Times New Roman" w:cs="Times New Roman"/>
          <w:b/>
          <w:sz w:val="32"/>
          <w:szCs w:val="32"/>
          <w:shd w:val="clear" w:color="auto" w:fill="FFFFFF"/>
        </w:rPr>
        <w:t xml:space="preserve"> </w:t>
      </w:r>
      <w:proofErr w:type="spellStart"/>
      <w:r>
        <w:rPr>
          <w:rFonts w:ascii="Times New Roman" w:hAnsi="Times New Roman" w:cs="Times New Roman"/>
          <w:b/>
          <w:sz w:val="32"/>
          <w:szCs w:val="32"/>
          <w:shd w:val="clear" w:color="auto" w:fill="FFFFFF"/>
        </w:rPr>
        <w:t>Burvalova</w:t>
      </w:r>
      <w:proofErr w:type="spellEnd"/>
      <w:r>
        <w:rPr>
          <w:rFonts w:ascii="Times New Roman" w:hAnsi="Times New Roman" w:cs="Times New Roman"/>
          <w:b/>
          <w:sz w:val="32"/>
          <w:szCs w:val="32"/>
          <w:shd w:val="clear" w:color="auto" w:fill="FFFFFF"/>
        </w:rPr>
        <w:t xml:space="preserve">, </w:t>
      </w:r>
      <w:proofErr w:type="spellStart"/>
      <w:r>
        <w:rPr>
          <w:rFonts w:ascii="Times New Roman" w:hAnsi="Times New Roman" w:cs="Times New Roman"/>
          <w:b/>
          <w:sz w:val="32"/>
          <w:szCs w:val="32"/>
          <w:shd w:val="clear" w:color="auto" w:fill="FFFFFF"/>
        </w:rPr>
        <w:t>Vlastimil</w:t>
      </w:r>
      <w:proofErr w:type="spellEnd"/>
      <w:r>
        <w:rPr>
          <w:rFonts w:ascii="Times New Roman" w:hAnsi="Times New Roman" w:cs="Times New Roman"/>
          <w:b/>
          <w:sz w:val="32"/>
          <w:szCs w:val="32"/>
          <w:shd w:val="clear" w:color="auto" w:fill="FFFFFF"/>
        </w:rPr>
        <w:t xml:space="preserve"> Vrba, </w:t>
      </w:r>
      <w:r>
        <w:rPr>
          <w:rFonts w:ascii="Times New Roman" w:hAnsi="Times New Roman" w:cs="Times New Roman"/>
          <w:b/>
          <w:sz w:val="32"/>
          <w:szCs w:val="32"/>
          <w:shd w:val="clear" w:color="auto" w:fill="FFFFFF"/>
        </w:rPr>
        <w:br/>
        <w:t>Josef Kopp, and Petr Novak</w:t>
      </w:r>
      <w:r>
        <w:rPr>
          <w:rFonts w:ascii="Times New Roman" w:hAnsi="Times New Roman" w:cs="Times New Roman"/>
          <w:b/>
          <w:sz w:val="24"/>
          <w:szCs w:val="24"/>
          <w:vertAlign w:val="superscript"/>
        </w:rPr>
        <w:t>*</w:t>
      </w:r>
    </w:p>
    <w:p w:rsidR="00C42ED9" w:rsidRDefault="00C42ED9">
      <w:pPr>
        <w:jc w:val="center"/>
        <w:rPr>
          <w:rFonts w:ascii="Times New Roman" w:hAnsi="Times New Roman" w:cs="Times New Roman"/>
          <w:sz w:val="20"/>
          <w:szCs w:val="20"/>
          <w:shd w:val="clear" w:color="auto" w:fill="FFFFFF"/>
        </w:rPr>
      </w:pPr>
    </w:p>
    <w:p w:rsidR="00C42ED9" w:rsidRDefault="000718EA">
      <w:pPr>
        <w:pStyle w:val="Bezmezer"/>
        <w:jc w:val="center"/>
        <w:rPr>
          <w:rFonts w:ascii="Times New Roman" w:hAnsi="Times New Roman"/>
          <w:i/>
          <w:sz w:val="24"/>
          <w:szCs w:val="24"/>
          <w:lang w:val="en-GB"/>
        </w:rPr>
      </w:pPr>
      <w:r>
        <w:rPr>
          <w:rFonts w:ascii="Times New Roman" w:hAnsi="Times New Roman"/>
          <w:i/>
          <w:sz w:val="24"/>
          <w:szCs w:val="24"/>
          <w:lang w:val="en-GB"/>
        </w:rPr>
        <w:t xml:space="preserve">Department of Experimental Physics, Faculty of Science, </w:t>
      </w:r>
      <w:proofErr w:type="spellStart"/>
      <w:r>
        <w:rPr>
          <w:rFonts w:ascii="Times New Roman" w:hAnsi="Times New Roman"/>
          <w:i/>
          <w:sz w:val="24"/>
          <w:szCs w:val="24"/>
          <w:lang w:val="en-GB"/>
        </w:rPr>
        <w:t>Palacky</w:t>
      </w:r>
      <w:proofErr w:type="spellEnd"/>
      <w:r>
        <w:rPr>
          <w:rFonts w:ascii="Times New Roman" w:hAnsi="Times New Roman"/>
          <w:i/>
          <w:sz w:val="24"/>
          <w:szCs w:val="24"/>
          <w:lang w:val="en-GB"/>
        </w:rPr>
        <w:t xml:space="preserve"> </w:t>
      </w:r>
      <w:r>
        <w:rPr>
          <w:rFonts w:ascii="Times New Roman" w:hAnsi="Times New Roman"/>
          <w:i/>
          <w:sz w:val="24"/>
          <w:szCs w:val="24"/>
          <w:lang w:val="en-GB"/>
        </w:rPr>
        <w:t>University, 17. listopadu 1192/12, 77 146 Olomouc, Czech Republic</w:t>
      </w:r>
    </w:p>
    <w:p w:rsidR="00C42ED9" w:rsidRDefault="000718EA">
      <w:pPr>
        <w:spacing w:before="120" w:line="360" w:lineRule="auto"/>
        <w:jc w:val="center"/>
        <w:rPr>
          <w:rStyle w:val="CAuthor"/>
          <w:rFonts w:eastAsia="Droid Sans Fallback"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Corresponding author. </w:t>
      </w:r>
      <w:r>
        <w:rPr>
          <w:rStyle w:val="CAuthor"/>
          <w:rFonts w:eastAsia="Droid Sans Fallback" w:cs="Times New Roman"/>
          <w:sz w:val="24"/>
          <w:szCs w:val="24"/>
        </w:rPr>
        <w:t>E-mail: petr.novak@upol.cz</w:t>
      </w:r>
    </w:p>
    <w:p w:rsidR="00C42ED9" w:rsidRDefault="00C42ED9">
      <w:pPr>
        <w:pStyle w:val="Bezmezer"/>
        <w:jc w:val="both"/>
        <w:rPr>
          <w:rFonts w:ascii="Times New Roman" w:hAnsi="Times New Roman"/>
          <w:b/>
          <w:sz w:val="24"/>
          <w:szCs w:val="24"/>
          <w:lang w:val="en-GB"/>
        </w:rPr>
      </w:pPr>
    </w:p>
    <w:p w:rsidR="00C42ED9" w:rsidRDefault="000718EA">
      <w:pPr>
        <w:pStyle w:val="Bezmezer"/>
        <w:jc w:val="both"/>
        <w:rPr>
          <w:rFonts w:ascii="Times New Roman" w:hAnsi="Times New Roman"/>
          <w:b/>
          <w:sz w:val="24"/>
          <w:szCs w:val="24"/>
          <w:lang w:val="en-GB"/>
        </w:rPr>
      </w:pPr>
      <w:r>
        <w:rPr>
          <w:rFonts w:ascii="Times New Roman" w:hAnsi="Times New Roman"/>
          <w:b/>
          <w:sz w:val="24"/>
          <w:szCs w:val="24"/>
          <w:lang w:val="en-GB"/>
        </w:rPr>
        <w:t>Abstract</w:t>
      </w:r>
    </w:p>
    <w:p w:rsidR="00C42ED9" w:rsidRDefault="000718EA">
      <w:pPr>
        <w:spacing w:line="360" w:lineRule="auto"/>
        <w:ind w:firstLine="708"/>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This study focuses on cobalt and iron ordering within a ferrite structure </w:t>
      </w:r>
      <w:r>
        <w:rPr>
          <w:rFonts w:ascii="Times New Roman" w:hAnsi="Times New Roman" w:cs="Times New Roman"/>
          <w:sz w:val="24"/>
          <w:szCs w:val="24"/>
          <w:shd w:val="clear" w:color="auto" w:fill="FFFFFF"/>
        </w:rPr>
        <w:t>Co</w:t>
      </w:r>
      <w:r>
        <w:rPr>
          <w:rFonts w:ascii="Times New Roman" w:hAnsi="Times New Roman" w:cs="Times New Roman"/>
          <w:sz w:val="24"/>
          <w:szCs w:val="24"/>
          <w:shd w:val="clear" w:color="auto" w:fill="FFFFFF"/>
          <w:vertAlign w:val="subscript"/>
        </w:rPr>
        <w:t>x</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3-x</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 xml:space="preserve">4, </w:t>
      </w:r>
      <w:r>
        <w:rPr>
          <w:rFonts w:ascii="Times New Roman" w:eastAsia="Calibri" w:hAnsi="Times New Roman" w:cs="Times New Roman"/>
          <w:sz w:val="24"/>
          <w:szCs w:val="24"/>
          <w:shd w:val="clear" w:color="auto" w:fill="FFFFFF"/>
          <w:lang w:eastAsia="en-US"/>
        </w:rPr>
        <w:t>formed during a solid-state reaction of α-Fe</w:t>
      </w:r>
      <w:r>
        <w:rPr>
          <w:rFonts w:ascii="Times New Roman" w:eastAsia="Calibri" w:hAnsi="Times New Roman" w:cs="Times New Roman"/>
          <w:sz w:val="24"/>
          <w:szCs w:val="24"/>
          <w:shd w:val="clear" w:color="auto" w:fill="FFFFFF"/>
          <w:vertAlign w:val="subscript"/>
          <w:lang w:eastAsia="en-US"/>
        </w:rPr>
        <w:t>2</w:t>
      </w:r>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3</w:t>
      </w:r>
      <w:r>
        <w:rPr>
          <w:rFonts w:ascii="Times New Roman" w:eastAsia="Calibri" w:hAnsi="Times New Roman" w:cs="Times New Roman"/>
          <w:sz w:val="24"/>
          <w:szCs w:val="24"/>
          <w:shd w:val="clear" w:color="auto" w:fill="FFFFFF"/>
          <w:lang w:eastAsia="en-US"/>
        </w:rPr>
        <w:t xml:space="preserve"> and CoCl</w:t>
      </w:r>
      <w:r>
        <w:rPr>
          <w:rFonts w:ascii="Times New Roman" w:eastAsia="Calibri" w:hAnsi="Times New Roman" w:cs="Times New Roman"/>
          <w:sz w:val="24"/>
          <w:szCs w:val="24"/>
          <w:shd w:val="clear" w:color="auto" w:fill="FFFFFF"/>
          <w:vertAlign w:val="subscript"/>
          <w:lang w:eastAsia="en-US"/>
        </w:rPr>
        <w:t>2</w:t>
      </w:r>
      <w:r>
        <w:rPr>
          <w:rFonts w:ascii="Times New Roman" w:eastAsia="Calibri" w:hAnsi="Times New Roman" w:cs="Times New Roman"/>
          <w:sz w:val="24"/>
          <w:szCs w:val="24"/>
          <w:shd w:val="clear" w:color="auto" w:fill="FFFFFF"/>
          <w:lang w:eastAsia="en-US"/>
        </w:rPr>
        <w:t>. A combination of transmission and emission Mössbauer spectroscopy was employed to inspect selectively the posit</w:t>
      </w:r>
      <w:r>
        <w:rPr>
          <w:rFonts w:ascii="Times New Roman" w:eastAsia="Calibri" w:hAnsi="Times New Roman" w:cs="Times New Roman"/>
          <w:sz w:val="24"/>
          <w:szCs w:val="24"/>
          <w:shd w:val="clear" w:color="auto" w:fill="FFFFFF"/>
          <w:lang w:eastAsia="en-US"/>
        </w:rPr>
        <w:t xml:space="preserve">ions of iron and cobalt atoms in the structure. The comparison of transmission and emission spectra allowed the determination of tetrahedral and octahedral positions occupation. Additional information concerning the samples composition and morphology were </w:t>
      </w:r>
      <w:r>
        <w:rPr>
          <w:rFonts w:ascii="Times New Roman" w:eastAsia="Calibri" w:hAnsi="Times New Roman" w:cs="Times New Roman"/>
          <w:sz w:val="24"/>
          <w:szCs w:val="24"/>
          <w:shd w:val="clear" w:color="auto" w:fill="FFFFFF"/>
          <w:lang w:eastAsia="en-US"/>
        </w:rPr>
        <w:t>obtained by X-ray powder diffraction and scanning electron microscopy. An increased level of Co atoms incorporation into the structure of ferrite was revealed when higher amounts of Co entered the reaction.</w:t>
      </w:r>
    </w:p>
    <w:p w:rsidR="00C42ED9" w:rsidRDefault="000718EA">
      <w:pPr>
        <w:pStyle w:val="keywords"/>
        <w:rPr>
          <w:rFonts w:eastAsia="Calibri"/>
          <w:sz w:val="18"/>
          <w:szCs w:val="18"/>
          <w:shd w:val="clear" w:color="auto" w:fill="FFFFFF"/>
          <w:lang w:val="en-GB" w:eastAsia="en-US"/>
        </w:rPr>
      </w:pPr>
      <w:r>
        <w:rPr>
          <w:b/>
          <w:sz w:val="18"/>
          <w:szCs w:val="18"/>
          <w:lang w:val="en-GB"/>
        </w:rPr>
        <w:t>Keywords:</w:t>
      </w:r>
      <w:r>
        <w:rPr>
          <w:sz w:val="18"/>
          <w:szCs w:val="18"/>
          <w:lang w:val="en-GB"/>
        </w:rPr>
        <w:t xml:space="preserve"> </w:t>
      </w:r>
      <w:r>
        <w:rPr>
          <w:rFonts w:eastAsia="Calibri"/>
          <w:sz w:val="18"/>
          <w:szCs w:val="18"/>
          <w:shd w:val="clear" w:color="auto" w:fill="FFFFFF"/>
          <w:lang w:val="en-GB" w:eastAsia="en-US"/>
        </w:rPr>
        <w:t>Cobalt ferrite, Mössbauer spectroscopy,</w:t>
      </w:r>
      <w:r>
        <w:rPr>
          <w:rFonts w:eastAsia="Calibri"/>
          <w:sz w:val="18"/>
          <w:szCs w:val="18"/>
          <w:shd w:val="clear" w:color="auto" w:fill="FFFFFF"/>
          <w:lang w:val="en-GB" w:eastAsia="en-US"/>
        </w:rPr>
        <w:t xml:space="preserve"> degree of inversion, solid state reaction</w:t>
      </w:r>
    </w:p>
    <w:p w:rsidR="00C42ED9" w:rsidRDefault="00C42ED9">
      <w:pPr>
        <w:pStyle w:val="Bezmezer"/>
        <w:ind w:firstLine="567"/>
        <w:jc w:val="both"/>
        <w:rPr>
          <w:rFonts w:ascii="Times New Roman" w:hAnsi="Times New Roman"/>
          <w:lang w:val="en-GB"/>
        </w:rPr>
      </w:pPr>
    </w:p>
    <w:p w:rsidR="00C42ED9" w:rsidRDefault="000718EA">
      <w:pPr>
        <w:pStyle w:val="Bezmezer"/>
        <w:jc w:val="both"/>
        <w:rPr>
          <w:rFonts w:ascii="Times New Roman" w:hAnsi="Times New Roman"/>
          <w:b/>
          <w:sz w:val="24"/>
          <w:szCs w:val="24"/>
          <w:lang w:val="en-GB"/>
        </w:rPr>
      </w:pPr>
      <w:r>
        <w:rPr>
          <w:rFonts w:ascii="Times New Roman" w:hAnsi="Times New Roman"/>
          <w:b/>
          <w:sz w:val="24"/>
          <w:szCs w:val="24"/>
          <w:lang w:val="en-GB"/>
        </w:rPr>
        <w:t>Introduction</w:t>
      </w:r>
    </w:p>
    <w:p w:rsidR="00C42ED9" w:rsidRDefault="000718EA">
      <w:pPr>
        <w:spacing w:line="360" w:lineRule="auto"/>
        <w:ind w:firstLine="708"/>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Cobalt ferrites are thoroughly investigated because of their magnetic, optical and electrical properties and</w:t>
      </w:r>
      <w:r>
        <w:rPr>
          <w:rFonts w:ascii="Times New Roman" w:eastAsia="Calibri" w:hAnsi="Times New Roman" w:cs="Times New Roman"/>
          <w:sz w:val="24"/>
          <w:szCs w:val="24"/>
          <w:shd w:val="clear" w:color="auto" w:fill="FFFFFF"/>
        </w:rPr>
        <w:t xml:space="preserve"> their wide range of technological applications such as transformer cores, batteries, recording heads, ferrofluids, biomedical applications, catalysis and sensors.</w:t>
      </w:r>
      <w:r>
        <w:rPr>
          <w:rFonts w:ascii="Times New Roman" w:eastAsia="Calibri" w:hAnsi="Times New Roman" w:cs="Times New Roman"/>
          <w:sz w:val="24"/>
          <w:szCs w:val="24"/>
          <w:shd w:val="clear" w:color="auto" w:fill="FFFFFF"/>
          <w:vertAlign w:val="superscript"/>
        </w:rPr>
        <w:t>1–7</w:t>
      </w:r>
      <w:r>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color w:val="000000"/>
          <w:sz w:val="24"/>
          <w:szCs w:val="24"/>
        </w:rPr>
        <w:t>Cobalt ferrite is a magnetically hard material with a high positive magnetic anisotropy c</w:t>
      </w:r>
      <w:r>
        <w:rPr>
          <w:rFonts w:ascii="Times New Roman" w:eastAsia="Calibri" w:hAnsi="Times New Roman" w:cs="Times New Roman"/>
          <w:color w:val="000000"/>
          <w:sz w:val="24"/>
          <w:szCs w:val="24"/>
        </w:rPr>
        <w:t>onstant, good chemical stability, high mechanical hardness and high level of magnetization. Furthermore, it does not pose a risk to the biological environment.</w:t>
      </w:r>
      <w:r>
        <w:rPr>
          <w:rFonts w:ascii="Times New Roman" w:eastAsia="Calibri" w:hAnsi="Times New Roman" w:cs="Times New Roman"/>
          <w:color w:val="000000"/>
          <w:sz w:val="24"/>
          <w:szCs w:val="24"/>
          <w:vertAlign w:val="superscript"/>
        </w:rPr>
        <w:t>1,8</w:t>
      </w:r>
      <w:r>
        <w:rPr>
          <w:rFonts w:ascii="Times New Roman" w:eastAsia="Calibri" w:hAnsi="Times New Roman" w:cs="Times New Roman"/>
          <w:color w:val="000000"/>
          <w:sz w:val="24"/>
          <w:szCs w:val="24"/>
        </w:rPr>
        <w:t xml:space="preserve"> Most of the physical properties of this ferrite strongly depend on the size and shape of the </w:t>
      </w:r>
      <w:r>
        <w:rPr>
          <w:rFonts w:ascii="Times New Roman" w:eastAsia="Calibri" w:hAnsi="Times New Roman" w:cs="Times New Roman"/>
          <w:color w:val="000000"/>
          <w:sz w:val="24"/>
          <w:szCs w:val="24"/>
        </w:rPr>
        <w:t>particles.</w:t>
      </w:r>
      <w:r>
        <w:rPr>
          <w:rFonts w:ascii="Times New Roman" w:eastAsia="Calibri" w:hAnsi="Times New Roman" w:cs="Times New Roman"/>
          <w:color w:val="000000"/>
          <w:sz w:val="24"/>
          <w:szCs w:val="24"/>
          <w:vertAlign w:val="superscript"/>
        </w:rPr>
        <w:t>9</w:t>
      </w:r>
      <w:r>
        <w:rPr>
          <w:rFonts w:ascii="Times New Roman" w:eastAsia="Calibri" w:hAnsi="Times New Roman" w:cs="Times New Roman"/>
          <w:color w:val="000000"/>
          <w:sz w:val="24"/>
          <w:szCs w:val="24"/>
        </w:rPr>
        <w:t xml:space="preserve"> Cobalt ferrite </w:t>
      </w:r>
      <w:r>
        <w:rPr>
          <w:rFonts w:ascii="Times New Roman" w:eastAsia="Calibri" w:hAnsi="Times New Roman" w:cs="Times New Roman"/>
          <w:color w:val="000000"/>
          <w:sz w:val="24"/>
          <w:szCs w:val="24"/>
        </w:rPr>
        <w:lastRenderedPageBreak/>
        <w:t>nanoparticles are also photomagnetic materials which demonstrate an interesting change in coercivity induced by light.</w:t>
      </w:r>
      <w:r>
        <w:rPr>
          <w:rFonts w:ascii="Times New Roman" w:eastAsia="Calibri" w:hAnsi="Times New Roman" w:cs="Times New Roman"/>
          <w:color w:val="000000"/>
          <w:sz w:val="24"/>
          <w:szCs w:val="24"/>
          <w:vertAlign w:val="superscript"/>
        </w:rPr>
        <w:t>10</w:t>
      </w:r>
      <w:r>
        <w:rPr>
          <w:rFonts w:ascii="Times New Roman" w:eastAsia="Calibri" w:hAnsi="Times New Roman" w:cs="Times New Roman"/>
          <w:sz w:val="24"/>
          <w:szCs w:val="24"/>
          <w:shd w:val="clear" w:color="auto" w:fill="FFFFFF"/>
          <w:lang w:eastAsia="en-US"/>
        </w:rPr>
        <w:t xml:space="preserve"> </w:t>
      </w:r>
    </w:p>
    <w:p w:rsidR="00C42ED9" w:rsidRDefault="000718EA">
      <w:pPr>
        <w:spacing w:line="360" w:lineRule="auto"/>
        <w:ind w:firstLine="708"/>
        <w:jc w:val="both"/>
        <w:rPr>
          <w:rFonts w:ascii="Times New Roman" w:eastAsia="Calibri" w:hAnsi="Times New Roman" w:cs="Times New Roman"/>
          <w:sz w:val="24"/>
          <w:szCs w:val="24"/>
          <w:shd w:val="clear" w:color="auto" w:fill="FFFFFF"/>
          <w:vertAlign w:val="superscript"/>
          <w:lang w:eastAsia="en-US"/>
        </w:rPr>
      </w:pPr>
      <w:r>
        <w:rPr>
          <w:rFonts w:ascii="Times New Roman" w:eastAsia="Calibri" w:hAnsi="Times New Roman" w:cs="Times New Roman"/>
          <w:sz w:val="24"/>
          <w:szCs w:val="24"/>
          <w:shd w:val="clear" w:color="auto" w:fill="FFFFFF"/>
          <w:lang w:eastAsia="en-US"/>
        </w:rPr>
        <w:t>The specific properties of cobalt ferrites are governed by their microstructural arrangement that is formed</w:t>
      </w:r>
      <w:r>
        <w:rPr>
          <w:rFonts w:ascii="Times New Roman" w:eastAsia="Calibri" w:hAnsi="Times New Roman" w:cs="Times New Roman"/>
          <w:sz w:val="24"/>
          <w:szCs w:val="24"/>
          <w:shd w:val="clear" w:color="auto" w:fill="FFFFFF"/>
          <w:lang w:eastAsia="en-US"/>
        </w:rPr>
        <w:t xml:space="preserve"> during their synthesis. Therefore, it is important to understand the mechanisms of their formation and the dynamics of their synthesis. Ferrites form the spinel structure (AB</w:t>
      </w:r>
      <w:r>
        <w:rPr>
          <w:rFonts w:ascii="Times New Roman" w:eastAsia="Calibri" w:hAnsi="Times New Roman" w:cs="Times New Roman"/>
          <w:sz w:val="24"/>
          <w:szCs w:val="24"/>
          <w:shd w:val="clear" w:color="auto" w:fill="FFFFFF"/>
          <w:vertAlign w:val="subscript"/>
          <w:lang w:eastAsia="en-US"/>
        </w:rPr>
        <w:t>2</w:t>
      </w:r>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4</w:t>
      </w:r>
      <w:r>
        <w:rPr>
          <w:rFonts w:ascii="Times New Roman" w:eastAsia="Calibri" w:hAnsi="Times New Roman" w:cs="Times New Roman"/>
          <w:sz w:val="24"/>
          <w:szCs w:val="24"/>
          <w:shd w:val="clear" w:color="auto" w:fill="FFFFFF"/>
          <w:lang w:eastAsia="en-US"/>
        </w:rPr>
        <w:t>). The basic cell of MeFe</w:t>
      </w:r>
      <w:r>
        <w:rPr>
          <w:rFonts w:ascii="Times New Roman" w:eastAsia="Calibri" w:hAnsi="Times New Roman" w:cs="Times New Roman"/>
          <w:sz w:val="24"/>
          <w:szCs w:val="24"/>
          <w:shd w:val="clear" w:color="auto" w:fill="FFFFFF"/>
          <w:vertAlign w:val="subscript"/>
          <w:lang w:eastAsia="en-US"/>
        </w:rPr>
        <w:t>2</w:t>
      </w:r>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4</w:t>
      </w:r>
      <w:r>
        <w:rPr>
          <w:rFonts w:ascii="Times New Roman" w:eastAsia="Calibri" w:hAnsi="Times New Roman" w:cs="Times New Roman"/>
          <w:sz w:val="24"/>
          <w:szCs w:val="24"/>
          <w:shd w:val="clear" w:color="auto" w:fill="FFFFFF"/>
          <w:lang w:eastAsia="en-US"/>
        </w:rPr>
        <w:t xml:space="preserve"> spinel ferrite, where Me refers to the metal atom, is a cubic close-packed structure containing 32 anions.</w:t>
      </w:r>
      <w:r>
        <w:rPr>
          <w:rFonts w:ascii="Times New Roman" w:eastAsia="Calibri" w:hAnsi="Times New Roman" w:cs="Times New Roman"/>
          <w:sz w:val="24"/>
          <w:szCs w:val="24"/>
          <w:shd w:val="clear" w:color="auto" w:fill="FFFFFF"/>
          <w:vertAlign w:val="superscript"/>
          <w:lang w:eastAsia="en-US"/>
        </w:rPr>
        <w:t>11</w:t>
      </w:r>
      <w:r>
        <w:rPr>
          <w:rFonts w:ascii="Times New Roman" w:eastAsia="Calibri" w:hAnsi="Times New Roman" w:cs="Times New Roman"/>
          <w:sz w:val="24"/>
          <w:szCs w:val="24"/>
          <w:shd w:val="clear" w:color="auto" w:fill="FFFFFF"/>
          <w:lang w:eastAsia="en-US"/>
        </w:rPr>
        <w:t xml:space="preserve"> </w:t>
      </w:r>
      <w:r>
        <w:rPr>
          <w:rFonts w:ascii="Times New Roman" w:eastAsia="Cambria" w:hAnsi="Times New Roman" w:cs="Times New Roman"/>
          <w:sz w:val="24"/>
          <w:szCs w:val="24"/>
          <w:shd w:val="clear" w:color="auto" w:fill="FFFFFF"/>
          <w:lang w:eastAsia="en-US"/>
        </w:rPr>
        <w:t>Cations occupy two different crystallographic sites, namely A and B positions. Cations localized at A positions are surrounded by 4 oxygen atoms f</w:t>
      </w:r>
      <w:r>
        <w:rPr>
          <w:rFonts w:ascii="Times New Roman" w:eastAsia="Cambria" w:hAnsi="Times New Roman" w:cs="Times New Roman"/>
          <w:sz w:val="24"/>
          <w:szCs w:val="24"/>
          <w:shd w:val="clear" w:color="auto" w:fill="FFFFFF"/>
          <w:lang w:eastAsia="en-US"/>
        </w:rPr>
        <w:t>orming a tetrahedron, thus this position is also referred to as tetrahedral.  Cations in B positions are enclosed by six oxygen atoms forming octahedron. Therefore, the B position is called octahedral. Each basic cell contains 8 tetrahedral (A) positions a</w:t>
      </w:r>
      <w:r>
        <w:rPr>
          <w:rFonts w:ascii="Times New Roman" w:eastAsia="Cambria" w:hAnsi="Times New Roman" w:cs="Times New Roman"/>
          <w:sz w:val="24"/>
          <w:szCs w:val="24"/>
          <w:shd w:val="clear" w:color="auto" w:fill="FFFFFF"/>
          <w:lang w:eastAsia="en-US"/>
        </w:rPr>
        <w:t>nd 16 octahedral (B) positions</w:t>
      </w:r>
      <w:r>
        <w:rPr>
          <w:rFonts w:ascii="Times New Roman" w:eastAsia="Calibri" w:hAnsi="Times New Roman" w:cs="Times New Roman"/>
          <w:sz w:val="24"/>
          <w:szCs w:val="24"/>
          <w:shd w:val="clear" w:color="auto" w:fill="FFFFFF"/>
          <w:lang w:eastAsia="en-US"/>
        </w:rPr>
        <w:t>.</w:t>
      </w:r>
      <w:r>
        <w:rPr>
          <w:rFonts w:ascii="Times New Roman" w:eastAsia="Calibri" w:hAnsi="Times New Roman" w:cs="Times New Roman"/>
          <w:sz w:val="24"/>
          <w:szCs w:val="24"/>
          <w:shd w:val="clear" w:color="auto" w:fill="FFFFFF"/>
          <w:vertAlign w:val="superscript"/>
          <w:lang w:eastAsia="en-US"/>
        </w:rPr>
        <w:t>1,11</w:t>
      </w:r>
    </w:p>
    <w:p w:rsidR="00C42ED9" w:rsidRDefault="000718EA">
      <w:pPr>
        <w:spacing w:line="360" w:lineRule="auto"/>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ab/>
        <w:t>Ferrites are divided into several groups according to their cations distribution.</w:t>
      </w:r>
      <w:r>
        <w:rPr>
          <w:rFonts w:ascii="Times New Roman" w:eastAsia="Calibri" w:hAnsi="Times New Roman" w:cs="Times New Roman"/>
          <w:sz w:val="24"/>
          <w:szCs w:val="24"/>
          <w:shd w:val="clear" w:color="auto" w:fill="FFFFFF"/>
          <w:vertAlign w:val="superscript"/>
          <w:lang w:eastAsia="en-US"/>
        </w:rPr>
        <w:t>11,12</w:t>
      </w:r>
      <w:r>
        <w:rPr>
          <w:rFonts w:ascii="Times New Roman" w:eastAsia="Calibri" w:hAnsi="Times New Roman" w:cs="Times New Roman"/>
          <w:sz w:val="24"/>
          <w:szCs w:val="24"/>
          <w:shd w:val="clear" w:color="auto" w:fill="FFFFFF"/>
          <w:lang w:eastAsia="en-US"/>
        </w:rPr>
        <w:t xml:space="preserve"> For the normal structure the formula (Me)[Fe</w:t>
      </w:r>
      <w:r>
        <w:rPr>
          <w:rFonts w:ascii="Times New Roman" w:eastAsia="Calibri" w:hAnsi="Times New Roman" w:cs="Times New Roman"/>
          <w:sz w:val="24"/>
          <w:szCs w:val="24"/>
          <w:shd w:val="clear" w:color="auto" w:fill="FFFFFF"/>
          <w:vertAlign w:val="subscript"/>
          <w:lang w:eastAsia="en-US"/>
        </w:rPr>
        <w:t>2</w:t>
      </w:r>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4</w:t>
      </w:r>
      <w:r>
        <w:rPr>
          <w:rFonts w:ascii="Times New Roman" w:eastAsia="Calibri" w:hAnsi="Times New Roman" w:cs="Times New Roman"/>
          <w:sz w:val="24"/>
          <w:szCs w:val="24"/>
          <w:shd w:val="clear" w:color="auto" w:fill="FFFFFF"/>
          <w:lang w:eastAsia="en-US"/>
        </w:rPr>
        <w:t xml:space="preserve"> is usually used. </w:t>
      </w:r>
      <w:r>
        <w:rPr>
          <w:rFonts w:ascii="Times New Roman" w:hAnsi="Times New Roman" w:cs="Times New Roman"/>
          <w:sz w:val="24"/>
          <w:szCs w:val="24"/>
          <w:shd w:val="clear" w:color="auto" w:fill="FFFFFF"/>
        </w:rPr>
        <w:t>Square and round brackets denote the cations´ association to the o</w:t>
      </w:r>
      <w:r>
        <w:rPr>
          <w:rFonts w:ascii="Times New Roman" w:hAnsi="Times New Roman" w:cs="Times New Roman"/>
          <w:sz w:val="24"/>
          <w:szCs w:val="24"/>
          <w:shd w:val="clear" w:color="auto" w:fill="FFFFFF"/>
        </w:rPr>
        <w:t>ctahedral and tetrahedral positions respectively</w:t>
      </w:r>
      <w:r>
        <w:rPr>
          <w:rFonts w:ascii="Times New Roman" w:eastAsia="Calibri" w:hAnsi="Times New Roman" w:cs="Times New Roman"/>
          <w:sz w:val="24"/>
          <w:szCs w:val="24"/>
          <w:shd w:val="clear" w:color="auto" w:fill="FFFFFF"/>
        </w:rPr>
        <w:t xml:space="preserve">. In the normal structure all the non-iron cations </w:t>
      </w:r>
      <w:proofErr w:type="gramStart"/>
      <w:r>
        <w:rPr>
          <w:rFonts w:ascii="Times New Roman" w:eastAsia="Calibri" w:hAnsi="Times New Roman" w:cs="Times New Roman"/>
          <w:sz w:val="24"/>
          <w:szCs w:val="24"/>
          <w:shd w:val="clear" w:color="auto" w:fill="FFFFFF"/>
        </w:rPr>
        <w:t>are located in</w:t>
      </w:r>
      <w:proofErr w:type="gramEnd"/>
      <w:r>
        <w:rPr>
          <w:rFonts w:ascii="Times New Roman" w:eastAsia="Calibri" w:hAnsi="Times New Roman" w:cs="Times New Roman"/>
          <w:sz w:val="24"/>
          <w:szCs w:val="24"/>
          <w:shd w:val="clear" w:color="auto" w:fill="FFFFFF"/>
        </w:rPr>
        <w:t xml:space="preserve"> tetrahedral positions. The opposite extreme, the inverse structure, has all the non-iron cations in octahedral positions</w:t>
      </w:r>
      <w:r>
        <w:rPr>
          <w:rFonts w:ascii="Times New Roman" w:eastAsia="Calibri" w:hAnsi="Times New Roman" w:cs="Times New Roman"/>
          <w:sz w:val="24"/>
          <w:szCs w:val="24"/>
          <w:shd w:val="clear" w:color="auto" w:fill="FFFFFF"/>
          <w:lang w:eastAsia="en-US"/>
        </w:rPr>
        <w:t xml:space="preserve"> according to the form</w:t>
      </w:r>
      <w:r>
        <w:rPr>
          <w:rFonts w:ascii="Times New Roman" w:eastAsia="Calibri" w:hAnsi="Times New Roman" w:cs="Times New Roman"/>
          <w:sz w:val="24"/>
          <w:szCs w:val="24"/>
          <w:shd w:val="clear" w:color="auto" w:fill="FFFFFF"/>
          <w:lang w:eastAsia="en-US"/>
        </w:rPr>
        <w:t>ula (Fe)[</w:t>
      </w:r>
      <w:proofErr w:type="spellStart"/>
      <w:r>
        <w:rPr>
          <w:rFonts w:ascii="Times New Roman" w:eastAsia="Calibri" w:hAnsi="Times New Roman" w:cs="Times New Roman"/>
          <w:sz w:val="24"/>
          <w:szCs w:val="24"/>
          <w:shd w:val="clear" w:color="auto" w:fill="FFFFFF"/>
          <w:lang w:eastAsia="en-US"/>
        </w:rPr>
        <w:t>MeFe</w:t>
      </w:r>
      <w:proofErr w:type="spellEnd"/>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4</w:t>
      </w:r>
      <w:r>
        <w:rPr>
          <w:rFonts w:ascii="Times New Roman" w:eastAsia="Calibri" w:hAnsi="Times New Roman" w:cs="Times New Roman"/>
          <w:sz w:val="24"/>
          <w:szCs w:val="24"/>
          <w:shd w:val="clear" w:color="auto" w:fill="FFFFFF"/>
          <w:lang w:eastAsia="en-US"/>
        </w:rPr>
        <w:t>. The transition state between these two extremes can be represented as (Me</w:t>
      </w:r>
      <w:r>
        <w:rPr>
          <w:rFonts w:ascii="Times New Roman" w:eastAsia="Calibri" w:hAnsi="Times New Roman" w:cs="Times New Roman"/>
          <w:sz w:val="24"/>
          <w:szCs w:val="24"/>
          <w:shd w:val="clear" w:color="auto" w:fill="FFFFFF"/>
          <w:vertAlign w:val="subscript"/>
          <w:lang w:eastAsia="en-US"/>
        </w:rPr>
        <w:t>1-δ</w:t>
      </w:r>
      <w:r>
        <w:rPr>
          <w:rFonts w:ascii="Times New Roman" w:eastAsia="Calibri" w:hAnsi="Times New Roman" w:cs="Times New Roman"/>
          <w:sz w:val="24"/>
          <w:szCs w:val="24"/>
          <w:shd w:val="clear" w:color="auto" w:fill="FFFFFF"/>
          <w:lang w:eastAsia="en-US"/>
        </w:rPr>
        <w:t>Fe</w:t>
      </w:r>
      <w:r>
        <w:rPr>
          <w:rFonts w:ascii="Times New Roman" w:eastAsia="Calibri" w:hAnsi="Times New Roman" w:cs="Times New Roman"/>
          <w:sz w:val="24"/>
          <w:szCs w:val="24"/>
          <w:shd w:val="clear" w:color="auto" w:fill="FFFFFF"/>
          <w:vertAlign w:val="subscript"/>
          <w:lang w:eastAsia="en-US"/>
        </w:rPr>
        <w:t>δ</w:t>
      </w:r>
      <w:r>
        <w:rPr>
          <w:rFonts w:ascii="Times New Roman" w:eastAsia="Calibri" w:hAnsi="Times New Roman" w:cs="Times New Roman"/>
          <w:sz w:val="24"/>
          <w:szCs w:val="24"/>
          <w:shd w:val="clear" w:color="auto" w:fill="FFFFFF"/>
          <w:lang w:eastAsia="en-US"/>
        </w:rPr>
        <w:t>)[Me</w:t>
      </w:r>
      <w:r>
        <w:rPr>
          <w:rFonts w:ascii="Times New Roman" w:eastAsia="Calibri" w:hAnsi="Times New Roman" w:cs="Times New Roman"/>
          <w:sz w:val="24"/>
          <w:szCs w:val="24"/>
          <w:shd w:val="clear" w:color="auto" w:fill="FFFFFF"/>
          <w:vertAlign w:val="subscript"/>
          <w:lang w:eastAsia="en-US"/>
        </w:rPr>
        <w:t>δ</w:t>
      </w:r>
      <w:r>
        <w:rPr>
          <w:rFonts w:ascii="Times New Roman" w:eastAsia="Calibri" w:hAnsi="Times New Roman" w:cs="Times New Roman"/>
          <w:sz w:val="24"/>
          <w:szCs w:val="24"/>
          <w:shd w:val="clear" w:color="auto" w:fill="FFFFFF"/>
          <w:lang w:eastAsia="en-US"/>
        </w:rPr>
        <w:t>Fe</w:t>
      </w:r>
      <w:r>
        <w:rPr>
          <w:rFonts w:ascii="Times New Roman" w:eastAsia="Calibri" w:hAnsi="Times New Roman" w:cs="Times New Roman"/>
          <w:sz w:val="24"/>
          <w:szCs w:val="24"/>
          <w:shd w:val="clear" w:color="auto" w:fill="FFFFFF"/>
          <w:vertAlign w:val="subscript"/>
          <w:lang w:eastAsia="en-US"/>
        </w:rPr>
        <w:t>2-δ</w:t>
      </w:r>
      <w:r>
        <w:rPr>
          <w:rFonts w:ascii="Times New Roman" w:eastAsia="Calibri" w:hAnsi="Times New Roman" w:cs="Times New Roman"/>
          <w:sz w:val="24"/>
          <w:szCs w:val="24"/>
          <w:shd w:val="clear" w:color="auto" w:fill="FFFFFF"/>
          <w:lang w:eastAsia="en-US"/>
        </w:rPr>
        <w:t>]O</w:t>
      </w:r>
      <w:r>
        <w:rPr>
          <w:rFonts w:ascii="Times New Roman" w:eastAsia="Calibri" w:hAnsi="Times New Roman" w:cs="Times New Roman"/>
          <w:sz w:val="24"/>
          <w:szCs w:val="24"/>
          <w:shd w:val="clear" w:color="auto" w:fill="FFFFFF"/>
          <w:vertAlign w:val="subscript"/>
          <w:lang w:eastAsia="en-US"/>
        </w:rPr>
        <w:t>4</w:t>
      </w:r>
      <w:r>
        <w:rPr>
          <w:rFonts w:ascii="Times New Roman" w:eastAsia="Calibri" w:hAnsi="Times New Roman" w:cs="Times New Roman"/>
          <w:sz w:val="24"/>
          <w:szCs w:val="24"/>
          <w:shd w:val="clear" w:color="auto" w:fill="FFFFFF"/>
          <w:lang w:eastAsia="en-US"/>
        </w:rPr>
        <w:t>, where δ is called the degree of inversion. It is equal to 0 for the normal spinel structure and to 1 for the inverse spinel structure.</w:t>
      </w:r>
    </w:p>
    <w:p w:rsidR="00C42ED9" w:rsidRDefault="000718EA">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shd w:val="clear" w:color="auto" w:fill="FFFFFF"/>
          <w:lang w:eastAsia="en-US"/>
        </w:rPr>
        <w:tab/>
        <w:t xml:space="preserve">The </w:t>
      </w:r>
      <w:r>
        <w:rPr>
          <w:rFonts w:ascii="Times New Roman" w:eastAsia="Calibri" w:hAnsi="Times New Roman" w:cs="Times New Roman"/>
          <w:sz w:val="24"/>
          <w:szCs w:val="24"/>
          <w:shd w:val="clear" w:color="auto" w:fill="FFFFFF"/>
          <w:lang w:eastAsia="en-US"/>
        </w:rPr>
        <w:t>degree of inversion expresses the ratio of cations at different crystallographic positions. Nevertheless, its determination in cobalt ferrites is rather challenging ta</w:t>
      </w:r>
      <w:r>
        <w:rPr>
          <w:rFonts w:ascii="Times New Roman" w:eastAsia="Calibri" w:hAnsi="Times New Roman" w:cs="Times New Roman"/>
          <w:color w:val="000000"/>
          <w:sz w:val="24"/>
          <w:szCs w:val="24"/>
          <w:shd w:val="clear" w:color="auto" w:fill="FFFFFF"/>
          <w:lang w:eastAsia="en-US"/>
        </w:rPr>
        <w:t>sk because Fe and Co atoms have similar atomic scattering factors and their identificatio</w:t>
      </w:r>
      <w:r>
        <w:rPr>
          <w:rFonts w:ascii="Times New Roman" w:eastAsia="Calibri" w:hAnsi="Times New Roman" w:cs="Times New Roman"/>
          <w:color w:val="000000"/>
          <w:sz w:val="24"/>
          <w:szCs w:val="24"/>
          <w:shd w:val="clear" w:color="auto" w:fill="FFFFFF"/>
          <w:lang w:eastAsia="en-US"/>
        </w:rPr>
        <w:t>n by X-ray powder diffraction is limited.</w:t>
      </w:r>
      <w:r>
        <w:rPr>
          <w:rFonts w:ascii="Times New Roman" w:hAnsi="Times New Roman" w:cs="Times New Roman"/>
          <w:color w:val="000000"/>
          <w:sz w:val="24"/>
          <w:szCs w:val="24"/>
          <w:shd w:val="clear" w:color="auto" w:fill="FFFFFF"/>
        </w:rPr>
        <w:tab/>
      </w:r>
      <w:r>
        <w:rPr>
          <w:rFonts w:ascii="Times New Roman" w:hAnsi="Times New Roman" w:cs="Times New Roman"/>
          <w:sz w:val="24"/>
          <w:szCs w:val="24"/>
          <w:shd w:val="clear" w:color="auto" w:fill="FFFFFF"/>
        </w:rPr>
        <w:t>Cobalt ferrites usually form the inverse structure, where Co</w:t>
      </w:r>
      <w:r>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 xml:space="preserve"> ions are located only in B positions and Fe</w:t>
      </w:r>
      <w:r>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 xml:space="preserve"> ions are situated in both A and B positions. However, the degree of inversion might not be </w:t>
      </w:r>
      <w:proofErr w:type="gramStart"/>
      <w:r>
        <w:rPr>
          <w:rFonts w:ascii="Times New Roman" w:hAnsi="Times New Roman" w:cs="Times New Roman"/>
          <w:sz w:val="24"/>
          <w:szCs w:val="24"/>
          <w:shd w:val="clear" w:color="auto" w:fill="FFFFFF"/>
        </w:rPr>
        <w:t>constant</w:t>
      </w:r>
      <w:proofErr w:type="gramEnd"/>
      <w:r>
        <w:rPr>
          <w:rFonts w:ascii="Times New Roman" w:hAnsi="Times New Roman" w:cs="Times New Roman"/>
          <w:sz w:val="24"/>
          <w:szCs w:val="24"/>
          <w:shd w:val="clear" w:color="auto" w:fill="FFFFFF"/>
        </w:rPr>
        <w:t xml:space="preserve"> and i</w:t>
      </w:r>
      <w:r>
        <w:rPr>
          <w:rFonts w:ascii="Times New Roman" w:hAnsi="Times New Roman" w:cs="Times New Roman"/>
          <w:sz w:val="24"/>
          <w:szCs w:val="24"/>
          <w:shd w:val="clear" w:color="auto" w:fill="FFFFFF"/>
        </w:rPr>
        <w:t>t can depend on the previous heat treatment.</w:t>
      </w:r>
      <w:r>
        <w:rPr>
          <w:rFonts w:ascii="Times New Roman" w:hAnsi="Times New Roman" w:cs="Times New Roman"/>
          <w:sz w:val="24"/>
          <w:szCs w:val="24"/>
          <w:shd w:val="clear" w:color="auto" w:fill="FFFFFF"/>
          <w:vertAlign w:val="superscript"/>
        </w:rPr>
        <w:t>13–16</w:t>
      </w:r>
      <w:r>
        <w:rPr>
          <w:rFonts w:ascii="Times New Roman" w:hAnsi="Times New Roman" w:cs="Times New Roman"/>
          <w:sz w:val="24"/>
          <w:szCs w:val="24"/>
        </w:rPr>
        <w:t xml:space="preserve"> </w:t>
      </w:r>
    </w:p>
    <w:p w:rsidR="00C42ED9" w:rsidRDefault="000718EA">
      <w:pPr>
        <w:spacing w:line="360" w:lineRule="auto"/>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ab/>
        <w:t xml:space="preserve">Within this study we utilized emission Mössbauer spectroscopy and transmission Mössbauer spectroscopy for investigation of the local surroundings of Co and Fe atoms. The transmission arrangement inspects </w:t>
      </w:r>
      <w:r>
        <w:rPr>
          <w:rFonts w:ascii="Times New Roman" w:eastAsia="Calibri" w:hAnsi="Times New Roman" w:cs="Times New Roman"/>
          <w:sz w:val="24"/>
          <w:szCs w:val="24"/>
          <w:shd w:val="clear" w:color="auto" w:fill="FFFFFF"/>
          <w:lang w:eastAsia="en-US"/>
        </w:rPr>
        <w:t xml:space="preserve">the local surroundings of iron atoms. On the contrary, the emission arrangement offers information selectively on the local structure around the </w:t>
      </w:r>
      <w:r>
        <w:rPr>
          <w:rFonts w:ascii="Times New Roman" w:eastAsia="Calibri" w:hAnsi="Times New Roman" w:cs="Times New Roman"/>
          <w:sz w:val="24"/>
          <w:szCs w:val="24"/>
          <w:shd w:val="clear" w:color="auto" w:fill="FFFFFF"/>
          <w:vertAlign w:val="superscript"/>
          <w:lang w:eastAsia="en-US"/>
        </w:rPr>
        <w:t>57</w:t>
      </w:r>
      <w:r>
        <w:rPr>
          <w:rFonts w:ascii="Times New Roman" w:eastAsia="Calibri" w:hAnsi="Times New Roman" w:cs="Times New Roman"/>
          <w:sz w:val="24"/>
          <w:szCs w:val="24"/>
          <w:shd w:val="clear" w:color="auto" w:fill="FFFFFF"/>
          <w:lang w:eastAsia="en-US"/>
        </w:rPr>
        <w:t xml:space="preserve">Co atoms. The combination of these two complementary information allows to determine the </w:t>
      </w:r>
      <w:r>
        <w:rPr>
          <w:rFonts w:ascii="Times New Roman" w:eastAsia="Calibri" w:hAnsi="Times New Roman" w:cs="Times New Roman"/>
          <w:sz w:val="24"/>
          <w:szCs w:val="24"/>
          <w:shd w:val="clear" w:color="auto" w:fill="FFFFFF"/>
          <w:lang w:eastAsia="en-US"/>
        </w:rPr>
        <w:lastRenderedPageBreak/>
        <w:t>degree of inversion.</w:t>
      </w:r>
      <w:r>
        <w:rPr>
          <w:rFonts w:ascii="Times New Roman" w:eastAsia="Calibri" w:hAnsi="Times New Roman" w:cs="Times New Roman"/>
          <w:sz w:val="24"/>
          <w:szCs w:val="24"/>
          <w:shd w:val="clear" w:color="auto" w:fill="FFFFFF"/>
          <w:lang w:eastAsia="en-US"/>
        </w:rPr>
        <w:t xml:space="preserve"> Moreover, the correlation of cobalt and iron Mössbauer spectra could bring new enlightenment to the problem of cobalt ferrite structure formation.</w:t>
      </w:r>
    </w:p>
    <w:p w:rsidR="00C42ED9" w:rsidRDefault="000718EA">
      <w:pPr>
        <w:pStyle w:val="Bezmezer"/>
        <w:jc w:val="both"/>
        <w:rPr>
          <w:rFonts w:ascii="Times New Roman" w:hAnsi="Times New Roman"/>
          <w:b/>
          <w:sz w:val="24"/>
          <w:szCs w:val="24"/>
          <w:lang w:val="en-GB"/>
        </w:rPr>
      </w:pPr>
      <w:r>
        <w:rPr>
          <w:rFonts w:ascii="Times New Roman" w:hAnsi="Times New Roman"/>
          <w:b/>
          <w:sz w:val="24"/>
          <w:szCs w:val="24"/>
          <w:lang w:val="en-GB"/>
        </w:rPr>
        <w:t xml:space="preserve">Experimental Section </w:t>
      </w:r>
    </w:p>
    <w:p w:rsidR="00C42ED9" w:rsidRDefault="000718EA">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Samples with different composition were prepared by solid phase synthesis</w:t>
      </w:r>
      <w:r>
        <w:rPr>
          <w:rFonts w:ascii="Times New Roman" w:hAnsi="Times New Roman" w:cs="Times New Roman"/>
          <w:sz w:val="24"/>
          <w:szCs w:val="24"/>
          <w:shd w:val="clear" w:color="auto" w:fill="FFFFFF"/>
          <w:vertAlign w:val="superscript"/>
        </w:rPr>
        <w:t>17,18</w:t>
      </w:r>
      <w:r>
        <w:rPr>
          <w:rFonts w:ascii="Times New Roman" w:hAnsi="Times New Roman" w:cs="Times New Roman"/>
          <w:sz w:val="24"/>
          <w:szCs w:val="24"/>
          <w:shd w:val="clear" w:color="auto" w:fill="FFFFFF"/>
        </w:rPr>
        <w:t xml:space="preserve"> from hematite (prepared at Regional Centre of Advanced Technologies and Materials in Olomouc) and cobalt chloride (prepared at Merck KGaA, Darmstadt, Germany). The required amount of cobalt chloride and hematite (Table 1) was mixed and crushed for approxi</w:t>
      </w:r>
      <w:r>
        <w:rPr>
          <w:rFonts w:ascii="Times New Roman" w:hAnsi="Times New Roman" w:cs="Times New Roman"/>
          <w:sz w:val="24"/>
          <w:szCs w:val="24"/>
          <w:shd w:val="clear" w:color="auto" w:fill="FFFFFF"/>
        </w:rPr>
        <w:t xml:space="preserve">mately 10 minutes in an agate mortar. After adding 30 μl of 0.1 M HCl 50 mg of homogeneous mixture was placed into a laboratory furnace. To guarantee the same thermal treatment conditions, all the samples were placed into the furnace simultaneously. After </w:t>
      </w:r>
      <w:r>
        <w:rPr>
          <w:rFonts w:ascii="Times New Roman" w:hAnsi="Times New Roman" w:cs="Times New Roman"/>
          <w:sz w:val="24"/>
          <w:szCs w:val="24"/>
          <w:shd w:val="clear" w:color="auto" w:fill="FFFFFF"/>
        </w:rPr>
        <w:t>being dried for one hour at 90 °C the samples were heated up to the temperature of 1000 °C with a rate of 30 °C per minute and annealed in static air atmosphere for 5 hours. In respect to radiation safety two sample series were prepared. The first series c</w:t>
      </w:r>
      <w:r>
        <w:rPr>
          <w:rFonts w:ascii="Times New Roman" w:hAnsi="Times New Roman" w:cs="Times New Roman"/>
          <w:sz w:val="24"/>
          <w:szCs w:val="24"/>
          <w:shd w:val="clear" w:color="auto" w:fill="FFFFFF"/>
        </w:rPr>
        <w:t xml:space="preserve">ontained a radioactive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 xml:space="preserve">Co, while the other was prepared with the use of a non-radioactive Co. In the case of radioactive samples, the HCl solution contained small amount of dissolved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CoCl with radionuclide purity of 99.8 %. Namely 10</w:t>
      </w:r>
      <w:r>
        <w:rPr>
          <w:rFonts w:ascii="Times New Roman" w:hAnsi="Times New Roman" w:cs="Times New Roman"/>
          <w:sz w:val="24"/>
          <w:szCs w:val="24"/>
          <w:shd w:val="clear" w:color="auto" w:fill="FFFFFF"/>
          <w:vertAlign w:val="superscript"/>
        </w:rPr>
        <w:t xml:space="preserve">17 </w:t>
      </w:r>
      <w:r>
        <w:rPr>
          <w:rFonts w:ascii="Times New Roman" w:hAnsi="Times New Roman" w:cs="Times New Roman"/>
          <w:sz w:val="24"/>
          <w:szCs w:val="24"/>
          <w:shd w:val="clear" w:color="auto" w:fill="FFFFFF"/>
        </w:rPr>
        <w:t>of radioactive a</w:t>
      </w:r>
      <w:r>
        <w:rPr>
          <w:rFonts w:ascii="Times New Roman" w:hAnsi="Times New Roman" w:cs="Times New Roman"/>
          <w:sz w:val="24"/>
          <w:szCs w:val="24"/>
          <w:shd w:val="clear" w:color="auto" w:fill="FFFFFF"/>
        </w:rPr>
        <w:t>toms per 30 μl of solution were incorporated inside the resulting material during the synthesis. The resulting activity of the samples was 1.1 MBq. The radioactive samples were used in transmission and emission Mössbauer experiments. Non-radioactive sample</w:t>
      </w:r>
      <w:r>
        <w:rPr>
          <w:rFonts w:ascii="Times New Roman" w:hAnsi="Times New Roman" w:cs="Times New Roman"/>
          <w:sz w:val="24"/>
          <w:szCs w:val="24"/>
          <w:shd w:val="clear" w:color="auto" w:fill="FFFFFF"/>
        </w:rPr>
        <w:t>s were used for other techniques, i.e. scanning electron microscopy and X-ray powder diffraction.</w:t>
      </w:r>
    </w:p>
    <w:p w:rsidR="00C42ED9" w:rsidRDefault="000718EA">
      <w:pPr>
        <w:spacing w:line="360" w:lineRule="auto"/>
        <w:jc w:val="both"/>
        <w:rPr>
          <w:rStyle w:val="Odkaznakoment1"/>
          <w:rFonts w:ascii="Times New Roman" w:eastAsia="Cambria"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 studied samples, listed in Table 1, follow the notation </w:t>
      </w:r>
      <w:proofErr w:type="spellStart"/>
      <w:r>
        <w:rPr>
          <w:rFonts w:ascii="Times New Roman" w:hAnsi="Times New Roman" w:cs="Times New Roman"/>
          <w:sz w:val="24"/>
          <w:szCs w:val="24"/>
          <w:shd w:val="clear" w:color="auto" w:fill="FFFFFF"/>
        </w:rPr>
        <w:t>S</w:t>
      </w:r>
      <w:r>
        <w:rPr>
          <w:rFonts w:ascii="Times New Roman" w:hAnsi="Times New Roman" w:cs="Times New Roman"/>
          <w:i/>
          <w:sz w:val="24"/>
          <w:szCs w:val="24"/>
          <w:shd w:val="clear" w:color="auto" w:fill="FFFFFF"/>
        </w:rPr>
        <w:t>x</w:t>
      </w:r>
      <w:proofErr w:type="spellEnd"/>
      <w:r>
        <w:rPr>
          <w:rFonts w:ascii="Times New Roman" w:hAnsi="Times New Roman" w:cs="Times New Roman"/>
          <w:sz w:val="24"/>
          <w:szCs w:val="24"/>
          <w:shd w:val="clear" w:color="auto" w:fill="FFFFFF"/>
        </w:rPr>
        <w:t xml:space="preserve"> where </w:t>
      </w:r>
      <w:r>
        <w:rPr>
          <w:rFonts w:ascii="Times New Roman" w:hAnsi="Times New Roman" w:cs="Times New Roman"/>
          <w:i/>
          <w:iCs/>
          <w:sz w:val="24"/>
          <w:szCs w:val="24"/>
          <w:shd w:val="clear" w:color="auto" w:fill="FFFFFF"/>
        </w:rPr>
        <w:t>x</w:t>
      </w:r>
      <w:r>
        <w:rPr>
          <w:rFonts w:ascii="Times New Roman" w:hAnsi="Times New Roman" w:cs="Times New Roman"/>
          <w:sz w:val="24"/>
          <w:szCs w:val="24"/>
          <w:shd w:val="clear" w:color="auto" w:fill="FFFFFF"/>
        </w:rPr>
        <w:t xml:space="preserve"> denotes the amount of cobalt in the formula Co</w:t>
      </w:r>
      <w:r>
        <w:rPr>
          <w:rFonts w:ascii="Times New Roman" w:hAnsi="Times New Roman" w:cs="Times New Roman"/>
          <w:i/>
          <w:sz w:val="24"/>
          <w:szCs w:val="24"/>
          <w:shd w:val="clear" w:color="auto" w:fill="FFFFFF"/>
          <w:vertAlign w:val="subscript"/>
        </w:rPr>
        <w:t>x</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3-</w:t>
      </w:r>
      <w:r>
        <w:rPr>
          <w:rFonts w:ascii="Times New Roman" w:hAnsi="Times New Roman" w:cs="Times New Roman"/>
          <w:i/>
          <w:sz w:val="24"/>
          <w:szCs w:val="24"/>
          <w:shd w:val="clear" w:color="auto" w:fill="FFFFFF"/>
          <w:vertAlign w:val="subscript"/>
        </w:rPr>
        <w:t>x</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 xml:space="preserve">4 </w:t>
      </w:r>
      <w:proofErr w:type="gramStart"/>
      <w:r>
        <w:rPr>
          <w:rFonts w:ascii="Times New Roman" w:hAnsi="Times New Roman" w:cs="Times New Roman"/>
          <w:sz w:val="24"/>
          <w:szCs w:val="24"/>
          <w:shd w:val="clear" w:color="auto" w:fill="FFFFFF"/>
        </w:rPr>
        <w:t>assuming that</w:t>
      </w:r>
      <w:proofErr w:type="gramEnd"/>
      <w:r>
        <w:rPr>
          <w:rFonts w:ascii="Times New Roman" w:hAnsi="Times New Roman" w:cs="Times New Roman"/>
          <w:sz w:val="24"/>
          <w:szCs w:val="24"/>
          <w:shd w:val="clear" w:color="auto" w:fill="FFFFFF"/>
        </w:rPr>
        <w:t xml:space="preserve"> all Fe and Co ato</w:t>
      </w:r>
      <w:r>
        <w:rPr>
          <w:rFonts w:ascii="Times New Roman" w:hAnsi="Times New Roman" w:cs="Times New Roman"/>
          <w:sz w:val="24"/>
          <w:szCs w:val="24"/>
          <w:shd w:val="clear" w:color="auto" w:fill="FFFFFF"/>
        </w:rPr>
        <w:t xml:space="preserve">ms are incorporated into the resulting ferrite. Samples prepared with radioactive cobalt are labelled by *. </w:t>
      </w:r>
      <w:r>
        <w:rPr>
          <w:rStyle w:val="Odkaznakoment1"/>
          <w:rFonts w:ascii="Times New Roman" w:eastAsia="Cambria" w:hAnsi="Times New Roman" w:cs="Times New Roman"/>
          <w:sz w:val="24"/>
          <w:szCs w:val="24"/>
          <w:shd w:val="clear" w:color="auto" w:fill="FFFFFF"/>
        </w:rPr>
        <w:t>Sample S1.00</w:t>
      </w:r>
      <w:r>
        <w:rPr>
          <w:rStyle w:val="Odkaznakoment1"/>
          <w:rFonts w:ascii="Times New Roman" w:eastAsia="Cambria" w:hAnsi="Times New Roman" w:cs="Times New Roman"/>
          <w:sz w:val="24"/>
          <w:szCs w:val="24"/>
          <w:shd w:val="clear" w:color="auto" w:fill="FFFFFF"/>
          <w:vertAlign w:val="superscript"/>
        </w:rPr>
        <w:t>168</w:t>
      </w:r>
      <w:r>
        <w:rPr>
          <w:rStyle w:val="Odkaznakoment1"/>
          <w:rFonts w:ascii="Times New Roman" w:eastAsia="Cambria" w:hAnsi="Times New Roman" w:cs="Times New Roman"/>
          <w:sz w:val="24"/>
          <w:szCs w:val="24"/>
          <w:shd w:val="clear" w:color="auto" w:fill="FFFFFF"/>
        </w:rPr>
        <w:t xml:space="preserve"> was prepared using an annealing time of 168 h. Observing only small differences between the sample S1.00</w:t>
      </w:r>
      <w:r>
        <w:rPr>
          <w:rStyle w:val="Odkaznakoment1"/>
          <w:rFonts w:ascii="Times New Roman" w:eastAsia="Cambria" w:hAnsi="Times New Roman" w:cs="Times New Roman"/>
          <w:sz w:val="24"/>
          <w:szCs w:val="24"/>
          <w:shd w:val="clear" w:color="auto" w:fill="FFFFFF"/>
          <w:vertAlign w:val="superscript"/>
        </w:rPr>
        <w:t>168</w:t>
      </w:r>
      <w:r>
        <w:rPr>
          <w:rStyle w:val="Odkaznakoment1"/>
          <w:rFonts w:ascii="Times New Roman" w:eastAsia="Cambria" w:hAnsi="Times New Roman" w:cs="Times New Roman"/>
          <w:sz w:val="24"/>
          <w:szCs w:val="24"/>
          <w:shd w:val="clear" w:color="auto" w:fill="FFFFFF"/>
        </w:rPr>
        <w:t xml:space="preserve"> and S1.00</w:t>
      </w:r>
      <w:r>
        <w:rPr>
          <w:rStyle w:val="Odkaznakoment1"/>
          <w:rFonts w:ascii="Times New Roman" w:eastAsia="Cambria" w:hAnsi="Times New Roman" w:cs="Times New Roman"/>
          <w:sz w:val="24"/>
          <w:szCs w:val="24"/>
          <w:shd w:val="clear" w:color="auto" w:fill="FFFFFF"/>
          <w:vertAlign w:val="superscript"/>
        </w:rPr>
        <w:t xml:space="preserve"> </w:t>
      </w:r>
      <w:r>
        <w:rPr>
          <w:rStyle w:val="Odkaznakoment1"/>
          <w:rFonts w:ascii="Times New Roman" w:eastAsia="Cambria" w:hAnsi="Times New Roman" w:cs="Times New Roman"/>
          <w:sz w:val="24"/>
          <w:szCs w:val="24"/>
          <w:shd w:val="clear" w:color="auto" w:fill="FFFFFF"/>
        </w:rPr>
        <w:t xml:space="preserve">we can state that annealing time of 5 h was </w:t>
      </w:r>
      <w:proofErr w:type="gramStart"/>
      <w:r>
        <w:rPr>
          <w:rStyle w:val="Odkaznakoment1"/>
          <w:rFonts w:ascii="Times New Roman" w:eastAsia="Cambria" w:hAnsi="Times New Roman" w:cs="Times New Roman"/>
          <w:sz w:val="24"/>
          <w:szCs w:val="24"/>
          <w:shd w:val="clear" w:color="auto" w:fill="FFFFFF"/>
        </w:rPr>
        <w:t>sufficient</w:t>
      </w:r>
      <w:proofErr w:type="gramEnd"/>
      <w:r>
        <w:rPr>
          <w:rStyle w:val="Odkaznakoment1"/>
          <w:rFonts w:ascii="Times New Roman" w:eastAsia="Cambria" w:hAnsi="Times New Roman" w:cs="Times New Roman"/>
          <w:sz w:val="24"/>
          <w:szCs w:val="24"/>
          <w:shd w:val="clear" w:color="auto" w:fill="FFFFFF"/>
        </w:rPr>
        <w:t xml:space="preserve"> for incorporation of Co atoms to the structure and formation of ferrite. </w:t>
      </w:r>
    </w:p>
    <w:p w:rsidR="00C42ED9" w:rsidRDefault="00D63F8E">
      <w:pPr>
        <w:pStyle w:val="Titulek"/>
        <w:keepNext/>
        <w:jc w:val="both"/>
        <w:rPr>
          <w:rFonts w:ascii="Times New Roman" w:hAnsi="Times New Roman" w:cs="Times New Roman"/>
          <w:i w:val="0"/>
          <w:color w:val="00000A"/>
        </w:rPr>
      </w:pPr>
      <w:r>
        <w:rPr>
          <w:rFonts w:ascii="Times New Roman" w:hAnsi="Times New Roman" w:cs="Times New Roman"/>
          <w:b/>
          <w:i w:val="0"/>
          <w:color w:val="00000A"/>
        </w:rPr>
        <w:br w:type="column"/>
      </w:r>
      <w:r w:rsidR="000718EA">
        <w:rPr>
          <w:rFonts w:ascii="Times New Roman" w:hAnsi="Times New Roman" w:cs="Times New Roman"/>
          <w:b/>
          <w:i w:val="0"/>
          <w:color w:val="00000A"/>
        </w:rPr>
        <w:lastRenderedPageBreak/>
        <w:t xml:space="preserve">Table </w:t>
      </w:r>
      <w:r w:rsidR="000718EA">
        <w:rPr>
          <w:rFonts w:ascii="Times New Roman" w:hAnsi="Times New Roman" w:cs="Times New Roman"/>
          <w:b/>
          <w:i w:val="0"/>
          <w:color w:val="00000A"/>
        </w:rPr>
        <w:fldChar w:fldCharType="begin"/>
      </w:r>
      <w:r w:rsidR="000718EA">
        <w:instrText>SEQ "Table" \*Arabic</w:instrText>
      </w:r>
      <w:r w:rsidR="000718EA">
        <w:fldChar w:fldCharType="separate"/>
      </w:r>
      <w:r w:rsidR="000718EA">
        <w:t>1</w:t>
      </w:r>
      <w:r w:rsidR="000718EA">
        <w:fldChar w:fldCharType="end"/>
      </w:r>
      <w:r w:rsidR="000718EA">
        <w:rPr>
          <w:rFonts w:ascii="Times New Roman" w:hAnsi="Times New Roman" w:cs="Times New Roman"/>
          <w:b/>
          <w:i w:val="0"/>
          <w:color w:val="00000A"/>
        </w:rPr>
        <w:t>:</w:t>
      </w:r>
      <w:r w:rsidR="000718EA">
        <w:rPr>
          <w:rFonts w:ascii="Times New Roman" w:hAnsi="Times New Roman" w:cs="Times New Roman"/>
          <w:i w:val="0"/>
          <w:color w:val="00000A"/>
        </w:rPr>
        <w:t xml:space="preserve"> List of samples, cobalt and iron atomic ratios and the quantities of cobalt chloride and hematite used for the synthesis. The nominal amount of Co in the formula Co</w:t>
      </w:r>
      <w:r w:rsidR="000718EA">
        <w:rPr>
          <w:rFonts w:ascii="Times New Roman" w:hAnsi="Times New Roman" w:cs="Times New Roman"/>
          <w:i w:val="0"/>
          <w:color w:val="00000A"/>
          <w:vertAlign w:val="subscript"/>
        </w:rPr>
        <w:t>x</w:t>
      </w:r>
      <w:r w:rsidR="000718EA">
        <w:rPr>
          <w:rFonts w:ascii="Times New Roman" w:hAnsi="Times New Roman" w:cs="Times New Roman"/>
          <w:i w:val="0"/>
          <w:color w:val="00000A"/>
        </w:rPr>
        <w:t>Fe</w:t>
      </w:r>
      <w:r w:rsidR="000718EA">
        <w:rPr>
          <w:rFonts w:ascii="Times New Roman" w:hAnsi="Times New Roman" w:cs="Times New Roman"/>
          <w:i w:val="0"/>
          <w:color w:val="00000A"/>
          <w:vertAlign w:val="subscript"/>
        </w:rPr>
        <w:t>3-x</w:t>
      </w:r>
      <w:r w:rsidR="000718EA">
        <w:rPr>
          <w:rFonts w:ascii="Times New Roman" w:hAnsi="Times New Roman" w:cs="Times New Roman"/>
          <w:i w:val="0"/>
          <w:color w:val="00000A"/>
        </w:rPr>
        <w:t>O</w:t>
      </w:r>
      <w:r w:rsidR="000718EA">
        <w:rPr>
          <w:rFonts w:ascii="Times New Roman" w:hAnsi="Times New Roman" w:cs="Times New Roman"/>
          <w:i w:val="0"/>
          <w:color w:val="00000A"/>
          <w:vertAlign w:val="subscript"/>
        </w:rPr>
        <w:t>4</w:t>
      </w:r>
      <w:r w:rsidR="000718EA">
        <w:rPr>
          <w:rFonts w:ascii="Times New Roman" w:hAnsi="Times New Roman" w:cs="Times New Roman"/>
          <w:i w:val="0"/>
          <w:color w:val="00000A"/>
        </w:rPr>
        <w:t xml:space="preserve"> is denoted by </w:t>
      </w:r>
      <w:r w:rsidR="000718EA">
        <w:rPr>
          <w:rFonts w:ascii="Times New Roman" w:hAnsi="Times New Roman" w:cs="Times New Roman"/>
          <w:color w:val="00000A"/>
        </w:rPr>
        <w:t>x</w:t>
      </w:r>
      <w:r w:rsidR="000718EA">
        <w:rPr>
          <w:rFonts w:ascii="Times New Roman" w:hAnsi="Times New Roman" w:cs="Times New Roman"/>
          <w:i w:val="0"/>
          <w:color w:val="00000A"/>
        </w:rPr>
        <w:t xml:space="preserve">. The samples prepared with radioactive </w:t>
      </w:r>
      <w:r w:rsidR="000718EA">
        <w:rPr>
          <w:rFonts w:ascii="Times New Roman" w:hAnsi="Times New Roman" w:cs="Times New Roman"/>
          <w:i w:val="0"/>
          <w:color w:val="00000A"/>
          <w:vertAlign w:val="superscript"/>
        </w:rPr>
        <w:t>57</w:t>
      </w:r>
      <w:r w:rsidR="000718EA">
        <w:rPr>
          <w:rFonts w:ascii="Times New Roman" w:hAnsi="Times New Roman" w:cs="Times New Roman"/>
          <w:i w:val="0"/>
          <w:color w:val="00000A"/>
        </w:rPr>
        <w:t>Co are labelled with *.</w:t>
      </w:r>
    </w:p>
    <w:tbl>
      <w:tblPr>
        <w:tblW w:w="0" w:type="auto"/>
        <w:jc w:val="center"/>
        <w:tblBorders>
          <w:top w:val="double" w:sz="4" w:space="0" w:color="000001"/>
          <w:left w:val="single" w:sz="4" w:space="0" w:color="FFFFFF"/>
          <w:bottom w:val="double" w:sz="4" w:space="0" w:color="000001"/>
          <w:right w:val="nil"/>
          <w:insideH w:val="double" w:sz="4" w:space="0" w:color="000001"/>
          <w:insideV w:val="nil"/>
        </w:tblBorders>
        <w:tblCellMar>
          <w:left w:w="103" w:type="dxa"/>
        </w:tblCellMar>
        <w:tblLook w:val="04A0" w:firstRow="1" w:lastRow="0" w:firstColumn="1" w:lastColumn="0" w:noHBand="0" w:noVBand="1"/>
      </w:tblPr>
      <w:tblGrid>
        <w:gridCol w:w="810"/>
        <w:gridCol w:w="2354"/>
        <w:gridCol w:w="1804"/>
        <w:gridCol w:w="2090"/>
        <w:gridCol w:w="2223"/>
      </w:tblGrid>
      <w:tr w:rsidR="00C42ED9">
        <w:trPr>
          <w:trHeight w:hRule="exact" w:val="454"/>
          <w:jc w:val="center"/>
        </w:trPr>
        <w:tc>
          <w:tcPr>
            <w:tcW w:w="821" w:type="dxa"/>
            <w:tcBorders>
              <w:top w:val="doub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before="120" w:after="120"/>
              <w:jc w:val="center"/>
              <w:rPr>
                <w:rFonts w:ascii="Times New Roman" w:eastAsia="Calibri" w:hAnsi="Times New Roman" w:cs="Times New Roman"/>
                <w:i/>
                <w:sz w:val="16"/>
                <w:szCs w:val="16"/>
              </w:rPr>
            </w:pPr>
            <w:r>
              <w:rPr>
                <w:rFonts w:ascii="Times New Roman" w:eastAsia="Calibri" w:hAnsi="Times New Roman" w:cs="Times New Roman"/>
                <w:i/>
                <w:sz w:val="16"/>
                <w:szCs w:val="16"/>
              </w:rPr>
              <w:t>x</w:t>
            </w:r>
          </w:p>
        </w:tc>
        <w:tc>
          <w:tcPr>
            <w:tcW w:w="2409" w:type="dxa"/>
            <w:tcBorders>
              <w:top w:val="doub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before="120" w:after="120"/>
              <w:jc w:val="center"/>
              <w:rPr>
                <w:rFonts w:ascii="Times New Roman" w:eastAsia="Calibri" w:hAnsi="Times New Roman" w:cs="Times New Roman"/>
                <w:sz w:val="16"/>
                <w:szCs w:val="16"/>
              </w:rPr>
            </w:pPr>
            <w:r>
              <w:rPr>
                <w:rFonts w:ascii="Times New Roman" w:eastAsia="Calibri" w:hAnsi="Times New Roman" w:cs="Times New Roman"/>
                <w:sz w:val="16"/>
                <w:szCs w:val="16"/>
              </w:rPr>
              <w:t>Sample</w:t>
            </w:r>
          </w:p>
        </w:tc>
        <w:tc>
          <w:tcPr>
            <w:tcW w:w="1838" w:type="dxa"/>
            <w:tcBorders>
              <w:top w:val="doub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before="120" w:after="120"/>
              <w:jc w:val="center"/>
              <w:rPr>
                <w:rFonts w:ascii="Times New Roman" w:eastAsia="Calibri" w:hAnsi="Times New Roman" w:cs="Times New Roman"/>
                <w:sz w:val="16"/>
                <w:szCs w:val="16"/>
              </w:rPr>
            </w:pPr>
            <w:r>
              <w:rPr>
                <w:rFonts w:ascii="Times New Roman" w:eastAsia="Calibri" w:hAnsi="Times New Roman" w:cs="Times New Roman"/>
                <w:sz w:val="16"/>
                <w:szCs w:val="16"/>
              </w:rPr>
              <w:t>A</w:t>
            </w:r>
            <w:r>
              <w:rPr>
                <w:rFonts w:ascii="Times New Roman" w:eastAsia="Calibri" w:hAnsi="Times New Roman" w:cs="Times New Roman"/>
                <w:sz w:val="16"/>
                <w:szCs w:val="16"/>
                <w:vertAlign w:val="subscript"/>
              </w:rPr>
              <w:t xml:space="preserve">X </w:t>
            </w:r>
            <w:r>
              <w:rPr>
                <w:rFonts w:ascii="Times New Roman" w:eastAsia="Calibri" w:hAnsi="Times New Roman" w:cs="Times New Roman"/>
                <w:sz w:val="16"/>
                <w:szCs w:val="16"/>
              </w:rPr>
              <w:t>(Co) : A</w:t>
            </w:r>
            <w:r>
              <w:rPr>
                <w:rFonts w:ascii="Times New Roman" w:eastAsia="Calibri" w:hAnsi="Times New Roman" w:cs="Times New Roman"/>
                <w:sz w:val="16"/>
                <w:szCs w:val="16"/>
                <w:vertAlign w:val="subscript"/>
              </w:rPr>
              <w:t xml:space="preserve">X </w:t>
            </w:r>
            <w:r>
              <w:rPr>
                <w:rFonts w:ascii="Times New Roman" w:eastAsia="Calibri" w:hAnsi="Times New Roman" w:cs="Times New Roman"/>
                <w:sz w:val="16"/>
                <w:szCs w:val="16"/>
              </w:rPr>
              <w:t>(Fe)</w:t>
            </w:r>
          </w:p>
        </w:tc>
        <w:tc>
          <w:tcPr>
            <w:tcW w:w="2131" w:type="dxa"/>
            <w:tcBorders>
              <w:top w:val="doub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before="120" w:after="120"/>
              <w:jc w:val="center"/>
              <w:rPr>
                <w:rFonts w:ascii="Times New Roman" w:eastAsia="Calibri" w:hAnsi="Times New Roman" w:cs="Times New Roman"/>
                <w:sz w:val="16"/>
                <w:szCs w:val="16"/>
              </w:rPr>
            </w:pPr>
            <w:r>
              <w:rPr>
                <w:rFonts w:ascii="Times New Roman" w:eastAsia="Calibri" w:hAnsi="Times New Roman" w:cs="Times New Roman"/>
                <w:sz w:val="16"/>
                <w:szCs w:val="16"/>
              </w:rPr>
              <w:t>Weight of Fe</w:t>
            </w:r>
            <w:r>
              <w:rPr>
                <w:rFonts w:ascii="Times New Roman" w:eastAsia="Calibri" w:hAnsi="Times New Roman" w:cs="Times New Roman"/>
                <w:sz w:val="16"/>
                <w:szCs w:val="16"/>
                <w:vertAlign w:val="subscript"/>
              </w:rPr>
              <w:t>2</w:t>
            </w:r>
            <w:r>
              <w:rPr>
                <w:rFonts w:ascii="Times New Roman" w:eastAsia="Calibri" w:hAnsi="Times New Roman" w:cs="Times New Roman"/>
                <w:sz w:val="16"/>
                <w:szCs w:val="16"/>
              </w:rPr>
              <w:t>O</w:t>
            </w:r>
            <w:r>
              <w:rPr>
                <w:rFonts w:ascii="Times New Roman" w:eastAsia="Calibri" w:hAnsi="Times New Roman" w:cs="Times New Roman"/>
                <w:sz w:val="16"/>
                <w:szCs w:val="16"/>
                <w:vertAlign w:val="subscript"/>
              </w:rPr>
              <w:t>3</w:t>
            </w:r>
            <w:r>
              <w:rPr>
                <w:rFonts w:ascii="Times New Roman" w:eastAsia="Calibri" w:hAnsi="Times New Roman" w:cs="Times New Roman"/>
                <w:sz w:val="16"/>
                <w:szCs w:val="16"/>
              </w:rPr>
              <w:t>(mg)</w:t>
            </w:r>
          </w:p>
        </w:tc>
        <w:tc>
          <w:tcPr>
            <w:tcW w:w="2275" w:type="dxa"/>
            <w:tcBorders>
              <w:top w:val="double" w:sz="4" w:space="0" w:color="000001"/>
              <w:left w:val="single" w:sz="4" w:space="0" w:color="FFFFFF"/>
              <w:bottom w:val="double" w:sz="4" w:space="0" w:color="000001"/>
              <w:right w:val="single" w:sz="4" w:space="0" w:color="FFFFFF"/>
            </w:tcBorders>
            <w:shd w:val="clear" w:color="auto" w:fill="FFFFFF"/>
            <w:tcMar>
              <w:left w:w="103" w:type="dxa"/>
            </w:tcMar>
            <w:vAlign w:val="center"/>
          </w:tcPr>
          <w:p w:rsidR="00C42ED9" w:rsidRDefault="000718EA">
            <w:pPr>
              <w:spacing w:before="120" w:after="120"/>
              <w:jc w:val="center"/>
              <w:rPr>
                <w:rFonts w:ascii="Times New Roman" w:eastAsia="Calibri" w:hAnsi="Times New Roman" w:cs="Times New Roman"/>
                <w:sz w:val="16"/>
                <w:szCs w:val="16"/>
              </w:rPr>
            </w:pPr>
            <w:r>
              <w:rPr>
                <w:rFonts w:ascii="Times New Roman" w:eastAsia="Calibri" w:hAnsi="Times New Roman" w:cs="Times New Roman"/>
                <w:sz w:val="16"/>
                <w:szCs w:val="16"/>
              </w:rPr>
              <w:t>Weight of CoCl</w:t>
            </w:r>
            <w:r>
              <w:rPr>
                <w:rFonts w:ascii="Times New Roman" w:eastAsia="Calibri" w:hAnsi="Times New Roman" w:cs="Times New Roman"/>
                <w:sz w:val="16"/>
                <w:szCs w:val="16"/>
                <w:vertAlign w:val="subscript"/>
              </w:rPr>
              <w:t>2</w:t>
            </w:r>
            <w:r>
              <w:rPr>
                <w:rFonts w:ascii="Times New Roman" w:eastAsia="Calibri" w:hAnsi="Times New Roman" w:cs="Times New Roman"/>
                <w:sz w:val="16"/>
                <w:szCs w:val="16"/>
              </w:rPr>
              <w:t xml:space="preserve"> (mg)</w:t>
            </w:r>
          </w:p>
        </w:tc>
      </w:tr>
      <w:tr w:rsidR="00C42ED9">
        <w:trPr>
          <w:trHeight w:hRule="exact" w:val="284"/>
          <w:jc w:val="center"/>
        </w:trPr>
        <w:tc>
          <w:tcPr>
            <w:tcW w:w="821" w:type="dxa"/>
            <w:tcBorders>
              <w:top w:val="doub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0.33</w:t>
            </w:r>
          </w:p>
        </w:tc>
        <w:tc>
          <w:tcPr>
            <w:tcW w:w="2409" w:type="dxa"/>
            <w:tcBorders>
              <w:top w:val="doub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S0.33, S0.33*</w:t>
            </w:r>
          </w:p>
        </w:tc>
        <w:tc>
          <w:tcPr>
            <w:tcW w:w="1838" w:type="dxa"/>
            <w:tcBorders>
              <w:top w:val="doub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0.25:2.00</w:t>
            </w:r>
          </w:p>
        </w:tc>
        <w:tc>
          <w:tcPr>
            <w:tcW w:w="2131" w:type="dxa"/>
            <w:tcBorders>
              <w:top w:val="doub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100.0</w:t>
            </w:r>
          </w:p>
        </w:tc>
        <w:tc>
          <w:tcPr>
            <w:tcW w:w="2275" w:type="dxa"/>
            <w:tcBorders>
              <w:top w:val="doub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20.3</w:t>
            </w:r>
          </w:p>
        </w:tc>
      </w:tr>
      <w:tr w:rsidR="00C42ED9">
        <w:trPr>
          <w:trHeight w:hRule="exact" w:val="284"/>
          <w:jc w:val="center"/>
        </w:trPr>
        <w:tc>
          <w:tcPr>
            <w:tcW w:w="82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0.66</w:t>
            </w:r>
          </w:p>
        </w:tc>
        <w:tc>
          <w:tcPr>
            <w:tcW w:w="2409"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S0.66, S0.66*</w:t>
            </w:r>
          </w:p>
        </w:tc>
        <w:tc>
          <w:tcPr>
            <w:tcW w:w="1838"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0.50:2.00</w:t>
            </w:r>
          </w:p>
        </w:tc>
        <w:tc>
          <w:tcPr>
            <w:tcW w:w="213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90.0</w:t>
            </w:r>
          </w:p>
        </w:tc>
        <w:tc>
          <w:tcPr>
            <w:tcW w:w="2275" w:type="dxa"/>
            <w:tcBorders>
              <w:top w:val="sing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36.5</w:t>
            </w:r>
          </w:p>
        </w:tc>
      </w:tr>
      <w:tr w:rsidR="00C42ED9">
        <w:trPr>
          <w:trHeight w:hRule="exact" w:val="284"/>
          <w:jc w:val="center"/>
        </w:trPr>
        <w:tc>
          <w:tcPr>
            <w:tcW w:w="82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0.82</w:t>
            </w:r>
          </w:p>
        </w:tc>
        <w:tc>
          <w:tcPr>
            <w:tcW w:w="2409"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S0.82, S0.82*</w:t>
            </w:r>
          </w:p>
        </w:tc>
        <w:tc>
          <w:tcPr>
            <w:tcW w:w="1838"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0.75:2.00</w:t>
            </w:r>
          </w:p>
        </w:tc>
        <w:tc>
          <w:tcPr>
            <w:tcW w:w="213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80.0</w:t>
            </w:r>
          </w:p>
        </w:tc>
        <w:tc>
          <w:tcPr>
            <w:tcW w:w="2275" w:type="dxa"/>
            <w:tcBorders>
              <w:top w:val="sing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48.7</w:t>
            </w:r>
          </w:p>
        </w:tc>
      </w:tr>
      <w:tr w:rsidR="00C42ED9">
        <w:trPr>
          <w:trHeight w:hRule="exact" w:val="284"/>
          <w:jc w:val="center"/>
        </w:trPr>
        <w:tc>
          <w:tcPr>
            <w:tcW w:w="82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1.00</w:t>
            </w:r>
          </w:p>
        </w:tc>
        <w:tc>
          <w:tcPr>
            <w:tcW w:w="2409"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vertAlign w:val="superscript"/>
              </w:rPr>
            </w:pPr>
            <w:r>
              <w:rPr>
                <w:rFonts w:ascii="Times New Roman" w:eastAsia="Calibri" w:hAnsi="Times New Roman" w:cs="Times New Roman"/>
                <w:sz w:val="16"/>
                <w:szCs w:val="16"/>
                <w:shd w:val="clear" w:color="auto" w:fill="FFFFFF"/>
              </w:rPr>
              <w:t>S1.00, S1.00*, S1.00</w:t>
            </w:r>
            <w:r>
              <w:rPr>
                <w:rFonts w:ascii="Times New Roman" w:eastAsia="Calibri" w:hAnsi="Times New Roman" w:cs="Times New Roman"/>
                <w:sz w:val="16"/>
                <w:szCs w:val="16"/>
                <w:shd w:val="clear" w:color="auto" w:fill="FFFFFF"/>
                <w:vertAlign w:val="superscript"/>
              </w:rPr>
              <w:t>168</w:t>
            </w:r>
          </w:p>
        </w:tc>
        <w:tc>
          <w:tcPr>
            <w:tcW w:w="1838"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1.00:2.00</w:t>
            </w:r>
          </w:p>
        </w:tc>
        <w:tc>
          <w:tcPr>
            <w:tcW w:w="213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79.8</w:t>
            </w:r>
          </w:p>
        </w:tc>
        <w:tc>
          <w:tcPr>
            <w:tcW w:w="2275" w:type="dxa"/>
            <w:tcBorders>
              <w:top w:val="sing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64.9</w:t>
            </w:r>
          </w:p>
        </w:tc>
      </w:tr>
      <w:tr w:rsidR="00C42ED9">
        <w:trPr>
          <w:trHeight w:hRule="exact" w:val="284"/>
          <w:jc w:val="center"/>
        </w:trPr>
        <w:tc>
          <w:tcPr>
            <w:tcW w:w="82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1.15</w:t>
            </w:r>
          </w:p>
        </w:tc>
        <w:tc>
          <w:tcPr>
            <w:tcW w:w="2409"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 xml:space="preserve">S1.15, </w:t>
            </w:r>
            <w:r>
              <w:rPr>
                <w:rFonts w:ascii="Times New Roman" w:eastAsia="Calibri" w:hAnsi="Times New Roman" w:cs="Times New Roman"/>
                <w:sz w:val="16"/>
                <w:szCs w:val="16"/>
                <w:shd w:val="clear" w:color="auto" w:fill="FFFFFF"/>
              </w:rPr>
              <w:t>S1.15*</w:t>
            </w:r>
          </w:p>
        </w:tc>
        <w:tc>
          <w:tcPr>
            <w:tcW w:w="1838"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1.25:2.00</w:t>
            </w:r>
          </w:p>
        </w:tc>
        <w:tc>
          <w:tcPr>
            <w:tcW w:w="213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60.0</w:t>
            </w:r>
          </w:p>
        </w:tc>
        <w:tc>
          <w:tcPr>
            <w:tcW w:w="2275" w:type="dxa"/>
            <w:tcBorders>
              <w:top w:val="sing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60.9</w:t>
            </w:r>
          </w:p>
        </w:tc>
      </w:tr>
      <w:tr w:rsidR="00C42ED9">
        <w:trPr>
          <w:trHeight w:hRule="exact" w:val="284"/>
          <w:jc w:val="center"/>
        </w:trPr>
        <w:tc>
          <w:tcPr>
            <w:tcW w:w="82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1.29</w:t>
            </w:r>
          </w:p>
        </w:tc>
        <w:tc>
          <w:tcPr>
            <w:tcW w:w="2409"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S1.29, S1.29*</w:t>
            </w:r>
          </w:p>
        </w:tc>
        <w:tc>
          <w:tcPr>
            <w:tcW w:w="1838"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1.50:2.00</w:t>
            </w:r>
          </w:p>
        </w:tc>
        <w:tc>
          <w:tcPr>
            <w:tcW w:w="2131" w:type="dxa"/>
            <w:tcBorders>
              <w:top w:val="single" w:sz="4" w:space="0" w:color="000001"/>
              <w:left w:val="single" w:sz="4" w:space="0" w:color="FFFFFF"/>
              <w:bottom w:val="sing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50.0</w:t>
            </w:r>
          </w:p>
        </w:tc>
        <w:tc>
          <w:tcPr>
            <w:tcW w:w="2275" w:type="dxa"/>
            <w:tcBorders>
              <w:top w:val="single" w:sz="4" w:space="0" w:color="000001"/>
              <w:left w:val="single" w:sz="4" w:space="0" w:color="FFFFFF"/>
              <w:bottom w:val="single" w:sz="4" w:space="0" w:color="000001"/>
              <w:right w:val="single" w:sz="4" w:space="0" w:color="FFFFFF"/>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60.9</w:t>
            </w:r>
          </w:p>
        </w:tc>
      </w:tr>
      <w:tr w:rsidR="00C42ED9">
        <w:trPr>
          <w:trHeight w:hRule="exact" w:val="284"/>
          <w:jc w:val="center"/>
        </w:trPr>
        <w:tc>
          <w:tcPr>
            <w:tcW w:w="821" w:type="dxa"/>
            <w:tcBorders>
              <w:top w:val="sing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1.40</w:t>
            </w:r>
          </w:p>
        </w:tc>
        <w:tc>
          <w:tcPr>
            <w:tcW w:w="2409" w:type="dxa"/>
            <w:tcBorders>
              <w:top w:val="sing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S1.40, S1.40*</w:t>
            </w:r>
          </w:p>
        </w:tc>
        <w:tc>
          <w:tcPr>
            <w:tcW w:w="1838" w:type="dxa"/>
            <w:tcBorders>
              <w:top w:val="sing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1.75:2.00</w:t>
            </w:r>
          </w:p>
        </w:tc>
        <w:tc>
          <w:tcPr>
            <w:tcW w:w="2131" w:type="dxa"/>
            <w:tcBorders>
              <w:top w:val="single" w:sz="4" w:space="0" w:color="000001"/>
              <w:left w:val="single" w:sz="4" w:space="0" w:color="FFFFFF"/>
              <w:bottom w:val="double" w:sz="4" w:space="0" w:color="000001"/>
              <w:right w:val="nil"/>
            </w:tcBorders>
            <w:shd w:val="clear" w:color="auto" w:fill="FFFFFF"/>
            <w:tcMar>
              <w:left w:w="103" w:type="dxa"/>
            </w:tcMar>
            <w:vAlign w:val="center"/>
          </w:tcPr>
          <w:p w:rsidR="00C42ED9" w:rsidRDefault="000718EA">
            <w:pPr>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50.0</w:t>
            </w:r>
          </w:p>
        </w:tc>
        <w:tc>
          <w:tcPr>
            <w:tcW w:w="2275" w:type="dxa"/>
            <w:tcBorders>
              <w:top w:val="single" w:sz="4" w:space="0" w:color="000001"/>
              <w:left w:val="single" w:sz="4" w:space="0" w:color="FFFFFF"/>
              <w:bottom w:val="double" w:sz="4" w:space="0" w:color="000001"/>
              <w:right w:val="single" w:sz="4" w:space="0" w:color="FFFFFF"/>
            </w:tcBorders>
            <w:shd w:val="clear" w:color="auto" w:fill="FFFFFF"/>
            <w:tcMar>
              <w:left w:w="103" w:type="dxa"/>
            </w:tcMar>
            <w:vAlign w:val="center"/>
          </w:tcPr>
          <w:p w:rsidR="00C42ED9" w:rsidRDefault="000718EA">
            <w:pPr>
              <w:keepNext/>
              <w:spacing w:after="0" w:line="100" w:lineRule="atLeast"/>
              <w:jc w:val="center"/>
              <w:rPr>
                <w:rFonts w:ascii="Times New Roman" w:eastAsia="Calibri" w:hAnsi="Times New Roman" w:cs="Times New Roman"/>
                <w:sz w:val="16"/>
                <w:szCs w:val="16"/>
                <w:shd w:val="clear" w:color="auto" w:fill="FFFFFF"/>
              </w:rPr>
            </w:pPr>
            <w:r>
              <w:rPr>
                <w:rFonts w:ascii="Times New Roman" w:eastAsia="Calibri" w:hAnsi="Times New Roman" w:cs="Times New Roman"/>
                <w:sz w:val="16"/>
                <w:szCs w:val="16"/>
                <w:shd w:val="clear" w:color="auto" w:fill="FFFFFF"/>
              </w:rPr>
              <w:t>71.1</w:t>
            </w:r>
          </w:p>
        </w:tc>
      </w:tr>
    </w:tbl>
    <w:p w:rsidR="00C42ED9" w:rsidRDefault="00C42ED9">
      <w:pPr>
        <w:jc w:val="both"/>
        <w:rPr>
          <w:rFonts w:ascii="Times New Roman" w:hAnsi="Times New Roman" w:cs="Times New Roman"/>
          <w:shd w:val="clear" w:color="auto" w:fill="FFFFFF"/>
        </w:rPr>
      </w:pP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The morphology of the samples was examined by Tescan VEGA3 LMU scanning electron microscope (SEM). The crystal structure and phase composition of the samples were analysed by X-ray powder diffraction (XRD). Diffractometer with a cobalt X-ray lamp (Co Kα ra</w:t>
      </w:r>
      <w:r>
        <w:rPr>
          <w:rFonts w:ascii="Times New Roman" w:hAnsi="Times New Roman" w:cs="Times New Roman"/>
          <w:sz w:val="24"/>
          <w:szCs w:val="24"/>
          <w:shd w:val="clear" w:color="auto" w:fill="FFFFFF"/>
        </w:rPr>
        <w:t xml:space="preserve">diation </w:t>
      </w:r>
      <w:r>
        <w:rPr>
          <w:rFonts w:ascii="Times New Roman" w:hAnsi="Times New Roman" w:cs="Times New Roman"/>
          <w:i/>
          <w:sz w:val="24"/>
          <w:szCs w:val="24"/>
          <w:shd w:val="clear" w:color="auto" w:fill="FFFFFF"/>
        </w:rPr>
        <w:t>λ</w:t>
      </w:r>
      <w:r>
        <w:rPr>
          <w:rFonts w:ascii="Times New Roman" w:hAnsi="Times New Roman" w:cs="Times New Roman"/>
          <w:sz w:val="24"/>
          <w:szCs w:val="24"/>
          <w:shd w:val="clear" w:color="auto" w:fill="FFFFFF"/>
        </w:rPr>
        <w:t xml:space="preserve"> = 1.79031 Å) operated in the Bragg-Brentano geometry in the 2</w:t>
      </w:r>
      <w:r>
        <w:rPr>
          <w:rFonts w:ascii="Times New Roman" w:hAnsi="Times New Roman" w:cs="Times New Roman"/>
          <w:i/>
          <w:sz w:val="24"/>
          <w:szCs w:val="24"/>
          <w:shd w:val="clear" w:color="auto" w:fill="FFFFFF"/>
        </w:rPr>
        <w:t xml:space="preserve">θ </w:t>
      </w:r>
      <w:r>
        <w:rPr>
          <w:rFonts w:ascii="Times New Roman" w:hAnsi="Times New Roman" w:cs="Times New Roman"/>
          <w:sz w:val="24"/>
          <w:szCs w:val="24"/>
          <w:shd w:val="clear" w:color="auto" w:fill="FFFFFF"/>
        </w:rPr>
        <w:t>angle range of  10–105°.</w:t>
      </w: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Mössbauer spectroscopy measurements were performed on MS96 virtual spectrometer</w:t>
      </w:r>
      <w:r>
        <w:rPr>
          <w:rFonts w:ascii="Times New Roman" w:hAnsi="Times New Roman" w:cs="Times New Roman"/>
          <w:sz w:val="24"/>
          <w:szCs w:val="24"/>
          <w:shd w:val="clear" w:color="auto" w:fill="FFFFFF"/>
          <w:vertAlign w:val="superscript"/>
        </w:rPr>
        <w:t>19,20</w:t>
      </w:r>
      <w:r>
        <w:rPr>
          <w:rFonts w:ascii="Times New Roman" w:hAnsi="Times New Roman" w:cs="Times New Roman"/>
          <w:sz w:val="24"/>
          <w:szCs w:val="24"/>
          <w:shd w:val="clear" w:color="auto" w:fill="FFFFFF"/>
        </w:rPr>
        <w:t xml:space="preserve"> in a constant acceleration regime. The used scintillation detector conta</w:t>
      </w:r>
      <w:r>
        <w:rPr>
          <w:rFonts w:ascii="Times New Roman" w:hAnsi="Times New Roman" w:cs="Times New Roman"/>
          <w:sz w:val="24"/>
          <w:szCs w:val="24"/>
          <w:shd w:val="clear" w:color="auto" w:fill="FFFFFF"/>
        </w:rPr>
        <w:t xml:space="preserve">ined a crystal of sodium iodide activated by thallium. In transmission measurement,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Co in a rhodium matrix was utilized as a radiation source. In the emission arrangement, K</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MgFe(CN)</w:t>
      </w:r>
      <w:r>
        <w:rPr>
          <w:rFonts w:ascii="Times New Roman" w:hAnsi="Times New Roman" w:cs="Times New Roman"/>
          <w:sz w:val="24"/>
          <w:szCs w:val="24"/>
          <w:shd w:val="clear" w:color="auto" w:fill="FFFFFF"/>
          <w:vertAlign w:val="subscript"/>
        </w:rPr>
        <w:t xml:space="preserve">6 </w:t>
      </w:r>
      <w:r>
        <w:rPr>
          <w:rFonts w:ascii="Times New Roman" w:hAnsi="Times New Roman" w:cs="Times New Roman"/>
          <w:sz w:val="24"/>
          <w:szCs w:val="24"/>
          <w:shd w:val="clear" w:color="auto" w:fill="FFFFFF"/>
        </w:rPr>
        <w:t>with 0.25 mg/cm</w:t>
      </w:r>
      <w:r>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 xml:space="preserve"> of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Fe was employed as a reference absorber. The mea</w:t>
      </w:r>
      <w:r>
        <w:rPr>
          <w:rFonts w:ascii="Times New Roman" w:hAnsi="Times New Roman" w:cs="Times New Roman"/>
          <w:sz w:val="24"/>
          <w:szCs w:val="24"/>
          <w:shd w:val="clear" w:color="auto" w:fill="FFFFFF"/>
        </w:rPr>
        <w:t xml:space="preserve">suring time in the transmission and emission modes was approximately five and eleven days, respectively. </w:t>
      </w:r>
    </w:p>
    <w:p w:rsidR="00C42ED9" w:rsidRDefault="00D63F8E">
      <w:pPr>
        <w:pStyle w:val="Bezmezer"/>
        <w:jc w:val="both"/>
        <w:rPr>
          <w:rFonts w:ascii="Times New Roman" w:hAnsi="Times New Roman"/>
          <w:b/>
          <w:sz w:val="24"/>
          <w:szCs w:val="24"/>
          <w:lang w:val="en-GB"/>
        </w:rPr>
      </w:pPr>
      <w:bookmarkStart w:id="0" w:name="OLE_LINK11"/>
      <w:bookmarkStart w:id="1" w:name="OLE_LINK12"/>
      <w:bookmarkStart w:id="2" w:name="OLE_LINK13"/>
      <w:bookmarkEnd w:id="0"/>
      <w:bookmarkEnd w:id="1"/>
      <w:bookmarkEnd w:id="2"/>
      <w:r>
        <w:rPr>
          <w:rFonts w:ascii="Times New Roman" w:hAnsi="Times New Roman"/>
          <w:b/>
          <w:sz w:val="24"/>
          <w:szCs w:val="24"/>
          <w:lang w:val="en-GB"/>
        </w:rPr>
        <w:br w:type="column"/>
      </w:r>
      <w:r w:rsidR="000718EA">
        <w:rPr>
          <w:rFonts w:ascii="Times New Roman" w:hAnsi="Times New Roman"/>
          <w:b/>
          <w:sz w:val="24"/>
          <w:szCs w:val="24"/>
          <w:lang w:val="en-GB"/>
        </w:rPr>
        <w:lastRenderedPageBreak/>
        <w:t xml:space="preserve">Results and Discussion </w:t>
      </w:r>
    </w:p>
    <w:p w:rsidR="00C42ED9" w:rsidRDefault="000718EA">
      <w:pPr>
        <w:spacing w:line="360" w:lineRule="auto"/>
        <w:ind w:firstLine="708"/>
        <w:jc w:val="both"/>
        <w:rPr>
          <w:rStyle w:val="Odkaznakoment1"/>
          <w:rFonts w:ascii="Times New Roman" w:eastAsia="Cambria" w:hAnsi="Times New Roman" w:cs="Times New Roman"/>
          <w:sz w:val="24"/>
          <w:szCs w:val="24"/>
          <w:shd w:val="clear" w:color="auto" w:fill="FFFFFF"/>
        </w:rPr>
      </w:pPr>
      <w:r>
        <w:rPr>
          <w:rFonts w:ascii="Times New Roman" w:hAnsi="Times New Roman" w:cs="Times New Roman"/>
          <w:sz w:val="24"/>
          <w:szCs w:val="24"/>
          <w:shd w:val="clear" w:color="auto" w:fill="FFFFFF"/>
        </w:rPr>
        <w:t>The morphology of the studied samples is shown on the SEM images in Figure 1. The S0.33 sample consisted of spherical particle</w:t>
      </w:r>
      <w:r>
        <w:rPr>
          <w:rFonts w:ascii="Times New Roman" w:hAnsi="Times New Roman" w:cs="Times New Roman"/>
          <w:sz w:val="24"/>
          <w:szCs w:val="24"/>
          <w:shd w:val="clear" w:color="auto" w:fill="FFFFFF"/>
        </w:rPr>
        <w:t xml:space="preserve">s of 200 nm, see Figure 1a. </w:t>
      </w:r>
      <w:r>
        <w:rPr>
          <w:rStyle w:val="Odkaznakoment1"/>
          <w:rFonts w:ascii="Times New Roman" w:eastAsia="Cambria" w:hAnsi="Times New Roman" w:cs="Times New Roman"/>
          <w:sz w:val="24"/>
          <w:szCs w:val="24"/>
          <w:shd w:val="clear" w:color="auto" w:fill="FFFFFF"/>
        </w:rPr>
        <w:t xml:space="preserve">There is a wide particle size distribution from 0.1 to 1 μm for the sample S0.66 (Figure 1b). The further increase in the overall particle size was observed with rising concentration of Co in the samples (Figure 1c-f). The size </w:t>
      </w:r>
      <w:r>
        <w:rPr>
          <w:rStyle w:val="Odkaznakoment1"/>
          <w:rFonts w:ascii="Times New Roman" w:eastAsia="Cambria" w:hAnsi="Times New Roman" w:cs="Times New Roman"/>
          <w:sz w:val="24"/>
          <w:szCs w:val="24"/>
          <w:shd w:val="clear" w:color="auto" w:fill="FFFFFF"/>
        </w:rPr>
        <w:t>of particles overcomes even 2 μm.</w:t>
      </w:r>
    </w:p>
    <w:p w:rsidR="00C42ED9" w:rsidRDefault="00C42ED9">
      <w:pPr>
        <w:jc w:val="both"/>
      </w:pPr>
    </w:p>
    <w:p w:rsidR="00C42ED9" w:rsidRDefault="00C42ED9">
      <w:pPr>
        <w:jc w:val="both"/>
        <w:rPr>
          <w:rFonts w:ascii="Times New Roman" w:hAnsi="Times New Roman" w:cs="Times New Roman"/>
          <w:shd w:val="clear" w:color="auto" w:fill="FFFFFF"/>
        </w:rPr>
      </w:pPr>
    </w:p>
    <w:p w:rsidR="00C42ED9" w:rsidRDefault="000718EA">
      <w:pPr>
        <w:pStyle w:val="Nadpis2"/>
        <w:spacing w:before="0"/>
      </w:pPr>
      <w:r>
        <w:rPr>
          <w:noProof/>
        </w:rPr>
        <w:drawing>
          <wp:inline distT="0" distB="0" distL="0" distR="0">
            <wp:extent cx="5715000" cy="564451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5715000" cy="5644515"/>
                    </a:xfrm>
                    <a:prstGeom prst="rect">
                      <a:avLst/>
                    </a:prstGeom>
                    <a:noFill/>
                    <a:ln w="9525">
                      <a:noFill/>
                      <a:miter lim="800000"/>
                      <a:headEnd/>
                      <a:tailEnd/>
                    </a:ln>
                  </pic:spPr>
                </pic:pic>
              </a:graphicData>
            </a:graphic>
          </wp:inline>
        </w:drawing>
      </w:r>
    </w:p>
    <w:p w:rsidR="00C42ED9" w:rsidRDefault="000718EA">
      <w:pPr>
        <w:pStyle w:val="Titulek1"/>
        <w:spacing w:after="0" w:line="276" w:lineRule="auto"/>
        <w:jc w:val="both"/>
        <w:rPr>
          <w:rFonts w:ascii="Times New Roman" w:hAnsi="Times New Roman" w:cs="Times New Roman"/>
          <w:b w:val="0"/>
          <w:bCs w:val="0"/>
          <w:color w:val="000000"/>
          <w:sz w:val="22"/>
          <w:szCs w:val="22"/>
          <w:shd w:val="clear" w:color="auto" w:fill="FFFFFF"/>
        </w:rPr>
      </w:pPr>
      <w:r>
        <w:rPr>
          <w:rFonts w:ascii="Times New Roman" w:hAnsi="Times New Roman" w:cs="Times New Roman"/>
          <w:color w:val="000000"/>
          <w:shd w:val="clear" w:color="auto" w:fill="FFFFFF"/>
        </w:rPr>
        <w:t xml:space="preserve">Figure 1: </w:t>
      </w:r>
      <w:r>
        <w:rPr>
          <w:rFonts w:ascii="Times New Roman" w:hAnsi="Times New Roman" w:cs="Times New Roman"/>
          <w:b w:val="0"/>
          <w:bCs w:val="0"/>
          <w:color w:val="000000"/>
          <w:shd w:val="clear" w:color="auto" w:fill="FFFFFF"/>
        </w:rPr>
        <w:t>SEM images a) S0.33, b) S0.66, c) S0.82, d) S1.00, e) S1.00</w:t>
      </w:r>
      <w:r>
        <w:rPr>
          <w:rFonts w:ascii="Times New Roman" w:hAnsi="Times New Roman" w:cs="Times New Roman"/>
          <w:b w:val="0"/>
          <w:bCs w:val="0"/>
          <w:color w:val="000000"/>
          <w:shd w:val="clear" w:color="auto" w:fill="FFFFFF"/>
          <w:vertAlign w:val="superscript"/>
        </w:rPr>
        <w:t>168</w:t>
      </w:r>
      <w:r>
        <w:rPr>
          <w:rFonts w:ascii="Times New Roman" w:hAnsi="Times New Roman" w:cs="Times New Roman"/>
          <w:b w:val="0"/>
          <w:bCs w:val="0"/>
          <w:color w:val="000000"/>
          <w:shd w:val="clear" w:color="auto" w:fill="FFFFFF"/>
        </w:rPr>
        <w:t>, f) S1.15, g) S1.29, h) S1.40</w:t>
      </w:r>
      <w:r>
        <w:rPr>
          <w:rFonts w:ascii="Times New Roman" w:hAnsi="Times New Roman" w:cs="Times New Roman"/>
          <w:b w:val="0"/>
          <w:bCs w:val="0"/>
          <w:color w:val="000000"/>
          <w:sz w:val="22"/>
          <w:szCs w:val="22"/>
          <w:shd w:val="clear" w:color="auto" w:fill="FFFFFF"/>
        </w:rPr>
        <w:t>.</w:t>
      </w:r>
    </w:p>
    <w:p w:rsidR="00C42ED9" w:rsidRDefault="00C42ED9">
      <w:pPr>
        <w:jc w:val="both"/>
        <w:rPr>
          <w:rFonts w:ascii="Times New Roman" w:hAnsi="Times New Roman" w:cs="Times New Roman"/>
          <w:b/>
          <w:shd w:val="clear" w:color="auto" w:fill="FFFFFF"/>
        </w:rPr>
      </w:pPr>
    </w:p>
    <w:p w:rsidR="00C42ED9" w:rsidRDefault="000718EA">
      <w:pPr>
        <w:spacing w:line="360" w:lineRule="auto"/>
        <w:jc w:val="both"/>
        <w:rPr>
          <w:rFonts w:ascii="Times New Roman" w:eastAsia="Cambria" w:hAnsi="Times New Roman" w:cs="Times New Roman"/>
          <w:sz w:val="24"/>
          <w:szCs w:val="24"/>
          <w:shd w:val="clear" w:color="auto" w:fill="FFFFFF"/>
        </w:rPr>
      </w:pPr>
      <w:r>
        <w:rPr>
          <w:rFonts w:ascii="Times New Roman" w:hAnsi="Times New Roman" w:cs="Times New Roman"/>
          <w:shd w:val="clear" w:color="auto" w:fill="FFFFFF"/>
        </w:rPr>
        <w:lastRenderedPageBreak/>
        <w:tab/>
      </w:r>
      <w:r>
        <w:rPr>
          <w:rFonts w:ascii="Times New Roman" w:eastAsia="Cambria" w:hAnsi="Times New Roman" w:cs="Times New Roman"/>
          <w:sz w:val="24"/>
          <w:szCs w:val="24"/>
          <w:shd w:val="clear" w:color="auto" w:fill="FFFFFF"/>
        </w:rPr>
        <w:t xml:space="preserve">Figure 2 shows the diffraction patterns of all the samples.  The structures belonging to cobalt </w:t>
      </w:r>
      <w:r>
        <w:rPr>
          <w:rFonts w:ascii="Times New Roman" w:eastAsia="Cambria" w:hAnsi="Times New Roman" w:cs="Times New Roman"/>
          <w:sz w:val="24"/>
          <w:szCs w:val="24"/>
          <w:shd w:val="clear" w:color="auto" w:fill="FFFFFF"/>
        </w:rPr>
        <w:t>ferrites, Fe</w:t>
      </w:r>
      <w:r>
        <w:rPr>
          <w:rFonts w:ascii="Times New Roman" w:eastAsia="Cambria" w:hAnsi="Times New Roman" w:cs="Times New Roman"/>
          <w:sz w:val="24"/>
          <w:szCs w:val="24"/>
          <w:shd w:val="clear" w:color="auto" w:fill="FFFFFF"/>
          <w:vertAlign w:val="subscript"/>
        </w:rPr>
        <w:t>2</w:t>
      </w:r>
      <w:r>
        <w:rPr>
          <w:rFonts w:ascii="Times New Roman" w:eastAsia="Cambria" w:hAnsi="Times New Roman" w:cs="Times New Roman"/>
          <w:sz w:val="24"/>
          <w:szCs w:val="24"/>
          <w:shd w:val="clear" w:color="auto" w:fill="FFFFFF"/>
        </w:rPr>
        <w:t>O</w:t>
      </w:r>
      <w:r>
        <w:rPr>
          <w:rFonts w:ascii="Times New Roman" w:eastAsia="Cambria" w:hAnsi="Times New Roman" w:cs="Times New Roman"/>
          <w:sz w:val="24"/>
          <w:szCs w:val="24"/>
          <w:shd w:val="clear" w:color="auto" w:fill="FFFFFF"/>
          <w:vertAlign w:val="subscript"/>
        </w:rPr>
        <w:t>3</w:t>
      </w:r>
      <w:r>
        <w:rPr>
          <w:rFonts w:ascii="Times New Roman" w:eastAsia="Cambria" w:hAnsi="Times New Roman" w:cs="Times New Roman"/>
          <w:sz w:val="24"/>
          <w:szCs w:val="24"/>
          <w:shd w:val="clear" w:color="auto" w:fill="FFFFFF"/>
        </w:rPr>
        <w:t xml:space="preserve"> and Co</w:t>
      </w:r>
      <w:r>
        <w:rPr>
          <w:rFonts w:ascii="Times New Roman" w:eastAsia="Cambria" w:hAnsi="Times New Roman" w:cs="Times New Roman"/>
          <w:sz w:val="24"/>
          <w:szCs w:val="24"/>
          <w:shd w:val="clear" w:color="auto" w:fill="FFFFFF"/>
          <w:vertAlign w:val="subscript"/>
        </w:rPr>
        <w:t>3</w:t>
      </w:r>
      <w:r>
        <w:rPr>
          <w:rFonts w:ascii="Times New Roman" w:eastAsia="Cambria" w:hAnsi="Times New Roman" w:cs="Times New Roman"/>
          <w:sz w:val="24"/>
          <w:szCs w:val="24"/>
          <w:shd w:val="clear" w:color="auto" w:fill="FFFFFF"/>
        </w:rPr>
        <w:t>O</w:t>
      </w:r>
      <w:r>
        <w:rPr>
          <w:rFonts w:ascii="Times New Roman" w:eastAsia="Cambria" w:hAnsi="Times New Roman" w:cs="Times New Roman"/>
          <w:sz w:val="24"/>
          <w:szCs w:val="24"/>
          <w:shd w:val="clear" w:color="auto" w:fill="FFFFFF"/>
          <w:vertAlign w:val="subscript"/>
        </w:rPr>
        <w:t>4</w:t>
      </w:r>
      <w:r>
        <w:rPr>
          <w:rFonts w:ascii="Times New Roman" w:eastAsia="Cambria" w:hAnsi="Times New Roman" w:cs="Times New Roman"/>
          <w:sz w:val="24"/>
          <w:szCs w:val="24"/>
          <w:shd w:val="clear" w:color="auto" w:fill="FFFFFF"/>
        </w:rPr>
        <w:t xml:space="preserve"> were identified in the diffraction patterns and their amounts were estimated using Rietweld analysis. The development of the individual phases can be observed in the range of diffraction patterns containing the cobalt ferrite (220), cobalt oxide (220) and</w:t>
      </w:r>
      <w:r>
        <w:rPr>
          <w:rFonts w:ascii="Times New Roman" w:eastAsia="Cambria" w:hAnsi="Times New Roman" w:cs="Times New Roman"/>
          <w:sz w:val="24"/>
          <w:szCs w:val="24"/>
          <w:shd w:val="clear" w:color="auto" w:fill="FFFFFF"/>
        </w:rPr>
        <w:t xml:space="preserve"> hematite (104) reflections. The reflections show the gradual rise in the amount of cobalt ferrite with the increase of cobalt ratio inside the samples (</w:t>
      </w:r>
      <w:r>
        <w:rPr>
          <w:rFonts w:ascii="Times New Roman" w:hAnsi="Times New Roman" w:cs="Times New Roman"/>
          <w:sz w:val="24"/>
          <w:szCs w:val="24"/>
          <w:shd w:val="clear" w:color="auto" w:fill="FFFFFF"/>
        </w:rPr>
        <w:t>2</w:t>
      </w:r>
      <w:r>
        <w:rPr>
          <w:rFonts w:ascii="Times New Roman" w:hAnsi="Times New Roman" w:cs="Times New Roman"/>
          <w:i/>
          <w:sz w:val="24"/>
          <w:szCs w:val="24"/>
          <w:shd w:val="clear" w:color="auto" w:fill="FFFFFF"/>
        </w:rPr>
        <w:t>θ</w:t>
      </w:r>
      <w:r>
        <w:rPr>
          <w:rFonts w:ascii="Times New Roman" w:eastAsia="Cambria" w:hAnsi="Times New Roman" w:cs="Times New Roman"/>
          <w:sz w:val="24"/>
          <w:szCs w:val="24"/>
          <w:shd w:val="clear" w:color="auto" w:fill="FFFFFF"/>
        </w:rPr>
        <w:t xml:space="preserve">  =35.2°). Similarly, the slight increase in the peak corresponding to cobalt oxide could be observed</w:t>
      </w:r>
      <w:r>
        <w:rPr>
          <w:rFonts w:ascii="Times New Roman" w:eastAsia="Cambria" w:hAnsi="Times New Roman" w:cs="Times New Roman"/>
          <w:sz w:val="24"/>
          <w:szCs w:val="24"/>
          <w:shd w:val="clear" w:color="auto" w:fill="FFFFFF"/>
        </w:rPr>
        <w:t xml:space="preserve"> as well (</w:t>
      </w:r>
      <w:r>
        <w:rPr>
          <w:rFonts w:ascii="Times New Roman" w:hAnsi="Times New Roman" w:cs="Times New Roman"/>
          <w:sz w:val="24"/>
          <w:szCs w:val="24"/>
          <w:shd w:val="clear" w:color="auto" w:fill="FFFFFF"/>
        </w:rPr>
        <w:t>2</w:t>
      </w:r>
      <w:r>
        <w:rPr>
          <w:rFonts w:ascii="Times New Roman" w:hAnsi="Times New Roman" w:cs="Times New Roman"/>
          <w:i/>
          <w:sz w:val="24"/>
          <w:szCs w:val="24"/>
          <w:shd w:val="clear" w:color="auto" w:fill="FFFFFF"/>
        </w:rPr>
        <w:t>θ</w:t>
      </w:r>
      <w:r>
        <w:rPr>
          <w:rFonts w:ascii="Times New Roman" w:eastAsia="Cambria" w:hAnsi="Times New Roman" w:cs="Times New Roman"/>
          <w:sz w:val="24"/>
          <w:szCs w:val="24"/>
          <w:shd w:val="clear" w:color="auto" w:fill="FFFFFF"/>
        </w:rPr>
        <w:t xml:space="preserve"> =36.5°). On the other hand, the amount of hematite followed the opposite trend and decreased (</w:t>
      </w:r>
      <w:r>
        <w:rPr>
          <w:rFonts w:ascii="Times New Roman" w:hAnsi="Times New Roman" w:cs="Times New Roman"/>
          <w:sz w:val="24"/>
          <w:szCs w:val="24"/>
          <w:shd w:val="clear" w:color="auto" w:fill="FFFFFF"/>
        </w:rPr>
        <w:t>2</w:t>
      </w:r>
      <w:r>
        <w:rPr>
          <w:rFonts w:ascii="Times New Roman" w:hAnsi="Times New Roman" w:cs="Times New Roman"/>
          <w:i/>
          <w:sz w:val="24"/>
          <w:szCs w:val="24"/>
          <w:shd w:val="clear" w:color="auto" w:fill="FFFFFF"/>
        </w:rPr>
        <w:t>θ</w:t>
      </w:r>
      <w:r>
        <w:rPr>
          <w:rFonts w:ascii="Times New Roman" w:eastAsia="Cambria" w:hAnsi="Times New Roman" w:cs="Times New Roman"/>
          <w:sz w:val="24"/>
          <w:szCs w:val="24"/>
          <w:shd w:val="clear" w:color="auto" w:fill="FFFFFF"/>
        </w:rPr>
        <w:t xml:space="preserve"> =38.7°). In case of the sample S1.75 the broadening of corresponding reflections and their shift to higher angles may indicate lattice defects.</w:t>
      </w:r>
    </w:p>
    <w:p w:rsidR="00C42ED9" w:rsidRDefault="00C42ED9">
      <w:pPr>
        <w:jc w:val="both"/>
      </w:pPr>
    </w:p>
    <w:p w:rsidR="00C42ED9" w:rsidRDefault="000718EA">
      <w:pPr>
        <w:jc w:val="both"/>
      </w:pPr>
      <w:r>
        <w:rPr>
          <w:noProof/>
        </w:rPr>
        <w:drawing>
          <wp:inline distT="0" distB="0" distL="0" distR="0">
            <wp:extent cx="5746750" cy="314325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rcRect/>
                    <a:stretch>
                      <a:fillRect/>
                    </a:stretch>
                  </pic:blipFill>
                  <pic:spPr bwMode="auto">
                    <a:xfrm>
                      <a:off x="0" y="0"/>
                      <a:ext cx="5746750" cy="3143250"/>
                    </a:xfrm>
                    <a:prstGeom prst="rect">
                      <a:avLst/>
                    </a:prstGeom>
                    <a:noFill/>
                    <a:ln w="9525">
                      <a:noFill/>
                      <a:miter lim="800000"/>
                      <a:headEnd/>
                      <a:tailEnd/>
                    </a:ln>
                  </pic:spPr>
                </pic:pic>
              </a:graphicData>
            </a:graphic>
          </wp:inline>
        </w:drawing>
      </w:r>
    </w:p>
    <w:p w:rsidR="00C42ED9" w:rsidRDefault="000718EA">
      <w:pPr>
        <w:pStyle w:val="Titulek1"/>
        <w:spacing w:line="276" w:lineRule="auto"/>
        <w:jc w:val="both"/>
        <w:rPr>
          <w:rFonts w:ascii="Times New Roman" w:hAnsi="Times New Roman" w:cs="Times New Roman"/>
          <w:b w:val="0"/>
          <w:color w:val="000000"/>
          <w:shd w:val="clear" w:color="auto" w:fill="FFFFFF"/>
        </w:rPr>
      </w:pPr>
      <w:r>
        <w:rPr>
          <w:rFonts w:ascii="Times New Roman" w:hAnsi="Times New Roman" w:cs="Times New Roman"/>
          <w:color w:val="000000"/>
          <w:shd w:val="clear" w:color="auto" w:fill="FFFFFF"/>
        </w:rPr>
        <w:t xml:space="preserve">Figure 2: </w:t>
      </w:r>
      <w:r>
        <w:rPr>
          <w:rFonts w:ascii="Times New Roman" w:hAnsi="Times New Roman" w:cs="Times New Roman"/>
          <w:b w:val="0"/>
          <w:color w:val="000000"/>
          <w:shd w:val="clear" w:color="auto" w:fill="FFFFFF"/>
        </w:rPr>
        <w:t>X-ray powder diffraction patterns for samples S0.33, S0.66, S0.82, S1.00, S1.00</w:t>
      </w:r>
      <w:r>
        <w:rPr>
          <w:rFonts w:ascii="Times New Roman" w:hAnsi="Times New Roman" w:cs="Times New Roman"/>
          <w:b w:val="0"/>
          <w:color w:val="000000"/>
          <w:shd w:val="clear" w:color="auto" w:fill="FFFFFF"/>
          <w:vertAlign w:val="superscript"/>
        </w:rPr>
        <w:t>168</w:t>
      </w:r>
      <w:r>
        <w:rPr>
          <w:rFonts w:ascii="Times New Roman" w:hAnsi="Times New Roman" w:cs="Times New Roman"/>
          <w:b w:val="0"/>
          <w:color w:val="000000"/>
          <w:shd w:val="clear" w:color="auto" w:fill="FFFFFF"/>
        </w:rPr>
        <w:t xml:space="preserve">, S1.15, S1.29 and S1.40. The cobalt ferrite (220), cobalt oxide (220) and hematite (104) reflections are shown in detail in the upper-right corner. The positions </w:t>
      </w:r>
      <w:r>
        <w:rPr>
          <w:rFonts w:ascii="Times New Roman" w:hAnsi="Times New Roman" w:cs="Times New Roman"/>
          <w:b w:val="0"/>
          <w:color w:val="000000"/>
          <w:shd w:val="clear" w:color="auto" w:fill="FFFFFF"/>
        </w:rPr>
        <w:t xml:space="preserve">of these reflections are marked by blue, grey and green vertical lines, respectively.  </w:t>
      </w:r>
    </w:p>
    <w:p w:rsidR="00C42ED9" w:rsidRDefault="000718EA">
      <w:pPr>
        <w:spacing w:line="360" w:lineRule="auto"/>
        <w:jc w:val="both"/>
        <w:rPr>
          <w:rStyle w:val="Odkaznakoment1"/>
          <w:rFonts w:ascii="Times New Roman" w:eastAsia="Cambria"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 xml:space="preserve"> </w:t>
      </w:r>
      <w:r>
        <w:rPr>
          <w:rStyle w:val="Odkaznakoment1"/>
          <w:rFonts w:ascii="Times New Roman" w:eastAsia="Cambria" w:hAnsi="Times New Roman" w:cs="Times New Roman"/>
          <w:sz w:val="24"/>
          <w:szCs w:val="24"/>
          <w:shd w:val="clear" w:color="auto" w:fill="FFFFFF"/>
        </w:rPr>
        <w:t xml:space="preserve">Figure 3 shows the dependence of the phase composition on cobalt concentration in the samples. The </w:t>
      </w:r>
      <w:proofErr w:type="gramStart"/>
      <w:r>
        <w:rPr>
          <w:rStyle w:val="Odkaznakoment1"/>
          <w:rFonts w:ascii="Times New Roman" w:eastAsia="Cambria" w:hAnsi="Times New Roman" w:cs="Times New Roman"/>
          <w:sz w:val="24"/>
          <w:szCs w:val="24"/>
          <w:shd w:val="clear" w:color="auto" w:fill="FFFFFF"/>
        </w:rPr>
        <w:t>amount</w:t>
      </w:r>
      <w:proofErr w:type="gramEnd"/>
      <w:r>
        <w:rPr>
          <w:rStyle w:val="Odkaznakoment1"/>
          <w:rFonts w:ascii="Times New Roman" w:eastAsia="Cambria" w:hAnsi="Times New Roman" w:cs="Times New Roman"/>
          <w:sz w:val="24"/>
          <w:szCs w:val="24"/>
          <w:shd w:val="clear" w:color="auto" w:fill="FFFFFF"/>
        </w:rPr>
        <w:t xml:space="preserve"> of cobalt ferrites rose with the increasing nominal Co concentration </w:t>
      </w:r>
      <w:r>
        <w:rPr>
          <w:rStyle w:val="Odkaznakoment1"/>
          <w:rFonts w:ascii="Times New Roman" w:eastAsia="Cambria" w:hAnsi="Times New Roman" w:cs="Times New Roman"/>
          <w:i/>
          <w:sz w:val="24"/>
          <w:szCs w:val="24"/>
          <w:shd w:val="clear" w:color="auto" w:fill="FFFFFF"/>
        </w:rPr>
        <w:t>x</w:t>
      </w:r>
      <w:r>
        <w:rPr>
          <w:rStyle w:val="Odkaznakoment1"/>
          <w:rFonts w:ascii="Times New Roman" w:eastAsia="Cambria" w:hAnsi="Times New Roman" w:cs="Times New Roman"/>
          <w:sz w:val="24"/>
          <w:szCs w:val="24"/>
          <w:shd w:val="clear" w:color="auto" w:fill="FFFFFF"/>
        </w:rPr>
        <w:t>, while the amount of hematite decreased. In addition to the shown samples, 7.5 </w:t>
      </w:r>
      <w:r>
        <w:rPr>
          <w:rStyle w:val="Odkaznakoment1"/>
          <w:rFonts w:ascii="Times New Roman" w:eastAsia="Cambria" w:hAnsi="Times New Roman" w:cs="Times New Roman"/>
          <w:sz w:val="24"/>
          <w:szCs w:val="24"/>
          <w:shd w:val="clear" w:color="auto" w:fill="FFFFFF"/>
        </w:rPr>
        <w:t>% of Fe</w:t>
      </w:r>
      <w:r>
        <w:rPr>
          <w:rStyle w:val="Odkaznakoment1"/>
          <w:rFonts w:ascii="Times New Roman" w:eastAsia="Cambria" w:hAnsi="Times New Roman" w:cs="Times New Roman"/>
          <w:sz w:val="24"/>
          <w:szCs w:val="24"/>
          <w:shd w:val="clear" w:color="auto" w:fill="FFFFFF"/>
          <w:vertAlign w:val="subscript"/>
        </w:rPr>
        <w:t>2</w:t>
      </w:r>
      <w:r>
        <w:rPr>
          <w:rStyle w:val="Odkaznakoment1"/>
          <w:rFonts w:ascii="Times New Roman" w:eastAsia="Cambria" w:hAnsi="Times New Roman" w:cs="Times New Roman"/>
          <w:sz w:val="24"/>
          <w:szCs w:val="24"/>
          <w:shd w:val="clear" w:color="auto" w:fill="FFFFFF"/>
        </w:rPr>
        <w:t>O</w:t>
      </w:r>
      <w:r>
        <w:rPr>
          <w:rStyle w:val="Odkaznakoment1"/>
          <w:rFonts w:ascii="Times New Roman" w:eastAsia="Cambria" w:hAnsi="Times New Roman" w:cs="Times New Roman"/>
          <w:sz w:val="24"/>
          <w:szCs w:val="24"/>
          <w:shd w:val="clear" w:color="auto" w:fill="FFFFFF"/>
          <w:vertAlign w:val="subscript"/>
        </w:rPr>
        <w:t>3</w:t>
      </w:r>
      <w:r>
        <w:rPr>
          <w:rStyle w:val="Odkaznakoment1"/>
          <w:rFonts w:ascii="Times New Roman" w:eastAsia="Cambria" w:hAnsi="Times New Roman" w:cs="Times New Roman"/>
          <w:sz w:val="24"/>
          <w:szCs w:val="24"/>
          <w:shd w:val="clear" w:color="auto" w:fill="FFFFFF"/>
        </w:rPr>
        <w:t xml:space="preserve"> and 92.5 % of cobalt ferrites were determined</w:t>
      </w:r>
      <w:r>
        <w:rPr>
          <w:rStyle w:val="Odkaznakoment1"/>
          <w:rFonts w:ascii="Times New Roman" w:eastAsia="Cambria" w:hAnsi="Times New Roman" w:cs="Times New Roman"/>
          <w:sz w:val="24"/>
          <w:szCs w:val="24"/>
          <w:shd w:val="clear" w:color="auto" w:fill="FFFFFF"/>
        </w:rPr>
        <w:t xml:space="preserve"> </w:t>
      </w:r>
      <w:r>
        <w:rPr>
          <w:rStyle w:val="Odkaznakoment1"/>
          <w:rFonts w:ascii="Times New Roman" w:eastAsia="Cambria" w:hAnsi="Times New Roman" w:cs="Times New Roman"/>
          <w:sz w:val="24"/>
          <w:szCs w:val="24"/>
          <w:shd w:val="clear" w:color="auto" w:fill="FFFFFF"/>
        </w:rPr>
        <w:t>for the sample S1.00</w:t>
      </w:r>
      <w:r>
        <w:rPr>
          <w:rStyle w:val="Odkaznakoment1"/>
          <w:rFonts w:ascii="Times New Roman" w:eastAsia="Cambria" w:hAnsi="Times New Roman" w:cs="Times New Roman"/>
          <w:sz w:val="24"/>
          <w:szCs w:val="24"/>
          <w:shd w:val="clear" w:color="auto" w:fill="FFFFFF"/>
          <w:vertAlign w:val="superscript"/>
        </w:rPr>
        <w:t>168</w:t>
      </w:r>
      <w:r>
        <w:rPr>
          <w:rStyle w:val="Odkaznakoment1"/>
          <w:rFonts w:ascii="Times New Roman" w:eastAsia="Cambria" w:hAnsi="Times New Roman" w:cs="Times New Roman"/>
          <w:sz w:val="24"/>
          <w:szCs w:val="24"/>
          <w:shd w:val="clear" w:color="auto" w:fill="FFFFFF"/>
        </w:rPr>
        <w:t xml:space="preserve"> .  </w:t>
      </w:r>
    </w:p>
    <w:p w:rsidR="00C42ED9" w:rsidRDefault="000718EA">
      <w:pPr>
        <w:pStyle w:val="Titulek1"/>
        <w:spacing w:line="276" w:lineRule="auto"/>
        <w:jc w:val="center"/>
      </w:pPr>
      <w:r>
        <w:rPr>
          <w:noProof/>
        </w:rPr>
        <w:lastRenderedPageBreak/>
        <w:drawing>
          <wp:inline distT="0" distB="0" distL="0" distR="0">
            <wp:extent cx="2879725" cy="197866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9"/>
                    <a:srcRect/>
                    <a:stretch>
                      <a:fillRect/>
                    </a:stretch>
                  </pic:blipFill>
                  <pic:spPr bwMode="auto">
                    <a:xfrm>
                      <a:off x="0" y="0"/>
                      <a:ext cx="2879725" cy="1978660"/>
                    </a:xfrm>
                    <a:prstGeom prst="rect">
                      <a:avLst/>
                    </a:prstGeom>
                    <a:noFill/>
                    <a:ln w="9525">
                      <a:noFill/>
                      <a:miter lim="800000"/>
                      <a:headEnd/>
                      <a:tailEnd/>
                    </a:ln>
                  </pic:spPr>
                </pic:pic>
              </a:graphicData>
            </a:graphic>
          </wp:inline>
        </w:drawing>
      </w:r>
    </w:p>
    <w:p w:rsidR="00C42ED9" w:rsidRDefault="000718EA">
      <w:pPr>
        <w:pStyle w:val="Titulek1"/>
        <w:spacing w:line="276" w:lineRule="auto"/>
        <w:jc w:val="center"/>
        <w:rPr>
          <w:rFonts w:ascii="Times New Roman" w:hAnsi="Times New Roman" w:cs="Times New Roman"/>
          <w:b w:val="0"/>
          <w:color w:val="000000"/>
          <w:shd w:val="clear" w:color="auto" w:fill="FFFFFF"/>
        </w:rPr>
      </w:pPr>
      <w:r>
        <w:rPr>
          <w:rFonts w:ascii="Times New Roman" w:hAnsi="Times New Roman" w:cs="Times New Roman"/>
          <w:color w:val="000000"/>
          <w:shd w:val="clear" w:color="auto" w:fill="FFFFFF"/>
        </w:rPr>
        <w:t xml:space="preserve">Figure 3: </w:t>
      </w:r>
      <w:r>
        <w:rPr>
          <w:rFonts w:ascii="Times New Roman" w:hAnsi="Times New Roman" w:cs="Times New Roman"/>
          <w:b w:val="0"/>
          <w:color w:val="000000"/>
          <w:shd w:val="clear" w:color="auto" w:fill="FFFFFF"/>
        </w:rPr>
        <w:t xml:space="preserve">Mass percentage of individual phases in samples. </w:t>
      </w:r>
    </w:p>
    <w:p w:rsidR="00C42ED9" w:rsidRDefault="00C42ED9">
      <w:pPr>
        <w:jc w:val="both"/>
        <w:rPr>
          <w:rFonts w:ascii="Times New Roman" w:hAnsi="Times New Roman" w:cs="Times New Roman"/>
        </w:rPr>
      </w:pPr>
    </w:p>
    <w:p w:rsidR="00C42ED9" w:rsidRDefault="000718EA">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Cs/>
          <w:sz w:val="24"/>
          <w:szCs w:val="24"/>
          <w:shd w:val="clear" w:color="auto" w:fill="FFFFFF"/>
        </w:rPr>
        <w:t>As can be seen in Figure 3, not all the Co atoms from CoCl</w:t>
      </w:r>
      <w:r>
        <w:rPr>
          <w:rFonts w:ascii="Times New Roman" w:hAnsi="Times New Roman" w:cs="Times New Roman"/>
          <w:bCs/>
          <w:sz w:val="24"/>
          <w:szCs w:val="24"/>
          <w:shd w:val="clear" w:color="auto" w:fill="FFFFFF"/>
          <w:vertAlign w:val="subscript"/>
        </w:rPr>
        <w:t>2</w:t>
      </w:r>
      <w:r>
        <w:rPr>
          <w:rFonts w:ascii="Times New Roman" w:hAnsi="Times New Roman" w:cs="Times New Roman"/>
          <w:bCs/>
          <w:sz w:val="24"/>
          <w:szCs w:val="24"/>
          <w:shd w:val="clear" w:color="auto" w:fill="FFFFFF"/>
        </w:rPr>
        <w:t xml:space="preserve"> were incorporated into the cobalt ferrite structure. Therefore, the nominal amount </w:t>
      </w:r>
      <w:r>
        <w:rPr>
          <w:rFonts w:ascii="Times New Roman" w:hAnsi="Times New Roman" w:cs="Times New Roman"/>
          <w:bCs/>
          <w:i/>
          <w:sz w:val="24"/>
          <w:szCs w:val="24"/>
          <w:shd w:val="clear" w:color="auto" w:fill="FFFFFF"/>
        </w:rPr>
        <w:t>x</w:t>
      </w:r>
      <w:r>
        <w:rPr>
          <w:rFonts w:ascii="Times New Roman" w:hAnsi="Times New Roman" w:cs="Times New Roman"/>
          <w:bCs/>
          <w:sz w:val="24"/>
          <w:szCs w:val="24"/>
          <w:shd w:val="clear" w:color="auto" w:fill="FFFFFF"/>
        </w:rPr>
        <w:t xml:space="preserve"> differs from the actual amount of </w:t>
      </w:r>
      <w:proofErr w:type="spellStart"/>
      <w:r>
        <w:rPr>
          <w:rFonts w:ascii="Times New Roman" w:hAnsi="Times New Roman" w:cs="Times New Roman"/>
          <w:bCs/>
          <w:sz w:val="24"/>
          <w:szCs w:val="24"/>
          <w:shd w:val="clear" w:color="auto" w:fill="FFFFFF"/>
        </w:rPr>
        <w:t>Co in</w:t>
      </w:r>
      <w:proofErr w:type="spellEnd"/>
      <w:r>
        <w:rPr>
          <w:rFonts w:ascii="Times New Roman" w:hAnsi="Times New Roman" w:cs="Times New Roman"/>
          <w:bCs/>
          <w:sz w:val="24"/>
          <w:szCs w:val="24"/>
          <w:shd w:val="clear" w:color="auto" w:fill="FFFFFF"/>
        </w:rPr>
        <w:t xml:space="preserve"> </w:t>
      </w:r>
      <w:r>
        <w:rPr>
          <w:rFonts w:ascii="Times New Roman" w:eastAsia="Cambria" w:hAnsi="Times New Roman" w:cs="Times New Roman"/>
          <w:bCs/>
          <w:sz w:val="24"/>
          <w:szCs w:val="24"/>
          <w:shd w:val="clear" w:color="auto" w:fill="FFFFFF"/>
        </w:rPr>
        <w:t>ferrite</w:t>
      </w:r>
      <w:r>
        <w:rPr>
          <w:rFonts w:ascii="Times New Roman" w:hAnsi="Times New Roman" w:cs="Times New Roman"/>
          <w:bCs/>
          <w:sz w:val="24"/>
          <w:szCs w:val="24"/>
          <w:shd w:val="clear" w:color="auto" w:fill="FFFFFF"/>
        </w:rPr>
        <w:t>, denoted as </w:t>
      </w:r>
      <w:r>
        <w:rPr>
          <w:rFonts w:ascii="Times New Roman" w:hAnsi="Times New Roman" w:cs="Times New Roman"/>
          <w:bCs/>
          <w:i/>
          <w:sz w:val="24"/>
          <w:szCs w:val="24"/>
          <w:shd w:val="clear" w:color="auto" w:fill="FFFFFF"/>
        </w:rPr>
        <w:t>y</w:t>
      </w:r>
      <w:r>
        <w:rPr>
          <w:rFonts w:ascii="Times New Roman" w:hAnsi="Times New Roman" w:cs="Times New Roman"/>
          <w:bCs/>
          <w:sz w:val="24"/>
          <w:szCs w:val="24"/>
          <w:shd w:val="clear" w:color="auto" w:fill="FFFFFF"/>
        </w:rPr>
        <w:t xml:space="preserve">. The values of </w:t>
      </w:r>
      <w:r>
        <w:rPr>
          <w:rFonts w:ascii="Times New Roman" w:hAnsi="Times New Roman" w:cs="Times New Roman"/>
          <w:bCs/>
          <w:i/>
          <w:sz w:val="24"/>
          <w:szCs w:val="24"/>
          <w:shd w:val="clear" w:color="auto" w:fill="FFFFFF"/>
        </w:rPr>
        <w:t>y</w:t>
      </w:r>
      <w:r>
        <w:rPr>
          <w:rFonts w:ascii="Times New Roman" w:hAnsi="Times New Roman" w:cs="Times New Roman"/>
          <w:bCs/>
          <w:sz w:val="24"/>
          <w:szCs w:val="24"/>
          <w:shd w:val="clear" w:color="auto" w:fill="FFFFFF"/>
        </w:rPr>
        <w:t xml:space="preserve"> in </w:t>
      </w:r>
      <w:r>
        <w:rPr>
          <w:rFonts w:ascii="Times New Roman" w:eastAsia="Cambria" w:hAnsi="Times New Roman" w:cs="Times New Roman"/>
          <w:bCs/>
          <w:sz w:val="24"/>
          <w:szCs w:val="24"/>
          <w:shd w:val="clear" w:color="auto" w:fill="FFFFFF"/>
        </w:rPr>
        <w:t>Co</w:t>
      </w:r>
      <w:r>
        <w:rPr>
          <w:rFonts w:ascii="Times New Roman" w:eastAsia="Cambria" w:hAnsi="Times New Roman" w:cs="Times New Roman"/>
          <w:bCs/>
          <w:sz w:val="24"/>
          <w:szCs w:val="24"/>
          <w:shd w:val="clear" w:color="auto" w:fill="FFFFFF"/>
          <w:vertAlign w:val="subscript"/>
        </w:rPr>
        <w:t>y</w:t>
      </w:r>
      <w:r>
        <w:rPr>
          <w:rFonts w:ascii="Times New Roman" w:eastAsia="Cambria" w:hAnsi="Times New Roman" w:cs="Times New Roman"/>
          <w:bCs/>
          <w:sz w:val="24"/>
          <w:szCs w:val="24"/>
          <w:shd w:val="clear" w:color="auto" w:fill="FFFFFF"/>
        </w:rPr>
        <w:t>Fe</w:t>
      </w:r>
      <w:r>
        <w:rPr>
          <w:rFonts w:ascii="Times New Roman" w:eastAsia="Cambria" w:hAnsi="Times New Roman" w:cs="Times New Roman"/>
          <w:bCs/>
          <w:sz w:val="24"/>
          <w:szCs w:val="24"/>
          <w:shd w:val="clear" w:color="auto" w:fill="FFFFFF"/>
          <w:vertAlign w:val="subscript"/>
        </w:rPr>
        <w:t>3-y</w:t>
      </w:r>
      <w:r>
        <w:rPr>
          <w:rFonts w:ascii="Times New Roman" w:eastAsia="Cambria" w:hAnsi="Times New Roman" w:cs="Times New Roman"/>
          <w:bCs/>
          <w:sz w:val="24"/>
          <w:szCs w:val="24"/>
          <w:shd w:val="clear" w:color="auto" w:fill="FFFFFF"/>
        </w:rPr>
        <w:t>O</w:t>
      </w:r>
      <w:r>
        <w:rPr>
          <w:rFonts w:ascii="Times New Roman" w:eastAsia="Cambria" w:hAnsi="Times New Roman" w:cs="Times New Roman"/>
          <w:bCs/>
          <w:sz w:val="24"/>
          <w:szCs w:val="24"/>
          <w:shd w:val="clear" w:color="auto" w:fill="FFFFFF"/>
          <w:vertAlign w:val="subscript"/>
        </w:rPr>
        <w:t>4</w:t>
      </w:r>
      <w:r>
        <w:rPr>
          <w:rFonts w:ascii="Times New Roman" w:eastAsia="Cambria" w:hAnsi="Times New Roman" w:cs="Times New Roman"/>
          <w:bCs/>
          <w:sz w:val="24"/>
          <w:szCs w:val="24"/>
          <w:shd w:val="clear" w:color="auto" w:fill="FFFFFF"/>
        </w:rPr>
        <w:t xml:space="preserve"> were determined from </w:t>
      </w:r>
      <w:r>
        <w:rPr>
          <w:rFonts w:ascii="Times New Roman" w:hAnsi="Times New Roman" w:cs="Times New Roman"/>
          <w:bCs/>
          <w:sz w:val="24"/>
          <w:szCs w:val="24"/>
          <w:shd w:val="clear" w:color="auto" w:fill="FFFFFF"/>
        </w:rPr>
        <w:t xml:space="preserve">mass ratios of cobalt ferrite, </w:t>
      </w:r>
      <w:r>
        <w:rPr>
          <w:rFonts w:ascii="Times New Roman" w:hAnsi="Times New Roman" w:cs="Times New Roman"/>
          <w:bCs/>
          <w:color w:val="000000"/>
          <w:sz w:val="24"/>
          <w:szCs w:val="24"/>
          <w:shd w:val="clear" w:color="auto" w:fill="FFFFFF"/>
        </w:rPr>
        <w:t xml:space="preserve">hematite and cobalt oxide obtained by XRD and from the inputs of the reaction. The resulting </w:t>
      </w:r>
      <w:r>
        <w:rPr>
          <w:rFonts w:ascii="Times New Roman" w:hAnsi="Times New Roman" w:cs="Times New Roman"/>
          <w:bCs/>
          <w:i/>
          <w:color w:val="000000"/>
          <w:sz w:val="24"/>
          <w:szCs w:val="24"/>
          <w:shd w:val="clear" w:color="auto" w:fill="FFFFFF"/>
        </w:rPr>
        <w:t>y</w:t>
      </w:r>
      <w:r>
        <w:rPr>
          <w:rFonts w:ascii="Times New Roman" w:hAnsi="Times New Roman" w:cs="Times New Roman"/>
          <w:bCs/>
          <w:color w:val="000000"/>
          <w:sz w:val="24"/>
          <w:szCs w:val="24"/>
          <w:shd w:val="clear" w:color="auto" w:fill="FFFFFF"/>
        </w:rPr>
        <w:t xml:space="preserve"> with respect to the nominal </w:t>
      </w:r>
      <w:r>
        <w:rPr>
          <w:rFonts w:ascii="Times New Roman" w:hAnsi="Times New Roman" w:cs="Times New Roman"/>
          <w:bCs/>
          <w:i/>
          <w:color w:val="000000"/>
          <w:sz w:val="24"/>
          <w:szCs w:val="24"/>
          <w:shd w:val="clear" w:color="auto" w:fill="FFFFFF"/>
        </w:rPr>
        <w:t xml:space="preserve">x </w:t>
      </w:r>
      <w:r>
        <w:rPr>
          <w:rFonts w:ascii="Times New Roman" w:hAnsi="Times New Roman" w:cs="Times New Roman"/>
          <w:bCs/>
          <w:color w:val="000000"/>
          <w:sz w:val="24"/>
          <w:szCs w:val="24"/>
          <w:shd w:val="clear" w:color="auto" w:fill="FFFFFF"/>
        </w:rPr>
        <w:t xml:space="preserve"> is shown in Figure 4.  </w:t>
      </w:r>
      <w:proofErr w:type="gramStart"/>
      <w:r>
        <w:rPr>
          <w:rFonts w:ascii="Times New Roman" w:hAnsi="Times New Roman" w:cs="Times New Roman"/>
          <w:color w:val="000000"/>
          <w:sz w:val="24"/>
          <w:szCs w:val="24"/>
          <w:shd w:val="clear" w:color="auto" w:fill="FFFFFF"/>
        </w:rPr>
        <w:t>It can be seen that for</w:t>
      </w:r>
      <w:proofErr w:type="gramEnd"/>
      <w:r>
        <w:rPr>
          <w:rFonts w:ascii="Times New Roman" w:hAnsi="Times New Roman" w:cs="Times New Roman"/>
          <w:color w:val="000000"/>
          <w:sz w:val="24"/>
          <w:szCs w:val="24"/>
          <w:shd w:val="clear" w:color="auto" w:fill="FFFFFF"/>
        </w:rPr>
        <w:t xml:space="preserve"> lower amounts of Co entering the reaction relatively</w:t>
      </w:r>
      <w:r>
        <w:rPr>
          <w:rFonts w:ascii="Times New Roman" w:hAnsi="Times New Roman" w:cs="Times New Roman"/>
          <w:color w:val="000000"/>
          <w:sz w:val="24"/>
          <w:szCs w:val="24"/>
          <w:shd w:val="clear" w:color="auto" w:fill="FFFFFF"/>
        </w:rPr>
        <w:t xml:space="preserve"> low amount of ferrite with higher concentration of Co is formed. With increasing amount of Co entering the reaction the actual </w:t>
      </w:r>
      <w:r>
        <w:rPr>
          <w:rFonts w:ascii="Times New Roman" w:hAnsi="Times New Roman" w:cs="Times New Roman"/>
          <w:i/>
          <w:color w:val="000000"/>
          <w:sz w:val="24"/>
          <w:szCs w:val="24"/>
          <w:shd w:val="clear" w:color="auto" w:fill="FFFFFF"/>
        </w:rPr>
        <w:t>y</w:t>
      </w:r>
      <w:r>
        <w:rPr>
          <w:rFonts w:ascii="Times New Roman" w:hAnsi="Times New Roman" w:cs="Times New Roman"/>
          <w:color w:val="000000"/>
          <w:sz w:val="24"/>
          <w:szCs w:val="24"/>
          <w:shd w:val="clear" w:color="auto" w:fill="FFFFFF"/>
        </w:rPr>
        <w:t xml:space="preserve"> reaches the nominal </w:t>
      </w:r>
      <w:r>
        <w:rPr>
          <w:rFonts w:ascii="Times New Roman" w:hAnsi="Times New Roman" w:cs="Times New Roman"/>
          <w:i/>
          <w:color w:val="000000"/>
          <w:sz w:val="24"/>
          <w:szCs w:val="24"/>
          <w:shd w:val="clear" w:color="auto" w:fill="FFFFFF"/>
        </w:rPr>
        <w:t>x</w:t>
      </w:r>
      <w:r>
        <w:rPr>
          <w:rFonts w:ascii="Times New Roman" w:hAnsi="Times New Roman" w:cs="Times New Roman"/>
          <w:color w:val="000000"/>
          <w:sz w:val="24"/>
          <w:szCs w:val="24"/>
          <w:shd w:val="clear" w:color="auto" w:fill="FFFFFF"/>
        </w:rPr>
        <w:t xml:space="preserve">. </w:t>
      </w:r>
    </w:p>
    <w:p w:rsidR="00C42ED9" w:rsidRDefault="000718EA">
      <w:pPr>
        <w:jc w:val="center"/>
      </w:pPr>
      <w:r>
        <w:rPr>
          <w:noProof/>
        </w:rPr>
        <w:drawing>
          <wp:inline distT="0" distB="0" distL="0" distR="0">
            <wp:extent cx="2818130" cy="21336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0"/>
                    <a:srcRect/>
                    <a:stretch>
                      <a:fillRect/>
                    </a:stretch>
                  </pic:blipFill>
                  <pic:spPr bwMode="auto">
                    <a:xfrm>
                      <a:off x="0" y="0"/>
                      <a:ext cx="2818130" cy="2133600"/>
                    </a:xfrm>
                    <a:prstGeom prst="rect">
                      <a:avLst/>
                    </a:prstGeom>
                    <a:noFill/>
                    <a:ln w="9525">
                      <a:noFill/>
                      <a:miter lim="800000"/>
                      <a:headEnd/>
                      <a:tailEnd/>
                    </a:ln>
                  </pic:spPr>
                </pic:pic>
              </a:graphicData>
            </a:graphic>
          </wp:inline>
        </w:drawing>
      </w:r>
    </w:p>
    <w:p w:rsidR="00C42ED9" w:rsidRDefault="000718EA">
      <w:pPr>
        <w:jc w:val="center"/>
        <w:rPr>
          <w:rFonts w:ascii="Times New Roman" w:hAnsi="Times New Roman" w:cs="Times New Roman"/>
          <w:bCs/>
          <w:i/>
          <w:color w:val="000000"/>
          <w:sz w:val="18"/>
          <w:szCs w:val="18"/>
          <w:shd w:val="clear" w:color="auto" w:fill="FFFFFF"/>
        </w:rPr>
      </w:pPr>
      <w:r>
        <w:rPr>
          <w:rFonts w:ascii="Times New Roman" w:hAnsi="Times New Roman" w:cs="Times New Roman"/>
          <w:b/>
          <w:bCs/>
          <w:color w:val="000000"/>
          <w:sz w:val="18"/>
          <w:szCs w:val="18"/>
          <w:shd w:val="clear" w:color="auto" w:fill="FFFFFF"/>
        </w:rPr>
        <w:t>Figure 4:</w:t>
      </w:r>
      <w:r>
        <w:rPr>
          <w:rFonts w:ascii="Times New Roman" w:hAnsi="Times New Roman" w:cs="Times New Roman"/>
          <w:bCs/>
          <w:color w:val="000000"/>
          <w:sz w:val="18"/>
          <w:szCs w:val="18"/>
          <w:shd w:val="clear" w:color="auto" w:fill="FFFFFF"/>
        </w:rPr>
        <w:t xml:space="preserve"> </w:t>
      </w:r>
      <w:r>
        <w:rPr>
          <w:rFonts w:ascii="Times New Roman" w:hAnsi="Times New Roman" w:cs="Times New Roman"/>
          <w:color w:val="000000"/>
          <w:sz w:val="18"/>
          <w:szCs w:val="18"/>
          <w:shd w:val="clear" w:color="auto" w:fill="FFFFFF"/>
        </w:rPr>
        <w:t xml:space="preserve">The actual amount of cobalt </w:t>
      </w:r>
      <w:r>
        <w:rPr>
          <w:rFonts w:ascii="Times New Roman" w:hAnsi="Times New Roman" w:cs="Times New Roman"/>
          <w:i/>
          <w:color w:val="000000"/>
          <w:sz w:val="18"/>
          <w:szCs w:val="18"/>
          <w:shd w:val="clear" w:color="auto" w:fill="FFFFFF"/>
        </w:rPr>
        <w:t>y</w:t>
      </w:r>
      <w:r>
        <w:rPr>
          <w:rFonts w:ascii="Times New Roman" w:hAnsi="Times New Roman" w:cs="Times New Roman"/>
          <w:color w:val="000000"/>
          <w:sz w:val="18"/>
          <w:szCs w:val="18"/>
          <w:shd w:val="clear" w:color="auto" w:fill="FFFFFF"/>
        </w:rPr>
        <w:t xml:space="preserve"> in ferrite </w:t>
      </w:r>
      <w:r>
        <w:rPr>
          <w:rFonts w:ascii="Times New Roman" w:eastAsia="Cambria" w:hAnsi="Times New Roman" w:cs="Times New Roman"/>
          <w:sz w:val="18"/>
          <w:szCs w:val="18"/>
          <w:shd w:val="clear" w:color="auto" w:fill="FFFFFF"/>
        </w:rPr>
        <w:t>Co</w:t>
      </w:r>
      <w:r>
        <w:rPr>
          <w:rFonts w:ascii="Times New Roman" w:eastAsia="Cambria" w:hAnsi="Times New Roman" w:cs="Times New Roman"/>
          <w:i/>
          <w:sz w:val="18"/>
          <w:szCs w:val="18"/>
          <w:shd w:val="clear" w:color="auto" w:fill="FFFFFF"/>
          <w:vertAlign w:val="subscript"/>
        </w:rPr>
        <w:t>y</w:t>
      </w:r>
      <w:r>
        <w:rPr>
          <w:rFonts w:ascii="Times New Roman" w:eastAsia="Cambria" w:hAnsi="Times New Roman" w:cs="Times New Roman"/>
          <w:sz w:val="18"/>
          <w:szCs w:val="18"/>
          <w:shd w:val="clear" w:color="auto" w:fill="FFFFFF"/>
        </w:rPr>
        <w:t>Fe</w:t>
      </w:r>
      <w:r>
        <w:rPr>
          <w:rFonts w:ascii="Times New Roman" w:eastAsia="Cambria" w:hAnsi="Times New Roman" w:cs="Times New Roman"/>
          <w:sz w:val="18"/>
          <w:szCs w:val="18"/>
          <w:shd w:val="clear" w:color="auto" w:fill="FFFFFF"/>
          <w:vertAlign w:val="subscript"/>
        </w:rPr>
        <w:t>3-y</w:t>
      </w:r>
      <w:r>
        <w:rPr>
          <w:rFonts w:ascii="Times New Roman" w:eastAsia="Cambria" w:hAnsi="Times New Roman" w:cs="Times New Roman"/>
          <w:sz w:val="18"/>
          <w:szCs w:val="18"/>
          <w:shd w:val="clear" w:color="auto" w:fill="FFFFFF"/>
        </w:rPr>
        <w:t>O</w:t>
      </w:r>
      <w:r>
        <w:rPr>
          <w:rFonts w:ascii="Times New Roman" w:eastAsia="Cambria" w:hAnsi="Times New Roman" w:cs="Times New Roman"/>
          <w:sz w:val="18"/>
          <w:szCs w:val="18"/>
          <w:shd w:val="clear" w:color="auto" w:fill="FFFFFF"/>
          <w:vertAlign w:val="subscript"/>
        </w:rPr>
        <w:t>4</w:t>
      </w:r>
      <w:r>
        <w:rPr>
          <w:rFonts w:ascii="Times New Roman" w:eastAsia="Cambria" w:hAnsi="Times New Roman" w:cs="Times New Roman"/>
          <w:sz w:val="18"/>
          <w:szCs w:val="18"/>
          <w:shd w:val="clear" w:color="auto" w:fill="FFFFFF"/>
        </w:rPr>
        <w:t xml:space="preserve"> </w:t>
      </w:r>
      <w:r>
        <w:rPr>
          <w:rFonts w:ascii="Times New Roman" w:hAnsi="Times New Roman" w:cs="Times New Roman"/>
          <w:bCs/>
          <w:color w:val="000000"/>
          <w:sz w:val="18"/>
          <w:szCs w:val="18"/>
          <w:shd w:val="clear" w:color="auto" w:fill="FFFFFF"/>
        </w:rPr>
        <w:t xml:space="preserve"> versus the nominal amount of cobalt </w:t>
      </w:r>
      <w:r>
        <w:rPr>
          <w:rFonts w:ascii="Times New Roman" w:hAnsi="Times New Roman" w:cs="Times New Roman"/>
          <w:bCs/>
          <w:i/>
          <w:color w:val="000000"/>
          <w:sz w:val="18"/>
          <w:szCs w:val="18"/>
          <w:shd w:val="clear" w:color="auto" w:fill="FFFFFF"/>
        </w:rPr>
        <w:t>x.</w:t>
      </w:r>
    </w:p>
    <w:p w:rsidR="00C42ED9" w:rsidRDefault="00C42ED9">
      <w:pPr>
        <w:jc w:val="center"/>
        <w:rPr>
          <w:rFonts w:ascii="Times New Roman" w:hAnsi="Times New Roman" w:cs="Times New Roman"/>
          <w:sz w:val="18"/>
          <w:szCs w:val="18"/>
        </w:rPr>
      </w:pPr>
    </w:p>
    <w:p w:rsidR="00C42ED9" w:rsidRDefault="00C42ED9">
      <w:pPr>
        <w:jc w:val="both"/>
        <w:rPr>
          <w:rFonts w:ascii="Times New Roman" w:hAnsi="Times New Roman" w:cs="Times New Roman"/>
        </w:rPr>
      </w:pPr>
    </w:p>
    <w:p w:rsidR="00C42ED9" w:rsidRDefault="00C42ED9">
      <w:pPr>
        <w:jc w:val="both"/>
        <w:rPr>
          <w:rFonts w:ascii="Times New Roman" w:hAnsi="Times New Roman" w:cs="Times New Roman"/>
        </w:rPr>
      </w:pPr>
    </w:p>
    <w:p w:rsidR="00C42ED9" w:rsidRDefault="00C42ED9">
      <w:pPr>
        <w:jc w:val="both"/>
        <w:rPr>
          <w:rFonts w:ascii="Times New Roman" w:hAnsi="Times New Roman" w:cs="Times New Roman"/>
        </w:rPr>
      </w:pPr>
    </w:p>
    <w:p w:rsidR="00C42ED9" w:rsidRDefault="00C42ED9">
      <w:pPr>
        <w:jc w:val="both"/>
        <w:rPr>
          <w:rFonts w:ascii="Times New Roman" w:hAnsi="Times New Roman" w:cs="Times New Roman"/>
        </w:rPr>
      </w:pPr>
    </w:p>
    <w:p w:rsidR="00C42ED9" w:rsidRDefault="00C42ED9">
      <w:pPr>
        <w:jc w:val="both"/>
        <w:rPr>
          <w:rFonts w:ascii="Times New Roman" w:hAnsi="Times New Roman" w:cs="Times New Roman"/>
          <w:b/>
          <w:color w:val="FF0000"/>
          <w:shd w:val="clear" w:color="auto" w:fill="FFFFFF"/>
        </w:rPr>
      </w:pPr>
    </w:p>
    <w:p w:rsidR="00C42ED9" w:rsidRDefault="000718EA">
      <w:pPr>
        <w:jc w:val="both"/>
      </w:pPr>
      <w:r>
        <w:rPr>
          <w:noProof/>
        </w:rPr>
        <w:drawing>
          <wp:inline distT="0" distB="0" distL="0" distR="0">
            <wp:extent cx="5723890" cy="736854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1"/>
                    <a:srcRect/>
                    <a:stretch>
                      <a:fillRect/>
                    </a:stretch>
                  </pic:blipFill>
                  <pic:spPr bwMode="auto">
                    <a:xfrm>
                      <a:off x="0" y="0"/>
                      <a:ext cx="5723890" cy="7368540"/>
                    </a:xfrm>
                    <a:prstGeom prst="rect">
                      <a:avLst/>
                    </a:prstGeom>
                    <a:noFill/>
                    <a:ln w="9525">
                      <a:noFill/>
                      <a:miter lim="800000"/>
                      <a:headEnd/>
                      <a:tailEnd/>
                    </a:ln>
                  </pic:spPr>
                </pic:pic>
              </a:graphicData>
            </a:graphic>
          </wp:inline>
        </w:drawing>
      </w:r>
    </w:p>
    <w:p w:rsidR="00C42ED9" w:rsidRDefault="000718EA">
      <w:pPr>
        <w:pStyle w:val="Titulek1"/>
        <w:spacing w:line="276" w:lineRule="auto"/>
        <w:jc w:val="both"/>
        <w:rPr>
          <w:rFonts w:ascii="Times New Roman" w:hAnsi="Times New Roman" w:cs="Times New Roman"/>
          <w:b w:val="0"/>
          <w:color w:val="00000A"/>
          <w:shd w:val="clear" w:color="auto" w:fill="FFFFFF"/>
        </w:rPr>
      </w:pPr>
      <w:r>
        <w:rPr>
          <w:rFonts w:ascii="Times New Roman" w:hAnsi="Times New Roman" w:cs="Times New Roman"/>
          <w:color w:val="00000A"/>
          <w:shd w:val="clear" w:color="auto" w:fill="FFFFFF"/>
        </w:rPr>
        <w:t>Figure 5:</w:t>
      </w:r>
      <w:r>
        <w:rPr>
          <w:rFonts w:ascii="Times New Roman" w:hAnsi="Times New Roman" w:cs="Times New Roman"/>
          <w:b w:val="0"/>
          <w:color w:val="00000A"/>
          <w:shd w:val="clear" w:color="auto" w:fill="FFFFFF"/>
        </w:rPr>
        <w:t xml:space="preserve"> Emission and transmission spectra of samples S0.33*, S0.66*, S0.82*; S,1.00*, S1.15*, S1.29* and S1.40*. The arrows indicate the lines positions of CoFe</w:t>
      </w:r>
      <w:r>
        <w:rPr>
          <w:rFonts w:ascii="Times New Roman" w:hAnsi="Times New Roman" w:cs="Times New Roman"/>
          <w:b w:val="0"/>
          <w:color w:val="00000A"/>
          <w:shd w:val="clear" w:color="auto" w:fill="FFFFFF"/>
          <w:vertAlign w:val="subscript"/>
        </w:rPr>
        <w:t>2</w:t>
      </w:r>
      <w:r>
        <w:rPr>
          <w:rFonts w:ascii="Times New Roman" w:hAnsi="Times New Roman" w:cs="Times New Roman"/>
          <w:b w:val="0"/>
          <w:color w:val="00000A"/>
          <w:shd w:val="clear" w:color="auto" w:fill="FFFFFF"/>
        </w:rPr>
        <w:t>O</w:t>
      </w:r>
      <w:r>
        <w:rPr>
          <w:rFonts w:ascii="Times New Roman" w:hAnsi="Times New Roman" w:cs="Times New Roman"/>
          <w:b w:val="0"/>
          <w:color w:val="00000A"/>
          <w:shd w:val="clear" w:color="auto" w:fill="FFFFFF"/>
          <w:vertAlign w:val="subscript"/>
        </w:rPr>
        <w:t xml:space="preserve">4 </w:t>
      </w:r>
      <w:r>
        <w:rPr>
          <w:rFonts w:ascii="Times New Roman" w:hAnsi="Times New Roman" w:cs="Times New Roman"/>
          <w:b w:val="0"/>
          <w:color w:val="00000A"/>
          <w:shd w:val="clear" w:color="auto" w:fill="FFFFFF"/>
        </w:rPr>
        <w:t>(A and B positions) and Fe</w:t>
      </w:r>
      <w:r>
        <w:rPr>
          <w:rFonts w:ascii="Times New Roman" w:hAnsi="Times New Roman" w:cs="Times New Roman"/>
          <w:b w:val="0"/>
          <w:color w:val="00000A"/>
          <w:shd w:val="clear" w:color="auto" w:fill="FFFFFF"/>
          <w:vertAlign w:val="subscript"/>
        </w:rPr>
        <w:t>2</w:t>
      </w:r>
      <w:r>
        <w:rPr>
          <w:rFonts w:ascii="Times New Roman" w:hAnsi="Times New Roman" w:cs="Times New Roman"/>
          <w:b w:val="0"/>
          <w:color w:val="00000A"/>
          <w:shd w:val="clear" w:color="auto" w:fill="FFFFFF"/>
        </w:rPr>
        <w:t>O</w:t>
      </w:r>
      <w:r>
        <w:rPr>
          <w:rFonts w:ascii="Times New Roman" w:hAnsi="Times New Roman" w:cs="Times New Roman"/>
          <w:b w:val="0"/>
          <w:color w:val="00000A"/>
          <w:shd w:val="clear" w:color="auto" w:fill="FFFFFF"/>
          <w:vertAlign w:val="subscript"/>
        </w:rPr>
        <w:t>3</w:t>
      </w:r>
      <w:r>
        <w:rPr>
          <w:rFonts w:ascii="Times New Roman" w:hAnsi="Times New Roman" w:cs="Times New Roman"/>
          <w:b w:val="0"/>
          <w:color w:val="00000A"/>
          <w:shd w:val="clear" w:color="auto" w:fill="FFFFFF"/>
        </w:rPr>
        <w:t xml:space="preserve">. </w:t>
      </w: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Figure 5 shows emission and transmission spectra of the samples S0</w:t>
      </w:r>
      <w:r>
        <w:rPr>
          <w:rFonts w:ascii="Times New Roman" w:hAnsi="Times New Roman" w:cs="Times New Roman"/>
          <w:sz w:val="24"/>
          <w:szCs w:val="24"/>
          <w:shd w:val="clear" w:color="auto" w:fill="FFFFFF"/>
        </w:rPr>
        <w:t xml:space="preserve">.33*; S0.66*; S0.82*; S1.00*; S1.15*; S1.29* and S1.40*. All the spectra were normalized to unit area </w:t>
      </w:r>
      <w:r>
        <w:rPr>
          <w:rFonts w:ascii="Times New Roman" w:hAnsi="Times New Roman" w:cs="Times New Roman"/>
          <w:sz w:val="24"/>
          <w:szCs w:val="24"/>
          <w:shd w:val="clear" w:color="auto" w:fill="FFFFFF"/>
        </w:rPr>
        <w:lastRenderedPageBreak/>
        <w:t>absorbed. The arrows in the figure 5 indicate the lines positions of CoFe</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4</w:t>
      </w:r>
      <w:r>
        <w:rPr>
          <w:rFonts w:ascii="Times New Roman" w:hAnsi="Times New Roman" w:cs="Times New Roman"/>
          <w:sz w:val="24"/>
          <w:szCs w:val="24"/>
          <w:shd w:val="clear" w:color="auto" w:fill="FFFFFF"/>
        </w:rPr>
        <w:t xml:space="preserve"> and Fe</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They were calculated according to the hyperfine </w:t>
      </w:r>
      <w:r>
        <w:rPr>
          <w:rFonts w:ascii="Times New Roman" w:hAnsi="Times New Roman" w:cs="Times New Roman"/>
          <w:sz w:val="24"/>
          <w:szCs w:val="24"/>
          <w:shd w:val="clear" w:color="auto" w:fill="FFFFFF"/>
        </w:rPr>
        <w:t>parameters listed in Table 2</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vertAlign w:val="superscript"/>
        </w:rPr>
        <w:t>8</w:t>
      </w:r>
      <w:r>
        <w:rPr>
          <w:rFonts w:ascii="Times New Roman" w:hAnsi="Times New Roman" w:cs="Times New Roman"/>
          <w:sz w:val="24"/>
          <w:szCs w:val="24"/>
          <w:shd w:val="clear" w:color="auto" w:fill="FFFFFF"/>
        </w:rPr>
        <w:t xml:space="preserve"> The difference between emission and transmission spectrum of sample S033* is caused by the presence of excess hematite in the sample. Hematite contributed only to a transmission spectrum because it contains no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 xml:space="preserve">Co. </w:t>
      </w:r>
    </w:p>
    <w:p w:rsidR="00C42ED9" w:rsidRDefault="000718EA">
      <w:pPr>
        <w:spacing w:line="360" w:lineRule="auto"/>
        <w:jc w:val="center"/>
        <w:rPr>
          <w:rFonts w:ascii="Times New Roman" w:hAnsi="Times New Roman" w:cs="Times New Roman"/>
          <w:color w:val="000000"/>
          <w:sz w:val="18"/>
          <w:szCs w:val="18"/>
          <w:shd w:val="clear" w:color="auto" w:fill="FFFFFF"/>
          <w:vertAlign w:val="superscript"/>
        </w:rPr>
      </w:pPr>
      <w:r>
        <w:rPr>
          <w:rFonts w:ascii="Times New Roman" w:hAnsi="Times New Roman" w:cs="Times New Roman"/>
          <w:b/>
          <w:color w:val="000000"/>
          <w:sz w:val="18"/>
          <w:szCs w:val="18"/>
          <w:shd w:val="clear" w:color="auto" w:fill="FFFFFF"/>
        </w:rPr>
        <w:t>Table 2:</w:t>
      </w:r>
      <w:r>
        <w:rPr>
          <w:rFonts w:ascii="Times New Roman" w:hAnsi="Times New Roman" w:cs="Times New Roman"/>
          <w:color w:val="000000"/>
          <w:sz w:val="18"/>
          <w:szCs w:val="18"/>
          <w:shd w:val="clear" w:color="auto" w:fill="FFFFFF"/>
        </w:rPr>
        <w:t xml:space="preserve"> Hyperfine parameters of CoFe</w:t>
      </w:r>
      <w:r>
        <w:rPr>
          <w:rFonts w:ascii="Times New Roman" w:hAnsi="Times New Roman" w:cs="Times New Roman"/>
          <w:color w:val="000000"/>
          <w:sz w:val="18"/>
          <w:szCs w:val="18"/>
          <w:shd w:val="clear" w:color="auto" w:fill="FFFFFF"/>
          <w:vertAlign w:val="subscript"/>
        </w:rPr>
        <w:t>2</w:t>
      </w:r>
      <w:r>
        <w:rPr>
          <w:rFonts w:ascii="Times New Roman" w:hAnsi="Times New Roman" w:cs="Times New Roman"/>
          <w:color w:val="000000"/>
          <w:sz w:val="18"/>
          <w:szCs w:val="18"/>
          <w:shd w:val="clear" w:color="auto" w:fill="FFFFFF"/>
        </w:rPr>
        <w:t>O</w:t>
      </w:r>
      <w:r>
        <w:rPr>
          <w:rFonts w:ascii="Times New Roman" w:hAnsi="Times New Roman" w:cs="Times New Roman"/>
          <w:color w:val="000000"/>
          <w:sz w:val="18"/>
          <w:szCs w:val="18"/>
          <w:shd w:val="clear" w:color="auto" w:fill="FFFFFF"/>
          <w:vertAlign w:val="subscript"/>
        </w:rPr>
        <w:t>4</w:t>
      </w:r>
      <w:r>
        <w:rPr>
          <w:rFonts w:ascii="Times New Roman" w:hAnsi="Times New Roman" w:cs="Times New Roman"/>
          <w:color w:val="000000"/>
          <w:sz w:val="18"/>
          <w:szCs w:val="18"/>
          <w:shd w:val="clear" w:color="auto" w:fill="FFFFFF"/>
        </w:rPr>
        <w:t xml:space="preserve"> A and B site and hematite.</w:t>
      </w:r>
      <w:r>
        <w:rPr>
          <w:rFonts w:ascii="Times New Roman" w:hAnsi="Times New Roman" w:cs="Times New Roman"/>
          <w:color w:val="000000"/>
          <w:sz w:val="18"/>
          <w:szCs w:val="18"/>
          <w:shd w:val="clear" w:color="auto" w:fill="FFFFFF"/>
          <w:vertAlign w:val="superscript"/>
        </w:rPr>
        <w:t>8</w:t>
      </w:r>
    </w:p>
    <w:tbl>
      <w:tblPr>
        <w:tblW w:w="0" w:type="auto"/>
        <w:jc w:val="center"/>
        <w:tblBorders>
          <w:top w:val="double" w:sz="4" w:space="0" w:color="000001"/>
          <w:left w:val="nil"/>
          <w:bottom w:val="double" w:sz="4" w:space="0" w:color="000001"/>
          <w:right w:val="nil"/>
          <w:insideH w:val="double" w:sz="4" w:space="0" w:color="000001"/>
          <w:insideV w:val="nil"/>
        </w:tblBorders>
        <w:tblCellMar>
          <w:left w:w="70" w:type="dxa"/>
          <w:right w:w="70" w:type="dxa"/>
        </w:tblCellMar>
        <w:tblLook w:val="04A0" w:firstRow="1" w:lastRow="0" w:firstColumn="1" w:lastColumn="0" w:noHBand="0" w:noVBand="1"/>
      </w:tblPr>
      <w:tblGrid>
        <w:gridCol w:w="1433"/>
        <w:gridCol w:w="1133"/>
        <w:gridCol w:w="1397"/>
        <w:gridCol w:w="1136"/>
      </w:tblGrid>
      <w:tr w:rsidR="00C42ED9">
        <w:trPr>
          <w:trHeight w:hRule="exact" w:val="340"/>
          <w:jc w:val="center"/>
        </w:trPr>
        <w:tc>
          <w:tcPr>
            <w:tcW w:w="1433" w:type="dxa"/>
            <w:tcBorders>
              <w:top w:val="double" w:sz="4" w:space="0" w:color="000001"/>
              <w:left w:val="nil"/>
              <w:bottom w:val="double" w:sz="4" w:space="0" w:color="000001"/>
              <w:right w:val="nil"/>
            </w:tcBorders>
            <w:shd w:val="clear" w:color="auto" w:fill="FFFFFF"/>
            <w:vAlign w:val="center"/>
          </w:tcPr>
          <w:p w:rsidR="00C42ED9" w:rsidRDefault="00C42ED9">
            <w:pPr>
              <w:spacing w:after="0"/>
              <w:jc w:val="center"/>
              <w:rPr>
                <w:rFonts w:ascii="Times New Roman" w:hAnsi="Times New Roman" w:cs="Times New Roman"/>
                <w:sz w:val="16"/>
                <w:szCs w:val="16"/>
                <w:shd w:val="clear" w:color="auto" w:fill="FFFFFF"/>
              </w:rPr>
            </w:pPr>
          </w:p>
        </w:tc>
        <w:tc>
          <w:tcPr>
            <w:tcW w:w="1133" w:type="dxa"/>
            <w:tcBorders>
              <w:top w:val="doub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i/>
                <w:sz w:val="16"/>
                <w:szCs w:val="16"/>
                <w:shd w:val="clear" w:color="auto" w:fill="FFFFFF"/>
              </w:rPr>
              <w:t>Δ</w:t>
            </w:r>
            <w:r>
              <w:rPr>
                <w:rFonts w:ascii="Times New Roman" w:hAnsi="Times New Roman" w:cs="Times New Roman"/>
                <w:sz w:val="16"/>
                <w:szCs w:val="16"/>
                <w:shd w:val="clear" w:color="auto" w:fill="FFFFFF"/>
              </w:rPr>
              <w:t xml:space="preserve"> (mm/s)</w:t>
            </w:r>
          </w:p>
        </w:tc>
        <w:tc>
          <w:tcPr>
            <w:tcW w:w="1397" w:type="dxa"/>
            <w:tcBorders>
              <w:top w:val="doub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i/>
                <w:sz w:val="16"/>
                <w:szCs w:val="16"/>
                <w:shd w:val="clear" w:color="auto" w:fill="FFFFFF"/>
              </w:rPr>
              <w:t>ΔE</w:t>
            </w:r>
            <w:r>
              <w:rPr>
                <w:rFonts w:ascii="Times New Roman" w:hAnsi="Times New Roman" w:cs="Times New Roman"/>
                <w:sz w:val="16"/>
                <w:szCs w:val="16"/>
                <w:shd w:val="clear" w:color="auto" w:fill="FFFFFF"/>
                <w:vertAlign w:val="subscript"/>
              </w:rPr>
              <w:t>Q</w:t>
            </w:r>
            <w:r>
              <w:rPr>
                <w:rFonts w:ascii="Times New Roman" w:hAnsi="Times New Roman" w:cs="Times New Roman"/>
                <w:sz w:val="16"/>
                <w:szCs w:val="16"/>
                <w:shd w:val="clear" w:color="auto" w:fill="FFFFFF"/>
              </w:rPr>
              <w:t xml:space="preserve"> (mm/s)</w:t>
            </w:r>
          </w:p>
        </w:tc>
        <w:tc>
          <w:tcPr>
            <w:tcW w:w="1136" w:type="dxa"/>
            <w:tcBorders>
              <w:top w:val="doub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proofErr w:type="spellStart"/>
            <w:r>
              <w:rPr>
                <w:rFonts w:ascii="Times New Roman" w:hAnsi="Times New Roman" w:cs="Times New Roman"/>
                <w:i/>
                <w:sz w:val="16"/>
                <w:szCs w:val="16"/>
                <w:shd w:val="clear" w:color="auto" w:fill="FFFFFF"/>
              </w:rPr>
              <w:t>B</w:t>
            </w:r>
            <w:r>
              <w:rPr>
                <w:rFonts w:ascii="Times New Roman" w:hAnsi="Times New Roman" w:cs="Times New Roman"/>
                <w:sz w:val="16"/>
                <w:szCs w:val="16"/>
                <w:shd w:val="clear" w:color="auto" w:fill="FFFFFF"/>
                <w:vertAlign w:val="subscript"/>
              </w:rPr>
              <w:t>hf</w:t>
            </w:r>
            <w:proofErr w:type="spellEnd"/>
            <w:r>
              <w:rPr>
                <w:rFonts w:ascii="Times New Roman" w:hAnsi="Times New Roman" w:cs="Times New Roman"/>
                <w:sz w:val="16"/>
                <w:szCs w:val="16"/>
                <w:shd w:val="clear" w:color="auto" w:fill="FFFFFF"/>
              </w:rPr>
              <w:t xml:space="preserve"> (T)</w:t>
            </w:r>
          </w:p>
        </w:tc>
      </w:tr>
      <w:tr w:rsidR="00C42ED9">
        <w:trPr>
          <w:trHeight w:hRule="exact" w:val="340"/>
          <w:jc w:val="center"/>
        </w:trPr>
        <w:tc>
          <w:tcPr>
            <w:tcW w:w="1433" w:type="dxa"/>
            <w:tcBorders>
              <w:top w:val="doub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CoFe</w:t>
            </w:r>
            <w:r>
              <w:rPr>
                <w:rFonts w:ascii="Times New Roman" w:hAnsi="Times New Roman" w:cs="Times New Roman"/>
                <w:sz w:val="16"/>
                <w:szCs w:val="16"/>
                <w:shd w:val="clear" w:color="auto" w:fill="FFFFFF"/>
                <w:vertAlign w:val="subscript"/>
              </w:rPr>
              <w:t>2</w:t>
            </w:r>
            <w:r>
              <w:rPr>
                <w:rFonts w:ascii="Times New Roman" w:hAnsi="Times New Roman" w:cs="Times New Roman"/>
                <w:sz w:val="16"/>
                <w:szCs w:val="16"/>
                <w:shd w:val="clear" w:color="auto" w:fill="FFFFFF"/>
              </w:rPr>
              <w:t>O</w:t>
            </w:r>
            <w:r>
              <w:rPr>
                <w:rFonts w:ascii="Times New Roman" w:hAnsi="Times New Roman" w:cs="Times New Roman"/>
                <w:sz w:val="16"/>
                <w:szCs w:val="16"/>
                <w:shd w:val="clear" w:color="auto" w:fill="FFFFFF"/>
                <w:vertAlign w:val="subscript"/>
              </w:rPr>
              <w:t>4</w:t>
            </w:r>
            <w:r>
              <w:rPr>
                <w:rFonts w:ascii="Times New Roman" w:hAnsi="Times New Roman" w:cs="Times New Roman"/>
                <w:sz w:val="16"/>
                <w:szCs w:val="16"/>
                <w:shd w:val="clear" w:color="auto" w:fill="FFFFFF"/>
              </w:rPr>
              <w:t xml:space="preserve"> (A)</w:t>
            </w:r>
          </w:p>
        </w:tc>
        <w:tc>
          <w:tcPr>
            <w:tcW w:w="1133" w:type="dxa"/>
            <w:tcBorders>
              <w:top w:val="doub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0.29</w:t>
            </w:r>
          </w:p>
        </w:tc>
        <w:tc>
          <w:tcPr>
            <w:tcW w:w="1397" w:type="dxa"/>
            <w:tcBorders>
              <w:top w:val="doub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-0.01</w:t>
            </w:r>
          </w:p>
        </w:tc>
        <w:tc>
          <w:tcPr>
            <w:tcW w:w="1136" w:type="dxa"/>
            <w:tcBorders>
              <w:top w:val="doub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48.78</w:t>
            </w:r>
          </w:p>
        </w:tc>
      </w:tr>
      <w:tr w:rsidR="00C42ED9">
        <w:trPr>
          <w:trHeight w:hRule="exact" w:val="340"/>
          <w:jc w:val="center"/>
        </w:trPr>
        <w:tc>
          <w:tcPr>
            <w:tcW w:w="1433" w:type="dxa"/>
            <w:tcBorders>
              <w:top w:val="sing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CoFe</w:t>
            </w:r>
            <w:r>
              <w:rPr>
                <w:rFonts w:ascii="Times New Roman" w:hAnsi="Times New Roman" w:cs="Times New Roman"/>
                <w:sz w:val="16"/>
                <w:szCs w:val="16"/>
                <w:shd w:val="clear" w:color="auto" w:fill="FFFFFF"/>
                <w:vertAlign w:val="subscript"/>
              </w:rPr>
              <w:t>2</w:t>
            </w:r>
            <w:r>
              <w:rPr>
                <w:rFonts w:ascii="Times New Roman" w:hAnsi="Times New Roman" w:cs="Times New Roman"/>
                <w:sz w:val="16"/>
                <w:szCs w:val="16"/>
                <w:shd w:val="clear" w:color="auto" w:fill="FFFFFF"/>
              </w:rPr>
              <w:t>O</w:t>
            </w:r>
            <w:r>
              <w:rPr>
                <w:rFonts w:ascii="Times New Roman" w:hAnsi="Times New Roman" w:cs="Times New Roman"/>
                <w:sz w:val="16"/>
                <w:szCs w:val="16"/>
                <w:shd w:val="clear" w:color="auto" w:fill="FFFFFF"/>
                <w:vertAlign w:val="subscript"/>
              </w:rPr>
              <w:t>4</w:t>
            </w:r>
            <w:r>
              <w:rPr>
                <w:rFonts w:ascii="Times New Roman" w:hAnsi="Times New Roman" w:cs="Times New Roman"/>
                <w:sz w:val="16"/>
                <w:szCs w:val="16"/>
                <w:shd w:val="clear" w:color="auto" w:fill="FFFFFF"/>
              </w:rPr>
              <w:t xml:space="preserve"> (B)</w:t>
            </w:r>
          </w:p>
        </w:tc>
        <w:tc>
          <w:tcPr>
            <w:tcW w:w="1133" w:type="dxa"/>
            <w:tcBorders>
              <w:top w:val="sing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0.36</w:t>
            </w:r>
          </w:p>
        </w:tc>
        <w:tc>
          <w:tcPr>
            <w:tcW w:w="1397" w:type="dxa"/>
            <w:tcBorders>
              <w:top w:val="sing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0.01</w:t>
            </w:r>
          </w:p>
        </w:tc>
        <w:tc>
          <w:tcPr>
            <w:tcW w:w="1136" w:type="dxa"/>
            <w:tcBorders>
              <w:top w:val="single" w:sz="4" w:space="0" w:color="000001"/>
              <w:left w:val="nil"/>
              <w:bottom w:val="sing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51.64</w:t>
            </w:r>
          </w:p>
        </w:tc>
      </w:tr>
      <w:tr w:rsidR="00C42ED9">
        <w:trPr>
          <w:trHeight w:hRule="exact" w:val="340"/>
          <w:jc w:val="center"/>
        </w:trPr>
        <w:tc>
          <w:tcPr>
            <w:tcW w:w="1433" w:type="dxa"/>
            <w:tcBorders>
              <w:top w:val="sing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Hematite</w:t>
            </w:r>
          </w:p>
        </w:tc>
        <w:tc>
          <w:tcPr>
            <w:tcW w:w="1133" w:type="dxa"/>
            <w:tcBorders>
              <w:top w:val="sing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0.37</w:t>
            </w:r>
          </w:p>
        </w:tc>
        <w:tc>
          <w:tcPr>
            <w:tcW w:w="1397" w:type="dxa"/>
            <w:tcBorders>
              <w:top w:val="sing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-0.19</w:t>
            </w:r>
          </w:p>
        </w:tc>
        <w:tc>
          <w:tcPr>
            <w:tcW w:w="1136" w:type="dxa"/>
            <w:tcBorders>
              <w:top w:val="single" w:sz="4" w:space="0" w:color="000001"/>
              <w:left w:val="nil"/>
              <w:bottom w:val="double" w:sz="4" w:space="0" w:color="000001"/>
              <w:right w:val="nil"/>
            </w:tcBorders>
            <w:shd w:val="clear" w:color="auto" w:fill="FFFFFF"/>
            <w:vAlign w:val="center"/>
          </w:tcPr>
          <w:p w:rsidR="00C42ED9" w:rsidRDefault="000718EA">
            <w:pPr>
              <w:spacing w:after="0"/>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51.75</w:t>
            </w:r>
          </w:p>
        </w:tc>
      </w:tr>
    </w:tbl>
    <w:p w:rsidR="00C42ED9" w:rsidRDefault="00C42ED9">
      <w:pPr>
        <w:jc w:val="both"/>
        <w:rPr>
          <w:rFonts w:ascii="Times New Roman" w:hAnsi="Times New Roman" w:cs="Times New Roman"/>
        </w:rPr>
      </w:pP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doublet </w:t>
      </w:r>
      <w:r>
        <w:rPr>
          <w:rFonts w:ascii="Times New Roman" w:hAnsi="Times New Roman" w:cs="Times New Roman"/>
          <w:sz w:val="24"/>
          <w:szCs w:val="24"/>
          <w:shd w:val="clear" w:color="auto" w:fill="FFFFFF"/>
        </w:rPr>
        <w:t xml:space="preserve">in the emission spectra, positioned at the centre of the measured area, </w:t>
      </w:r>
      <w:r>
        <w:rPr>
          <w:rFonts w:ascii="Times New Roman" w:hAnsi="Times New Roman" w:cs="Times New Roman"/>
          <w:sz w:val="24"/>
          <w:szCs w:val="24"/>
          <w:shd w:val="clear" w:color="auto" w:fill="FFFFFF"/>
        </w:rPr>
        <w:t xml:space="preserve">was ascribed to </w:t>
      </w:r>
      <w:r>
        <w:rPr>
          <w:rFonts w:ascii="Times New Roman" w:hAnsi="Times New Roman" w:cs="Times New Roman"/>
          <w:sz w:val="24"/>
          <w:szCs w:val="24"/>
          <w:shd w:val="clear" w:color="auto" w:fill="FFFFFF"/>
          <w:vertAlign w:val="superscript"/>
        </w:rPr>
        <w:t>57</w:t>
      </w:r>
      <w:r>
        <w:rPr>
          <w:rFonts w:ascii="Times New Roman" w:hAnsi="Times New Roman" w:cs="Times New Roman"/>
          <w:sz w:val="24"/>
          <w:szCs w:val="24"/>
          <w:shd w:val="clear" w:color="auto" w:fill="FFFFFF"/>
        </w:rPr>
        <w:t>Co atoms incorporated into the str</w:t>
      </w:r>
      <w:r>
        <w:rPr>
          <w:rFonts w:ascii="Times New Roman" w:hAnsi="Times New Roman" w:cs="Times New Roman"/>
          <w:sz w:val="24"/>
          <w:szCs w:val="24"/>
          <w:shd w:val="clear" w:color="auto" w:fill="FFFFFF"/>
        </w:rPr>
        <w:t>ucture of cobalt oxide. There was also an evident line broadening in the case of samples S1.29* and S1.40* which indicates an occurrence of a distribution of hyperfine magnetic field. That is in accordance with the observation of line broadening in X-ray p</w:t>
      </w:r>
      <w:r>
        <w:rPr>
          <w:rFonts w:ascii="Times New Roman" w:hAnsi="Times New Roman" w:cs="Times New Roman"/>
          <w:sz w:val="24"/>
          <w:szCs w:val="24"/>
          <w:shd w:val="clear" w:color="auto" w:fill="FFFFFF"/>
        </w:rPr>
        <w:t>owder diffraction patterns for samples S1.29 and S1.40. Likely, the higher amount of Co caused higher disorder in the ferrite lattice.</w:t>
      </w: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color w:val="FF0000"/>
          <w:sz w:val="24"/>
          <w:szCs w:val="24"/>
          <w:shd w:val="clear" w:color="auto" w:fill="FFFFFF"/>
        </w:rPr>
        <w:tab/>
      </w:r>
      <w:r>
        <w:rPr>
          <w:rFonts w:ascii="Times New Roman" w:hAnsi="Times New Roman" w:cs="Times New Roman"/>
          <w:sz w:val="24"/>
          <w:szCs w:val="24"/>
          <w:shd w:val="clear" w:color="auto" w:fill="FFFFFF"/>
        </w:rPr>
        <w:t xml:space="preserve">Figure 6 compares the emission spectra of samples S0.33*, S0.66*, S0.82*, S1.00*, S1.15*, S1.29*, and S1.40*. One could </w:t>
      </w:r>
      <w:r>
        <w:rPr>
          <w:rFonts w:ascii="Times New Roman" w:hAnsi="Times New Roman" w:cs="Times New Roman"/>
          <w:sz w:val="24"/>
          <w:szCs w:val="24"/>
          <w:shd w:val="clear" w:color="auto" w:fill="FFFFFF"/>
        </w:rPr>
        <w:t>clearly see a change in the distribution of hyperfine magnetic field with the increasing Co concentration. The spectral lines get broader and shift to lower energies.</w:t>
      </w:r>
    </w:p>
    <w:p w:rsidR="00C42ED9" w:rsidRDefault="000718EA">
      <w:pPr>
        <w:jc w:val="center"/>
      </w:pPr>
      <w:r>
        <w:rPr>
          <w:noProof/>
        </w:rPr>
        <w:drawing>
          <wp:inline distT="0" distB="0" distL="0" distR="0">
            <wp:extent cx="5162550" cy="270827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2"/>
                    <a:srcRect/>
                    <a:stretch>
                      <a:fillRect/>
                    </a:stretch>
                  </pic:blipFill>
                  <pic:spPr bwMode="auto">
                    <a:xfrm>
                      <a:off x="0" y="0"/>
                      <a:ext cx="5162550" cy="2708275"/>
                    </a:xfrm>
                    <a:prstGeom prst="rect">
                      <a:avLst/>
                    </a:prstGeom>
                    <a:noFill/>
                    <a:ln w="9525">
                      <a:noFill/>
                      <a:miter lim="800000"/>
                      <a:headEnd/>
                      <a:tailEnd/>
                    </a:ln>
                  </pic:spPr>
                </pic:pic>
              </a:graphicData>
            </a:graphic>
          </wp:inline>
        </w:drawing>
      </w:r>
    </w:p>
    <w:p w:rsidR="00C42ED9" w:rsidRDefault="000718EA">
      <w:pPr>
        <w:pStyle w:val="Titulek1"/>
        <w:spacing w:line="276" w:lineRule="auto"/>
        <w:jc w:val="center"/>
        <w:rPr>
          <w:rFonts w:ascii="Times New Roman" w:hAnsi="Times New Roman" w:cs="Times New Roman"/>
          <w:b w:val="0"/>
          <w:color w:val="000000"/>
          <w:shd w:val="clear" w:color="auto" w:fill="FFFFFF"/>
        </w:rPr>
      </w:pPr>
      <w:r>
        <w:rPr>
          <w:rFonts w:ascii="Times New Roman" w:hAnsi="Times New Roman" w:cs="Times New Roman"/>
          <w:color w:val="000000"/>
          <w:shd w:val="clear" w:color="auto" w:fill="FFFFFF"/>
        </w:rPr>
        <w:t xml:space="preserve">Figure 6: </w:t>
      </w:r>
      <w:r>
        <w:rPr>
          <w:rFonts w:ascii="Times New Roman" w:hAnsi="Times New Roman" w:cs="Times New Roman"/>
          <w:b w:val="0"/>
          <w:color w:val="000000"/>
          <w:shd w:val="clear" w:color="auto" w:fill="FFFFFF"/>
        </w:rPr>
        <w:t>Emission spectra of S0.33*, S0.66*, S0.82*, S1.00*, S1.15*, S1.29* and S1.40*</w:t>
      </w:r>
      <w:r>
        <w:rPr>
          <w:rFonts w:ascii="Times New Roman" w:hAnsi="Times New Roman" w:cs="Times New Roman"/>
          <w:b w:val="0"/>
          <w:color w:val="000000"/>
          <w:shd w:val="clear" w:color="auto" w:fill="FFFFFF"/>
        </w:rPr>
        <w:t xml:space="preserve"> samples.</w:t>
      </w:r>
    </w:p>
    <w:p w:rsidR="00C42ED9"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lastRenderedPageBreak/>
        <w:tab/>
      </w:r>
      <w:r>
        <w:rPr>
          <w:rFonts w:ascii="Times New Roman" w:hAnsi="Times New Roman" w:cs="Times New Roman"/>
          <w:sz w:val="24"/>
          <w:szCs w:val="24"/>
          <w:shd w:val="clear" w:color="auto" w:fill="FFFFFF"/>
        </w:rPr>
        <w:t xml:space="preserve"> Figure 7 shows transmission Mössbauer spectra of </w:t>
      </w:r>
      <w:r>
        <w:rPr>
          <w:rFonts w:ascii="Times New Roman" w:hAnsi="Times New Roman" w:cs="Times New Roman"/>
          <w:color w:val="000000"/>
          <w:sz w:val="24"/>
          <w:szCs w:val="24"/>
          <w:shd w:val="clear" w:color="auto" w:fill="FFFFFF"/>
        </w:rPr>
        <w:t>S0.33*, S0.66*, S0.82*, S1.00*, S1.15*, S1.29* and S1.40*</w:t>
      </w:r>
      <w:r>
        <w:rPr>
          <w:rFonts w:ascii="Times New Roman" w:hAnsi="Times New Roman" w:cs="Times New Roman"/>
          <w:sz w:val="24"/>
          <w:szCs w:val="24"/>
          <w:shd w:val="clear" w:color="auto" w:fill="FFFFFF"/>
        </w:rPr>
        <w:t xml:space="preserve"> samples. </w:t>
      </w:r>
      <w:proofErr w:type="gramStart"/>
      <w:r>
        <w:rPr>
          <w:rFonts w:ascii="Times New Roman" w:hAnsi="Times New Roman" w:cs="Times New Roman"/>
          <w:sz w:val="24"/>
          <w:szCs w:val="24"/>
          <w:shd w:val="clear" w:color="auto" w:fill="FFFFFF"/>
        </w:rPr>
        <w:t>Similarly</w:t>
      </w:r>
      <w:proofErr w:type="gramEnd"/>
      <w:r>
        <w:rPr>
          <w:rFonts w:ascii="Times New Roman" w:hAnsi="Times New Roman" w:cs="Times New Roman"/>
          <w:sz w:val="24"/>
          <w:szCs w:val="24"/>
          <w:shd w:val="clear" w:color="auto" w:fill="FFFFFF"/>
        </w:rPr>
        <w:t xml:space="preserve"> to the emission spectra, there was a shift in the positions of the spectral lines as well as the change in their shape with the increasing concentration of cobalt.</w:t>
      </w:r>
    </w:p>
    <w:p w:rsidR="00C42ED9" w:rsidRDefault="000718EA">
      <w:pPr>
        <w:keepNext/>
        <w:jc w:val="center"/>
      </w:pPr>
      <w:r>
        <w:rPr>
          <w:noProof/>
        </w:rPr>
        <w:drawing>
          <wp:inline distT="0" distB="0" distL="0" distR="0">
            <wp:extent cx="5454650" cy="286194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3"/>
                    <a:srcRect/>
                    <a:stretch>
                      <a:fillRect/>
                    </a:stretch>
                  </pic:blipFill>
                  <pic:spPr bwMode="auto">
                    <a:xfrm>
                      <a:off x="0" y="0"/>
                      <a:ext cx="5454650" cy="2861945"/>
                    </a:xfrm>
                    <a:prstGeom prst="rect">
                      <a:avLst/>
                    </a:prstGeom>
                    <a:noFill/>
                    <a:ln w="9525">
                      <a:noFill/>
                      <a:miter lim="800000"/>
                      <a:headEnd/>
                      <a:tailEnd/>
                    </a:ln>
                  </pic:spPr>
                </pic:pic>
              </a:graphicData>
            </a:graphic>
          </wp:inline>
        </w:drawing>
      </w:r>
    </w:p>
    <w:p w:rsidR="00C42ED9" w:rsidRDefault="000718EA">
      <w:pPr>
        <w:pStyle w:val="Titulek1"/>
        <w:spacing w:line="276" w:lineRule="auto"/>
        <w:jc w:val="center"/>
        <w:rPr>
          <w:rFonts w:ascii="Times New Roman" w:hAnsi="Times New Roman" w:cs="Times New Roman"/>
          <w:b w:val="0"/>
          <w:color w:val="000000"/>
          <w:shd w:val="clear" w:color="auto" w:fill="FFFFFF"/>
        </w:rPr>
      </w:pPr>
      <w:r>
        <w:rPr>
          <w:rFonts w:ascii="Times New Roman" w:hAnsi="Times New Roman" w:cs="Times New Roman"/>
          <w:color w:val="000000"/>
          <w:shd w:val="clear" w:color="auto" w:fill="FFFFFF"/>
        </w:rPr>
        <w:t xml:space="preserve">Figure 7: </w:t>
      </w:r>
      <w:r>
        <w:rPr>
          <w:rFonts w:ascii="Times New Roman" w:hAnsi="Times New Roman" w:cs="Times New Roman"/>
          <w:b w:val="0"/>
          <w:color w:val="000000"/>
          <w:shd w:val="clear" w:color="auto" w:fill="FFFFFF"/>
        </w:rPr>
        <w:t>Transmission spectra of S0.33*, S0.66*, S0.82*, S1.00*, S1.1</w:t>
      </w:r>
      <w:r>
        <w:rPr>
          <w:rFonts w:ascii="Times New Roman" w:hAnsi="Times New Roman" w:cs="Times New Roman"/>
          <w:b w:val="0"/>
          <w:color w:val="000000"/>
          <w:shd w:val="clear" w:color="auto" w:fill="FFFFFF"/>
        </w:rPr>
        <w:t>5*, S1.29* and S1.40* samples.</w:t>
      </w:r>
    </w:p>
    <w:p w:rsidR="00C42ED9" w:rsidRDefault="00C42ED9">
      <w:pPr>
        <w:jc w:val="both"/>
        <w:rPr>
          <w:rFonts w:ascii="Times New Roman" w:hAnsi="Times New Roman" w:cs="Times New Roman"/>
          <w:b/>
          <w:bCs/>
          <w:shd w:val="clear" w:color="auto" w:fill="FFFFFF"/>
        </w:rPr>
      </w:pPr>
      <w:bookmarkStart w:id="3" w:name="_GoBack"/>
      <w:bookmarkEnd w:id="3"/>
    </w:p>
    <w:p w:rsidR="00D63F8E" w:rsidRDefault="000718E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 xml:space="preserve">Comparing the transmission and emission spectra, it can be concluded that the formed cobalt ferrites did not exhibit the inverse spinel structure. In </w:t>
      </w:r>
      <w:r>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case of the inverse spinel structure the Co atoms would occupy only the B positions. This would cause </w:t>
      </w:r>
      <w:r>
        <w:rPr>
          <w:rFonts w:ascii="Times New Roman" w:hAnsi="Times New Roman" w:cs="Times New Roman"/>
          <w:sz w:val="24"/>
          <w:szCs w:val="24"/>
          <w:shd w:val="clear" w:color="auto" w:fill="FFFFFF"/>
        </w:rPr>
        <w:t xml:space="preserve">an observable difference between the magnetic contribution to the emission and transmission Mössbauer spectra as only the B position spectral lines would occur in the former. However, in our case the line positions of emission and transmission spectra for </w:t>
      </w:r>
      <w:r>
        <w:rPr>
          <w:rFonts w:ascii="Times New Roman" w:hAnsi="Times New Roman" w:cs="Times New Roman"/>
          <w:sz w:val="24"/>
          <w:szCs w:val="24"/>
          <w:shd w:val="clear" w:color="auto" w:fill="FFFFFF"/>
        </w:rPr>
        <w:t xml:space="preserve">individual samples did not exhibit any significant differences. This is typical for a uniform distribution of cobalt and iron atoms in the A and B positions, leading to a mixed spinel structure described by a formula </w:t>
      </w:r>
      <w:r>
        <w:rPr>
          <w:rFonts w:ascii="Times New Roman" w:hAnsi="Times New Roman" w:cs="Times New Roman"/>
          <w:sz w:val="24"/>
          <w:szCs w:val="24"/>
          <w:shd w:val="clear" w:color="auto" w:fill="FFFFFF"/>
        </w:rPr>
        <w:br/>
        <w:t>(Co</w:t>
      </w:r>
      <w:r>
        <w:rPr>
          <w:rFonts w:ascii="Times New Roman" w:hAnsi="Times New Roman" w:cs="Times New Roman"/>
          <w:sz w:val="24"/>
          <w:szCs w:val="24"/>
          <w:shd w:val="clear" w:color="auto" w:fill="FFFFFF"/>
          <w:vertAlign w:val="subscript"/>
        </w:rPr>
        <w:t>0.33</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1-0.33</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)[Co</w:t>
      </w:r>
      <w:r>
        <w:rPr>
          <w:rFonts w:ascii="Times New Roman" w:hAnsi="Times New Roman" w:cs="Times New Roman"/>
          <w:sz w:val="24"/>
          <w:szCs w:val="24"/>
          <w:shd w:val="clear" w:color="auto" w:fill="FFFFFF"/>
          <w:vertAlign w:val="subscript"/>
        </w:rPr>
        <w:t>0.66</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2-0.66</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4</w:t>
      </w:r>
      <w:r>
        <w:rPr>
          <w:rFonts w:ascii="Times New Roman" w:hAnsi="Times New Roman" w:cs="Times New Roman"/>
          <w:sz w:val="24"/>
          <w:szCs w:val="24"/>
          <w:shd w:val="clear" w:color="auto" w:fill="FFFFFF"/>
        </w:rPr>
        <w:t xml:space="preserve">. Therefore, the measured data suggest that the A and B positions occupation approaches the uniform distribution. </w:t>
      </w:r>
      <w:r>
        <w:rPr>
          <w:rFonts w:ascii="Times New Roman" w:hAnsi="Times New Roman" w:cs="Times New Roman"/>
          <w:sz w:val="24"/>
          <w:szCs w:val="24"/>
          <w:shd w:val="clear" w:color="auto" w:fill="FFFFFF"/>
        </w:rPr>
        <w:t xml:space="preserve">For samples with the cobalt concentration </w:t>
      </w:r>
      <w:r>
        <w:rPr>
          <w:rFonts w:ascii="Times New Roman" w:hAnsi="Times New Roman" w:cs="Times New Roman"/>
          <w:i/>
          <w:iCs/>
          <w:sz w:val="24"/>
          <w:szCs w:val="24"/>
          <w:shd w:val="clear" w:color="auto" w:fill="FFFFFF"/>
        </w:rPr>
        <w:t>y</w:t>
      </w:r>
      <w:r>
        <w:rPr>
          <w:rFonts w:ascii="Times New Roman" w:hAnsi="Times New Roman" w:cs="Times New Roman"/>
          <w:sz w:val="24"/>
          <w:szCs w:val="24"/>
          <w:shd w:val="clear" w:color="auto" w:fill="FFFFFF"/>
        </w:rPr>
        <w:t xml:space="preserve"> close to 1 this would lead to a </w:t>
      </w:r>
      <w:r>
        <w:rPr>
          <w:rFonts w:ascii="Times New Roman" w:hAnsi="Times New Roman" w:cs="Times New Roman"/>
          <w:sz w:val="24"/>
          <w:szCs w:val="24"/>
          <w:shd w:val="clear" w:color="auto" w:fill="FFFFFF"/>
        </w:rPr>
        <w:t>classic formula (Co</w:t>
      </w:r>
      <w:r>
        <w:rPr>
          <w:rFonts w:ascii="Times New Roman" w:hAnsi="Times New Roman" w:cs="Times New Roman"/>
          <w:sz w:val="24"/>
          <w:szCs w:val="24"/>
          <w:shd w:val="clear" w:color="auto" w:fill="FFFFFF"/>
          <w:vertAlign w:val="subscript"/>
        </w:rPr>
        <w:t>1-</w:t>
      </w:r>
      <w:r>
        <w:rPr>
          <w:rFonts w:ascii="Times New Roman" w:hAnsi="Times New Roman" w:cs="Times New Roman"/>
          <w:i/>
          <w:sz w:val="24"/>
          <w:szCs w:val="24"/>
          <w:shd w:val="clear" w:color="auto" w:fill="FFFFFF"/>
          <w:vertAlign w:val="subscript"/>
        </w:rPr>
        <w:t>δ</w:t>
      </w:r>
      <w:r>
        <w:rPr>
          <w:rFonts w:ascii="Times New Roman" w:hAnsi="Times New Roman" w:cs="Times New Roman"/>
          <w:sz w:val="24"/>
          <w:szCs w:val="24"/>
          <w:shd w:val="clear" w:color="auto" w:fill="FFFFFF"/>
        </w:rPr>
        <w:t>Fe</w:t>
      </w:r>
      <w:r>
        <w:rPr>
          <w:rFonts w:ascii="Times New Roman" w:hAnsi="Times New Roman" w:cs="Times New Roman"/>
          <w:i/>
          <w:sz w:val="24"/>
          <w:szCs w:val="24"/>
          <w:shd w:val="clear" w:color="auto" w:fill="FFFFFF"/>
          <w:vertAlign w:val="subscript"/>
        </w:rPr>
        <w:t>δ</w:t>
      </w:r>
      <w:r>
        <w:rPr>
          <w:rFonts w:ascii="Times New Roman" w:hAnsi="Times New Roman" w:cs="Times New Roman"/>
          <w:sz w:val="24"/>
          <w:szCs w:val="24"/>
          <w:shd w:val="clear" w:color="auto" w:fill="FFFFFF"/>
        </w:rPr>
        <w:t>)[Co</w:t>
      </w:r>
      <w:r>
        <w:rPr>
          <w:rFonts w:ascii="Times New Roman" w:hAnsi="Times New Roman" w:cs="Times New Roman"/>
          <w:sz w:val="24"/>
          <w:szCs w:val="24"/>
          <w:shd w:val="clear" w:color="auto" w:fill="FFFFFF"/>
          <w:vertAlign w:val="subscript"/>
        </w:rPr>
        <w:t>δ</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2-</w:t>
      </w:r>
      <w:r>
        <w:rPr>
          <w:rFonts w:ascii="Times New Roman" w:hAnsi="Times New Roman" w:cs="Times New Roman"/>
          <w:i/>
          <w:sz w:val="24"/>
          <w:szCs w:val="24"/>
          <w:shd w:val="clear" w:color="auto" w:fill="FFFFFF"/>
          <w:vertAlign w:val="subscript"/>
        </w:rPr>
        <w:t>δ</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4</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where </w:t>
      </w:r>
      <w:r>
        <w:rPr>
          <w:rFonts w:ascii="Times New Roman" w:hAnsi="Times New Roman" w:cs="Times New Roman"/>
          <w:sz w:val="24"/>
          <w:szCs w:val="24"/>
          <w:shd w:val="clear" w:color="auto" w:fill="FFFFFF"/>
        </w:rPr>
        <w:t xml:space="preserve">the degree of inversion </w:t>
      </w:r>
      <w:r>
        <w:rPr>
          <w:rFonts w:ascii="Times New Roman" w:hAnsi="Times New Roman" w:cs="Times New Roman"/>
          <w:i/>
          <w:sz w:val="24"/>
          <w:szCs w:val="24"/>
          <w:shd w:val="clear" w:color="auto" w:fill="FFFFFF"/>
        </w:rPr>
        <w:t>δ</w:t>
      </w:r>
      <w:r>
        <w:rPr>
          <w:rFonts w:ascii="Times New Roman" w:hAnsi="Times New Roman" w:cs="Times New Roman"/>
          <w:sz w:val="24"/>
          <w:szCs w:val="24"/>
          <w:shd w:val="clear" w:color="auto" w:fill="FFFFFF"/>
        </w:rPr>
        <w:t xml:space="preserve">  equals 0.66. Small differences between the emission and transmission spectra</w:t>
      </w:r>
      <w:r>
        <w:rPr>
          <w:rFonts w:ascii="Times New Roman" w:hAnsi="Times New Roman" w:cs="Times New Roman"/>
          <w:sz w:val="24"/>
          <w:szCs w:val="24"/>
          <w:shd w:val="clear" w:color="auto" w:fill="FFFFFF"/>
        </w:rPr>
        <w:t xml:space="preserve"> can be ascribed to the presence of hematite (samples S0.33* and S0.66*) or cobalt oxide (samples S0.66*, S1.15*, S1.29* and S1.40*).  </w:t>
      </w:r>
    </w:p>
    <w:p w:rsidR="00C42ED9" w:rsidRDefault="00D63F8E">
      <w:pPr>
        <w:spacing w:line="360" w:lineRule="auto"/>
        <w:jc w:val="both"/>
        <w:rPr>
          <w:rFonts w:ascii="Times New Roman" w:hAnsi="Times New Roman"/>
          <w:b/>
          <w:sz w:val="24"/>
          <w:szCs w:val="24"/>
        </w:rPr>
      </w:pPr>
      <w:r>
        <w:rPr>
          <w:rFonts w:ascii="Times New Roman" w:hAnsi="Times New Roman" w:cs="Times New Roman"/>
          <w:sz w:val="24"/>
          <w:szCs w:val="24"/>
          <w:shd w:val="clear" w:color="auto" w:fill="FFFFFF"/>
        </w:rPr>
        <w:br w:type="column"/>
      </w:r>
      <w:r w:rsidR="000718EA">
        <w:rPr>
          <w:rFonts w:ascii="Times New Roman" w:hAnsi="Times New Roman"/>
          <w:b/>
          <w:sz w:val="24"/>
          <w:szCs w:val="24"/>
        </w:rPr>
        <w:lastRenderedPageBreak/>
        <w:t>Conclusion</w:t>
      </w:r>
    </w:p>
    <w:p w:rsidR="00C42ED9" w:rsidRDefault="000718EA">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this work, </w:t>
      </w:r>
      <w:r>
        <w:rPr>
          <w:rFonts w:ascii="Times New Roman" w:hAnsi="Times New Roman" w:cs="Times New Roman"/>
          <w:sz w:val="24"/>
          <w:szCs w:val="24"/>
          <w:shd w:val="clear" w:color="auto" w:fill="FFFFFF"/>
        </w:rPr>
        <w:t xml:space="preserve">the samples of cobalt ferrites containing various amount of Co atoms were prepared by a solid-state reaction of hematite and cobalt chloride. The relative amount of cobalt in the ferrite structure was obtained by XRD. The relatively small amount of cobalt </w:t>
      </w:r>
      <w:r>
        <w:rPr>
          <w:rFonts w:ascii="Times New Roman" w:hAnsi="Times New Roman" w:cs="Times New Roman"/>
          <w:sz w:val="24"/>
          <w:szCs w:val="24"/>
          <w:shd w:val="clear" w:color="auto" w:fill="FFFFFF"/>
        </w:rPr>
        <w:t xml:space="preserve">ferrite with higher concentration of Co was observed for lower number of Co atoms entering the reaction. The comparison of results from transmission and emission Mössbauer spectroscopy revealed the formation of cobalt ferrites </w:t>
      </w:r>
      <w:r>
        <w:rPr>
          <w:rFonts w:ascii="Times New Roman" w:hAnsi="Times New Roman" w:cs="Times New Roman"/>
          <w:sz w:val="24"/>
          <w:szCs w:val="24"/>
          <w:shd w:val="clear" w:color="auto" w:fill="FFFFFF"/>
        </w:rPr>
        <w:t xml:space="preserve">approaching the uniform cations distribution </w:t>
      </w:r>
      <w:r>
        <w:rPr>
          <w:rFonts w:ascii="Times New Roman" w:hAnsi="Times New Roman" w:cs="Times New Roman"/>
          <w:sz w:val="24"/>
          <w:szCs w:val="24"/>
          <w:shd w:val="clear" w:color="auto" w:fill="FFFFFF"/>
        </w:rPr>
        <w:t>according to the formula (Co</w:t>
      </w:r>
      <w:r>
        <w:rPr>
          <w:rFonts w:ascii="Times New Roman" w:hAnsi="Times New Roman" w:cs="Times New Roman"/>
          <w:sz w:val="24"/>
          <w:szCs w:val="24"/>
          <w:shd w:val="clear" w:color="auto" w:fill="FFFFFF"/>
          <w:vertAlign w:val="subscript"/>
        </w:rPr>
        <w:t>0.33</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1-0.33</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)[Co</w:t>
      </w:r>
      <w:r>
        <w:rPr>
          <w:rFonts w:ascii="Times New Roman" w:hAnsi="Times New Roman" w:cs="Times New Roman"/>
          <w:sz w:val="24"/>
          <w:szCs w:val="24"/>
          <w:shd w:val="clear" w:color="auto" w:fill="FFFFFF"/>
          <w:vertAlign w:val="subscript"/>
        </w:rPr>
        <w:t>0.66</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Fe</w:t>
      </w:r>
      <w:r>
        <w:rPr>
          <w:rFonts w:ascii="Times New Roman" w:hAnsi="Times New Roman" w:cs="Times New Roman"/>
          <w:sz w:val="24"/>
          <w:szCs w:val="24"/>
          <w:shd w:val="clear" w:color="auto" w:fill="FFFFFF"/>
          <w:vertAlign w:val="subscript"/>
        </w:rPr>
        <w:t>2-0.66</w:t>
      </w:r>
      <w:r>
        <w:rPr>
          <w:rFonts w:ascii="Times New Roman" w:hAnsi="Times New Roman" w:cs="Times New Roman"/>
          <w:i/>
          <w:sz w:val="24"/>
          <w:szCs w:val="24"/>
          <w:shd w:val="clear" w:color="auto" w:fill="FFFFFF"/>
          <w:vertAlign w:val="subscript"/>
        </w:rPr>
        <w:t>y</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vertAlign w:val="subscript"/>
        </w:rPr>
        <w:t>4</w:t>
      </w:r>
      <w:r>
        <w:rPr>
          <w:rFonts w:ascii="Times New Roman" w:hAnsi="Times New Roman" w:cs="Times New Roman"/>
          <w:sz w:val="24"/>
          <w:szCs w:val="24"/>
          <w:shd w:val="clear" w:color="auto" w:fill="FFFFFF"/>
        </w:rPr>
        <w:t xml:space="preserve">. For samples whose relative ratios of cobalt and iron atoms were close to 1:2 the degree of inversion </w:t>
      </w:r>
      <w:r>
        <w:rPr>
          <w:rFonts w:ascii="Times New Roman" w:hAnsi="Times New Roman" w:cs="Times New Roman"/>
          <w:i/>
          <w:sz w:val="24"/>
          <w:szCs w:val="24"/>
          <w:shd w:val="clear" w:color="auto" w:fill="FFFFFF"/>
        </w:rPr>
        <w:t>δ</w:t>
      </w:r>
      <w:r>
        <w:rPr>
          <w:rFonts w:ascii="Times New Roman" w:hAnsi="Times New Roman" w:cs="Times New Roman"/>
          <w:sz w:val="24"/>
          <w:szCs w:val="24"/>
          <w:shd w:val="clear" w:color="auto" w:fill="FFFFFF"/>
        </w:rPr>
        <w:t xml:space="preserve"> = 0.66 could be determined.</w:t>
      </w:r>
    </w:p>
    <w:p w:rsidR="00C42ED9" w:rsidRDefault="000718EA">
      <w:pPr>
        <w:pStyle w:val="Bezmezer"/>
        <w:jc w:val="both"/>
        <w:rPr>
          <w:rFonts w:ascii="Times New Roman" w:hAnsi="Times New Roman"/>
          <w:b/>
          <w:sz w:val="24"/>
          <w:szCs w:val="24"/>
          <w:lang w:val="en-GB"/>
        </w:rPr>
      </w:pPr>
      <w:r>
        <w:rPr>
          <w:rFonts w:ascii="Times New Roman" w:hAnsi="Times New Roman"/>
          <w:b/>
          <w:sz w:val="24"/>
          <w:szCs w:val="24"/>
          <w:lang w:val="en-GB"/>
        </w:rPr>
        <w:t>Acknowledgement</w:t>
      </w:r>
    </w:p>
    <w:p w:rsidR="00C42ED9" w:rsidRDefault="000718EA">
      <w:pPr>
        <w:pStyle w:val="Nadpis1"/>
        <w:spacing w:line="360" w:lineRule="auto"/>
        <w:ind w:firstLine="708"/>
        <w:jc w:val="both"/>
        <w:rPr>
          <w:b w:val="0"/>
          <w:sz w:val="24"/>
          <w:szCs w:val="24"/>
          <w:shd w:val="clear" w:color="auto" w:fill="FFFFFF"/>
          <w:lang w:val="en-GB"/>
        </w:rPr>
      </w:pPr>
      <w:r>
        <w:rPr>
          <w:rStyle w:val="Maintext"/>
          <w:b w:val="0"/>
          <w:szCs w:val="24"/>
          <w:shd w:val="clear" w:color="auto" w:fill="FFFFFF"/>
          <w:lang w:val="en-GB"/>
        </w:rPr>
        <w:t xml:space="preserve">The authors gratefully acknowledge the financial support from the internal IGA grant of Palacký University </w:t>
      </w:r>
      <w:r>
        <w:rPr>
          <w:rStyle w:val="Maintext"/>
          <w:b w:val="0"/>
          <w:szCs w:val="24"/>
        </w:rPr>
        <w:t>(IGA_PrF_2019_002 and IGA_PrF_2019_023</w:t>
      </w:r>
      <w:r>
        <w:rPr>
          <w:rStyle w:val="Maintext"/>
          <w:b w:val="0"/>
          <w:szCs w:val="24"/>
        </w:rPr>
        <w:t>)</w:t>
      </w:r>
      <w:r>
        <w:rPr>
          <w:rStyle w:val="Maintext"/>
          <w:b w:val="0"/>
          <w:szCs w:val="24"/>
          <w:shd w:val="clear" w:color="auto" w:fill="FFFFFF"/>
          <w:lang w:val="en-GB"/>
        </w:rPr>
        <w:t xml:space="preserve">. </w:t>
      </w:r>
      <w:r>
        <w:rPr>
          <w:rFonts w:eastAsia="Batang"/>
          <w:b w:val="0"/>
          <w:color w:val="000000"/>
          <w:sz w:val="24"/>
          <w:szCs w:val="24"/>
          <w:shd w:val="clear" w:color="auto" w:fill="FFFFFF"/>
          <w:lang w:val="en-GB" w:eastAsia="ko-KR"/>
        </w:rPr>
        <w:t xml:space="preserve">Authors would also like to thank Ivo Medřík for preparation of hematite powder, Josef </w:t>
      </w:r>
      <w:proofErr w:type="spellStart"/>
      <w:r>
        <w:rPr>
          <w:rFonts w:eastAsia="Batang"/>
          <w:b w:val="0"/>
          <w:color w:val="000000"/>
          <w:sz w:val="24"/>
          <w:szCs w:val="24"/>
          <w:shd w:val="clear" w:color="auto" w:fill="FFFFFF"/>
          <w:lang w:val="en-GB" w:eastAsia="ko-KR"/>
        </w:rPr>
        <w:t>Kaslik</w:t>
      </w:r>
      <w:proofErr w:type="spellEnd"/>
      <w:r>
        <w:rPr>
          <w:rFonts w:eastAsia="Batang"/>
          <w:b w:val="0"/>
          <w:color w:val="000000"/>
          <w:sz w:val="24"/>
          <w:szCs w:val="24"/>
          <w:shd w:val="clear" w:color="auto" w:fill="FFFFFF"/>
          <w:lang w:val="en-GB" w:eastAsia="ko-KR"/>
        </w:rPr>
        <w:t xml:space="preserve"> for XRD measurements and Helena Sedláčková </w:t>
      </w:r>
      <w:r>
        <w:rPr>
          <w:rFonts w:eastAsia="Batang"/>
          <w:b w:val="0"/>
          <w:color w:val="000000"/>
          <w:sz w:val="24"/>
          <w:szCs w:val="24"/>
          <w:shd w:val="clear" w:color="auto" w:fill="FFFFFF"/>
          <w:lang w:val="en-GB" w:eastAsia="ko-KR"/>
        </w:rPr>
        <w:t>for her help with the paper.</w:t>
      </w:r>
      <w:r>
        <w:rPr>
          <w:b w:val="0"/>
          <w:sz w:val="24"/>
          <w:szCs w:val="24"/>
          <w:shd w:val="clear" w:color="auto" w:fill="FFFFFF"/>
          <w:lang w:val="en-GB"/>
        </w:rPr>
        <w:t xml:space="preserve"> </w:t>
      </w:r>
    </w:p>
    <w:p w:rsidR="00C42ED9" w:rsidRDefault="00C42ED9">
      <w:pPr>
        <w:pStyle w:val="Bezmezer"/>
        <w:jc w:val="both"/>
        <w:rPr>
          <w:rFonts w:ascii="Times New Roman" w:hAnsi="Times New Roman"/>
          <w:lang w:val="en-GB"/>
        </w:rPr>
      </w:pPr>
    </w:p>
    <w:p w:rsidR="00C42ED9" w:rsidRDefault="000718EA">
      <w:pPr>
        <w:pStyle w:val="Bezmezer"/>
        <w:jc w:val="both"/>
        <w:rPr>
          <w:rFonts w:ascii="Times New Roman" w:hAnsi="Times New Roman"/>
          <w:b/>
          <w:sz w:val="24"/>
          <w:szCs w:val="24"/>
          <w:lang w:val="en-GB"/>
        </w:rPr>
      </w:pPr>
      <w:r>
        <w:rPr>
          <w:rFonts w:ascii="Times New Roman" w:hAnsi="Times New Roman"/>
          <w:b/>
          <w:sz w:val="24"/>
          <w:szCs w:val="24"/>
          <w:lang w:val="en-GB"/>
        </w:rPr>
        <w:t>References</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D. S. Mathew, R. </w:t>
      </w:r>
      <w:proofErr w:type="spellStart"/>
      <w:r>
        <w:rPr>
          <w:rFonts w:ascii="Times New Roman" w:hAnsi="Times New Roman" w:cs="Times New Roman"/>
        </w:rPr>
        <w:t>Juang</w:t>
      </w:r>
      <w:proofErr w:type="spellEnd"/>
      <w:r>
        <w:rPr>
          <w:rFonts w:ascii="Times New Roman" w:hAnsi="Times New Roman" w:cs="Times New Roman"/>
        </w:rPr>
        <w:t xml:space="preserve">, </w:t>
      </w:r>
      <w:r>
        <w:rPr>
          <w:rFonts w:ascii="Times New Roman" w:hAnsi="Times New Roman" w:cs="Times New Roman"/>
          <w:i/>
          <w:iCs/>
        </w:rPr>
        <w:t>Chem. Eng. J.</w:t>
      </w:r>
      <w:r>
        <w:rPr>
          <w:rFonts w:ascii="Times New Roman" w:hAnsi="Times New Roman" w:cs="Times New Roman"/>
        </w:rPr>
        <w:t xml:space="preserve"> </w:t>
      </w:r>
      <w:r>
        <w:rPr>
          <w:rFonts w:ascii="Times New Roman" w:hAnsi="Times New Roman" w:cs="Times New Roman"/>
          <w:b/>
          <w:bCs/>
        </w:rPr>
        <w:t>2007</w:t>
      </w:r>
      <w:r>
        <w:rPr>
          <w:rFonts w:ascii="Times New Roman" w:hAnsi="Times New Roman" w:cs="Times New Roman"/>
        </w:rPr>
        <w:t xml:space="preserve">, </w:t>
      </w:r>
      <w:r>
        <w:rPr>
          <w:rFonts w:ascii="Times New Roman" w:hAnsi="Times New Roman" w:cs="Times New Roman"/>
          <w:i/>
          <w:iCs/>
        </w:rPr>
        <w:t>129</w:t>
      </w:r>
      <w:r>
        <w:rPr>
          <w:rFonts w:ascii="Times New Roman" w:hAnsi="Times New Roman" w:cs="Times New Roman"/>
        </w:rPr>
        <w:t>, 51–65.</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P. </w:t>
      </w:r>
      <w:proofErr w:type="spellStart"/>
      <w:r>
        <w:rPr>
          <w:rFonts w:ascii="Times New Roman" w:hAnsi="Times New Roman" w:cs="Times New Roman"/>
        </w:rPr>
        <w:t>Lavela</w:t>
      </w:r>
      <w:proofErr w:type="spellEnd"/>
      <w:r>
        <w:rPr>
          <w:rFonts w:ascii="Times New Roman" w:hAnsi="Times New Roman" w:cs="Times New Roman"/>
        </w:rPr>
        <w:t xml:space="preserve">, J. L. Tirado, </w:t>
      </w:r>
      <w:r>
        <w:rPr>
          <w:rFonts w:ascii="Times New Roman" w:hAnsi="Times New Roman" w:cs="Times New Roman"/>
          <w:i/>
          <w:iCs/>
        </w:rPr>
        <w:t>J. Power Sources</w:t>
      </w:r>
      <w:r>
        <w:rPr>
          <w:rFonts w:ascii="Times New Roman" w:hAnsi="Times New Roman" w:cs="Times New Roman"/>
        </w:rPr>
        <w:t xml:space="preserve"> </w:t>
      </w:r>
      <w:r>
        <w:rPr>
          <w:rFonts w:ascii="Times New Roman" w:hAnsi="Times New Roman" w:cs="Times New Roman"/>
          <w:b/>
          <w:bCs/>
        </w:rPr>
        <w:t>2007</w:t>
      </w:r>
      <w:r>
        <w:rPr>
          <w:rFonts w:ascii="Times New Roman" w:hAnsi="Times New Roman" w:cs="Times New Roman"/>
        </w:rPr>
        <w:t xml:space="preserve">, </w:t>
      </w:r>
      <w:r>
        <w:rPr>
          <w:rFonts w:ascii="Times New Roman" w:hAnsi="Times New Roman" w:cs="Times New Roman"/>
          <w:i/>
          <w:iCs/>
        </w:rPr>
        <w:t>172</w:t>
      </w:r>
      <w:r>
        <w:rPr>
          <w:rFonts w:ascii="Times New Roman" w:hAnsi="Times New Roman" w:cs="Times New Roman"/>
        </w:rPr>
        <w:t>, 379–387.</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I. Sharifi, H. </w:t>
      </w:r>
      <w:proofErr w:type="spellStart"/>
      <w:r>
        <w:rPr>
          <w:rFonts w:ascii="Times New Roman" w:hAnsi="Times New Roman" w:cs="Times New Roman"/>
        </w:rPr>
        <w:t>Shokrollahi</w:t>
      </w:r>
      <w:proofErr w:type="spellEnd"/>
      <w:r>
        <w:rPr>
          <w:rFonts w:ascii="Times New Roman" w:hAnsi="Times New Roman" w:cs="Times New Roman"/>
        </w:rPr>
        <w:t xml:space="preserve">, S. </w:t>
      </w:r>
      <w:proofErr w:type="spellStart"/>
      <w:r>
        <w:rPr>
          <w:rFonts w:ascii="Times New Roman" w:hAnsi="Times New Roman" w:cs="Times New Roman"/>
        </w:rPr>
        <w:t>Amiri</w:t>
      </w:r>
      <w:proofErr w:type="spellEnd"/>
      <w:r>
        <w:rPr>
          <w:rFonts w:ascii="Times New Roman" w:hAnsi="Times New Roman" w:cs="Times New Roman"/>
        </w:rPr>
        <w:t xml:space="preserve">, </w:t>
      </w:r>
      <w:r>
        <w:rPr>
          <w:rFonts w:ascii="Times New Roman" w:hAnsi="Times New Roman" w:cs="Times New Roman"/>
          <w:i/>
          <w:iCs/>
        </w:rPr>
        <w:t xml:space="preserve">J. </w:t>
      </w:r>
      <w:proofErr w:type="spellStart"/>
      <w:r>
        <w:rPr>
          <w:rFonts w:ascii="Times New Roman" w:hAnsi="Times New Roman" w:cs="Times New Roman"/>
          <w:i/>
          <w:iCs/>
        </w:rPr>
        <w:t>Magn</w:t>
      </w:r>
      <w:proofErr w:type="spellEnd"/>
      <w:r>
        <w:rPr>
          <w:rFonts w:ascii="Times New Roman" w:hAnsi="Times New Roman" w:cs="Times New Roman"/>
          <w:i/>
          <w:iCs/>
        </w:rPr>
        <w:t xml:space="preserve">. </w:t>
      </w:r>
      <w:proofErr w:type="spellStart"/>
      <w:r>
        <w:rPr>
          <w:rFonts w:ascii="Times New Roman" w:hAnsi="Times New Roman" w:cs="Times New Roman"/>
          <w:i/>
          <w:iCs/>
        </w:rPr>
        <w:t>Magn</w:t>
      </w:r>
      <w:proofErr w:type="spellEnd"/>
      <w:r>
        <w:rPr>
          <w:rFonts w:ascii="Times New Roman" w:hAnsi="Times New Roman" w:cs="Times New Roman"/>
          <w:i/>
          <w:iCs/>
        </w:rPr>
        <w:t>. Mater.</w:t>
      </w:r>
      <w:r>
        <w:rPr>
          <w:rFonts w:ascii="Times New Roman" w:hAnsi="Times New Roman" w:cs="Times New Roman"/>
        </w:rPr>
        <w:t xml:space="preserve"> </w:t>
      </w:r>
      <w:r>
        <w:rPr>
          <w:rFonts w:ascii="Times New Roman" w:hAnsi="Times New Roman" w:cs="Times New Roman"/>
          <w:b/>
          <w:bCs/>
        </w:rPr>
        <w:t>2012</w:t>
      </w:r>
      <w:r>
        <w:rPr>
          <w:rFonts w:ascii="Times New Roman" w:hAnsi="Times New Roman" w:cs="Times New Roman"/>
        </w:rPr>
        <w:t xml:space="preserve">, </w:t>
      </w:r>
      <w:r>
        <w:rPr>
          <w:rFonts w:ascii="Times New Roman" w:hAnsi="Times New Roman" w:cs="Times New Roman"/>
          <w:i/>
          <w:iCs/>
        </w:rPr>
        <w:t>324</w:t>
      </w:r>
      <w:r>
        <w:rPr>
          <w:rFonts w:ascii="Times New Roman" w:hAnsi="Times New Roman" w:cs="Times New Roman"/>
        </w:rPr>
        <w:t>, 903–915.</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S. </w:t>
      </w:r>
      <w:proofErr w:type="spellStart"/>
      <w:r>
        <w:rPr>
          <w:rFonts w:ascii="Times New Roman" w:hAnsi="Times New Roman" w:cs="Times New Roman"/>
        </w:rPr>
        <w:t>Amiri</w:t>
      </w:r>
      <w:proofErr w:type="spellEnd"/>
      <w:r>
        <w:rPr>
          <w:rFonts w:ascii="Times New Roman" w:hAnsi="Times New Roman" w:cs="Times New Roman"/>
        </w:rPr>
        <w:t xml:space="preserve">, H. </w:t>
      </w:r>
      <w:proofErr w:type="spellStart"/>
      <w:r>
        <w:rPr>
          <w:rFonts w:ascii="Times New Roman" w:hAnsi="Times New Roman" w:cs="Times New Roman"/>
        </w:rPr>
        <w:t>Shokrollahi</w:t>
      </w:r>
      <w:proofErr w:type="spellEnd"/>
      <w:r>
        <w:rPr>
          <w:rFonts w:ascii="Times New Roman" w:hAnsi="Times New Roman" w:cs="Times New Roman"/>
        </w:rPr>
        <w:t xml:space="preserve">, </w:t>
      </w:r>
      <w:r>
        <w:rPr>
          <w:rFonts w:ascii="Times New Roman" w:hAnsi="Times New Roman" w:cs="Times New Roman"/>
          <w:i/>
          <w:iCs/>
        </w:rPr>
        <w:t>Mater. Sci. Eng. C</w:t>
      </w:r>
      <w:r>
        <w:rPr>
          <w:rFonts w:ascii="Times New Roman" w:hAnsi="Times New Roman" w:cs="Times New Roman"/>
        </w:rPr>
        <w:t xml:space="preserve"> </w:t>
      </w:r>
      <w:r>
        <w:rPr>
          <w:rFonts w:ascii="Times New Roman" w:hAnsi="Times New Roman" w:cs="Times New Roman"/>
          <w:b/>
          <w:bCs/>
        </w:rPr>
        <w:t>2013</w:t>
      </w:r>
      <w:r>
        <w:rPr>
          <w:rFonts w:ascii="Times New Roman" w:hAnsi="Times New Roman" w:cs="Times New Roman"/>
        </w:rPr>
        <w:t xml:space="preserve">, </w:t>
      </w:r>
      <w:r>
        <w:rPr>
          <w:rFonts w:ascii="Times New Roman" w:hAnsi="Times New Roman" w:cs="Times New Roman"/>
          <w:i/>
          <w:iCs/>
        </w:rPr>
        <w:t>33</w:t>
      </w:r>
      <w:r>
        <w:rPr>
          <w:rFonts w:ascii="Times New Roman" w:hAnsi="Times New Roman" w:cs="Times New Roman"/>
        </w:rPr>
        <w:t>, 1–8.</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A. Manikandan, R. Sridhar, S. A. Antony, S. Ramakrishna, </w:t>
      </w:r>
      <w:r>
        <w:rPr>
          <w:rFonts w:ascii="Times New Roman" w:hAnsi="Times New Roman" w:cs="Times New Roman"/>
          <w:i/>
          <w:iCs/>
        </w:rPr>
        <w:t>J. Mol. Struct.</w:t>
      </w:r>
      <w:r>
        <w:rPr>
          <w:rFonts w:ascii="Times New Roman" w:hAnsi="Times New Roman" w:cs="Times New Roman"/>
        </w:rPr>
        <w:t xml:space="preserve"> </w:t>
      </w:r>
      <w:r>
        <w:rPr>
          <w:rFonts w:ascii="Times New Roman" w:hAnsi="Times New Roman" w:cs="Times New Roman"/>
          <w:b/>
          <w:bCs/>
        </w:rPr>
        <w:t>2014</w:t>
      </w:r>
      <w:r>
        <w:rPr>
          <w:rFonts w:ascii="Times New Roman" w:hAnsi="Times New Roman" w:cs="Times New Roman"/>
        </w:rPr>
        <w:t xml:space="preserve">, </w:t>
      </w:r>
      <w:r>
        <w:rPr>
          <w:rFonts w:ascii="Times New Roman" w:hAnsi="Times New Roman" w:cs="Times New Roman"/>
          <w:i/>
          <w:iCs/>
        </w:rPr>
        <w:t>1076</w:t>
      </w:r>
      <w:r>
        <w:rPr>
          <w:rFonts w:ascii="Times New Roman" w:hAnsi="Times New Roman" w:cs="Times New Roman"/>
        </w:rPr>
        <w:t>, 188–200.</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P. D. Prasad, J. </w:t>
      </w:r>
      <w:proofErr w:type="spellStart"/>
      <w:r>
        <w:rPr>
          <w:rFonts w:ascii="Times New Roman" w:hAnsi="Times New Roman" w:cs="Times New Roman"/>
        </w:rPr>
        <w:t>Hemalatha</w:t>
      </w:r>
      <w:proofErr w:type="spellEnd"/>
      <w:r>
        <w:rPr>
          <w:rFonts w:ascii="Times New Roman" w:hAnsi="Times New Roman" w:cs="Times New Roman"/>
        </w:rPr>
        <w:t xml:space="preserve">, </w:t>
      </w:r>
      <w:r>
        <w:rPr>
          <w:rFonts w:ascii="Times New Roman" w:hAnsi="Times New Roman" w:cs="Times New Roman"/>
          <w:i/>
          <w:iCs/>
        </w:rPr>
        <w:t xml:space="preserve">J. </w:t>
      </w:r>
      <w:proofErr w:type="spellStart"/>
      <w:r>
        <w:rPr>
          <w:rFonts w:ascii="Times New Roman" w:hAnsi="Times New Roman" w:cs="Times New Roman"/>
          <w:i/>
          <w:iCs/>
        </w:rPr>
        <w:t>Magn</w:t>
      </w:r>
      <w:proofErr w:type="spellEnd"/>
      <w:r>
        <w:rPr>
          <w:rFonts w:ascii="Times New Roman" w:hAnsi="Times New Roman" w:cs="Times New Roman"/>
          <w:i/>
          <w:iCs/>
        </w:rPr>
        <w:t xml:space="preserve">. </w:t>
      </w:r>
      <w:proofErr w:type="spellStart"/>
      <w:r>
        <w:rPr>
          <w:rFonts w:ascii="Times New Roman" w:hAnsi="Times New Roman" w:cs="Times New Roman"/>
          <w:i/>
          <w:iCs/>
        </w:rPr>
        <w:t>Magn</w:t>
      </w:r>
      <w:proofErr w:type="spellEnd"/>
      <w:r>
        <w:rPr>
          <w:rFonts w:ascii="Times New Roman" w:hAnsi="Times New Roman" w:cs="Times New Roman"/>
          <w:i/>
          <w:iCs/>
        </w:rPr>
        <w:t>. Mater.</w:t>
      </w:r>
      <w:r>
        <w:rPr>
          <w:rFonts w:ascii="Times New Roman" w:hAnsi="Times New Roman" w:cs="Times New Roman"/>
        </w:rPr>
        <w:t xml:space="preserve"> </w:t>
      </w:r>
      <w:r>
        <w:rPr>
          <w:rFonts w:ascii="Times New Roman" w:hAnsi="Times New Roman" w:cs="Times New Roman"/>
          <w:b/>
          <w:bCs/>
        </w:rPr>
        <w:t>2019</w:t>
      </w:r>
      <w:r>
        <w:rPr>
          <w:rFonts w:ascii="Times New Roman" w:hAnsi="Times New Roman" w:cs="Times New Roman"/>
        </w:rPr>
        <w:t xml:space="preserve">, </w:t>
      </w:r>
      <w:r>
        <w:rPr>
          <w:rFonts w:ascii="Times New Roman" w:hAnsi="Times New Roman" w:cs="Times New Roman"/>
          <w:i/>
          <w:iCs/>
        </w:rPr>
        <w:t>484</w:t>
      </w:r>
      <w:r>
        <w:rPr>
          <w:rFonts w:ascii="Times New Roman" w:hAnsi="Times New Roman" w:cs="Times New Roman"/>
        </w:rPr>
        <w:t>, 225–233.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O. </w:t>
      </w:r>
      <w:proofErr w:type="spellStart"/>
      <w:r>
        <w:rPr>
          <w:rFonts w:ascii="Times New Roman" w:hAnsi="Times New Roman" w:cs="Times New Roman"/>
        </w:rPr>
        <w:t>Caltun</w:t>
      </w:r>
      <w:proofErr w:type="spellEnd"/>
      <w:r>
        <w:rPr>
          <w:rFonts w:ascii="Times New Roman" w:hAnsi="Times New Roman" w:cs="Times New Roman"/>
        </w:rPr>
        <w:t xml:space="preserve">, I. Dumitru, </w:t>
      </w:r>
      <w:r>
        <w:rPr>
          <w:rFonts w:ascii="Times New Roman" w:hAnsi="Times New Roman" w:cs="Times New Roman"/>
        </w:rPr>
        <w:t xml:space="preserve">M. Feder, N. </w:t>
      </w:r>
      <w:proofErr w:type="spellStart"/>
      <w:r>
        <w:rPr>
          <w:rFonts w:ascii="Times New Roman" w:hAnsi="Times New Roman" w:cs="Times New Roman"/>
        </w:rPr>
        <w:t>Lupu</w:t>
      </w:r>
      <w:proofErr w:type="spellEnd"/>
      <w:r>
        <w:rPr>
          <w:rFonts w:ascii="Times New Roman" w:hAnsi="Times New Roman" w:cs="Times New Roman"/>
        </w:rPr>
        <w:t xml:space="preserve">, H. </w:t>
      </w:r>
      <w:proofErr w:type="spellStart"/>
      <w:r>
        <w:rPr>
          <w:rFonts w:ascii="Times New Roman" w:hAnsi="Times New Roman" w:cs="Times New Roman"/>
        </w:rPr>
        <w:t>Chiriac</w:t>
      </w:r>
      <w:proofErr w:type="spellEnd"/>
      <w:r>
        <w:rPr>
          <w:rFonts w:ascii="Times New Roman" w:hAnsi="Times New Roman" w:cs="Times New Roman"/>
        </w:rPr>
        <w:t xml:space="preserve">, </w:t>
      </w:r>
      <w:r>
        <w:rPr>
          <w:rFonts w:ascii="Times New Roman" w:hAnsi="Times New Roman" w:cs="Times New Roman"/>
          <w:i/>
          <w:iCs/>
        </w:rPr>
        <w:t xml:space="preserve">J. </w:t>
      </w:r>
      <w:proofErr w:type="spellStart"/>
      <w:r>
        <w:rPr>
          <w:rFonts w:ascii="Times New Roman" w:hAnsi="Times New Roman" w:cs="Times New Roman"/>
          <w:i/>
          <w:iCs/>
        </w:rPr>
        <w:t>Magn</w:t>
      </w:r>
      <w:proofErr w:type="spellEnd"/>
      <w:r>
        <w:rPr>
          <w:rFonts w:ascii="Times New Roman" w:hAnsi="Times New Roman" w:cs="Times New Roman"/>
          <w:i/>
          <w:iCs/>
        </w:rPr>
        <w:t xml:space="preserve">. </w:t>
      </w:r>
      <w:proofErr w:type="spellStart"/>
      <w:r>
        <w:rPr>
          <w:rFonts w:ascii="Times New Roman" w:hAnsi="Times New Roman" w:cs="Times New Roman"/>
          <w:i/>
          <w:iCs/>
        </w:rPr>
        <w:t>Magn</w:t>
      </w:r>
      <w:proofErr w:type="spellEnd"/>
      <w:r>
        <w:rPr>
          <w:rFonts w:ascii="Times New Roman" w:hAnsi="Times New Roman" w:cs="Times New Roman"/>
          <w:i/>
          <w:iCs/>
        </w:rPr>
        <w:t>. Mater.</w:t>
      </w:r>
      <w:r>
        <w:rPr>
          <w:rFonts w:ascii="Times New Roman" w:hAnsi="Times New Roman" w:cs="Times New Roman"/>
        </w:rPr>
        <w:t xml:space="preserve"> </w:t>
      </w:r>
      <w:r>
        <w:rPr>
          <w:rFonts w:ascii="Times New Roman" w:hAnsi="Times New Roman" w:cs="Times New Roman"/>
          <w:b/>
          <w:bCs/>
        </w:rPr>
        <w:t>2008</w:t>
      </w:r>
      <w:r>
        <w:rPr>
          <w:rFonts w:ascii="Times New Roman" w:hAnsi="Times New Roman" w:cs="Times New Roman"/>
        </w:rPr>
        <w:t xml:space="preserve">, </w:t>
      </w:r>
      <w:r>
        <w:rPr>
          <w:rFonts w:ascii="Times New Roman" w:hAnsi="Times New Roman" w:cs="Times New Roman"/>
          <w:i/>
          <w:iCs/>
        </w:rPr>
        <w:t>320</w:t>
      </w:r>
      <w:r>
        <w:rPr>
          <w:rFonts w:ascii="Times New Roman" w:hAnsi="Times New Roman" w:cs="Times New Roman"/>
        </w:rPr>
        <w:t>, 869–873.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Z. P. </w:t>
      </w:r>
      <w:proofErr w:type="spellStart"/>
      <w:r>
        <w:rPr>
          <w:rFonts w:ascii="Times New Roman" w:hAnsi="Times New Roman" w:cs="Times New Roman"/>
        </w:rPr>
        <w:t>Niu</w:t>
      </w:r>
      <w:proofErr w:type="spellEnd"/>
      <w:r>
        <w:rPr>
          <w:rFonts w:ascii="Times New Roman" w:hAnsi="Times New Roman" w:cs="Times New Roman"/>
        </w:rPr>
        <w:t xml:space="preserve">, Y. Wang, F. S. Li, </w:t>
      </w:r>
      <w:r>
        <w:rPr>
          <w:rFonts w:ascii="Times New Roman" w:hAnsi="Times New Roman" w:cs="Times New Roman"/>
          <w:i/>
          <w:iCs/>
        </w:rPr>
        <w:t>Phys. Status Solidi B</w:t>
      </w:r>
      <w:r>
        <w:rPr>
          <w:rFonts w:ascii="Times New Roman" w:hAnsi="Times New Roman" w:cs="Times New Roman"/>
        </w:rPr>
        <w:t xml:space="preserve"> </w:t>
      </w:r>
      <w:r>
        <w:rPr>
          <w:rFonts w:ascii="Times New Roman" w:hAnsi="Times New Roman" w:cs="Times New Roman"/>
          <w:b/>
          <w:bCs/>
        </w:rPr>
        <w:t>2010</w:t>
      </w:r>
      <w:r>
        <w:rPr>
          <w:rFonts w:ascii="Times New Roman" w:hAnsi="Times New Roman" w:cs="Times New Roman"/>
        </w:rPr>
        <w:t xml:space="preserve">, </w:t>
      </w:r>
      <w:r>
        <w:rPr>
          <w:rFonts w:ascii="Times New Roman" w:hAnsi="Times New Roman" w:cs="Times New Roman"/>
          <w:i/>
          <w:iCs/>
        </w:rPr>
        <w:t>247</w:t>
      </w:r>
      <w:r>
        <w:rPr>
          <w:rFonts w:ascii="Times New Roman" w:hAnsi="Times New Roman" w:cs="Times New Roman"/>
        </w:rPr>
        <w:t>, 198–201.</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M. </w:t>
      </w:r>
      <w:proofErr w:type="spellStart"/>
      <w:r>
        <w:rPr>
          <w:rFonts w:ascii="Times New Roman" w:hAnsi="Times New Roman" w:cs="Times New Roman"/>
        </w:rPr>
        <w:t>Eshraghi</w:t>
      </w:r>
      <w:proofErr w:type="spellEnd"/>
      <w:r>
        <w:rPr>
          <w:rFonts w:ascii="Times New Roman" w:hAnsi="Times New Roman" w:cs="Times New Roman"/>
        </w:rPr>
        <w:t xml:space="preserve">, P. </w:t>
      </w:r>
      <w:proofErr w:type="spellStart"/>
      <w:r>
        <w:rPr>
          <w:rFonts w:ascii="Times New Roman" w:hAnsi="Times New Roman" w:cs="Times New Roman"/>
        </w:rPr>
        <w:t>Kameli</w:t>
      </w:r>
      <w:proofErr w:type="spellEnd"/>
      <w:r>
        <w:rPr>
          <w:rFonts w:ascii="Times New Roman" w:hAnsi="Times New Roman" w:cs="Times New Roman"/>
        </w:rPr>
        <w:t xml:space="preserve">, </w:t>
      </w:r>
      <w:proofErr w:type="spellStart"/>
      <w:r>
        <w:rPr>
          <w:rFonts w:ascii="Times New Roman" w:hAnsi="Times New Roman" w:cs="Times New Roman"/>
          <w:i/>
          <w:iCs/>
        </w:rPr>
        <w:t>Curr</w:t>
      </w:r>
      <w:proofErr w:type="spellEnd"/>
      <w:r>
        <w:rPr>
          <w:rFonts w:ascii="Times New Roman" w:hAnsi="Times New Roman" w:cs="Times New Roman"/>
          <w:i/>
          <w:iCs/>
        </w:rPr>
        <w:t>. Appl. Phys.</w:t>
      </w:r>
      <w:r>
        <w:rPr>
          <w:rFonts w:ascii="Times New Roman" w:hAnsi="Times New Roman" w:cs="Times New Roman"/>
        </w:rPr>
        <w:t xml:space="preserve"> </w:t>
      </w:r>
      <w:r>
        <w:rPr>
          <w:rFonts w:ascii="Times New Roman" w:hAnsi="Times New Roman" w:cs="Times New Roman"/>
          <w:b/>
          <w:bCs/>
        </w:rPr>
        <w:t>2011</w:t>
      </w:r>
      <w:r>
        <w:rPr>
          <w:rFonts w:ascii="Times New Roman" w:hAnsi="Times New Roman" w:cs="Times New Roman"/>
        </w:rPr>
        <w:t xml:space="preserve">, </w:t>
      </w:r>
      <w:r>
        <w:rPr>
          <w:rFonts w:ascii="Times New Roman" w:hAnsi="Times New Roman" w:cs="Times New Roman"/>
          <w:i/>
          <w:iCs/>
        </w:rPr>
        <w:t>11</w:t>
      </w:r>
      <w:r>
        <w:rPr>
          <w:rFonts w:ascii="Times New Roman" w:hAnsi="Times New Roman" w:cs="Times New Roman"/>
        </w:rPr>
        <w:t>, 476–481.</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 xml:space="preserve">J. Wang, T. Deng, Y. Lin, C. Yang, W. Zhan, </w:t>
      </w:r>
      <w:r>
        <w:rPr>
          <w:rFonts w:ascii="Times New Roman" w:hAnsi="Times New Roman" w:cs="Times New Roman"/>
          <w:i/>
          <w:iCs/>
        </w:rPr>
        <w:t>J. Alloys Compd.</w:t>
      </w:r>
      <w:r>
        <w:rPr>
          <w:rFonts w:ascii="Times New Roman" w:hAnsi="Times New Roman" w:cs="Times New Roman"/>
        </w:rPr>
        <w:t xml:space="preserve"> </w:t>
      </w:r>
      <w:r>
        <w:rPr>
          <w:rFonts w:ascii="Times New Roman" w:hAnsi="Times New Roman" w:cs="Times New Roman"/>
          <w:b/>
          <w:bCs/>
        </w:rPr>
        <w:t>2008</w:t>
      </w:r>
      <w:r>
        <w:rPr>
          <w:rFonts w:ascii="Times New Roman" w:hAnsi="Times New Roman" w:cs="Times New Roman"/>
        </w:rPr>
        <w:t xml:space="preserve">, </w:t>
      </w:r>
      <w:r>
        <w:rPr>
          <w:rFonts w:ascii="Times New Roman" w:hAnsi="Times New Roman" w:cs="Times New Roman"/>
          <w:i/>
          <w:iCs/>
        </w:rPr>
        <w:t>450</w:t>
      </w:r>
      <w:r>
        <w:rPr>
          <w:rFonts w:ascii="Times New Roman" w:hAnsi="Times New Roman" w:cs="Times New Roman"/>
        </w:rPr>
        <w:t>, 532–539.</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R. J. Hill, J. R. Craig, G. V Gibbs, </w:t>
      </w:r>
      <w:r>
        <w:rPr>
          <w:rFonts w:ascii="Times New Roman" w:hAnsi="Times New Roman" w:cs="Times New Roman"/>
          <w:i/>
          <w:iCs/>
        </w:rPr>
        <w:t>Phys. Chem. Miner.</w:t>
      </w:r>
      <w:r>
        <w:rPr>
          <w:rFonts w:ascii="Times New Roman" w:hAnsi="Times New Roman" w:cs="Times New Roman"/>
        </w:rPr>
        <w:t xml:space="preserve"> </w:t>
      </w:r>
      <w:r>
        <w:rPr>
          <w:rFonts w:ascii="Times New Roman" w:hAnsi="Times New Roman" w:cs="Times New Roman"/>
          <w:b/>
          <w:bCs/>
        </w:rPr>
        <w:t>1979</w:t>
      </w:r>
      <w:r>
        <w:rPr>
          <w:rFonts w:ascii="Times New Roman" w:hAnsi="Times New Roman" w:cs="Times New Roman"/>
        </w:rPr>
        <w:t xml:space="preserve">, </w:t>
      </w:r>
      <w:r>
        <w:rPr>
          <w:rFonts w:ascii="Times New Roman" w:hAnsi="Times New Roman" w:cs="Times New Roman"/>
          <w:i/>
          <w:iCs/>
        </w:rPr>
        <w:t>4</w:t>
      </w:r>
      <w:r>
        <w:rPr>
          <w:rFonts w:ascii="Times New Roman" w:hAnsi="Times New Roman" w:cs="Times New Roman"/>
        </w:rPr>
        <w:t>, 317–339.</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12.</w:t>
      </w:r>
      <w:r>
        <w:rPr>
          <w:rFonts w:ascii="Times New Roman" w:hAnsi="Times New Roman" w:cs="Times New Roman"/>
        </w:rPr>
        <w:tab/>
        <w:t xml:space="preserve">H. S. C. O´Neill, A. </w:t>
      </w:r>
      <w:proofErr w:type="spellStart"/>
      <w:r>
        <w:rPr>
          <w:rFonts w:ascii="Times New Roman" w:hAnsi="Times New Roman" w:cs="Times New Roman"/>
        </w:rPr>
        <w:t>Navrotsky</w:t>
      </w:r>
      <w:proofErr w:type="spellEnd"/>
      <w:r>
        <w:rPr>
          <w:rFonts w:ascii="Times New Roman" w:hAnsi="Times New Roman" w:cs="Times New Roman"/>
        </w:rPr>
        <w:t xml:space="preserve">, </w:t>
      </w:r>
      <w:r>
        <w:rPr>
          <w:rFonts w:ascii="Times New Roman" w:hAnsi="Times New Roman" w:cs="Times New Roman"/>
          <w:i/>
          <w:iCs/>
        </w:rPr>
        <w:t>Am. Mineral.</w:t>
      </w:r>
      <w:r>
        <w:rPr>
          <w:rFonts w:ascii="Times New Roman" w:hAnsi="Times New Roman" w:cs="Times New Roman"/>
        </w:rPr>
        <w:t xml:space="preserve"> </w:t>
      </w:r>
      <w:r>
        <w:rPr>
          <w:rFonts w:ascii="Times New Roman" w:hAnsi="Times New Roman" w:cs="Times New Roman"/>
          <w:b/>
          <w:bCs/>
        </w:rPr>
        <w:t>1983</w:t>
      </w:r>
      <w:r>
        <w:rPr>
          <w:rFonts w:ascii="Times New Roman" w:hAnsi="Times New Roman" w:cs="Times New Roman"/>
        </w:rPr>
        <w:t xml:space="preserve">, </w:t>
      </w:r>
      <w:r>
        <w:rPr>
          <w:rFonts w:ascii="Times New Roman" w:hAnsi="Times New Roman" w:cs="Times New Roman"/>
          <w:i/>
          <w:iCs/>
        </w:rPr>
        <w:t>68</w:t>
      </w:r>
      <w:r>
        <w:rPr>
          <w:rFonts w:ascii="Times New Roman" w:hAnsi="Times New Roman" w:cs="Times New Roman"/>
        </w:rPr>
        <w:t>, 181–194.</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lastRenderedPageBreak/>
        <w:t>13.</w:t>
      </w:r>
      <w:r>
        <w:rPr>
          <w:rFonts w:ascii="Times New Roman" w:hAnsi="Times New Roman" w:cs="Times New Roman"/>
        </w:rPr>
        <w:tab/>
        <w:t xml:space="preserve">G. A. </w:t>
      </w:r>
      <w:proofErr w:type="spellStart"/>
      <w:r>
        <w:rPr>
          <w:rFonts w:ascii="Times New Roman" w:hAnsi="Times New Roman" w:cs="Times New Roman"/>
        </w:rPr>
        <w:t>Petitt</w:t>
      </w:r>
      <w:proofErr w:type="spellEnd"/>
      <w:r>
        <w:rPr>
          <w:rFonts w:ascii="Times New Roman" w:hAnsi="Times New Roman" w:cs="Times New Roman"/>
        </w:rPr>
        <w:t>, D. W. Fores</w:t>
      </w:r>
      <w:r>
        <w:rPr>
          <w:rFonts w:ascii="Times New Roman" w:hAnsi="Times New Roman" w:cs="Times New Roman"/>
        </w:rPr>
        <w:t xml:space="preserve">ter, </w:t>
      </w:r>
      <w:r>
        <w:rPr>
          <w:rFonts w:ascii="Times New Roman" w:hAnsi="Times New Roman" w:cs="Times New Roman"/>
          <w:i/>
          <w:iCs/>
        </w:rPr>
        <w:t>Phys. L Rev. B</w:t>
      </w:r>
      <w:r>
        <w:rPr>
          <w:rFonts w:ascii="Times New Roman" w:hAnsi="Times New Roman" w:cs="Times New Roman"/>
        </w:rPr>
        <w:t xml:space="preserve"> </w:t>
      </w:r>
      <w:r>
        <w:rPr>
          <w:rFonts w:ascii="Times New Roman" w:hAnsi="Times New Roman" w:cs="Times New Roman"/>
          <w:b/>
          <w:bCs/>
        </w:rPr>
        <w:t>1971</w:t>
      </w:r>
      <w:r>
        <w:rPr>
          <w:rFonts w:ascii="Times New Roman" w:hAnsi="Times New Roman" w:cs="Times New Roman"/>
        </w:rPr>
        <w:t xml:space="preserve">, </w:t>
      </w:r>
      <w:r>
        <w:rPr>
          <w:rFonts w:ascii="Times New Roman" w:hAnsi="Times New Roman" w:cs="Times New Roman"/>
          <w:i/>
          <w:iCs/>
        </w:rPr>
        <w:t>4</w:t>
      </w:r>
      <w:r>
        <w:rPr>
          <w:rFonts w:ascii="Times New Roman" w:hAnsi="Times New Roman" w:cs="Times New Roman"/>
        </w:rPr>
        <w:t>, 3912–3923.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G. A. </w:t>
      </w:r>
      <w:proofErr w:type="spellStart"/>
      <w:r>
        <w:rPr>
          <w:rFonts w:ascii="Times New Roman" w:hAnsi="Times New Roman" w:cs="Times New Roman"/>
        </w:rPr>
        <w:t>Sawatzky</w:t>
      </w:r>
      <w:proofErr w:type="spellEnd"/>
      <w:r>
        <w:rPr>
          <w:rFonts w:ascii="Times New Roman" w:hAnsi="Times New Roman" w:cs="Times New Roman"/>
        </w:rPr>
        <w:t xml:space="preserve">, F. Van Der </w:t>
      </w:r>
      <w:proofErr w:type="spellStart"/>
      <w:r>
        <w:rPr>
          <w:rFonts w:ascii="Times New Roman" w:hAnsi="Times New Roman" w:cs="Times New Roman"/>
        </w:rPr>
        <w:t>Woude</w:t>
      </w:r>
      <w:proofErr w:type="spellEnd"/>
      <w:r>
        <w:rPr>
          <w:rFonts w:ascii="Times New Roman" w:hAnsi="Times New Roman" w:cs="Times New Roman"/>
        </w:rPr>
        <w:t xml:space="preserve">, A. H. </w:t>
      </w:r>
      <w:proofErr w:type="spellStart"/>
      <w:r>
        <w:rPr>
          <w:rFonts w:ascii="Times New Roman" w:hAnsi="Times New Roman" w:cs="Times New Roman"/>
        </w:rPr>
        <w:t>Morrish</w:t>
      </w:r>
      <w:proofErr w:type="spellEnd"/>
      <w:r>
        <w:rPr>
          <w:rFonts w:ascii="Times New Roman" w:hAnsi="Times New Roman" w:cs="Times New Roman"/>
        </w:rPr>
        <w:t xml:space="preserve">, </w:t>
      </w:r>
      <w:r>
        <w:rPr>
          <w:rFonts w:ascii="Times New Roman" w:hAnsi="Times New Roman" w:cs="Times New Roman"/>
          <w:i/>
          <w:iCs/>
        </w:rPr>
        <w:t>Phys. Rev.</w:t>
      </w:r>
      <w:r>
        <w:rPr>
          <w:rFonts w:ascii="Times New Roman" w:hAnsi="Times New Roman" w:cs="Times New Roman"/>
        </w:rPr>
        <w:t xml:space="preserve"> </w:t>
      </w:r>
      <w:r>
        <w:rPr>
          <w:rFonts w:ascii="Times New Roman" w:hAnsi="Times New Roman" w:cs="Times New Roman"/>
          <w:b/>
          <w:bCs/>
        </w:rPr>
        <w:t>1969</w:t>
      </w:r>
      <w:r>
        <w:rPr>
          <w:rFonts w:ascii="Times New Roman" w:hAnsi="Times New Roman" w:cs="Times New Roman"/>
        </w:rPr>
        <w:t xml:space="preserve">, </w:t>
      </w:r>
      <w:r>
        <w:rPr>
          <w:rFonts w:ascii="Times New Roman" w:hAnsi="Times New Roman" w:cs="Times New Roman"/>
          <w:i/>
          <w:iCs/>
        </w:rPr>
        <w:t>187</w:t>
      </w:r>
      <w:r>
        <w:rPr>
          <w:rFonts w:ascii="Times New Roman" w:hAnsi="Times New Roman" w:cs="Times New Roman"/>
        </w:rPr>
        <w:t>, 747–757.</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15.</w:t>
      </w:r>
      <w:r>
        <w:rPr>
          <w:rFonts w:ascii="Times New Roman" w:hAnsi="Times New Roman" w:cs="Times New Roman"/>
        </w:rPr>
        <w:tab/>
        <w:t xml:space="preserve">Z. </w:t>
      </w:r>
      <w:proofErr w:type="spellStart"/>
      <w:r>
        <w:rPr>
          <w:rFonts w:ascii="Times New Roman" w:hAnsi="Times New Roman" w:cs="Times New Roman"/>
        </w:rPr>
        <w:t>Szotek</w:t>
      </w:r>
      <w:proofErr w:type="spellEnd"/>
      <w:r>
        <w:rPr>
          <w:rFonts w:ascii="Times New Roman" w:hAnsi="Times New Roman" w:cs="Times New Roman"/>
        </w:rPr>
        <w:t xml:space="preserve">, W. M. </w:t>
      </w:r>
      <w:proofErr w:type="spellStart"/>
      <w:r>
        <w:rPr>
          <w:rFonts w:ascii="Times New Roman" w:hAnsi="Times New Roman" w:cs="Times New Roman"/>
        </w:rPr>
        <w:t>Temmerman</w:t>
      </w:r>
      <w:proofErr w:type="spellEnd"/>
      <w:r>
        <w:rPr>
          <w:rFonts w:ascii="Times New Roman" w:hAnsi="Times New Roman" w:cs="Times New Roman"/>
        </w:rPr>
        <w:t xml:space="preserve">, D. </w:t>
      </w:r>
      <w:proofErr w:type="spellStart"/>
      <w:r>
        <w:rPr>
          <w:rFonts w:ascii="Times New Roman" w:hAnsi="Times New Roman" w:cs="Times New Roman"/>
        </w:rPr>
        <w:t>Ködderitzsch</w:t>
      </w:r>
      <w:proofErr w:type="spellEnd"/>
      <w:r>
        <w:rPr>
          <w:rFonts w:ascii="Times New Roman" w:hAnsi="Times New Roman" w:cs="Times New Roman"/>
        </w:rPr>
        <w:t xml:space="preserve">, A. </w:t>
      </w:r>
      <w:proofErr w:type="spellStart"/>
      <w:r>
        <w:rPr>
          <w:rFonts w:ascii="Times New Roman" w:hAnsi="Times New Roman" w:cs="Times New Roman"/>
        </w:rPr>
        <w:t>Svane</w:t>
      </w:r>
      <w:proofErr w:type="spellEnd"/>
      <w:r>
        <w:rPr>
          <w:rFonts w:ascii="Times New Roman" w:hAnsi="Times New Roman" w:cs="Times New Roman"/>
        </w:rPr>
        <w:t xml:space="preserve">, L. Petit, H. Winter, </w:t>
      </w:r>
      <w:r>
        <w:rPr>
          <w:rFonts w:ascii="Times New Roman" w:hAnsi="Times New Roman" w:cs="Times New Roman"/>
          <w:i/>
          <w:iCs/>
        </w:rPr>
        <w:t>Phys. Rev. B</w:t>
      </w:r>
      <w:r>
        <w:rPr>
          <w:rFonts w:ascii="Times New Roman" w:hAnsi="Times New Roman" w:cs="Times New Roman"/>
        </w:rPr>
        <w:t xml:space="preserve"> </w:t>
      </w:r>
      <w:r>
        <w:rPr>
          <w:rFonts w:ascii="Times New Roman" w:hAnsi="Times New Roman" w:cs="Times New Roman"/>
          <w:b/>
          <w:bCs/>
        </w:rPr>
        <w:t>2006</w:t>
      </w:r>
      <w:r>
        <w:rPr>
          <w:rFonts w:ascii="Times New Roman" w:hAnsi="Times New Roman" w:cs="Times New Roman"/>
        </w:rPr>
        <w:t xml:space="preserve">, </w:t>
      </w:r>
      <w:r>
        <w:rPr>
          <w:rFonts w:ascii="Times New Roman" w:hAnsi="Times New Roman" w:cs="Times New Roman"/>
          <w:i/>
          <w:iCs/>
        </w:rPr>
        <w:t>74</w:t>
      </w:r>
      <w:r>
        <w:rPr>
          <w:rFonts w:ascii="Times New Roman" w:hAnsi="Times New Roman" w:cs="Times New Roman"/>
        </w:rPr>
        <w:t>, 1–12.</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16.</w:t>
      </w:r>
      <w:r>
        <w:rPr>
          <w:rFonts w:ascii="Times New Roman" w:hAnsi="Times New Roman" w:cs="Times New Roman"/>
        </w:rPr>
        <w:tab/>
        <w:t>Y. H. Hou, Y. J. Zh</w:t>
      </w:r>
      <w:r>
        <w:rPr>
          <w:rFonts w:ascii="Times New Roman" w:hAnsi="Times New Roman" w:cs="Times New Roman"/>
        </w:rPr>
        <w:t xml:space="preserve">ao, Z. W. Liu, H. Y. Yu, X. C. Zhong, W. Q. </w:t>
      </w:r>
      <w:proofErr w:type="spellStart"/>
      <w:r>
        <w:rPr>
          <w:rFonts w:ascii="Times New Roman" w:hAnsi="Times New Roman" w:cs="Times New Roman"/>
        </w:rPr>
        <w:t>Qiu</w:t>
      </w:r>
      <w:proofErr w:type="spellEnd"/>
      <w:r>
        <w:rPr>
          <w:rFonts w:ascii="Times New Roman" w:hAnsi="Times New Roman" w:cs="Times New Roman"/>
        </w:rPr>
        <w:t xml:space="preserve">, D. C. Zeng, L. S. Wen, </w:t>
      </w:r>
      <w:r>
        <w:rPr>
          <w:rFonts w:ascii="Times New Roman" w:hAnsi="Times New Roman" w:cs="Times New Roman"/>
          <w:i/>
          <w:iCs/>
        </w:rPr>
        <w:t>J. Phys. D. Appl. Phys.</w:t>
      </w:r>
      <w:r>
        <w:rPr>
          <w:rFonts w:ascii="Times New Roman" w:hAnsi="Times New Roman" w:cs="Times New Roman"/>
        </w:rPr>
        <w:t xml:space="preserve"> </w:t>
      </w:r>
      <w:r>
        <w:rPr>
          <w:rFonts w:ascii="Times New Roman" w:hAnsi="Times New Roman" w:cs="Times New Roman"/>
          <w:b/>
          <w:bCs/>
        </w:rPr>
        <w:t>2010</w:t>
      </w:r>
      <w:r>
        <w:rPr>
          <w:rFonts w:ascii="Times New Roman" w:hAnsi="Times New Roman" w:cs="Times New Roman"/>
        </w:rPr>
        <w:t xml:space="preserve">, </w:t>
      </w:r>
      <w:r>
        <w:rPr>
          <w:rFonts w:ascii="Times New Roman" w:hAnsi="Times New Roman" w:cs="Times New Roman"/>
          <w:i/>
          <w:iCs/>
        </w:rPr>
        <w:t>43</w:t>
      </w:r>
      <w:r>
        <w:rPr>
          <w:rFonts w:ascii="Times New Roman" w:hAnsi="Times New Roman" w:cs="Times New Roman"/>
        </w:rPr>
        <w:t>, 445003.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17.</w:t>
      </w:r>
      <w:r>
        <w:rPr>
          <w:rFonts w:ascii="Times New Roman" w:hAnsi="Times New Roman" w:cs="Times New Roman"/>
        </w:rPr>
        <w:tab/>
        <w:t xml:space="preserve">R. Pandit, K. K. Sharma, P. Kaur, R. Kumar, </w:t>
      </w:r>
      <w:r>
        <w:rPr>
          <w:rFonts w:ascii="Times New Roman" w:hAnsi="Times New Roman" w:cs="Times New Roman"/>
          <w:i/>
          <w:iCs/>
        </w:rPr>
        <w:t>Mater. Chem. Phys.</w:t>
      </w:r>
      <w:r>
        <w:rPr>
          <w:rFonts w:ascii="Times New Roman" w:hAnsi="Times New Roman" w:cs="Times New Roman"/>
        </w:rPr>
        <w:t xml:space="preserve"> </w:t>
      </w:r>
      <w:r>
        <w:rPr>
          <w:rFonts w:ascii="Times New Roman" w:hAnsi="Times New Roman" w:cs="Times New Roman"/>
          <w:b/>
          <w:bCs/>
        </w:rPr>
        <w:t>2014</w:t>
      </w:r>
      <w:r>
        <w:rPr>
          <w:rFonts w:ascii="Times New Roman" w:hAnsi="Times New Roman" w:cs="Times New Roman"/>
        </w:rPr>
        <w:t xml:space="preserve">, </w:t>
      </w:r>
      <w:r>
        <w:rPr>
          <w:rFonts w:ascii="Times New Roman" w:hAnsi="Times New Roman" w:cs="Times New Roman"/>
          <w:i/>
          <w:iCs/>
        </w:rPr>
        <w:t>148</w:t>
      </w:r>
      <w:r>
        <w:rPr>
          <w:rFonts w:ascii="Times New Roman" w:hAnsi="Times New Roman" w:cs="Times New Roman"/>
        </w:rPr>
        <w:t>, 988–999.</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rPr>
        <w:t xml:space="preserve">P. C. R. Varma, R. Sekhar, D. Banerjee, M. </w:t>
      </w:r>
      <w:proofErr w:type="spellStart"/>
      <w:r>
        <w:rPr>
          <w:rFonts w:ascii="Times New Roman" w:hAnsi="Times New Roman" w:cs="Times New Roman"/>
        </w:rPr>
        <w:t>Raama</w:t>
      </w:r>
      <w:proofErr w:type="spellEnd"/>
      <w:r>
        <w:rPr>
          <w:rFonts w:ascii="Times New Roman" w:hAnsi="Times New Roman" w:cs="Times New Roman"/>
        </w:rPr>
        <w:t xml:space="preserve">, K. G. Suresh, A. K. Nigam, </w:t>
      </w:r>
      <w:r>
        <w:rPr>
          <w:rFonts w:ascii="Times New Roman" w:hAnsi="Times New Roman" w:cs="Times New Roman"/>
          <w:i/>
          <w:iCs/>
        </w:rPr>
        <w:t>J. Alloys Compd.</w:t>
      </w:r>
      <w:r>
        <w:rPr>
          <w:rFonts w:ascii="Times New Roman" w:hAnsi="Times New Roman" w:cs="Times New Roman"/>
        </w:rPr>
        <w:t xml:space="preserve"> </w:t>
      </w:r>
      <w:r>
        <w:rPr>
          <w:rFonts w:ascii="Times New Roman" w:hAnsi="Times New Roman" w:cs="Times New Roman"/>
          <w:b/>
          <w:bCs/>
        </w:rPr>
        <w:t>2008</w:t>
      </w:r>
      <w:r>
        <w:rPr>
          <w:rFonts w:ascii="Times New Roman" w:hAnsi="Times New Roman" w:cs="Times New Roman"/>
        </w:rPr>
        <w:t xml:space="preserve">, </w:t>
      </w:r>
      <w:r>
        <w:rPr>
          <w:rFonts w:ascii="Times New Roman" w:hAnsi="Times New Roman" w:cs="Times New Roman"/>
          <w:i/>
          <w:iCs/>
        </w:rPr>
        <w:t>453</w:t>
      </w:r>
      <w:r>
        <w:rPr>
          <w:rFonts w:ascii="Times New Roman" w:hAnsi="Times New Roman" w:cs="Times New Roman"/>
        </w:rPr>
        <w:t>, 298–303.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19.</w:t>
      </w:r>
      <w:r>
        <w:rPr>
          <w:rFonts w:ascii="Times New Roman" w:hAnsi="Times New Roman" w:cs="Times New Roman"/>
        </w:rPr>
        <w:tab/>
        <w:t xml:space="preserve">J. Pechoušek, D. </w:t>
      </w:r>
      <w:proofErr w:type="spellStart"/>
      <w:r>
        <w:rPr>
          <w:rFonts w:ascii="Times New Roman" w:hAnsi="Times New Roman" w:cs="Times New Roman"/>
        </w:rPr>
        <w:t>Jančík</w:t>
      </w:r>
      <w:proofErr w:type="spellEnd"/>
      <w:r>
        <w:rPr>
          <w:rFonts w:ascii="Times New Roman" w:hAnsi="Times New Roman" w:cs="Times New Roman"/>
        </w:rPr>
        <w:t xml:space="preserve">, J. Frydrych, J. </w:t>
      </w:r>
      <w:proofErr w:type="spellStart"/>
      <w:r>
        <w:rPr>
          <w:rFonts w:ascii="Times New Roman" w:hAnsi="Times New Roman" w:cs="Times New Roman"/>
        </w:rPr>
        <w:t>Navařík</w:t>
      </w:r>
      <w:proofErr w:type="spellEnd"/>
      <w:r>
        <w:rPr>
          <w:rFonts w:ascii="Times New Roman" w:hAnsi="Times New Roman" w:cs="Times New Roman"/>
        </w:rPr>
        <w:t xml:space="preserve">, P. </w:t>
      </w:r>
      <w:proofErr w:type="spellStart"/>
      <w:r>
        <w:rPr>
          <w:rFonts w:ascii="Times New Roman" w:hAnsi="Times New Roman" w:cs="Times New Roman"/>
        </w:rPr>
        <w:t>Novák</w:t>
      </w:r>
      <w:proofErr w:type="spellEnd"/>
      <w:r>
        <w:rPr>
          <w:rFonts w:ascii="Times New Roman" w:hAnsi="Times New Roman" w:cs="Times New Roman"/>
        </w:rPr>
        <w:t xml:space="preserve">, </w:t>
      </w:r>
      <w:r>
        <w:rPr>
          <w:rFonts w:ascii="Times New Roman" w:hAnsi="Times New Roman" w:cs="Times New Roman"/>
          <w:i/>
          <w:iCs/>
        </w:rPr>
        <w:t>AIP Conf. Proc.</w:t>
      </w:r>
      <w:r>
        <w:rPr>
          <w:rFonts w:ascii="Times New Roman" w:hAnsi="Times New Roman" w:cs="Times New Roman"/>
        </w:rPr>
        <w:t xml:space="preserve"> </w:t>
      </w:r>
      <w:r>
        <w:rPr>
          <w:rFonts w:ascii="Times New Roman" w:hAnsi="Times New Roman" w:cs="Times New Roman"/>
          <w:b/>
          <w:bCs/>
        </w:rPr>
        <w:t>2012</w:t>
      </w:r>
      <w:r>
        <w:rPr>
          <w:rFonts w:ascii="Times New Roman" w:hAnsi="Times New Roman" w:cs="Times New Roman"/>
        </w:rPr>
        <w:t xml:space="preserve">, </w:t>
      </w:r>
      <w:r>
        <w:rPr>
          <w:rFonts w:ascii="Times New Roman" w:hAnsi="Times New Roman" w:cs="Times New Roman"/>
          <w:i/>
          <w:iCs/>
        </w:rPr>
        <w:t>1489</w:t>
      </w:r>
      <w:r>
        <w:rPr>
          <w:rFonts w:ascii="Times New Roman" w:hAnsi="Times New Roman" w:cs="Times New Roman"/>
        </w:rPr>
        <w:t>, 186–193.</w:t>
      </w:r>
    </w:p>
    <w:p w:rsidR="00C42ED9" w:rsidRDefault="000718EA">
      <w:pPr>
        <w:widowControl w:val="0"/>
        <w:spacing w:line="100" w:lineRule="atLeast"/>
        <w:ind w:left="640" w:hanging="640"/>
        <w:rPr>
          <w:rFonts w:ascii="Times New Roman" w:hAnsi="Times New Roman" w:cs="Times New Roman"/>
        </w:rPr>
      </w:pPr>
      <w:r>
        <w:rPr>
          <w:rFonts w:ascii="Times New Roman" w:hAnsi="Times New Roman" w:cs="Times New Roman"/>
        </w:rPr>
        <w:t>20.</w:t>
      </w:r>
      <w:r>
        <w:rPr>
          <w:rFonts w:ascii="Times New Roman" w:hAnsi="Times New Roman" w:cs="Times New Roman"/>
        </w:rPr>
        <w:tab/>
        <w:t xml:space="preserve">J. </w:t>
      </w:r>
      <w:proofErr w:type="spellStart"/>
      <w:r>
        <w:rPr>
          <w:rFonts w:ascii="Times New Roman" w:hAnsi="Times New Roman" w:cs="Times New Roman"/>
        </w:rPr>
        <w:t>Pechousek</w:t>
      </w:r>
      <w:proofErr w:type="spellEnd"/>
      <w:r>
        <w:rPr>
          <w:rFonts w:ascii="Times New Roman" w:hAnsi="Times New Roman" w:cs="Times New Roman"/>
        </w:rPr>
        <w:t xml:space="preserve">, R. </w:t>
      </w:r>
      <w:proofErr w:type="spellStart"/>
      <w:r>
        <w:rPr>
          <w:rFonts w:ascii="Times New Roman" w:hAnsi="Times New Roman" w:cs="Times New Roman"/>
        </w:rPr>
        <w:t>Prochazka</w:t>
      </w:r>
      <w:proofErr w:type="spellEnd"/>
      <w:r>
        <w:rPr>
          <w:rFonts w:ascii="Times New Roman" w:hAnsi="Times New Roman" w:cs="Times New Roman"/>
        </w:rPr>
        <w:t xml:space="preserve">, D. </w:t>
      </w:r>
      <w:proofErr w:type="spellStart"/>
      <w:r>
        <w:rPr>
          <w:rFonts w:ascii="Times New Roman" w:hAnsi="Times New Roman" w:cs="Times New Roman"/>
        </w:rPr>
        <w:t>Jancik</w:t>
      </w:r>
      <w:proofErr w:type="spellEnd"/>
      <w:r>
        <w:rPr>
          <w:rFonts w:ascii="Times New Roman" w:hAnsi="Times New Roman" w:cs="Times New Roman"/>
        </w:rPr>
        <w:t xml:space="preserve">, J. Frydrych, M. </w:t>
      </w:r>
      <w:proofErr w:type="spellStart"/>
      <w:r>
        <w:rPr>
          <w:rFonts w:ascii="Times New Roman" w:hAnsi="Times New Roman" w:cs="Times New Roman"/>
        </w:rPr>
        <w:t>Mashlan</w:t>
      </w:r>
      <w:proofErr w:type="spellEnd"/>
      <w:r>
        <w:rPr>
          <w:rFonts w:ascii="Times New Roman" w:hAnsi="Times New Roman" w:cs="Times New Roman"/>
        </w:rPr>
        <w:t xml:space="preserve">, </w:t>
      </w:r>
      <w:r>
        <w:rPr>
          <w:rFonts w:ascii="Times New Roman" w:hAnsi="Times New Roman" w:cs="Times New Roman"/>
          <w:i/>
          <w:iCs/>
        </w:rPr>
        <w:t>J. Phys. Conf. Ser.</w:t>
      </w:r>
      <w:r>
        <w:rPr>
          <w:rFonts w:ascii="Times New Roman" w:hAnsi="Times New Roman" w:cs="Times New Roman"/>
        </w:rPr>
        <w:t xml:space="preserve"> </w:t>
      </w:r>
      <w:r>
        <w:rPr>
          <w:rFonts w:ascii="Times New Roman" w:hAnsi="Times New Roman" w:cs="Times New Roman"/>
          <w:b/>
          <w:bCs/>
        </w:rPr>
        <w:t>2010</w:t>
      </w:r>
      <w:r>
        <w:rPr>
          <w:rFonts w:ascii="Times New Roman" w:hAnsi="Times New Roman" w:cs="Times New Roman"/>
        </w:rPr>
        <w:t xml:space="preserve">, </w:t>
      </w:r>
      <w:r>
        <w:rPr>
          <w:rFonts w:ascii="Times New Roman" w:hAnsi="Times New Roman" w:cs="Times New Roman"/>
          <w:i/>
          <w:iCs/>
        </w:rPr>
        <w:t>217</w:t>
      </w:r>
      <w:r>
        <w:rPr>
          <w:rFonts w:ascii="Times New Roman" w:hAnsi="Times New Roman" w:cs="Times New Roman"/>
        </w:rPr>
        <w:t>, 012006 (4).</w:t>
      </w:r>
    </w:p>
    <w:sectPr w:rsidR="00C42ED9">
      <w:footerReference w:type="default" r:id="rId14"/>
      <w:pgSz w:w="11906" w:h="16838"/>
      <w:pgMar w:top="1418" w:right="1418" w:bottom="1418" w:left="1418" w:header="0" w:footer="709" w:gutter="0"/>
      <w:lnNumType w:countBy="1" w:distance="283"/>
      <w:cols w:space="708"/>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8EA" w:rsidRDefault="000718EA">
      <w:pPr>
        <w:spacing w:after="0" w:line="240" w:lineRule="auto"/>
      </w:pPr>
      <w:r>
        <w:separator/>
      </w:r>
    </w:p>
  </w:endnote>
  <w:endnote w:type="continuationSeparator" w:id="0">
    <w:p w:rsidR="000718EA" w:rsidRDefault="00071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Droid Sans Fallback">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01"/>
    <w:family w:val="roman"/>
    <w:pitch w:val="variable"/>
  </w:font>
  <w:font w:name="Courier">
    <w:panose1 w:val="02070409020205020404"/>
    <w:charset w:val="01"/>
    <w:family w:val="roman"/>
    <w:pitch w:val="variable"/>
  </w:font>
  <w:font w:name="Times">
    <w:altName w:val="Times New Roman"/>
    <w:panose1 w:val="02020603050405020304"/>
    <w:charset w:val="01"/>
    <w:family w:val="roman"/>
    <w:pitch w:val="variable"/>
  </w:font>
  <w:font w:name="Arial">
    <w:panose1 w:val="020B0604020202020204"/>
    <w:charset w:val="EE"/>
    <w:family w:val="swiss"/>
    <w:pitch w:val="variable"/>
    <w:sig w:usb0="E0002EFF" w:usb1="C000785B" w:usb2="00000009" w:usb3="00000000" w:csb0="000001FF" w:csb1="00000000"/>
  </w:font>
  <w:font w:name="Droid Sans Devanagari">
    <w:panose1 w:val="00000000000000000000"/>
    <w:charset w:val="00"/>
    <w:family w:val="roman"/>
    <w:notTrueType/>
    <w:pitch w:val="default"/>
  </w:font>
  <w:font w:name="DejaVu Sans">
    <w:panose1 w:val="00000000000000000000"/>
    <w:charset w:val="00"/>
    <w:family w:val="roman"/>
    <w:notTrueType/>
    <w:pitch w:val="default"/>
  </w:font>
  <w:font w:name="Liberation Sans">
    <w:altName w:val="Arial"/>
    <w:charset w:val="01"/>
    <w:family w:val="roman"/>
    <w:pitch w:val="variable"/>
  </w:font>
  <w:font w:name="DejaVu Sans Mono">
    <w:charset w:val="01"/>
    <w:family w:val="roman"/>
    <w:pitch w:val="variable"/>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ED9" w:rsidRDefault="000718EA">
    <w:pPr>
      <w:pStyle w:val="Zpat"/>
      <w:jc w:val="center"/>
    </w:pPr>
    <w:r>
      <w:fldChar w:fldCharType="begin"/>
    </w:r>
    <w:r>
      <w:instrText>PAGE</w:instrText>
    </w:r>
    <w:r>
      <w:fldChar w:fldCharType="separate"/>
    </w:r>
    <w:r>
      <w:t>12</w:t>
    </w:r>
    <w:r>
      <w:fldChar w:fldCharType="end"/>
    </w:r>
  </w:p>
  <w:p w:rsidR="00C42ED9" w:rsidRDefault="00C42ED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8EA" w:rsidRDefault="000718EA">
      <w:pPr>
        <w:spacing w:after="0" w:line="240" w:lineRule="auto"/>
      </w:pPr>
      <w:r>
        <w:separator/>
      </w:r>
    </w:p>
  </w:footnote>
  <w:footnote w:type="continuationSeparator" w:id="0">
    <w:p w:rsidR="000718EA" w:rsidRDefault="00071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756FE"/>
    <w:multiLevelType w:val="multilevel"/>
    <w:tmpl w:val="15C8F9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C2E75E2"/>
    <w:multiLevelType w:val="multilevel"/>
    <w:tmpl w:val="686C9066"/>
    <w:lvl w:ilvl="0">
      <w:start w:val="1"/>
      <w:numFmt w:val="decimal"/>
      <w:pStyle w:val="section"/>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2ED9"/>
    <w:rsid w:val="000718EA"/>
    <w:rsid w:val="00C42ED9"/>
    <w:rsid w:val="00D63F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E7F57"/>
  <w15:docId w15:val="{4BF30642-6F86-4821-9571-43B59EA3F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uppressAutoHyphens/>
      <w:spacing w:after="200" w:line="276" w:lineRule="auto"/>
    </w:pPr>
    <w:rPr>
      <w:rFonts w:ascii="Calibri" w:eastAsia="Droid Sans Fallback" w:hAnsi="Calibri"/>
      <w:lang w:val="en-GB"/>
    </w:rPr>
  </w:style>
  <w:style w:type="paragraph" w:styleId="Nadpis1">
    <w:name w:val="heading 1"/>
    <w:uiPriority w:val="9"/>
    <w:qFormat/>
    <w:pPr>
      <w:widowControl w:val="0"/>
      <w:suppressAutoHyphens/>
      <w:spacing w:before="100" w:after="100" w:line="100" w:lineRule="atLeast"/>
      <w:outlineLvl w:val="0"/>
    </w:pPr>
    <w:rPr>
      <w:rFonts w:ascii="Times New Roman" w:eastAsia="Times New Roman" w:hAnsi="Times New Roman"/>
      <w:b/>
      <w:bCs/>
      <w:sz w:val="48"/>
      <w:szCs w:val="48"/>
    </w:rPr>
  </w:style>
  <w:style w:type="paragraph" w:styleId="Nadpis2">
    <w:name w:val="heading 2"/>
    <w:basedOn w:val="Normln"/>
    <w:uiPriority w:val="9"/>
    <w:unhideWhenUsed/>
    <w:qFormat/>
    <w:pPr>
      <w:keepNext/>
      <w:keepLines/>
      <w:spacing w:before="40" w:after="0"/>
      <w:outlineLvl w:val="1"/>
    </w:pPr>
    <w:rPr>
      <w:rFonts w:ascii="Cambria" w:hAnsi="Cambria"/>
      <w:color w:val="365F9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rPr>
      <w:color w:val="808080"/>
    </w:rPr>
  </w:style>
  <w:style w:type="character" w:customStyle="1" w:styleId="TextbublinyChar">
    <w:name w:val="Text bubliny Char"/>
    <w:basedOn w:val="Standardnpsmoodstavce"/>
    <w:rPr>
      <w:rFonts w:ascii="Tahoma" w:hAnsi="Tahoma" w:cs="Tahoma"/>
      <w:sz w:val="16"/>
      <w:szCs w:val="16"/>
      <w:lang w:eastAsia="en-US"/>
    </w:rPr>
  </w:style>
  <w:style w:type="character" w:customStyle="1" w:styleId="ZhlavChar">
    <w:name w:val="Záhlaví Char"/>
    <w:basedOn w:val="Standardnpsmoodstavce"/>
    <w:rPr>
      <w:sz w:val="22"/>
      <w:szCs w:val="22"/>
      <w:lang w:eastAsia="en-US"/>
    </w:rPr>
  </w:style>
  <w:style w:type="character" w:customStyle="1" w:styleId="ZpatChar">
    <w:name w:val="Zápatí Char"/>
    <w:basedOn w:val="Standardnpsmoodstavce"/>
    <w:rPr>
      <w:sz w:val="22"/>
      <w:szCs w:val="22"/>
      <w:lang w:eastAsia="en-US"/>
    </w:rPr>
  </w:style>
  <w:style w:type="character" w:customStyle="1" w:styleId="label2">
    <w:name w:val="label2"/>
    <w:basedOn w:val="Standardnpsmoodstavce"/>
  </w:style>
  <w:style w:type="character" w:customStyle="1" w:styleId="databold">
    <w:name w:val="data_bold"/>
    <w:basedOn w:val="Standardnpsmoodstavce"/>
  </w:style>
  <w:style w:type="character" w:customStyle="1" w:styleId="Nadpis1Char">
    <w:name w:val="Nadpis 1 Char"/>
    <w:basedOn w:val="Standardnpsmoodstavce"/>
    <w:rPr>
      <w:rFonts w:ascii="Times New Roman" w:eastAsia="Times New Roman" w:hAnsi="Times New Roman"/>
      <w:b/>
      <w:bCs/>
      <w:sz w:val="48"/>
      <w:szCs w:val="48"/>
    </w:rPr>
  </w:style>
  <w:style w:type="character" w:customStyle="1" w:styleId="Internetovodkaz">
    <w:name w:val="Internetový odkaz"/>
    <w:basedOn w:val="Standardnpsmoodstavce"/>
    <w:rPr>
      <w:color w:val="0000FF"/>
      <w:u w:val="single"/>
      <w:lang w:val="cs-CZ" w:eastAsia="cs-CZ" w:bidi="cs-CZ"/>
    </w:rPr>
  </w:style>
  <w:style w:type="character" w:customStyle="1" w:styleId="MathematicaFormatStandardForm">
    <w:name w:val="MathematicaFormatStandardForm"/>
    <w:rPr>
      <w:rFonts w:ascii="Courier" w:hAnsi="Courier" w:cs="Courier"/>
    </w:rPr>
  </w:style>
  <w:style w:type="character" w:customStyle="1" w:styleId="MathematicaFormatTextForm">
    <w:name w:val="MathematicaFormatTextForm"/>
  </w:style>
  <w:style w:type="character" w:customStyle="1" w:styleId="MathematicaSelectionTI">
    <w:name w:val="MathematicaSelectionTI"/>
    <w:rPr>
      <w:rFonts w:ascii="Times" w:hAnsi="Times" w:cs="Times"/>
      <w:i/>
      <w:iCs/>
    </w:rPr>
  </w:style>
  <w:style w:type="character" w:styleId="slodku">
    <w:name w:val="line number"/>
    <w:basedOn w:val="Standardnpsmoodstavce"/>
  </w:style>
  <w:style w:type="character" w:customStyle="1" w:styleId="Zdraznn1">
    <w:name w:val="Zdůraznění1"/>
    <w:basedOn w:val="Standardnpsmoodstavce"/>
    <w:rPr>
      <w:i/>
      <w:iCs/>
      <w:position w:val="0"/>
      <w:sz w:val="24"/>
      <w:szCs w:val="24"/>
      <w:vertAlign w:val="baseline"/>
    </w:rPr>
  </w:style>
  <w:style w:type="character" w:customStyle="1" w:styleId="a-size-extra-large3">
    <w:name w:val="a-size-extra-large3"/>
    <w:basedOn w:val="Standardnpsmoodstavce"/>
    <w:rPr>
      <w:rFonts w:ascii="Arial" w:hAnsi="Arial" w:cs="Arial"/>
    </w:rPr>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lang w:eastAsia="en-US"/>
    </w:rPr>
  </w:style>
  <w:style w:type="character" w:customStyle="1" w:styleId="PedmtkomenteChar">
    <w:name w:val="Předmět komentáře Char"/>
    <w:basedOn w:val="TextkomenteChar"/>
    <w:rPr>
      <w:b/>
      <w:bCs/>
      <w:lang w:eastAsia="en-US"/>
    </w:rPr>
  </w:style>
  <w:style w:type="character" w:customStyle="1" w:styleId="ZkladntextChar">
    <w:name w:val="Základní text Char"/>
    <w:basedOn w:val="Standardnpsmoodstavce"/>
    <w:rPr>
      <w:sz w:val="22"/>
      <w:szCs w:val="22"/>
      <w:lang w:eastAsia="en-US"/>
    </w:rPr>
  </w:style>
  <w:style w:type="character" w:customStyle="1" w:styleId="ListLabel1">
    <w:name w:val="ListLabel 1"/>
    <w:rPr>
      <w:sz w:val="20"/>
    </w:rPr>
  </w:style>
  <w:style w:type="character" w:customStyle="1" w:styleId="apple-converted-space">
    <w:name w:val="apple-converted-space"/>
    <w:basedOn w:val="Standardnpsmoodstavce"/>
  </w:style>
  <w:style w:type="character" w:customStyle="1" w:styleId="slovndk">
    <w:name w:val="Číslování řádků"/>
  </w:style>
  <w:style w:type="character" w:customStyle="1" w:styleId="CAuthor">
    <w:name w:val="CAuthor"/>
    <w:basedOn w:val="Standardnpsmoodstavce"/>
    <w:rPr>
      <w:rFonts w:ascii="Times New Roman" w:eastAsia="Times New Roman" w:hAnsi="Times New Roman"/>
      <w:sz w:val="18"/>
    </w:rPr>
  </w:style>
  <w:style w:type="character" w:customStyle="1" w:styleId="Odkaznakoment1">
    <w:name w:val="Odkaz na komentář1"/>
    <w:rPr>
      <w:sz w:val="16"/>
      <w:szCs w:val="16"/>
    </w:rPr>
  </w:style>
  <w:style w:type="character" w:customStyle="1" w:styleId="Odkaznakoment2">
    <w:name w:val="Odkaz na komentář2"/>
    <w:rPr>
      <w:sz w:val="16"/>
      <w:szCs w:val="16"/>
    </w:rPr>
  </w:style>
  <w:style w:type="character" w:customStyle="1" w:styleId="Nadpis2Char">
    <w:name w:val="Nadpis 2 Char"/>
    <w:basedOn w:val="Standardnpsmoodstavce"/>
    <w:rPr>
      <w:rFonts w:ascii="Cambria" w:hAnsi="Cambria"/>
      <w:color w:val="365F91"/>
      <w:sz w:val="26"/>
      <w:szCs w:val="26"/>
    </w:rPr>
  </w:style>
  <w:style w:type="character" w:customStyle="1" w:styleId="TextkomenteChar1">
    <w:name w:val="Text komentáře Char1"/>
    <w:rPr>
      <w:rFonts w:ascii="Calibri" w:eastAsia="Calibri" w:hAnsi="Calibri" w:cs="Times New Roman"/>
      <w:sz w:val="20"/>
      <w:szCs w:val="20"/>
      <w:lang w:eastAsia="en-US"/>
    </w:rPr>
  </w:style>
  <w:style w:type="character" w:customStyle="1" w:styleId="Maintext">
    <w:name w:val="Main text"/>
    <w:rPr>
      <w:rFonts w:ascii="Times New Roman" w:hAnsi="Times New Roman" w:cs="Times New Roman"/>
      <w:sz w:val="24"/>
    </w:rPr>
  </w:style>
  <w:style w:type="character" w:customStyle="1" w:styleId="LineNumbering">
    <w:name w:val="Line Numbering"/>
  </w:style>
  <w:style w:type="paragraph" w:customStyle="1" w:styleId="Heading">
    <w:name w:val="Heading"/>
    <w:basedOn w:val="Normln"/>
    <w:next w:val="TextBody"/>
    <w:pPr>
      <w:keepNext/>
      <w:spacing w:before="240" w:after="120"/>
    </w:pPr>
    <w:rPr>
      <w:rFonts w:ascii="Arial" w:hAnsi="Arial" w:cs="Droid Sans Devanagari"/>
      <w:sz w:val="28"/>
      <w:szCs w:val="28"/>
    </w:rPr>
  </w:style>
  <w:style w:type="paragraph" w:customStyle="1" w:styleId="TextBody">
    <w:name w:val="Text Body"/>
    <w:basedOn w:val="Normln"/>
    <w:pPr>
      <w:spacing w:after="120"/>
    </w:pPr>
  </w:style>
  <w:style w:type="paragraph" w:styleId="Seznam">
    <w:name w:val="List"/>
    <w:basedOn w:val="Tlotextu"/>
    <w:rPr>
      <w:rFonts w:cs="DejaVu Sans"/>
    </w:rPr>
  </w:style>
  <w:style w:type="paragraph" w:styleId="Titulek">
    <w:name w:val="caption"/>
    <w:basedOn w:val="Normln"/>
    <w:pPr>
      <w:spacing w:line="100" w:lineRule="atLeast"/>
    </w:pPr>
    <w:rPr>
      <w:i/>
      <w:iCs/>
      <w:color w:val="1F497D"/>
      <w:sz w:val="18"/>
      <w:szCs w:val="18"/>
    </w:rPr>
  </w:style>
  <w:style w:type="paragraph" w:customStyle="1" w:styleId="Index">
    <w:name w:val="Index"/>
    <w:basedOn w:val="Normln"/>
    <w:pPr>
      <w:suppressLineNumbers/>
    </w:pPr>
    <w:rPr>
      <w:rFonts w:cs="Droid Sans Devanagari"/>
    </w:rPr>
  </w:style>
  <w:style w:type="paragraph" w:customStyle="1" w:styleId="Vchoz">
    <w:name w:val="Výchozí"/>
    <w:pPr>
      <w:suppressAutoHyphens/>
      <w:spacing w:after="200" w:line="276" w:lineRule="auto"/>
    </w:pPr>
    <w:rPr>
      <w:rFonts w:ascii="Calibri" w:eastAsia="Calibri" w:hAnsi="Calibri" w:cs="Times New Roman"/>
      <w:lang w:eastAsia="en-US"/>
    </w:rPr>
  </w:style>
  <w:style w:type="paragraph" w:customStyle="1" w:styleId="Nadpis">
    <w:name w:val="Nadpis"/>
    <w:basedOn w:val="Vchoz"/>
    <w:pPr>
      <w:keepNext/>
      <w:spacing w:before="240" w:after="120"/>
    </w:pPr>
    <w:rPr>
      <w:rFonts w:ascii="Liberation Sans" w:eastAsia="Droid Sans Fallback" w:hAnsi="Liberation Sans" w:cs="DejaVu Sans"/>
      <w:sz w:val="28"/>
      <w:szCs w:val="28"/>
    </w:rPr>
  </w:style>
  <w:style w:type="paragraph" w:customStyle="1" w:styleId="Tlotextu">
    <w:name w:val="Tělo textu"/>
    <w:basedOn w:val="Vchoz"/>
    <w:pPr>
      <w:spacing w:after="120"/>
    </w:pPr>
  </w:style>
  <w:style w:type="paragraph" w:customStyle="1" w:styleId="Popisek">
    <w:name w:val="Popisek"/>
    <w:basedOn w:val="Vchoz"/>
    <w:pPr>
      <w:suppressLineNumbers/>
      <w:spacing w:before="120" w:after="120"/>
    </w:pPr>
    <w:rPr>
      <w:rFonts w:cs="DejaVu Sans"/>
      <w:i/>
      <w:iCs/>
      <w:sz w:val="24"/>
      <w:szCs w:val="24"/>
    </w:rPr>
  </w:style>
  <w:style w:type="paragraph" w:customStyle="1" w:styleId="Rejstk">
    <w:name w:val="Rejstřík"/>
    <w:basedOn w:val="Vchoz"/>
    <w:pPr>
      <w:suppressLineNumbers/>
    </w:pPr>
    <w:rPr>
      <w:rFonts w:cs="DejaVu Sans"/>
    </w:rPr>
  </w:style>
  <w:style w:type="paragraph" w:styleId="Bezmezer">
    <w:name w:val="No Spacing"/>
    <w:pPr>
      <w:suppressAutoHyphens/>
      <w:spacing w:after="200" w:line="276" w:lineRule="auto"/>
    </w:pPr>
    <w:rPr>
      <w:rFonts w:ascii="Calibri" w:eastAsia="Calibri" w:hAnsi="Calibri" w:cs="Times New Roman"/>
      <w:lang w:eastAsia="en-US"/>
    </w:rPr>
  </w:style>
  <w:style w:type="paragraph" w:styleId="Textbubliny">
    <w:name w:val="Balloon Text"/>
    <w:basedOn w:val="Vchoz"/>
    <w:pPr>
      <w:spacing w:after="0" w:line="100" w:lineRule="atLeast"/>
    </w:pPr>
    <w:rPr>
      <w:rFonts w:ascii="Tahoma" w:hAnsi="Tahoma" w:cs="Tahoma"/>
      <w:sz w:val="16"/>
      <w:szCs w:val="16"/>
    </w:rPr>
  </w:style>
  <w:style w:type="paragraph" w:styleId="Zhlav">
    <w:name w:val="header"/>
    <w:basedOn w:val="Vchoz"/>
    <w:pPr>
      <w:suppressLineNumbers/>
      <w:tabs>
        <w:tab w:val="center" w:pos="4536"/>
        <w:tab w:val="right" w:pos="9072"/>
      </w:tabs>
      <w:spacing w:after="0" w:line="100" w:lineRule="atLeast"/>
    </w:pPr>
  </w:style>
  <w:style w:type="paragraph" w:styleId="Zpat">
    <w:name w:val="footer"/>
    <w:basedOn w:val="Vchoz"/>
    <w:pPr>
      <w:suppressLineNumbers/>
      <w:tabs>
        <w:tab w:val="center" w:pos="4536"/>
        <w:tab w:val="right" w:pos="9072"/>
      </w:tabs>
      <w:spacing w:after="0" w:line="100" w:lineRule="atLeast"/>
    </w:pPr>
  </w:style>
  <w:style w:type="paragraph" w:styleId="Textkomente">
    <w:name w:val="annotation text"/>
    <w:basedOn w:val="Vchoz"/>
    <w:pPr>
      <w:spacing w:line="100" w:lineRule="atLeast"/>
    </w:pPr>
    <w:rPr>
      <w:sz w:val="20"/>
      <w:szCs w:val="20"/>
    </w:rPr>
  </w:style>
  <w:style w:type="paragraph" w:styleId="Pedmtkomente">
    <w:name w:val="annotation subject"/>
    <w:basedOn w:val="Textkomente"/>
    <w:rPr>
      <w:b/>
      <w:bCs/>
    </w:rPr>
  </w:style>
  <w:style w:type="paragraph" w:customStyle="1" w:styleId="keywords">
    <w:name w:val="keywords"/>
    <w:pPr>
      <w:suppressAutoHyphens/>
      <w:spacing w:after="200" w:line="260" w:lineRule="exact"/>
      <w:jc w:val="both"/>
    </w:pPr>
    <w:rPr>
      <w:rFonts w:ascii="Times New Roman" w:eastAsia="Times New Roman" w:hAnsi="Times New Roman" w:cs="Times New Roman"/>
      <w:lang w:val="en-US" w:eastAsia="ru-RU"/>
    </w:rPr>
  </w:style>
  <w:style w:type="paragraph" w:customStyle="1" w:styleId="Pedformtovantext">
    <w:name w:val="Předformátovaný text"/>
    <w:basedOn w:val="Vchoz"/>
    <w:pPr>
      <w:tabs>
        <w:tab w:val="left" w:pos="708"/>
      </w:tabs>
      <w:spacing w:after="0"/>
    </w:pPr>
    <w:rPr>
      <w:rFonts w:ascii="DejaVu Sans Mono" w:eastAsia="Droid Sans Fallback" w:hAnsi="DejaVu Sans Mono" w:cs="DejaVu Sans Mono"/>
      <w:color w:val="00000A"/>
      <w:sz w:val="20"/>
      <w:szCs w:val="20"/>
      <w:lang w:val="en-US" w:eastAsia="zh-CN"/>
    </w:rPr>
  </w:style>
  <w:style w:type="paragraph" w:customStyle="1" w:styleId="section">
    <w:name w:val="section"/>
    <w:pPr>
      <w:keepNext/>
      <w:keepLines/>
      <w:numPr>
        <w:numId w:val="1"/>
      </w:numPr>
      <w:suppressAutoHyphens/>
      <w:spacing w:before="240" w:line="276" w:lineRule="auto"/>
    </w:pPr>
    <w:rPr>
      <w:rFonts w:ascii="Times New Roman" w:eastAsia="Times New Roman" w:hAnsi="Times New Roman" w:cs="Times New Roman"/>
      <w:b/>
      <w:sz w:val="24"/>
      <w:szCs w:val="20"/>
      <w:lang w:val="en-US" w:eastAsia="ru-RU"/>
    </w:rPr>
  </w:style>
  <w:style w:type="paragraph" w:customStyle="1" w:styleId="Subsection">
    <w:name w:val="Subsection"/>
    <w:pPr>
      <w:keepNext/>
      <w:keepLines/>
      <w:suppressAutoHyphens/>
      <w:spacing w:before="120" w:after="120" w:line="276" w:lineRule="auto"/>
      <w:ind w:left="578" w:hanging="578"/>
    </w:pPr>
    <w:rPr>
      <w:rFonts w:ascii="Times New Roman" w:eastAsia="Times New Roman" w:hAnsi="Times New Roman" w:cs="Times New Roman"/>
      <w:b/>
      <w:sz w:val="20"/>
      <w:szCs w:val="20"/>
      <w:lang w:val="en-US" w:eastAsia="ru-RU"/>
    </w:rPr>
  </w:style>
  <w:style w:type="paragraph" w:customStyle="1" w:styleId="Subsubsection">
    <w:name w:val="Subsubsection"/>
    <w:basedOn w:val="Subsection"/>
    <w:pPr>
      <w:ind w:left="432" w:hanging="432"/>
    </w:pPr>
  </w:style>
  <w:style w:type="paragraph" w:customStyle="1" w:styleId="Titulek1">
    <w:name w:val="Titulek1"/>
    <w:basedOn w:val="Normln"/>
    <w:pPr>
      <w:spacing w:line="100" w:lineRule="atLeast"/>
    </w:pPr>
    <w:rPr>
      <w:rFonts w:ascii="Cambria" w:eastAsia="Times New Roman" w:hAnsi="Cambria" w:cs="Cambria"/>
      <w:b/>
      <w:bCs/>
      <w:color w:val="4F81BD"/>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2540</Words>
  <Characters>14988</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Petr Novák</dc:creator>
  <cp:lastModifiedBy>Josef Kopp</cp:lastModifiedBy>
  <cp:revision>2</cp:revision>
  <cp:lastPrinted>2015-01-13T09:20:00Z</cp:lastPrinted>
  <dcterms:created xsi:type="dcterms:W3CDTF">2019-09-06T09:22:00Z</dcterms:created>
  <dcterms:modified xsi:type="dcterms:W3CDTF">2019-09-06T09:22:00Z</dcterms:modified>
</cp:coreProperties>
</file>