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 xml:space="preserve">Biophysical properties and cytotoxicity of feruloylated </w:t>
      </w:r>
      <w:r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Helix </w:t>
      </w:r>
      <w:proofErr w:type="spellStart"/>
      <w:r w:rsidRPr="00CA6CB7">
        <w:rPr>
          <w:rFonts w:ascii="Times New Roman" w:hAnsi="Times New Roman" w:cs="Times New Roman"/>
          <w:b/>
          <w:i/>
          <w:sz w:val="24"/>
          <w:szCs w:val="24"/>
        </w:rPr>
        <w:t>lucorum</w:t>
      </w:r>
      <w:proofErr w:type="spellEnd"/>
      <w:r w:rsidRPr="00CA6CB7">
        <w:rPr>
          <w:rFonts w:ascii="Times New Roman" w:hAnsi="Times New Roman" w:cs="Times New Roman"/>
          <w:b/>
          <w:sz w:val="24"/>
          <w:szCs w:val="24"/>
        </w:rPr>
        <w:t xml:space="preserve"> hemocyanin</w:t>
      </w: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>Maya Guncheva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Krassimira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Idakieva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Svetla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Todinova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6CB7">
        <w:rPr>
          <w:rFonts w:ascii="Times New Roman" w:hAnsi="Times New Roman" w:cs="Times New Roman"/>
          <w:sz w:val="24"/>
          <w:szCs w:val="24"/>
        </w:rPr>
        <w:t>, Elena Stoyanova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Denitsa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 Yancheva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6CB7">
        <w:rPr>
          <w:rFonts w:ascii="Times New Roman" w:hAnsi="Times New Roman" w:cs="Times New Roman"/>
          <w:sz w:val="24"/>
          <w:szCs w:val="24"/>
        </w:rPr>
        <w:t>Institute of Organic Chemistry with Centre of Phytochemistry, Bulgarian Academy of Sciences; Sofia</w:t>
      </w:r>
      <w:r w:rsidR="009F0202" w:rsidRPr="00CA6CB7">
        <w:rPr>
          <w:rFonts w:ascii="Times New Roman" w:hAnsi="Times New Roman" w:cs="Times New Roman"/>
          <w:sz w:val="24"/>
          <w:szCs w:val="24"/>
        </w:rPr>
        <w:t xml:space="preserve"> 1113</w:t>
      </w:r>
      <w:r w:rsidRPr="00CA6CB7">
        <w:rPr>
          <w:rFonts w:ascii="Times New Roman" w:hAnsi="Times New Roman" w:cs="Times New Roman"/>
          <w:sz w:val="24"/>
          <w:szCs w:val="24"/>
        </w:rPr>
        <w:t xml:space="preserve">, Bulgaria; </w:t>
      </w: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6CB7">
        <w:rPr>
          <w:rFonts w:ascii="Times New Roman" w:hAnsi="Times New Roman" w:cs="Times New Roman"/>
          <w:sz w:val="24"/>
          <w:szCs w:val="24"/>
        </w:rPr>
        <w:t>Institute of Biophysics and Biomedical Engineering, Bulgarian Academy of Sciences, Sofia</w:t>
      </w:r>
      <w:r w:rsidR="009F0202" w:rsidRPr="00CA6CB7">
        <w:rPr>
          <w:rFonts w:ascii="Times New Roman" w:hAnsi="Times New Roman" w:cs="Times New Roman"/>
          <w:sz w:val="24"/>
          <w:szCs w:val="24"/>
        </w:rPr>
        <w:t xml:space="preserve"> 1113</w:t>
      </w:r>
      <w:r w:rsidRPr="00CA6CB7">
        <w:rPr>
          <w:rFonts w:ascii="Times New Roman" w:hAnsi="Times New Roman" w:cs="Times New Roman"/>
          <w:sz w:val="24"/>
          <w:szCs w:val="24"/>
        </w:rPr>
        <w:t xml:space="preserve">, Bulgaria; </w:t>
      </w: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6CB7">
        <w:rPr>
          <w:rFonts w:ascii="Times New Roman" w:hAnsi="Times New Roman" w:cs="Times New Roman"/>
          <w:sz w:val="24"/>
          <w:szCs w:val="24"/>
        </w:rPr>
        <w:t>Institute of Biology and Immunology of Reproduction, Bulgarian Academy of Sciences</w:t>
      </w:r>
      <w:r w:rsidR="00380D7C" w:rsidRPr="00CA6CB7">
        <w:rPr>
          <w:rFonts w:ascii="Times New Roman" w:hAnsi="Times New Roman" w:cs="Times New Roman"/>
          <w:sz w:val="24"/>
          <w:szCs w:val="24"/>
        </w:rPr>
        <w:t>,</w:t>
      </w:r>
      <w:r w:rsidR="009F020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>Sofia</w:t>
      </w:r>
      <w:r w:rsidR="009F0202" w:rsidRPr="00CA6CB7">
        <w:rPr>
          <w:rFonts w:ascii="Times New Roman" w:hAnsi="Times New Roman" w:cs="Times New Roman"/>
          <w:sz w:val="24"/>
          <w:szCs w:val="24"/>
        </w:rPr>
        <w:t xml:space="preserve"> 1113,</w:t>
      </w:r>
      <w:r w:rsidRPr="00CA6CB7">
        <w:rPr>
          <w:rFonts w:ascii="Times New Roman" w:hAnsi="Times New Roman" w:cs="Times New Roman"/>
          <w:sz w:val="24"/>
          <w:szCs w:val="24"/>
        </w:rPr>
        <w:t xml:space="preserve"> Bulgaria</w:t>
      </w: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 xml:space="preserve">*corresponding author: </w:t>
      </w:r>
      <w:hyperlink r:id="rId7" w:history="1">
        <w:r w:rsidRPr="00CA6CB7">
          <w:rPr>
            <w:rStyle w:val="Hyperlink"/>
            <w:rFonts w:ascii="Times New Roman" w:hAnsi="Times New Roman" w:cs="Times New Roman"/>
            <w:sz w:val="24"/>
            <w:szCs w:val="24"/>
          </w:rPr>
          <w:t>maiag@orgchm.bas.bg</w:t>
        </w:r>
      </w:hyperlink>
      <w:r w:rsidRPr="00CA6CB7">
        <w:rPr>
          <w:rFonts w:ascii="Times New Roman" w:hAnsi="Times New Roman" w:cs="Times New Roman"/>
          <w:sz w:val="24"/>
          <w:szCs w:val="24"/>
        </w:rPr>
        <w:t xml:space="preserve"> (M. Guncheva)</w:t>
      </w:r>
    </w:p>
    <w:p w:rsidR="003721C7" w:rsidRPr="00CA6CB7" w:rsidRDefault="003721C7" w:rsidP="00CA6CB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09AE" w:rsidRPr="00CA6CB7" w:rsidRDefault="009D09AE" w:rsidP="00CA6CB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Abstract </w:t>
      </w:r>
    </w:p>
    <w:p w:rsidR="00495094" w:rsidRPr="00CA6CB7" w:rsidRDefault="0026250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>F</w:t>
      </w:r>
      <w:r w:rsidR="00495094" w:rsidRPr="00CA6CB7">
        <w:rPr>
          <w:rFonts w:ascii="Times New Roman" w:hAnsi="Times New Roman" w:cs="Times New Roman"/>
          <w:sz w:val="24"/>
          <w:szCs w:val="24"/>
        </w:rPr>
        <w:t xml:space="preserve">or the first time </w:t>
      </w:r>
      <w:r w:rsidR="00495094" w:rsidRPr="00CA6CB7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="00495094" w:rsidRPr="00CA6CB7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hemocyanin (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)</w:t>
      </w:r>
      <w:r w:rsidR="00495094" w:rsidRPr="00CA6CB7">
        <w:rPr>
          <w:rFonts w:ascii="Times New Roman" w:hAnsi="Times New Roman" w:cs="Times New Roman"/>
          <w:sz w:val="24"/>
          <w:szCs w:val="24"/>
        </w:rPr>
        <w:t xml:space="preserve"> have been feruloylated. Two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conjugates with 40- and 120- ferulic acid residues were prepared, denoted as FA-HlH-1 and FA-HlH-2.</w:t>
      </w:r>
      <w:r w:rsidR="006C5498" w:rsidRPr="00CA6CB7">
        <w:rPr>
          <w:rFonts w:ascii="Times New Roman" w:hAnsi="Times New Roman" w:cs="Times New Roman"/>
          <w:sz w:val="24"/>
          <w:szCs w:val="24"/>
        </w:rPr>
        <w:t xml:space="preserve"> Expectedly, the feruloylation of </w:t>
      </w:r>
      <w:proofErr w:type="spellStart"/>
      <w:r w:rsidR="006C5498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6C5498" w:rsidRPr="00CA6CB7">
        <w:rPr>
          <w:rFonts w:ascii="Times New Roman" w:hAnsi="Times New Roman" w:cs="Times New Roman"/>
          <w:sz w:val="24"/>
          <w:szCs w:val="24"/>
        </w:rPr>
        <w:t xml:space="preserve"> induced a rearrangement of the protein molecule, a decrease in α-helical structure at expense of β-structures was observed. In addition, the </w:t>
      </w:r>
      <w:r w:rsidR="007368ED" w:rsidRPr="00CA6CB7">
        <w:rPr>
          <w:rFonts w:ascii="Times New Roman" w:hAnsi="Times New Roman" w:cs="Times New Roman"/>
          <w:sz w:val="24"/>
          <w:szCs w:val="24"/>
        </w:rPr>
        <w:t>FA-</w:t>
      </w:r>
      <w:proofErr w:type="spellStart"/>
      <w:r w:rsidR="007368ED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7368ED" w:rsidRPr="00CA6CB7">
        <w:rPr>
          <w:rFonts w:ascii="Times New Roman" w:hAnsi="Times New Roman" w:cs="Times New Roman"/>
          <w:sz w:val="24"/>
          <w:szCs w:val="24"/>
        </w:rPr>
        <w:t xml:space="preserve"> conjugates were more prone to aggregation</w:t>
      </w:r>
      <w:r w:rsidR="00F600F5" w:rsidRPr="00CA6CB7">
        <w:rPr>
          <w:rFonts w:ascii="Times New Roman" w:hAnsi="Times New Roman" w:cs="Times New Roman"/>
          <w:sz w:val="24"/>
          <w:szCs w:val="24"/>
        </w:rPr>
        <w:t xml:space="preserve">, which is probably due to stabilization of the partially unfolded protein molecules by non-covalent bonding. </w:t>
      </w:r>
      <w:r w:rsidR="005A313F" w:rsidRPr="00CA6CB7">
        <w:rPr>
          <w:rFonts w:ascii="Times New Roman" w:hAnsi="Times New Roman" w:cs="Times New Roman"/>
          <w:sz w:val="24"/>
          <w:szCs w:val="24"/>
        </w:rPr>
        <w:t xml:space="preserve">Interestingly, the thermal stability of </w:t>
      </w:r>
      <w:proofErr w:type="spellStart"/>
      <w:r w:rsidR="005A313F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5A313F" w:rsidRPr="00CA6CB7">
        <w:rPr>
          <w:rFonts w:ascii="Times New Roman" w:hAnsi="Times New Roman" w:cs="Times New Roman"/>
          <w:sz w:val="24"/>
          <w:szCs w:val="24"/>
        </w:rPr>
        <w:t xml:space="preserve"> was not affected by the modification. The native and feruloylated </w:t>
      </w:r>
      <w:proofErr w:type="spellStart"/>
      <w:r w:rsidR="005A313F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5A313F" w:rsidRPr="00CA6CB7">
        <w:rPr>
          <w:rFonts w:ascii="Times New Roman" w:hAnsi="Times New Roman" w:cs="Times New Roman"/>
          <w:sz w:val="24"/>
          <w:szCs w:val="24"/>
        </w:rPr>
        <w:t xml:space="preserve"> were not toxic to </w:t>
      </w:r>
      <w:r w:rsidR="00714792" w:rsidRPr="00CA6CB7">
        <w:rPr>
          <w:rFonts w:ascii="Times New Roman" w:hAnsi="Times New Roman" w:cs="Times New Roman"/>
          <w:sz w:val="24"/>
          <w:szCs w:val="24"/>
        </w:rPr>
        <w:t>normal fibroblasts (</w:t>
      </w:r>
      <w:r w:rsidR="00ED01F8" w:rsidRPr="00CA6CB7">
        <w:rPr>
          <w:rFonts w:ascii="Times New Roman" w:hAnsi="Times New Roman" w:cs="Times New Roman"/>
          <w:sz w:val="24"/>
          <w:szCs w:val="24"/>
        </w:rPr>
        <w:t>BJ cells</w:t>
      </w:r>
      <w:r w:rsidR="005D6E86" w:rsidRPr="00CA6CB7">
        <w:rPr>
          <w:rFonts w:ascii="Times New Roman" w:hAnsi="Times New Roman" w:cs="Times New Roman"/>
          <w:sz w:val="24"/>
          <w:szCs w:val="24"/>
        </w:rPr>
        <w:t>)</w:t>
      </w:r>
      <w:r w:rsidR="00312359" w:rsidRPr="00CA6CB7">
        <w:rPr>
          <w:rFonts w:ascii="Times New Roman" w:hAnsi="Times New Roman" w:cs="Times New Roman"/>
          <w:sz w:val="24"/>
          <w:szCs w:val="24"/>
        </w:rPr>
        <w:t xml:space="preserve">. </w:t>
      </w:r>
      <w:r w:rsidR="00EC3908" w:rsidRPr="00CA6CB7">
        <w:rPr>
          <w:rFonts w:ascii="Times New Roman" w:hAnsi="Times New Roman" w:cs="Times New Roman"/>
          <w:sz w:val="24"/>
          <w:szCs w:val="24"/>
        </w:rPr>
        <w:t>We observed decrease in cell viability of breast cancer MCF-7 cells to about 66% after</w:t>
      </w:r>
      <w:r w:rsidR="005D6E86" w:rsidRPr="00CA6CB7">
        <w:rPr>
          <w:rFonts w:ascii="Times New Roman" w:hAnsi="Times New Roman" w:cs="Times New Roman"/>
          <w:sz w:val="24"/>
          <w:szCs w:val="24"/>
        </w:rPr>
        <w:t xml:space="preserve"> a</w:t>
      </w:r>
      <w:r w:rsidR="00EC3908" w:rsidRPr="00CA6CB7">
        <w:rPr>
          <w:rFonts w:ascii="Times New Roman" w:hAnsi="Times New Roman" w:cs="Times New Roman"/>
          <w:sz w:val="24"/>
          <w:szCs w:val="24"/>
        </w:rPr>
        <w:t xml:space="preserve"> 48h exposure to 70 µg/well of </w:t>
      </w:r>
      <w:r w:rsidR="00312359" w:rsidRPr="00CA6CB7">
        <w:rPr>
          <w:rFonts w:ascii="Times New Roman" w:hAnsi="Times New Roman" w:cs="Times New Roman"/>
          <w:sz w:val="24"/>
          <w:szCs w:val="24"/>
        </w:rPr>
        <w:t>FA-HlH-2</w:t>
      </w:r>
      <w:r w:rsidR="00F1460E" w:rsidRPr="00CA6CB7">
        <w:rPr>
          <w:rFonts w:ascii="Times New Roman" w:hAnsi="Times New Roman" w:cs="Times New Roman"/>
          <w:sz w:val="24"/>
          <w:szCs w:val="24"/>
        </w:rPr>
        <w:t>.</w:t>
      </w:r>
      <w:r w:rsidR="00F600F5" w:rsidRPr="00CA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C3C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:rsidR="00806C3C" w:rsidRPr="00CA6CB7" w:rsidRDefault="00806C3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>Keywords:</w:t>
      </w:r>
      <w:r w:rsidRPr="00CA6CB7">
        <w:rPr>
          <w:rFonts w:ascii="Times New Roman" w:hAnsi="Times New Roman" w:cs="Times New Roman"/>
          <w:sz w:val="24"/>
          <w:szCs w:val="24"/>
        </w:rPr>
        <w:t xml:space="preserve"> hemocyanin conjugates; ferulic acid; conformational stability; thermal stability; cytotoxicity</w:t>
      </w:r>
    </w:p>
    <w:p w:rsidR="00806C3C" w:rsidRPr="00CA6CB7" w:rsidRDefault="00806C3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9AE" w:rsidRPr="00CA6CB7" w:rsidRDefault="00F64D0C" w:rsidP="00CA6CB7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1. </w:t>
      </w:r>
      <w:r w:rsidR="009D09AE" w:rsidRPr="005D7BA2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563D3" w:rsidRPr="00CA6CB7" w:rsidRDefault="005563D3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C0A" w:rsidRPr="00CA6CB7" w:rsidRDefault="00AF11C8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5563D3" w:rsidRPr="00CA6CB7">
        <w:rPr>
          <w:rFonts w:ascii="Times New Roman" w:hAnsi="Times New Roman" w:cs="Times New Roman"/>
          <w:sz w:val="24"/>
          <w:szCs w:val="24"/>
        </w:rPr>
        <w:t xml:space="preserve">Ferulic acid </w:t>
      </w:r>
      <w:r w:rsidR="009A1738" w:rsidRPr="00CA6CB7">
        <w:rPr>
          <w:rFonts w:ascii="Times New Roman" w:hAnsi="Times New Roman" w:cs="Times New Roman"/>
          <w:sz w:val="24"/>
          <w:szCs w:val="24"/>
        </w:rPr>
        <w:t xml:space="preserve">(FA) </w:t>
      </w:r>
      <w:r w:rsidR="005563D3" w:rsidRPr="00CA6CB7">
        <w:rPr>
          <w:rFonts w:ascii="Times New Roman" w:hAnsi="Times New Roman" w:cs="Times New Roman"/>
          <w:sz w:val="24"/>
          <w:szCs w:val="24"/>
        </w:rPr>
        <w:t xml:space="preserve">is a naturally occurring anti-oxidant, radical scavenging and </w:t>
      </w:r>
      <w:proofErr w:type="spellStart"/>
      <w:r w:rsidR="005563D3" w:rsidRPr="00CA6CB7">
        <w:rPr>
          <w:rFonts w:ascii="Times New Roman" w:hAnsi="Times New Roman" w:cs="Times New Roman"/>
          <w:sz w:val="24"/>
          <w:szCs w:val="24"/>
        </w:rPr>
        <w:t>photoprotective</w:t>
      </w:r>
      <w:proofErr w:type="spellEnd"/>
      <w:r w:rsidR="005563D3" w:rsidRPr="00CA6CB7">
        <w:rPr>
          <w:rFonts w:ascii="Times New Roman" w:hAnsi="Times New Roman" w:cs="Times New Roman"/>
          <w:sz w:val="24"/>
          <w:szCs w:val="24"/>
        </w:rPr>
        <w:t xml:space="preserve"> agent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 with huge therapeutic potential.</w:t>
      </w:r>
      <w:r w:rsidR="00383DD0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600C0A" w:rsidRPr="00CA6CB7">
        <w:rPr>
          <w:rFonts w:ascii="Times New Roman" w:hAnsi="Times New Roman" w:cs="Times New Roman"/>
          <w:sz w:val="24"/>
          <w:szCs w:val="24"/>
        </w:rPr>
        <w:t xml:space="preserve">It has been reported that FA have </w:t>
      </w:r>
      <w:r w:rsidR="00D52A12" w:rsidRPr="00CA6CB7">
        <w:rPr>
          <w:rFonts w:ascii="Times New Roman" w:hAnsi="Times New Roman" w:cs="Times New Roman"/>
          <w:sz w:val="24"/>
          <w:szCs w:val="24"/>
        </w:rPr>
        <w:t xml:space="preserve">also </w:t>
      </w:r>
      <w:r w:rsidR="00600C0A" w:rsidRPr="00CA6CB7">
        <w:rPr>
          <w:rFonts w:ascii="Times New Roman" w:hAnsi="Times New Roman" w:cs="Times New Roman"/>
          <w:sz w:val="24"/>
          <w:szCs w:val="24"/>
        </w:rPr>
        <w:t>st</w:t>
      </w:r>
      <w:r w:rsidR="00747D78">
        <w:rPr>
          <w:rFonts w:ascii="Times New Roman" w:hAnsi="Times New Roman" w:cs="Times New Roman"/>
          <w:sz w:val="24"/>
          <w:szCs w:val="24"/>
        </w:rPr>
        <w:t xml:space="preserve">rong </w:t>
      </w:r>
      <w:proofErr w:type="spellStart"/>
      <w:r w:rsidR="00747D78">
        <w:rPr>
          <w:rFonts w:ascii="Times New Roman" w:hAnsi="Times New Roman" w:cs="Times New Roman"/>
          <w:sz w:val="24"/>
          <w:szCs w:val="24"/>
        </w:rPr>
        <w:t>hepatoprotective</w:t>
      </w:r>
      <w:proofErr w:type="spellEnd"/>
      <w:r w:rsidR="00747D78">
        <w:rPr>
          <w:rFonts w:ascii="Times New Roman" w:hAnsi="Times New Roman" w:cs="Times New Roman"/>
          <w:sz w:val="24"/>
          <w:szCs w:val="24"/>
        </w:rPr>
        <w:t xml:space="preserve"> activity</w:t>
      </w:r>
      <w:r w:rsidR="00600C0A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0C0A" w:rsidRPr="00CA6CB7">
        <w:rPr>
          <w:rFonts w:ascii="Times New Roman" w:hAnsi="Times New Roman" w:cs="Times New Roman"/>
          <w:sz w:val="24"/>
          <w:szCs w:val="24"/>
        </w:rPr>
        <w:t xml:space="preserve">Much attention has been paid </w:t>
      </w:r>
      <w:r w:rsidR="00F64D0C" w:rsidRPr="00CA6CB7">
        <w:rPr>
          <w:rFonts w:ascii="Times New Roman" w:hAnsi="Times New Roman" w:cs="Times New Roman"/>
          <w:sz w:val="24"/>
          <w:szCs w:val="24"/>
        </w:rPr>
        <w:t xml:space="preserve">in the literature </w:t>
      </w:r>
      <w:r w:rsidR="00600C0A" w:rsidRPr="00CA6CB7">
        <w:rPr>
          <w:rFonts w:ascii="Times New Roman" w:hAnsi="Times New Roman" w:cs="Times New Roman"/>
          <w:sz w:val="24"/>
          <w:szCs w:val="24"/>
        </w:rPr>
        <w:t>on the beneficial role of FA in the treatment and prevention of Alzheimer’s disease, a seri</w:t>
      </w:r>
      <w:r w:rsidR="00747D78">
        <w:rPr>
          <w:rFonts w:ascii="Times New Roman" w:hAnsi="Times New Roman" w:cs="Times New Roman"/>
          <w:sz w:val="24"/>
          <w:szCs w:val="24"/>
        </w:rPr>
        <w:t>ous neurodegenerative disorder</w:t>
      </w:r>
      <w:r w:rsidR="00600C0A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r w:rsidR="00600C0A" w:rsidRPr="00CA6CB7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1A4DC4" w:rsidRPr="00CA6CB7">
        <w:rPr>
          <w:rFonts w:ascii="Times New Roman" w:hAnsi="Times New Roman" w:cs="Times New Roman"/>
          <w:sz w:val="24"/>
          <w:szCs w:val="24"/>
        </w:rPr>
        <w:t xml:space="preserve">FA </w:t>
      </w:r>
      <w:r w:rsidR="00F64D0C" w:rsidRPr="00CA6CB7">
        <w:rPr>
          <w:rFonts w:ascii="Times New Roman" w:hAnsi="Times New Roman" w:cs="Times New Roman"/>
          <w:sz w:val="24"/>
          <w:szCs w:val="24"/>
        </w:rPr>
        <w:t xml:space="preserve">inhibits melanin production, therefore </w:t>
      </w:r>
      <w:r w:rsidR="00D77C25" w:rsidRPr="00CA6CB7">
        <w:rPr>
          <w:rFonts w:ascii="Times New Roman" w:hAnsi="Times New Roman" w:cs="Times New Roman"/>
          <w:sz w:val="24"/>
          <w:szCs w:val="24"/>
        </w:rPr>
        <w:t>can be involved in formulation</w:t>
      </w:r>
      <w:r w:rsidR="00F64D0C" w:rsidRPr="00CA6CB7">
        <w:rPr>
          <w:rFonts w:ascii="Times New Roman" w:hAnsi="Times New Roman" w:cs="Times New Roman"/>
          <w:sz w:val="24"/>
          <w:szCs w:val="24"/>
        </w:rPr>
        <w:t>s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 for skin depigmentation</w:t>
      </w:r>
      <w:r w:rsidR="001A4DC4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47D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64D0C" w:rsidRPr="00CA6CB7">
        <w:rPr>
          <w:rFonts w:ascii="Times New Roman" w:hAnsi="Times New Roman" w:cs="Times New Roman"/>
          <w:sz w:val="24"/>
          <w:szCs w:val="24"/>
        </w:rPr>
        <w:t>Interestingly,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 g</w:t>
      </w:r>
      <w:r w:rsidR="001A4DC4" w:rsidRPr="00CA6CB7">
        <w:rPr>
          <w:rFonts w:ascii="Times New Roman" w:hAnsi="Times New Roman" w:cs="Times New Roman"/>
          <w:sz w:val="24"/>
          <w:szCs w:val="24"/>
        </w:rPr>
        <w:t xml:space="preserve">raft copolymers containing ferulic and </w:t>
      </w:r>
      <w:proofErr w:type="spellStart"/>
      <w:r w:rsidR="001A4DC4" w:rsidRPr="00CA6CB7">
        <w:rPr>
          <w:rFonts w:ascii="Times New Roman" w:hAnsi="Times New Roman" w:cs="Times New Roman"/>
          <w:sz w:val="24"/>
          <w:szCs w:val="24"/>
        </w:rPr>
        <w:t>hyaluronic</w:t>
      </w:r>
      <w:proofErr w:type="spellEnd"/>
      <w:r w:rsidR="001A4DC4" w:rsidRPr="00CA6CB7">
        <w:rPr>
          <w:rFonts w:ascii="Times New Roman" w:hAnsi="Times New Roman" w:cs="Times New Roman"/>
          <w:sz w:val="24"/>
          <w:szCs w:val="24"/>
        </w:rPr>
        <w:t xml:space="preserve"> acid exhibit wound healing properties and 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can be involved in </w:t>
      </w:r>
      <w:r w:rsidR="00F64D0C" w:rsidRPr="00CA6CB7">
        <w:rPr>
          <w:rFonts w:ascii="Times New Roman" w:hAnsi="Times New Roman" w:cs="Times New Roman"/>
          <w:sz w:val="24"/>
          <w:szCs w:val="24"/>
        </w:rPr>
        <w:t>medicines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 for treatme</w:t>
      </w:r>
      <w:r w:rsidR="00747D78">
        <w:rPr>
          <w:rFonts w:ascii="Times New Roman" w:hAnsi="Times New Roman" w:cs="Times New Roman"/>
          <w:sz w:val="24"/>
          <w:szCs w:val="24"/>
        </w:rPr>
        <w:t>nt of chronic and acute wounds</w:t>
      </w:r>
      <w:r w:rsidR="00D77C25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r w:rsidR="00F64D0C" w:rsidRPr="00CA6CB7">
        <w:rPr>
          <w:rFonts w:ascii="Times New Roman" w:hAnsi="Times New Roman" w:cs="Times New Roman"/>
          <w:sz w:val="24"/>
          <w:szCs w:val="24"/>
        </w:rPr>
        <w:t xml:space="preserve">On the other hand, </w:t>
      </w:r>
      <w:proofErr w:type="spellStart"/>
      <w:r w:rsidR="00F64D0C" w:rsidRPr="00CA6CB7">
        <w:rPr>
          <w:rFonts w:ascii="Times New Roman" w:hAnsi="Times New Roman" w:cs="Times New Roman"/>
          <w:sz w:val="24"/>
          <w:szCs w:val="24"/>
        </w:rPr>
        <w:t>c</w:t>
      </w:r>
      <w:r w:rsidR="00E9366B" w:rsidRPr="00CA6CB7">
        <w:rPr>
          <w:rFonts w:ascii="Times New Roman" w:hAnsi="Times New Roman" w:cs="Times New Roman"/>
          <w:sz w:val="24"/>
          <w:szCs w:val="24"/>
        </w:rPr>
        <w:t>hitosan</w:t>
      </w:r>
      <w:proofErr w:type="spellEnd"/>
      <w:r w:rsidR="00E9366B" w:rsidRPr="00CA6CB7">
        <w:rPr>
          <w:rFonts w:ascii="Times New Roman" w:hAnsi="Times New Roman" w:cs="Times New Roman"/>
          <w:sz w:val="24"/>
          <w:szCs w:val="24"/>
        </w:rPr>
        <w:t>-FA conjugates are proposed as</w:t>
      </w:r>
      <w:r w:rsidR="00600C0A" w:rsidRPr="00CA6CB7">
        <w:rPr>
          <w:rFonts w:ascii="Times New Roman" w:hAnsi="Times New Roman" w:cs="Times New Roman"/>
          <w:sz w:val="24"/>
          <w:szCs w:val="24"/>
        </w:rPr>
        <w:t xml:space="preserve"> no</w:t>
      </w:r>
      <w:r w:rsidR="00747D78">
        <w:rPr>
          <w:rFonts w:ascii="Times New Roman" w:hAnsi="Times New Roman" w:cs="Times New Roman"/>
          <w:sz w:val="24"/>
          <w:szCs w:val="24"/>
        </w:rPr>
        <w:t xml:space="preserve">vel drug delivery system based </w:t>
      </w:r>
      <w:r w:rsidR="00022A97" w:rsidRPr="00CA6CB7">
        <w:rPr>
          <w:rFonts w:ascii="Times New Roman" w:hAnsi="Times New Roman" w:cs="Times New Roman"/>
          <w:sz w:val="24"/>
          <w:szCs w:val="24"/>
        </w:rPr>
        <w:t>,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r w:rsidR="00022A97" w:rsidRPr="00CA6CB7">
        <w:rPr>
          <w:rFonts w:ascii="Times New Roman" w:hAnsi="Times New Roman" w:cs="Times New Roman"/>
          <w:sz w:val="24"/>
          <w:szCs w:val="24"/>
        </w:rPr>
        <w:t xml:space="preserve">while FA-modified glycol </w:t>
      </w:r>
      <w:proofErr w:type="spellStart"/>
      <w:r w:rsidR="00022A97" w:rsidRPr="00CA6CB7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="00022A97" w:rsidRPr="00CA6CB7">
        <w:rPr>
          <w:rFonts w:ascii="Times New Roman" w:hAnsi="Times New Roman" w:cs="Times New Roman"/>
          <w:sz w:val="24"/>
          <w:szCs w:val="24"/>
        </w:rPr>
        <w:t xml:space="preserve"> exhibited remarkable </w:t>
      </w:r>
      <w:proofErr w:type="spellStart"/>
      <w:r w:rsidR="00022A97" w:rsidRPr="00CA6CB7">
        <w:rPr>
          <w:rFonts w:ascii="Times New Roman" w:hAnsi="Times New Roman" w:cs="Times New Roman"/>
          <w:sz w:val="24"/>
          <w:szCs w:val="24"/>
        </w:rPr>
        <w:t>neuroprotective</w:t>
      </w:r>
      <w:proofErr w:type="spellEnd"/>
      <w:r w:rsidR="00022A97" w:rsidRPr="00CA6CB7">
        <w:rPr>
          <w:rFonts w:ascii="Times New Roman" w:hAnsi="Times New Roman" w:cs="Times New Roman"/>
          <w:sz w:val="24"/>
          <w:szCs w:val="24"/>
        </w:rPr>
        <w:t xml:space="preserve"> activity and can be applied in functional restoration of traumatically injured spinal c</w:t>
      </w:r>
      <w:r w:rsidR="00747D78">
        <w:rPr>
          <w:rFonts w:ascii="Times New Roman" w:hAnsi="Times New Roman" w:cs="Times New Roman"/>
          <w:sz w:val="24"/>
          <w:szCs w:val="24"/>
        </w:rPr>
        <w:t>ord, a life-threatening trauma</w:t>
      </w:r>
      <w:r w:rsidR="00022A97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7A0433" w:rsidRPr="00CA6CB7" w:rsidRDefault="00F64D0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Here we </w:t>
      </w:r>
      <w:r w:rsidR="00DC2D7B" w:rsidRPr="00CA6CB7">
        <w:rPr>
          <w:rFonts w:ascii="Times New Roman" w:hAnsi="Times New Roman" w:cs="Times New Roman"/>
          <w:sz w:val="24"/>
          <w:szCs w:val="24"/>
        </w:rPr>
        <w:t>report</w:t>
      </w:r>
      <w:r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15C20" w:rsidRPr="00CA6CB7">
        <w:rPr>
          <w:rFonts w:ascii="Times New Roman" w:hAnsi="Times New Roman" w:cs="Times New Roman"/>
          <w:sz w:val="24"/>
          <w:szCs w:val="24"/>
        </w:rPr>
        <w:t xml:space="preserve">the preparation of two </w:t>
      </w:r>
      <w:r w:rsidR="00DC2D7B" w:rsidRPr="00CA6CB7">
        <w:rPr>
          <w:rFonts w:ascii="Times New Roman" w:hAnsi="Times New Roman" w:cs="Times New Roman"/>
          <w:sz w:val="24"/>
          <w:szCs w:val="24"/>
        </w:rPr>
        <w:t>FA-hemocyanin conjugates. H</w:t>
      </w:r>
      <w:r w:rsidR="00391897" w:rsidRPr="00CA6CB7">
        <w:rPr>
          <w:rFonts w:ascii="Times New Roman" w:hAnsi="Times New Roman" w:cs="Times New Roman"/>
          <w:sz w:val="24"/>
          <w:szCs w:val="24"/>
        </w:rPr>
        <w:t>emocyanins (</w:t>
      </w:r>
      <w:proofErr w:type="spellStart"/>
      <w:r w:rsidR="00391897" w:rsidRPr="00CA6CB7">
        <w:rPr>
          <w:rFonts w:ascii="Times New Roman" w:hAnsi="Times New Roman" w:cs="Times New Roman"/>
          <w:sz w:val="24"/>
          <w:szCs w:val="24"/>
        </w:rPr>
        <w:t>Hc</w:t>
      </w:r>
      <w:proofErr w:type="spellEnd"/>
      <w:r w:rsidR="00391897" w:rsidRPr="00CA6CB7">
        <w:rPr>
          <w:rFonts w:ascii="Times New Roman" w:hAnsi="Times New Roman" w:cs="Times New Roman"/>
          <w:sz w:val="24"/>
          <w:szCs w:val="24"/>
        </w:rPr>
        <w:t xml:space="preserve">) are </w:t>
      </w:r>
      <w:r w:rsidR="00BF75D2" w:rsidRPr="00CA6CB7">
        <w:rPr>
          <w:rFonts w:ascii="Times New Roman" w:hAnsi="Times New Roman" w:cs="Times New Roman"/>
          <w:sz w:val="24"/>
          <w:szCs w:val="24"/>
        </w:rPr>
        <w:t xml:space="preserve">large </w:t>
      </w:r>
      <w:r w:rsidR="003535AF" w:rsidRPr="00CA6CB7">
        <w:rPr>
          <w:rFonts w:ascii="Times New Roman" w:hAnsi="Times New Roman" w:cs="Times New Roman"/>
          <w:sz w:val="24"/>
          <w:szCs w:val="24"/>
        </w:rPr>
        <w:t xml:space="preserve">complex </w:t>
      </w:r>
      <w:r w:rsidR="00391897" w:rsidRPr="00CA6CB7">
        <w:rPr>
          <w:rFonts w:ascii="Times New Roman" w:hAnsi="Times New Roman" w:cs="Times New Roman"/>
          <w:sz w:val="24"/>
          <w:szCs w:val="24"/>
        </w:rPr>
        <w:t xml:space="preserve">respiratory proteins freely dissolved in the hemolymph of arthropods and </w:t>
      </w:r>
      <w:r w:rsidR="00747D78">
        <w:rPr>
          <w:rFonts w:ascii="Times New Roman" w:hAnsi="Times New Roman" w:cs="Times New Roman"/>
          <w:sz w:val="24"/>
          <w:szCs w:val="24"/>
        </w:rPr>
        <w:t>mollusks </w:t>
      </w:r>
      <w:r w:rsidR="00391897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47D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445F13" w:rsidRPr="00CA6CB7">
        <w:rPr>
          <w:rFonts w:ascii="Times New Roman" w:hAnsi="Times New Roman" w:cs="Times New Roman"/>
          <w:sz w:val="24"/>
          <w:szCs w:val="24"/>
        </w:rPr>
        <w:t>Hc</w:t>
      </w:r>
      <w:proofErr w:type="spellEnd"/>
      <w:r w:rsidR="00DB1224" w:rsidRPr="00CA6CB7">
        <w:rPr>
          <w:rFonts w:ascii="Times New Roman" w:hAnsi="Times New Roman" w:cs="Times New Roman"/>
          <w:sz w:val="24"/>
          <w:szCs w:val="24"/>
        </w:rPr>
        <w:t xml:space="preserve"> isolated</w:t>
      </w:r>
      <w:r w:rsidR="00445F13" w:rsidRPr="00CA6CB7">
        <w:rPr>
          <w:rFonts w:ascii="Times New Roman" w:hAnsi="Times New Roman" w:cs="Times New Roman"/>
          <w:sz w:val="24"/>
          <w:szCs w:val="24"/>
        </w:rPr>
        <w:t xml:space="preserve"> from </w:t>
      </w:r>
      <w:r w:rsidR="00445F13" w:rsidRPr="00CA6CB7">
        <w:rPr>
          <w:rFonts w:ascii="Times New Roman" w:hAnsi="Times New Roman" w:cs="Times New Roman"/>
          <w:i/>
          <w:sz w:val="24"/>
          <w:szCs w:val="24"/>
        </w:rPr>
        <w:t>Keyhole limpet</w:t>
      </w:r>
      <w:r w:rsidR="00445F13" w:rsidRPr="00CA6CB7">
        <w:rPr>
          <w:rFonts w:ascii="Times New Roman" w:hAnsi="Times New Roman" w:cs="Times New Roman"/>
          <w:sz w:val="24"/>
          <w:szCs w:val="24"/>
        </w:rPr>
        <w:t xml:space="preserve"> (KLH) is commercialized and is applied as </w:t>
      </w:r>
      <w:r w:rsidR="00BF75D2" w:rsidRPr="00CA6CB7">
        <w:rPr>
          <w:rFonts w:ascii="Times New Roman" w:hAnsi="Times New Roman" w:cs="Times New Roman"/>
          <w:sz w:val="24"/>
          <w:szCs w:val="24"/>
        </w:rPr>
        <w:t xml:space="preserve">an </w:t>
      </w:r>
      <w:r w:rsidR="00445F13" w:rsidRPr="00CA6CB7">
        <w:rPr>
          <w:rFonts w:ascii="Times New Roman" w:hAnsi="Times New Roman" w:cs="Times New Roman"/>
          <w:sz w:val="24"/>
          <w:szCs w:val="24"/>
        </w:rPr>
        <w:t xml:space="preserve">immunotherapeutic in case of prostate cancer </w:t>
      </w:r>
      <w:r w:rsidR="00DB1224" w:rsidRPr="00CA6CB7">
        <w:rPr>
          <w:rFonts w:ascii="Times New Roman" w:hAnsi="Times New Roman" w:cs="Times New Roman"/>
          <w:sz w:val="24"/>
          <w:szCs w:val="24"/>
        </w:rPr>
        <w:t>for several decades</w:t>
      </w:r>
      <w:r w:rsidR="00445F13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r w:rsidR="00DB1224" w:rsidRPr="00CA6CB7">
        <w:rPr>
          <w:rFonts w:ascii="Times New Roman" w:hAnsi="Times New Roman" w:cs="Times New Roman"/>
          <w:sz w:val="24"/>
          <w:szCs w:val="24"/>
        </w:rPr>
        <w:t>Currently, many other vaccines against non-</w:t>
      </w:r>
      <w:proofErr w:type="spellStart"/>
      <w:r w:rsidR="00DB1224" w:rsidRPr="00CA6CB7">
        <w:rPr>
          <w:rFonts w:ascii="Times New Roman" w:hAnsi="Times New Roman" w:cs="Times New Roman"/>
          <w:sz w:val="24"/>
          <w:szCs w:val="24"/>
        </w:rPr>
        <w:t>Hodgkins</w:t>
      </w:r>
      <w:proofErr w:type="spellEnd"/>
      <w:r w:rsidR="00DB1224" w:rsidRPr="00CA6CB7">
        <w:rPr>
          <w:rFonts w:ascii="Times New Roman" w:hAnsi="Times New Roman" w:cs="Times New Roman"/>
          <w:sz w:val="24"/>
          <w:szCs w:val="24"/>
        </w:rPr>
        <w:t xml:space="preserve"> lymphoma, </w:t>
      </w:r>
      <w:proofErr w:type="spellStart"/>
      <w:r w:rsidR="00DB1224" w:rsidRPr="00CA6CB7">
        <w:rPr>
          <w:rFonts w:ascii="Times New Roman" w:hAnsi="Times New Roman" w:cs="Times New Roman"/>
          <w:sz w:val="24"/>
          <w:szCs w:val="24"/>
        </w:rPr>
        <w:t>cutaneous</w:t>
      </w:r>
      <w:proofErr w:type="spellEnd"/>
      <w:r w:rsidR="00DB1224" w:rsidRPr="00CA6CB7">
        <w:rPr>
          <w:rFonts w:ascii="Times New Roman" w:hAnsi="Times New Roman" w:cs="Times New Roman"/>
          <w:sz w:val="24"/>
          <w:szCs w:val="24"/>
        </w:rPr>
        <w:t xml:space="preserve"> melanoma, breast and bladder cancer, that are based on KLH undergo clinical trials</w:t>
      </w:r>
      <w:r w:rsidR="009C2EB1" w:rsidRPr="00CA6CB7">
        <w:rPr>
          <w:rFonts w:ascii="Times New Roman" w:hAnsi="Times New Roman" w:cs="Times New Roman"/>
          <w:sz w:val="24"/>
          <w:szCs w:val="24"/>
        </w:rPr>
        <w:t xml:space="preserve">. </w:t>
      </w:r>
      <w:r w:rsidR="00BF75D2" w:rsidRPr="00CA6CB7">
        <w:rPr>
          <w:rFonts w:ascii="Times New Roman" w:hAnsi="Times New Roman" w:cs="Times New Roman"/>
          <w:sz w:val="24"/>
          <w:szCs w:val="24"/>
        </w:rPr>
        <w:t>In addition, t</w:t>
      </w:r>
      <w:r w:rsidR="00DB1224" w:rsidRPr="00CA6CB7">
        <w:rPr>
          <w:rFonts w:ascii="Times New Roman" w:hAnsi="Times New Roman" w:cs="Times New Roman"/>
          <w:sz w:val="24"/>
          <w:szCs w:val="24"/>
        </w:rPr>
        <w:t xml:space="preserve">he whole protein or </w:t>
      </w:r>
      <w:r w:rsidR="00445F13" w:rsidRPr="00CA6CB7">
        <w:rPr>
          <w:rFonts w:ascii="Times New Roman" w:hAnsi="Times New Roman" w:cs="Times New Roman"/>
          <w:sz w:val="24"/>
          <w:szCs w:val="24"/>
        </w:rPr>
        <w:t xml:space="preserve">its subunits are </w:t>
      </w:r>
      <w:r w:rsidR="00DB1224" w:rsidRPr="00CA6CB7">
        <w:rPr>
          <w:rFonts w:ascii="Times New Roman" w:hAnsi="Times New Roman" w:cs="Times New Roman"/>
          <w:sz w:val="24"/>
          <w:szCs w:val="24"/>
        </w:rPr>
        <w:t xml:space="preserve">used </w:t>
      </w:r>
      <w:r w:rsidR="00445F13" w:rsidRPr="00CA6CB7">
        <w:rPr>
          <w:rFonts w:ascii="Times New Roman" w:hAnsi="Times New Roman" w:cs="Times New Roman"/>
          <w:sz w:val="24"/>
          <w:szCs w:val="24"/>
        </w:rPr>
        <w:t>protein carriers or adjuvants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r w:rsidR="009C2EB1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47D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1897" w:rsidRPr="00CA6CB7">
        <w:rPr>
          <w:rFonts w:ascii="Times New Roman" w:hAnsi="Times New Roman" w:cs="Times New Roman"/>
          <w:sz w:val="24"/>
          <w:szCs w:val="24"/>
        </w:rPr>
        <w:t xml:space="preserve">Many </w:t>
      </w:r>
      <w:r w:rsidR="00BF75D2" w:rsidRPr="00CA6CB7">
        <w:rPr>
          <w:rFonts w:ascii="Times New Roman" w:hAnsi="Times New Roman" w:cs="Times New Roman"/>
          <w:sz w:val="24"/>
          <w:szCs w:val="24"/>
        </w:rPr>
        <w:t xml:space="preserve">other </w:t>
      </w:r>
      <w:proofErr w:type="spellStart"/>
      <w:r w:rsidR="00391897" w:rsidRPr="00CA6CB7">
        <w:rPr>
          <w:rFonts w:ascii="Times New Roman" w:hAnsi="Times New Roman" w:cs="Times New Roman"/>
          <w:sz w:val="24"/>
          <w:szCs w:val="24"/>
        </w:rPr>
        <w:t>Hcs</w:t>
      </w:r>
      <w:proofErr w:type="spellEnd"/>
      <w:r w:rsidR="00391897" w:rsidRPr="00CA6CB7">
        <w:rPr>
          <w:rFonts w:ascii="Times New Roman" w:hAnsi="Times New Roman" w:cs="Times New Roman"/>
          <w:sz w:val="24"/>
          <w:szCs w:val="24"/>
        </w:rPr>
        <w:t xml:space="preserve"> have been isolated and structurally characterized, </w:t>
      </w:r>
      <w:r w:rsidR="00DB1224" w:rsidRPr="00CA6CB7">
        <w:rPr>
          <w:rFonts w:ascii="Times New Roman" w:hAnsi="Times New Roman" w:cs="Times New Roman"/>
          <w:sz w:val="24"/>
          <w:szCs w:val="24"/>
        </w:rPr>
        <w:t xml:space="preserve">some </w:t>
      </w:r>
      <w:r w:rsidR="00BF75D2" w:rsidRPr="00CA6CB7">
        <w:rPr>
          <w:rFonts w:ascii="Times New Roman" w:hAnsi="Times New Roman" w:cs="Times New Roman"/>
          <w:sz w:val="24"/>
          <w:szCs w:val="24"/>
        </w:rPr>
        <w:t>exhibit</w:t>
      </w:r>
      <w:r w:rsidR="00DB1224" w:rsidRPr="00CA6CB7">
        <w:rPr>
          <w:rFonts w:ascii="Times New Roman" w:hAnsi="Times New Roman" w:cs="Times New Roman"/>
          <w:sz w:val="24"/>
          <w:szCs w:val="24"/>
        </w:rPr>
        <w:t xml:space="preserve"> anticancer</w:t>
      </w:r>
      <w:r w:rsidR="00AF11C8" w:rsidRPr="00CA6CB7">
        <w:rPr>
          <w:rFonts w:ascii="Times New Roman" w:hAnsi="Times New Roman" w:cs="Times New Roman"/>
          <w:sz w:val="24"/>
          <w:szCs w:val="24"/>
        </w:rPr>
        <w:t>, immunostimulatory</w:t>
      </w:r>
      <w:r w:rsidR="00BF75D2" w:rsidRPr="00CA6CB7">
        <w:rPr>
          <w:rFonts w:ascii="Times New Roman" w:hAnsi="Times New Roman" w:cs="Times New Roman"/>
          <w:sz w:val="24"/>
          <w:szCs w:val="24"/>
        </w:rPr>
        <w:t>, antiviral, antifungal activities</w:t>
      </w:r>
      <w:r w:rsidR="00747D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7D7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47D78">
        <w:rPr>
          <w:rFonts w:ascii="Times New Roman" w:hAnsi="Times New Roman" w:cs="Times New Roman"/>
          <w:sz w:val="24"/>
          <w:szCs w:val="24"/>
        </w:rPr>
        <w:t xml:space="preserve"> vitro and in vivo assays</w:t>
      </w:r>
      <w:r w:rsidR="00AF11C8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Hc</w:t>
      </w:r>
      <w:proofErr w:type="spellEnd"/>
      <w:r w:rsidR="003535AF" w:rsidRPr="00CA6CB7">
        <w:rPr>
          <w:rFonts w:ascii="Times New Roman" w:hAnsi="Times New Roman" w:cs="Times New Roman"/>
          <w:sz w:val="24"/>
          <w:szCs w:val="24"/>
        </w:rPr>
        <w:t xml:space="preserve"> from </w:t>
      </w:r>
      <w:r w:rsidR="003535AF" w:rsidRPr="00CA6CB7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="003535AF" w:rsidRPr="00CA6CB7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 w:rsidR="003535AF" w:rsidRPr="00CA6C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5AF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3535AF" w:rsidRPr="00CA6CB7">
        <w:rPr>
          <w:rFonts w:ascii="Times New Roman" w:hAnsi="Times New Roman" w:cs="Times New Roman"/>
          <w:sz w:val="24"/>
          <w:szCs w:val="24"/>
        </w:rPr>
        <w:t xml:space="preserve">) has been recently </w:t>
      </w:r>
      <w:r w:rsidR="00747D78">
        <w:rPr>
          <w:rFonts w:ascii="Times New Roman" w:hAnsi="Times New Roman" w:cs="Times New Roman"/>
          <w:sz w:val="24"/>
          <w:szCs w:val="24"/>
        </w:rPr>
        <w:t>isolated and characterized</w:t>
      </w:r>
      <w:r w:rsidR="003F6B72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747D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979B4" w:rsidRPr="00CA6CB7">
        <w:rPr>
          <w:rFonts w:ascii="Times New Roman" w:hAnsi="Times New Roman" w:cs="Times New Roman"/>
          <w:sz w:val="24"/>
          <w:szCs w:val="24"/>
        </w:rPr>
        <w:t xml:space="preserve">Lately, it has been reported that </w:t>
      </w:r>
      <w:proofErr w:type="spellStart"/>
      <w:r w:rsidR="000979B4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0979B4" w:rsidRPr="00CA6CB7">
        <w:rPr>
          <w:rFonts w:ascii="Times New Roman" w:hAnsi="Times New Roman" w:cs="Times New Roman"/>
          <w:sz w:val="24"/>
          <w:szCs w:val="24"/>
        </w:rPr>
        <w:t xml:space="preserve"> and its structural subunits are cytoto</w:t>
      </w:r>
      <w:r w:rsidR="00747D78">
        <w:rPr>
          <w:rFonts w:ascii="Times New Roman" w:hAnsi="Times New Roman" w:cs="Times New Roman"/>
          <w:sz w:val="24"/>
          <w:szCs w:val="24"/>
        </w:rPr>
        <w:t xml:space="preserve">xic to bladder carcinoma cells </w:t>
      </w:r>
      <w:r w:rsidR="000979B4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:rsidR="00BF75D2" w:rsidRDefault="00BF75D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The aim of the study is to prepare </w:t>
      </w:r>
      <w:r w:rsidR="00C34743" w:rsidRPr="00CA6CB7">
        <w:rPr>
          <w:rFonts w:ascii="Times New Roman" w:hAnsi="Times New Roman" w:cs="Times New Roman"/>
          <w:sz w:val="24"/>
          <w:szCs w:val="24"/>
        </w:rPr>
        <w:t>FA</w:t>
      </w:r>
      <w:r w:rsidRPr="00CA6C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conjugates and to </w:t>
      </w:r>
      <w:r w:rsidR="000C6FD5" w:rsidRPr="00CA6CB7">
        <w:rPr>
          <w:rFonts w:ascii="Times New Roman" w:hAnsi="Times New Roman" w:cs="Times New Roman"/>
          <w:sz w:val="24"/>
          <w:szCs w:val="24"/>
        </w:rPr>
        <w:t xml:space="preserve">assess the effect of </w:t>
      </w:r>
      <w:r w:rsidR="0088520A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="000C6FD5" w:rsidRPr="00CA6CB7">
        <w:rPr>
          <w:rFonts w:ascii="Times New Roman" w:hAnsi="Times New Roman" w:cs="Times New Roman"/>
          <w:sz w:val="24"/>
          <w:szCs w:val="24"/>
        </w:rPr>
        <w:t xml:space="preserve">feruloylation on the </w:t>
      </w:r>
      <w:proofErr w:type="spellStart"/>
      <w:r w:rsidR="00C34743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C34743" w:rsidRPr="00CA6CB7">
        <w:rPr>
          <w:rFonts w:ascii="Times New Roman" w:hAnsi="Times New Roman" w:cs="Times New Roman"/>
          <w:sz w:val="24"/>
          <w:szCs w:val="24"/>
        </w:rPr>
        <w:t xml:space="preserve"> conformation and thermal stability. Cytotoxic effect of the FA-</w:t>
      </w:r>
      <w:proofErr w:type="spellStart"/>
      <w:r w:rsidR="00C34743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C34743" w:rsidRPr="00CA6CB7">
        <w:rPr>
          <w:rFonts w:ascii="Times New Roman" w:hAnsi="Times New Roman" w:cs="Times New Roman"/>
          <w:sz w:val="24"/>
          <w:szCs w:val="24"/>
        </w:rPr>
        <w:t xml:space="preserve"> conjugates against </w:t>
      </w:r>
      <w:r w:rsidR="007C7819" w:rsidRPr="00CA6CB7">
        <w:rPr>
          <w:rFonts w:ascii="Times New Roman" w:hAnsi="Times New Roman" w:cs="Times New Roman"/>
          <w:sz w:val="24"/>
          <w:szCs w:val="24"/>
        </w:rPr>
        <w:t xml:space="preserve">fibroblasts (BJ cells), hormone-dependent breast cancer cells (MCF-7 cells) and hormone-independent breast cancer cells (MDA-MB-231 cells). </w:t>
      </w:r>
      <w:r w:rsidR="00C34743" w:rsidRPr="00CA6CB7">
        <w:rPr>
          <w:rFonts w:ascii="Times New Roman" w:hAnsi="Times New Roman" w:cs="Times New Roman"/>
          <w:sz w:val="24"/>
          <w:szCs w:val="24"/>
        </w:rPr>
        <w:t xml:space="preserve">Experiments with </w:t>
      </w:r>
      <w:r w:rsidR="00E15C20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="00C34743" w:rsidRPr="00CA6CB7">
        <w:rPr>
          <w:rFonts w:ascii="Times New Roman" w:hAnsi="Times New Roman" w:cs="Times New Roman"/>
          <w:sz w:val="24"/>
          <w:szCs w:val="24"/>
        </w:rPr>
        <w:t xml:space="preserve">native </w:t>
      </w:r>
      <w:proofErr w:type="spellStart"/>
      <w:r w:rsidR="00C34743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C34743" w:rsidRPr="00CA6CB7">
        <w:rPr>
          <w:rFonts w:ascii="Times New Roman" w:hAnsi="Times New Roman" w:cs="Times New Roman"/>
          <w:sz w:val="24"/>
          <w:szCs w:val="24"/>
        </w:rPr>
        <w:t xml:space="preserve"> were conducted for comparison.</w:t>
      </w:r>
    </w:p>
    <w:p w:rsidR="006032EA" w:rsidRPr="00CA6CB7" w:rsidRDefault="006032EA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32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lastRenderedPageBreak/>
        <w:tab/>
      </w:r>
      <w:r w:rsidR="00E15C20" w:rsidRPr="00CA6CB7">
        <w:rPr>
          <w:rFonts w:ascii="Times New Roman" w:hAnsi="Times New Roman" w:cs="Times New Roman"/>
          <w:b/>
          <w:caps/>
          <w:sz w:val="24"/>
          <w:szCs w:val="24"/>
        </w:rPr>
        <w:t xml:space="preserve">2. </w:t>
      </w:r>
      <w:r w:rsidR="005D7BA2">
        <w:rPr>
          <w:rFonts w:ascii="Times New Roman" w:hAnsi="Times New Roman" w:cs="Times New Roman"/>
          <w:b/>
          <w:sz w:val="24"/>
          <w:szCs w:val="24"/>
        </w:rPr>
        <w:t>Materials and Methods</w:t>
      </w:r>
      <w:r w:rsidR="005563D3" w:rsidRPr="00CA6CB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E15C20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ab/>
      </w:r>
      <w:r w:rsidR="00E15C20" w:rsidRPr="00CA6CB7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F268D7" w:rsidRPr="00CA6CB7">
        <w:rPr>
          <w:rFonts w:ascii="Times New Roman" w:hAnsi="Times New Roman" w:cs="Times New Roman"/>
          <w:b/>
          <w:sz w:val="24"/>
          <w:szCs w:val="24"/>
        </w:rPr>
        <w:t>Materials</w:t>
      </w:r>
    </w:p>
    <w:p w:rsidR="00F268D7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F268D7" w:rsidRPr="00CA6CB7">
        <w:rPr>
          <w:rFonts w:ascii="Times New Roman" w:hAnsi="Times New Roman" w:cs="Times New Roman"/>
          <w:sz w:val="24"/>
          <w:szCs w:val="24"/>
        </w:rPr>
        <w:t>Ferulic acid (&gt;9</w:t>
      </w:r>
      <w:r w:rsidR="007629D6" w:rsidRPr="00CA6CB7">
        <w:rPr>
          <w:rFonts w:ascii="Times New Roman" w:hAnsi="Times New Roman" w:cs="Times New Roman"/>
          <w:sz w:val="24"/>
          <w:szCs w:val="24"/>
        </w:rPr>
        <w:t>9</w:t>
      </w:r>
      <w:r w:rsidR="00F268D7" w:rsidRPr="00CA6CB7">
        <w:rPr>
          <w:rFonts w:ascii="Times New Roman" w:hAnsi="Times New Roman" w:cs="Times New Roman"/>
          <w:sz w:val="24"/>
          <w:szCs w:val="24"/>
        </w:rPr>
        <w:t>%), N-(3-Dimethylaminopropyl)-</w:t>
      </w:r>
      <w:proofErr w:type="spellStart"/>
      <w:r w:rsidR="00F268D7" w:rsidRPr="00CA6CB7">
        <w:rPr>
          <w:rFonts w:ascii="Times New Roman" w:hAnsi="Times New Roman" w:cs="Times New Roman"/>
          <w:sz w:val="24"/>
          <w:szCs w:val="24"/>
        </w:rPr>
        <w:t>N′-ethylcarbodiimide</w:t>
      </w:r>
      <w:proofErr w:type="spellEnd"/>
      <w:r w:rsidR="00F268D7" w:rsidRPr="00CA6CB7">
        <w:rPr>
          <w:rFonts w:ascii="Times New Roman" w:hAnsi="Times New Roman" w:cs="Times New Roman"/>
          <w:sz w:val="24"/>
          <w:szCs w:val="24"/>
        </w:rPr>
        <w:t xml:space="preserve"> hydrochloride (&gt;98%) (EDC), N- hydroxysuccinimide (&gt;98%) (NHS), </w:t>
      </w:r>
      <w:proofErr w:type="spellStart"/>
      <w:r w:rsidR="00F268D7" w:rsidRPr="00CA6CB7">
        <w:rPr>
          <w:rFonts w:ascii="Times New Roman" w:hAnsi="Times New Roman" w:cs="Times New Roman"/>
          <w:sz w:val="24"/>
          <w:szCs w:val="24"/>
        </w:rPr>
        <w:t>thiazolyl</w:t>
      </w:r>
      <w:proofErr w:type="spellEnd"/>
      <w:r w:rsidR="00F268D7" w:rsidRPr="00CA6CB7">
        <w:rPr>
          <w:rFonts w:ascii="Times New Roman" w:hAnsi="Times New Roman" w:cs="Times New Roman"/>
          <w:sz w:val="24"/>
          <w:szCs w:val="24"/>
        </w:rPr>
        <w:t xml:space="preserve"> blue tetrazolium bromide (98%, MTT), Dulbecco’s Modified Eagle’s (DMEM) low glucose medium, fetal bovine serum, </w:t>
      </w:r>
      <w:proofErr w:type="gramStart"/>
      <w:r w:rsidR="00F268D7" w:rsidRPr="00CA6CB7">
        <w:rPr>
          <w:rFonts w:ascii="Times New Roman" w:hAnsi="Times New Roman" w:cs="Times New Roman"/>
          <w:sz w:val="24"/>
          <w:szCs w:val="24"/>
        </w:rPr>
        <w:t>0.25</w:t>
      </w:r>
      <w:proofErr w:type="gramEnd"/>
      <w:r w:rsidR="00F268D7" w:rsidRPr="00CA6CB7">
        <w:rPr>
          <w:rFonts w:ascii="Times New Roman" w:hAnsi="Times New Roman" w:cs="Times New Roman"/>
          <w:sz w:val="24"/>
          <w:szCs w:val="24"/>
        </w:rPr>
        <w:t>% trypsin-EDTA solution and penicillin-streptomycin-</w:t>
      </w:r>
      <w:proofErr w:type="spellStart"/>
      <w:r w:rsidR="00F268D7" w:rsidRPr="00CA6CB7">
        <w:rPr>
          <w:rFonts w:ascii="Times New Roman" w:hAnsi="Times New Roman" w:cs="Times New Roman"/>
          <w:sz w:val="24"/>
          <w:szCs w:val="24"/>
        </w:rPr>
        <w:t>amphotericin</w:t>
      </w:r>
      <w:proofErr w:type="spellEnd"/>
      <w:r w:rsidR="00F268D7" w:rsidRPr="00CA6CB7">
        <w:rPr>
          <w:rFonts w:ascii="Times New Roman" w:hAnsi="Times New Roman" w:cs="Times New Roman"/>
          <w:sz w:val="24"/>
          <w:szCs w:val="24"/>
        </w:rPr>
        <w:t xml:space="preserve"> B antibiotic and disposable PD-10 columns were purchased from Sigma-Aldrich.</w:t>
      </w:r>
    </w:p>
    <w:p w:rsidR="00F268D7" w:rsidRPr="00CA6CB7" w:rsidRDefault="00F268D7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Hc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was isolated from hemolymph of </w:t>
      </w:r>
      <w:r w:rsidRPr="00CA6CB7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Pr="00CA6CB7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 w:rsidR="00747D78">
        <w:rPr>
          <w:rFonts w:ascii="Times New Roman" w:hAnsi="Times New Roman" w:cs="Times New Roman"/>
          <w:sz w:val="24"/>
          <w:szCs w:val="24"/>
        </w:rPr>
        <w:t xml:space="preserve"> garden snails as described in</w:t>
      </w:r>
      <w:r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747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B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CA6CB7">
        <w:rPr>
          <w:rFonts w:ascii="Times New Roman" w:hAnsi="Times New Roman" w:cs="Times New Roman"/>
          <w:sz w:val="24"/>
          <w:szCs w:val="24"/>
        </w:rPr>
        <w:t xml:space="preserve"> other used organic solvents and salts were analytical grade.</w:t>
      </w:r>
    </w:p>
    <w:p w:rsidR="00F268D7" w:rsidRPr="00CA6CB7" w:rsidRDefault="00F268D7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eastAsia="Calibri" w:hAnsi="Times New Roman" w:cs="Times New Roman"/>
          <w:sz w:val="24"/>
          <w:szCs w:val="24"/>
        </w:rPr>
        <w:tab/>
        <w:t xml:space="preserve">The human breast carcinoma cell lines (MCF-7 and MDA-MB-231) </w:t>
      </w:r>
      <w:r w:rsidRPr="00CA6CB7">
        <w:rPr>
          <w:rFonts w:ascii="Times New Roman" w:hAnsi="Times New Roman" w:cs="Times New Roman"/>
          <w:sz w:val="24"/>
          <w:szCs w:val="24"/>
        </w:rPr>
        <w:t xml:space="preserve">and normal human skin fibroblasts (BJ cell line) </w:t>
      </w:r>
      <w:r w:rsidRPr="00CA6CB7">
        <w:rPr>
          <w:rFonts w:ascii="Times New Roman" w:eastAsia="Calibri" w:hAnsi="Times New Roman" w:cs="Times New Roman"/>
          <w:sz w:val="24"/>
          <w:szCs w:val="24"/>
        </w:rPr>
        <w:t>were obtained from the American Type Culture Collection (ATCC).</w:t>
      </w:r>
    </w:p>
    <w:p w:rsidR="00F268D7" w:rsidRPr="00CA6CB7" w:rsidRDefault="00F268D7" w:rsidP="00CA6CB7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97491B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tab/>
      </w:r>
      <w:r w:rsidR="00F268D7" w:rsidRPr="00CA6CB7">
        <w:rPr>
          <w:rFonts w:ascii="Times New Roman" w:hAnsi="Times New Roman" w:cs="Times New Roman"/>
          <w:b/>
          <w:caps/>
          <w:sz w:val="24"/>
          <w:szCs w:val="24"/>
        </w:rPr>
        <w:t xml:space="preserve">2.2. </w:t>
      </w:r>
      <w:r w:rsidR="0097491B" w:rsidRPr="00CA6CB7">
        <w:rPr>
          <w:rFonts w:ascii="Times New Roman" w:hAnsi="Times New Roman" w:cs="Times New Roman"/>
          <w:b/>
          <w:sz w:val="24"/>
          <w:szCs w:val="24"/>
        </w:rPr>
        <w:t>Preparation of FA-</w:t>
      </w:r>
      <w:proofErr w:type="spellStart"/>
      <w:r w:rsidR="0097491B" w:rsidRPr="00CA6CB7">
        <w:rPr>
          <w:rFonts w:ascii="Times New Roman" w:hAnsi="Times New Roman" w:cs="Times New Roman"/>
          <w:b/>
          <w:sz w:val="24"/>
          <w:szCs w:val="24"/>
        </w:rPr>
        <w:t>HlH</w:t>
      </w:r>
      <w:proofErr w:type="spellEnd"/>
      <w:r w:rsidR="0097491B" w:rsidRPr="00CA6CB7">
        <w:rPr>
          <w:rFonts w:ascii="Times New Roman" w:hAnsi="Times New Roman" w:cs="Times New Roman"/>
          <w:b/>
          <w:sz w:val="24"/>
          <w:szCs w:val="24"/>
        </w:rPr>
        <w:t xml:space="preserve"> conjugates</w:t>
      </w:r>
    </w:p>
    <w:p w:rsidR="0097491B" w:rsidRPr="00CA6CB7" w:rsidRDefault="00F13CCB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97491B" w:rsidRPr="00CA6CB7">
        <w:rPr>
          <w:rFonts w:ascii="Times New Roman" w:hAnsi="Times New Roman" w:cs="Times New Roman"/>
          <w:sz w:val="24"/>
          <w:szCs w:val="24"/>
        </w:rPr>
        <w:t xml:space="preserve">At first, FA was stirred with EDC/NHS in 50 </w:t>
      </w:r>
      <w:proofErr w:type="spellStart"/>
      <w:r w:rsidR="0097491B"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97491B" w:rsidRPr="00CA6CB7">
        <w:rPr>
          <w:rFonts w:ascii="Times New Roman" w:hAnsi="Times New Roman" w:cs="Times New Roman"/>
          <w:sz w:val="24"/>
          <w:szCs w:val="24"/>
        </w:rPr>
        <w:t xml:space="preserve"> phosphate saline buffer (PBS</w:t>
      </w:r>
      <w:proofErr w:type="gramStart"/>
      <w:r w:rsidR="0097491B" w:rsidRPr="00CA6CB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97491B" w:rsidRPr="00CA6CB7">
        <w:rPr>
          <w:rFonts w:ascii="Times New Roman" w:hAnsi="Times New Roman" w:cs="Times New Roman"/>
          <w:sz w:val="24"/>
          <w:szCs w:val="24"/>
        </w:rPr>
        <w:t xml:space="preserve">pH 7.2) at </w:t>
      </w:r>
      <w:proofErr w:type="spellStart"/>
      <w:r w:rsidR="0097491B" w:rsidRPr="00CA6CB7">
        <w:rPr>
          <w:rFonts w:ascii="Times New Roman" w:hAnsi="Times New Roman" w:cs="Times New Roman"/>
          <w:sz w:val="24"/>
          <w:szCs w:val="24"/>
        </w:rPr>
        <w:t>stoichiometric</w:t>
      </w:r>
      <w:proofErr w:type="spellEnd"/>
      <w:r w:rsidR="0097491B" w:rsidRPr="00CA6CB7">
        <w:rPr>
          <w:rFonts w:ascii="Times New Roman" w:hAnsi="Times New Roman" w:cs="Times New Roman"/>
          <w:sz w:val="24"/>
          <w:szCs w:val="24"/>
        </w:rPr>
        <w:t xml:space="preserve"> molar ratio of FA/EDC/NHS = 1:2:2 for 2 h at room temperature. The</w:t>
      </w:r>
      <w:r w:rsidR="00AC5C9C" w:rsidRPr="00CA6CB7">
        <w:rPr>
          <w:rFonts w:ascii="Times New Roman" w:hAnsi="Times New Roman" w:cs="Times New Roman"/>
          <w:sz w:val="24"/>
          <w:szCs w:val="24"/>
        </w:rPr>
        <w:t>n,</w:t>
      </w:r>
      <w:r w:rsidR="0097491B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AC5C9C" w:rsidRPr="00CA6CB7">
        <w:rPr>
          <w:rFonts w:ascii="Times New Roman" w:hAnsi="Times New Roman" w:cs="Times New Roman"/>
          <w:sz w:val="24"/>
          <w:szCs w:val="24"/>
        </w:rPr>
        <w:t xml:space="preserve">a 100-to 500-fold molar excess of the </w:t>
      </w:r>
      <w:r w:rsidR="0097491B" w:rsidRPr="00CA6CB7">
        <w:rPr>
          <w:rFonts w:ascii="Times New Roman" w:hAnsi="Times New Roman" w:cs="Times New Roman"/>
          <w:sz w:val="24"/>
          <w:szCs w:val="24"/>
        </w:rPr>
        <w:t xml:space="preserve">obtained NHS-ester of FA </w:t>
      </w:r>
      <w:r w:rsidR="00AC5C9C" w:rsidRPr="00CA6CB7">
        <w:rPr>
          <w:rFonts w:ascii="Times New Roman" w:hAnsi="Times New Roman" w:cs="Times New Roman"/>
          <w:sz w:val="24"/>
          <w:szCs w:val="24"/>
        </w:rPr>
        <w:t xml:space="preserve">was added to </w:t>
      </w:r>
      <w:r w:rsidR="004762EE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Pr="00CA6CB7">
        <w:rPr>
          <w:rFonts w:ascii="Times New Roman" w:hAnsi="Times New Roman" w:cs="Times New Roman"/>
          <w:sz w:val="24"/>
          <w:szCs w:val="24"/>
        </w:rPr>
        <w:t xml:space="preserve">native </w:t>
      </w:r>
      <w:proofErr w:type="spellStart"/>
      <w:r w:rsidR="00AC5C9C" w:rsidRPr="00CA6CB7">
        <w:rPr>
          <w:rFonts w:ascii="Times New Roman" w:hAnsi="Times New Roman" w:cs="Times New Roman"/>
          <w:sz w:val="24"/>
          <w:szCs w:val="24"/>
        </w:rPr>
        <w:t>H</w:t>
      </w:r>
      <w:r w:rsidRPr="00CA6CB7">
        <w:rPr>
          <w:rFonts w:ascii="Times New Roman" w:hAnsi="Times New Roman" w:cs="Times New Roman"/>
          <w:sz w:val="24"/>
          <w:szCs w:val="24"/>
        </w:rPr>
        <w:t>l</w:t>
      </w:r>
      <w:r w:rsidR="00AC5C9C" w:rsidRPr="00CA6CB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C5C9C" w:rsidRPr="00CA6CB7">
        <w:rPr>
          <w:rFonts w:ascii="Times New Roman" w:hAnsi="Times New Roman" w:cs="Times New Roman"/>
          <w:sz w:val="24"/>
          <w:szCs w:val="24"/>
        </w:rPr>
        <w:t xml:space="preserve"> dissolved in PBS</w:t>
      </w:r>
      <w:r w:rsidR="004762EE" w:rsidRPr="00CA6CB7">
        <w:rPr>
          <w:rFonts w:ascii="Times New Roman" w:hAnsi="Times New Roman" w:cs="Times New Roman"/>
          <w:sz w:val="24"/>
          <w:szCs w:val="24"/>
        </w:rPr>
        <w:t>.</w:t>
      </w:r>
      <w:r w:rsidR="00AC5C9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4762EE" w:rsidRPr="00CA6CB7">
        <w:rPr>
          <w:rFonts w:ascii="Times New Roman" w:hAnsi="Times New Roman" w:cs="Times New Roman"/>
          <w:sz w:val="24"/>
          <w:szCs w:val="24"/>
        </w:rPr>
        <w:t>T</w:t>
      </w:r>
      <w:r w:rsidR="00AC5C9C" w:rsidRPr="00CA6CB7">
        <w:rPr>
          <w:rFonts w:ascii="Times New Roman" w:hAnsi="Times New Roman" w:cs="Times New Roman"/>
          <w:sz w:val="24"/>
          <w:szCs w:val="24"/>
        </w:rPr>
        <w:t xml:space="preserve">he mixture was stirred at room temperature for </w:t>
      </w:r>
      <w:r w:rsidR="0097491B" w:rsidRPr="00CA6CB7">
        <w:rPr>
          <w:rFonts w:ascii="Times New Roman" w:hAnsi="Times New Roman" w:cs="Times New Roman"/>
          <w:sz w:val="24"/>
          <w:szCs w:val="24"/>
        </w:rPr>
        <w:t xml:space="preserve">4 h at room temperature, and then incubated at 4ºC overnight. </w:t>
      </w:r>
      <w:r w:rsidR="00AC5C9C" w:rsidRPr="00CA6CB7">
        <w:rPr>
          <w:rFonts w:ascii="Times New Roman" w:hAnsi="Times New Roman" w:cs="Times New Roman"/>
          <w:sz w:val="24"/>
          <w:szCs w:val="24"/>
        </w:rPr>
        <w:t>The FA-</w:t>
      </w:r>
      <w:proofErr w:type="spellStart"/>
      <w:r w:rsidR="00AC5C9C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AC5C9C" w:rsidRPr="00CA6CB7">
        <w:rPr>
          <w:rFonts w:ascii="Times New Roman" w:hAnsi="Times New Roman" w:cs="Times New Roman"/>
          <w:sz w:val="24"/>
          <w:szCs w:val="24"/>
        </w:rPr>
        <w:t xml:space="preserve"> conjugates were purified on </w:t>
      </w:r>
      <w:proofErr w:type="spellStart"/>
      <w:r w:rsidR="0097491B" w:rsidRPr="00CA6CB7">
        <w:rPr>
          <w:rFonts w:ascii="Times New Roman" w:hAnsi="Times New Roman" w:cs="Times New Roman"/>
          <w:sz w:val="24"/>
          <w:szCs w:val="24"/>
        </w:rPr>
        <w:t>prepacked</w:t>
      </w:r>
      <w:proofErr w:type="spellEnd"/>
      <w:r w:rsidR="0097491B" w:rsidRPr="00CA6CB7">
        <w:rPr>
          <w:rFonts w:ascii="Times New Roman" w:hAnsi="Times New Roman" w:cs="Times New Roman"/>
          <w:sz w:val="24"/>
          <w:szCs w:val="24"/>
        </w:rPr>
        <w:t xml:space="preserve"> PD-10 desalting columns following the manufacturer’s instructions.</w:t>
      </w:r>
    </w:p>
    <w:p w:rsidR="0097491B" w:rsidRPr="00CA6CB7" w:rsidRDefault="0097491B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The concentration of the native and feruloylated </w:t>
      </w:r>
      <w:proofErr w:type="spellStart"/>
      <w:r w:rsidR="00AC5C9C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w</w:t>
      </w:r>
      <w:r w:rsidR="00AC5C9C" w:rsidRPr="00CA6CB7">
        <w:rPr>
          <w:rFonts w:ascii="Times New Roman" w:hAnsi="Times New Roman" w:cs="Times New Roman"/>
          <w:sz w:val="24"/>
          <w:szCs w:val="24"/>
        </w:rPr>
        <w:t>as</w:t>
      </w:r>
      <w:r w:rsidRPr="00CA6CB7">
        <w:rPr>
          <w:rFonts w:ascii="Times New Roman" w:hAnsi="Times New Roman" w:cs="Times New Roman"/>
          <w:sz w:val="24"/>
          <w:szCs w:val="24"/>
        </w:rPr>
        <w:t xml:space="preserve"> deter</w:t>
      </w:r>
      <w:r w:rsidR="00747D78">
        <w:rPr>
          <w:rFonts w:ascii="Times New Roman" w:hAnsi="Times New Roman" w:cs="Times New Roman"/>
          <w:sz w:val="24"/>
          <w:szCs w:val="24"/>
        </w:rPr>
        <w:t>mined using the Bradford assay</w:t>
      </w:r>
      <w:r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:rsidR="0097491B" w:rsidRPr="00CA6CB7" w:rsidRDefault="0097491B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Absorbance spectra of the protein samples were recorded on Evolution™ 300 UV-Vis Spectrophotometer (Thermo Electron Corporation) equipped with a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Peltier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temperature control accessory with the highest resolution (1 nm). The degree of feruloylation was estimated using the differences in the spectra of the native and the feruloylated </w:t>
      </w:r>
      <w:proofErr w:type="spellStart"/>
      <w:r w:rsidR="00F13CCB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at 315 nm. The molar extinction coefficient of ferulic acid at 315 nm in PBS (pH 7.2, 50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) is 13 740 L. mol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A6C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6CB7">
        <w:rPr>
          <w:rFonts w:ascii="Times New Roman" w:hAnsi="Times New Roman" w:cs="Times New Roman"/>
          <w:sz w:val="24"/>
          <w:szCs w:val="24"/>
        </w:rPr>
        <w:t>cm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proofErr w:type="gramEnd"/>
      <w:r w:rsidRPr="00CA6CB7">
        <w:rPr>
          <w:rFonts w:ascii="Times New Roman" w:hAnsi="Times New Roman" w:cs="Times New Roman"/>
          <w:sz w:val="24"/>
          <w:szCs w:val="24"/>
        </w:rPr>
        <w:t>.</w:t>
      </w:r>
    </w:p>
    <w:p w:rsidR="004762EE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lastRenderedPageBreak/>
        <w:tab/>
      </w:r>
      <w:r w:rsidR="004762EE" w:rsidRPr="00CA6CB7">
        <w:rPr>
          <w:rFonts w:ascii="Times New Roman" w:hAnsi="Times New Roman" w:cs="Times New Roman"/>
          <w:b/>
          <w:caps/>
          <w:sz w:val="24"/>
          <w:szCs w:val="24"/>
        </w:rPr>
        <w:t xml:space="preserve">2.3. </w:t>
      </w:r>
      <w:r w:rsidR="004762EE" w:rsidRPr="00CA6CB7">
        <w:rPr>
          <w:rFonts w:ascii="Times New Roman" w:hAnsi="Times New Roman" w:cs="Times New Roman"/>
          <w:b/>
          <w:sz w:val="24"/>
          <w:szCs w:val="24"/>
        </w:rPr>
        <w:t>Fourier-transform Infrared spectroscopy (FTIR)</w:t>
      </w:r>
    </w:p>
    <w:p w:rsidR="007A572F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caps/>
          <w:sz w:val="24"/>
          <w:szCs w:val="24"/>
        </w:rPr>
        <w:tab/>
      </w:r>
      <w:r w:rsidR="004762EE" w:rsidRPr="00CA6CB7">
        <w:rPr>
          <w:rFonts w:ascii="Times New Roman" w:hAnsi="Times New Roman" w:cs="Times New Roman"/>
          <w:caps/>
          <w:sz w:val="24"/>
          <w:szCs w:val="24"/>
        </w:rPr>
        <w:t xml:space="preserve">FTIR </w:t>
      </w:r>
      <w:r w:rsidR="004762EE" w:rsidRPr="00CA6CB7">
        <w:rPr>
          <w:rFonts w:ascii="Times New Roman" w:hAnsi="Times New Roman" w:cs="Times New Roman"/>
          <w:sz w:val="24"/>
          <w:szCs w:val="24"/>
        </w:rPr>
        <w:t xml:space="preserve">spectra were recorded on </w:t>
      </w:r>
      <w:proofErr w:type="spellStart"/>
      <w:r w:rsidR="004762EE" w:rsidRPr="00CA6CB7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="004762EE" w:rsidRPr="00CA6CB7">
        <w:rPr>
          <w:rFonts w:ascii="Times New Roman" w:hAnsi="Times New Roman" w:cs="Times New Roman"/>
          <w:sz w:val="24"/>
          <w:szCs w:val="24"/>
        </w:rPr>
        <w:t xml:space="preserve"> Vertex 70 spectrometer equipped with </w:t>
      </w:r>
      <w:r w:rsidR="00D5611E" w:rsidRPr="00CA6CB7">
        <w:rPr>
          <w:rFonts w:ascii="Times New Roman" w:hAnsi="Times New Roman" w:cs="Times New Roman"/>
          <w:sz w:val="24"/>
          <w:szCs w:val="24"/>
        </w:rPr>
        <w:t xml:space="preserve">a </w:t>
      </w:r>
      <w:r w:rsidR="004762EE" w:rsidRPr="00CA6CB7">
        <w:rPr>
          <w:rFonts w:ascii="Times New Roman" w:hAnsi="Times New Roman" w:cs="Times New Roman"/>
          <w:sz w:val="24"/>
          <w:szCs w:val="24"/>
        </w:rPr>
        <w:t>diamond ATR accessory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 in the frequency region 4000–600 cm</w:t>
      </w:r>
      <w:r w:rsidR="005A35B2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 with 128 scanning at resolution of 1 cm</w:t>
      </w:r>
      <w:r w:rsidR="005A35B2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762EE" w:rsidRPr="00CA6CB7">
        <w:rPr>
          <w:rFonts w:ascii="Times New Roman" w:hAnsi="Times New Roman" w:cs="Times New Roman"/>
          <w:sz w:val="24"/>
          <w:szCs w:val="24"/>
        </w:rPr>
        <w:t xml:space="preserve">. </w:t>
      </w:r>
      <w:r w:rsidR="007A572F" w:rsidRPr="00CA6CB7">
        <w:rPr>
          <w:rFonts w:ascii="Times New Roman" w:hAnsi="Times New Roman" w:cs="Times New Roman"/>
          <w:sz w:val="24"/>
          <w:szCs w:val="24"/>
        </w:rPr>
        <w:t xml:space="preserve">Protein </w:t>
      </w:r>
      <w:r w:rsidR="00806346" w:rsidRPr="00CA6CB7">
        <w:rPr>
          <w:rFonts w:ascii="Times New Roman" w:hAnsi="Times New Roman" w:cs="Times New Roman"/>
          <w:sz w:val="24"/>
          <w:szCs w:val="24"/>
        </w:rPr>
        <w:t xml:space="preserve">samples were dissolved in PBS buffer (pH 7.2, 50 </w:t>
      </w:r>
      <w:proofErr w:type="spellStart"/>
      <w:r w:rsidR="00806346"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806346" w:rsidRPr="00CA6CB7">
        <w:rPr>
          <w:rFonts w:ascii="Times New Roman" w:hAnsi="Times New Roman" w:cs="Times New Roman"/>
          <w:sz w:val="24"/>
          <w:szCs w:val="24"/>
        </w:rPr>
        <w:t xml:space="preserve">) at </w:t>
      </w:r>
      <w:r w:rsidR="007A572F" w:rsidRPr="00CA6CB7">
        <w:rPr>
          <w:rFonts w:ascii="Times New Roman" w:hAnsi="Times New Roman" w:cs="Times New Roman"/>
          <w:sz w:val="24"/>
          <w:szCs w:val="24"/>
        </w:rPr>
        <w:t xml:space="preserve">concentration </w:t>
      </w:r>
      <w:r w:rsidR="00806346" w:rsidRPr="00CA6CB7">
        <w:rPr>
          <w:rFonts w:ascii="Times New Roman" w:hAnsi="Times New Roman" w:cs="Times New Roman"/>
          <w:sz w:val="24"/>
          <w:szCs w:val="24"/>
        </w:rPr>
        <w:t>of</w:t>
      </w:r>
      <w:r w:rsidR="007A572F" w:rsidRPr="00CA6CB7">
        <w:rPr>
          <w:rFonts w:ascii="Times New Roman" w:hAnsi="Times New Roman" w:cs="Times New Roman"/>
          <w:sz w:val="24"/>
          <w:szCs w:val="24"/>
        </w:rPr>
        <w:t xml:space="preserve"> 20 mg/</w:t>
      </w:r>
      <w:proofErr w:type="spellStart"/>
      <w:r w:rsidR="007A572F" w:rsidRPr="00CA6CB7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="007A572F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D5611E" w:rsidRPr="00CA6CB7">
        <w:rPr>
          <w:rFonts w:ascii="Times New Roman" w:hAnsi="Times New Roman" w:cs="Times New Roman"/>
          <w:sz w:val="24"/>
          <w:szCs w:val="24"/>
        </w:rPr>
        <w:t xml:space="preserve">All spectra were obtained after subtraction of the buffer baseline and were strictly collected under the same conditions, after adjusting the </w:t>
      </w:r>
      <w:r w:rsidR="007A572F" w:rsidRPr="00CA6CB7">
        <w:rPr>
          <w:rFonts w:ascii="Times New Roman" w:hAnsi="Times New Roman" w:cs="Times New Roman"/>
          <w:sz w:val="24"/>
          <w:szCs w:val="24"/>
        </w:rPr>
        <w:t>subtraction</w:t>
      </w:r>
      <w:r w:rsidR="00D5611E" w:rsidRPr="00CA6CB7">
        <w:rPr>
          <w:rFonts w:ascii="Times New Roman" w:hAnsi="Times New Roman" w:cs="Times New Roman"/>
          <w:sz w:val="24"/>
          <w:szCs w:val="24"/>
        </w:rPr>
        <w:t xml:space="preserve"> baseline until a flat baseline was obtained in the 2000–1700 cm</w:t>
      </w:r>
      <w:r w:rsidR="00D5611E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5611E" w:rsidRPr="00CA6CB7">
        <w:rPr>
          <w:rFonts w:ascii="Times New Roman" w:hAnsi="Times New Roman" w:cs="Times New Roman"/>
          <w:sz w:val="24"/>
          <w:szCs w:val="24"/>
        </w:rPr>
        <w:t xml:space="preserve"> region. </w:t>
      </w:r>
      <w:r w:rsidR="00424B58" w:rsidRPr="00CA6CB7">
        <w:rPr>
          <w:rFonts w:ascii="Times New Roman" w:hAnsi="Times New Roman" w:cs="Times New Roman"/>
          <w:sz w:val="24"/>
          <w:szCs w:val="24"/>
        </w:rPr>
        <w:t>Second derivative</w:t>
      </w:r>
      <w:r w:rsidR="005A35B2" w:rsidRPr="00CA6CB7">
        <w:rPr>
          <w:rFonts w:ascii="Times New Roman" w:hAnsi="Times New Roman" w:cs="Times New Roman"/>
          <w:sz w:val="24"/>
          <w:szCs w:val="24"/>
        </w:rPr>
        <w:t>s</w:t>
      </w:r>
      <w:r w:rsidR="00424B58" w:rsidRPr="00CA6CB7">
        <w:rPr>
          <w:rFonts w:ascii="Times New Roman" w:hAnsi="Times New Roman" w:cs="Times New Roman"/>
          <w:sz w:val="24"/>
          <w:szCs w:val="24"/>
        </w:rPr>
        <w:t xml:space="preserve"> w</w:t>
      </w:r>
      <w:r w:rsidR="005A35B2" w:rsidRPr="00CA6CB7">
        <w:rPr>
          <w:rFonts w:ascii="Times New Roman" w:hAnsi="Times New Roman" w:cs="Times New Roman"/>
          <w:sz w:val="24"/>
          <w:szCs w:val="24"/>
        </w:rPr>
        <w:t>ere</w:t>
      </w:r>
      <w:r w:rsidR="00424B58" w:rsidRPr="00CA6CB7">
        <w:rPr>
          <w:rFonts w:ascii="Times New Roman" w:hAnsi="Times New Roman" w:cs="Times New Roman"/>
          <w:sz w:val="24"/>
          <w:szCs w:val="24"/>
        </w:rPr>
        <w:t xml:space="preserve"> obtained using </w:t>
      </w:r>
      <w:proofErr w:type="spellStart"/>
      <w:r w:rsidR="00424B58" w:rsidRPr="00CA6CB7">
        <w:rPr>
          <w:rFonts w:ascii="Times New Roman" w:hAnsi="Times New Roman" w:cs="Times New Roman"/>
          <w:sz w:val="24"/>
          <w:szCs w:val="24"/>
        </w:rPr>
        <w:t>Savitzky-Golay</w:t>
      </w:r>
      <w:proofErr w:type="spellEnd"/>
      <w:r w:rsidR="00424B58" w:rsidRPr="00CA6CB7">
        <w:rPr>
          <w:rFonts w:ascii="Times New Roman" w:hAnsi="Times New Roman" w:cs="Times New Roman"/>
          <w:sz w:val="24"/>
          <w:szCs w:val="24"/>
        </w:rPr>
        <w:t xml:space="preserve"> algorithm based on 25 smoothing points. Curve fitting of the amide I band from 1700 to 1600 cm−1, in water, was performed using Opus software version 5.5 according to the Local Least Squares algorithm. </w:t>
      </w:r>
      <w:r w:rsidR="007A572F" w:rsidRPr="00CA6CB7">
        <w:rPr>
          <w:rFonts w:ascii="Times New Roman" w:hAnsi="Times New Roman" w:cs="Times New Roman"/>
          <w:sz w:val="24"/>
          <w:szCs w:val="24"/>
        </w:rPr>
        <w:t>The initial bandwidth of all components was set to 12 cm</w:t>
      </w:r>
      <w:r w:rsidR="007A572F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7A572F" w:rsidRPr="00CA6CB7">
        <w:rPr>
          <w:rFonts w:ascii="Times New Roman" w:hAnsi="Times New Roman" w:cs="Times New Roman"/>
          <w:sz w:val="24"/>
          <w:szCs w:val="24"/>
        </w:rPr>
        <w:t xml:space="preserve"> and the components were approximated by mixed </w:t>
      </w:r>
      <w:proofErr w:type="spellStart"/>
      <w:r w:rsidR="007A572F" w:rsidRPr="00CA6CB7">
        <w:rPr>
          <w:rFonts w:ascii="Times New Roman" w:hAnsi="Times New Roman" w:cs="Times New Roman"/>
          <w:sz w:val="24"/>
          <w:szCs w:val="24"/>
        </w:rPr>
        <w:t>Lorentzian</w:t>
      </w:r>
      <w:proofErr w:type="spellEnd"/>
      <w:r w:rsidR="007A572F" w:rsidRPr="00CA6CB7">
        <w:rPr>
          <w:rFonts w:ascii="Times New Roman" w:hAnsi="Times New Roman" w:cs="Times New Roman"/>
          <w:sz w:val="24"/>
          <w:szCs w:val="24"/>
        </w:rPr>
        <w:t>/Gaussian functions. Amide I band positions are assigned to the corresponding secondary structur</w:t>
      </w:r>
      <w:r w:rsidR="00747D78">
        <w:rPr>
          <w:rFonts w:ascii="Times New Roman" w:hAnsi="Times New Roman" w:cs="Times New Roman"/>
          <w:sz w:val="24"/>
          <w:szCs w:val="24"/>
        </w:rPr>
        <w:t xml:space="preserve">es according to the literature </w:t>
      </w:r>
      <w:r w:rsidR="007A572F" w:rsidRPr="00CA6CB7">
        <w:rPr>
          <w:rFonts w:ascii="Times New Roman" w:hAnsi="Times New Roman" w:cs="Times New Roman"/>
          <w:sz w:val="24"/>
          <w:szCs w:val="24"/>
        </w:rPr>
        <w:t>.</w:t>
      </w:r>
      <w:r w:rsidR="00747D78" w:rsidRPr="00747D78">
        <w:rPr>
          <w:rFonts w:ascii="Times New Roman" w:hAnsi="Times New Roman" w:cs="Times New Roman"/>
          <w:sz w:val="24"/>
          <w:szCs w:val="24"/>
          <w:vertAlign w:val="superscript"/>
        </w:rPr>
        <w:t>13</w:t>
      </w:r>
    </w:p>
    <w:p w:rsidR="00424B58" w:rsidRPr="00CA6CB7" w:rsidRDefault="00424B58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801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ab/>
      </w:r>
      <w:r w:rsidR="00F76801" w:rsidRPr="00CA6CB7">
        <w:rPr>
          <w:rFonts w:ascii="Times New Roman" w:hAnsi="Times New Roman" w:cs="Times New Roman"/>
          <w:b/>
          <w:sz w:val="24"/>
          <w:szCs w:val="24"/>
        </w:rPr>
        <w:t>2.4. Differential Scanning Calorimetry (DSC)</w:t>
      </w:r>
    </w:p>
    <w:p w:rsidR="009B44CC" w:rsidRPr="00CA6CB7" w:rsidRDefault="00AE5255" w:rsidP="00CA6CB7">
      <w:pPr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 xml:space="preserve">DSC scans were carried out on a high-sensitivity differential scanning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microcalorimeter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DASM-4 (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Biopribor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Pushchino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, Russia), with a sensitivity &gt; 0.017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mJ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K-1 and a noise level &lt; ±0.05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μW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. The protein samples were dissolved in PBS (pH 7.2, 50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) at a concentration of 3 mg/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color w:val="231F20"/>
          <w:sz w:val="24"/>
          <w:szCs w:val="24"/>
        </w:rPr>
        <w:t>Heat capacity versus temperature profiles were obtained in the range 30–110ºC at scan rate 1K.min</w:t>
      </w:r>
      <w:r w:rsidRPr="00CA6CB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-1</w:t>
      </w:r>
      <w:r w:rsidRPr="00CA6CB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A6CB7">
        <w:rPr>
          <w:rFonts w:ascii="Times New Roman" w:hAnsi="Times New Roman" w:cs="Times New Roman"/>
          <w:sz w:val="24"/>
          <w:szCs w:val="24"/>
        </w:rPr>
        <w:t xml:space="preserve">Sample scans were buffer-subtracted, concentration normalized and corrected with the progress baseline. </w:t>
      </w:r>
      <w:r w:rsidR="009B44CC" w:rsidRPr="00CA6CB7">
        <w:rPr>
          <w:rFonts w:ascii="Times New Roman" w:hAnsi="Times New Roman" w:cs="Times New Roman"/>
          <w:color w:val="231F20"/>
          <w:sz w:val="24"/>
          <w:szCs w:val="24"/>
        </w:rPr>
        <w:t>DSC curves were analyzed using ORIGIN (</w:t>
      </w:r>
      <w:proofErr w:type="spellStart"/>
      <w:r w:rsidR="009B44CC" w:rsidRPr="00CA6CB7">
        <w:rPr>
          <w:rFonts w:ascii="Times New Roman" w:hAnsi="Times New Roman" w:cs="Times New Roman"/>
          <w:color w:val="231F20"/>
          <w:sz w:val="24"/>
          <w:szCs w:val="24"/>
        </w:rPr>
        <w:t>MicroCal</w:t>
      </w:r>
      <w:proofErr w:type="spellEnd"/>
      <w:r w:rsidR="009B44CC" w:rsidRPr="00CA6CB7">
        <w:rPr>
          <w:rFonts w:ascii="Times New Roman" w:hAnsi="Times New Roman" w:cs="Times New Roman"/>
          <w:color w:val="231F20"/>
          <w:sz w:val="24"/>
          <w:szCs w:val="24"/>
        </w:rPr>
        <w:t xml:space="preserve"> Software) program. Experimental deconvolution of heat capacity curves into individual components by a successive annealing procedure was applied following </w:t>
      </w:r>
      <w:r w:rsidR="0046098B">
        <w:rPr>
          <w:rFonts w:ascii="Times New Roman" w:hAnsi="Times New Roman" w:cs="Times New Roman"/>
          <w:color w:val="231F20"/>
          <w:sz w:val="24"/>
          <w:szCs w:val="24"/>
        </w:rPr>
        <w:t xml:space="preserve">the approach of </w:t>
      </w:r>
      <w:proofErr w:type="spellStart"/>
      <w:r w:rsidR="0046098B">
        <w:rPr>
          <w:rFonts w:ascii="Times New Roman" w:hAnsi="Times New Roman" w:cs="Times New Roman"/>
          <w:color w:val="231F20"/>
          <w:sz w:val="24"/>
          <w:szCs w:val="24"/>
        </w:rPr>
        <w:t>Idakieva</w:t>
      </w:r>
      <w:proofErr w:type="spellEnd"/>
      <w:r w:rsidR="0046098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="0046098B">
        <w:rPr>
          <w:rFonts w:ascii="Times New Roman" w:hAnsi="Times New Roman" w:cs="Times New Roman"/>
          <w:color w:val="231F20"/>
          <w:sz w:val="24"/>
          <w:szCs w:val="24"/>
        </w:rPr>
        <w:t>et</w:t>
      </w:r>
      <w:proofErr w:type="gramEnd"/>
      <w:r w:rsidR="0046098B">
        <w:rPr>
          <w:rFonts w:ascii="Times New Roman" w:hAnsi="Times New Roman" w:cs="Times New Roman"/>
          <w:color w:val="231F20"/>
          <w:sz w:val="24"/>
          <w:szCs w:val="24"/>
        </w:rPr>
        <w:t xml:space="preserve"> al</w:t>
      </w:r>
      <w:r w:rsidR="009B44CC" w:rsidRPr="00CA6CB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46098B" w:rsidRPr="0046098B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14</w:t>
      </w:r>
    </w:p>
    <w:p w:rsidR="00F76801" w:rsidRPr="00CA6CB7" w:rsidRDefault="00F7680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A72" w:rsidRPr="00CA6CB7" w:rsidRDefault="00FF7317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ab/>
      </w:r>
      <w:r w:rsidR="00675A72" w:rsidRPr="00CA6CB7">
        <w:rPr>
          <w:rFonts w:ascii="Times New Roman" w:hAnsi="Times New Roman" w:cs="Times New Roman"/>
          <w:b/>
          <w:sz w:val="24"/>
          <w:szCs w:val="24"/>
        </w:rPr>
        <w:t>2.5. Cell culture</w:t>
      </w: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BJ, 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MCF-7 </w:t>
      </w:r>
      <w:r w:rsidRPr="00CA6CB7">
        <w:rPr>
          <w:rFonts w:ascii="Times New Roman" w:hAnsi="Times New Roman" w:cs="Times New Roman"/>
          <w:sz w:val="24"/>
          <w:szCs w:val="24"/>
        </w:rPr>
        <w:t xml:space="preserve">and 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MDA-MB-231 cells </w:t>
      </w:r>
      <w:r w:rsidRPr="00CA6CB7">
        <w:rPr>
          <w:rFonts w:ascii="Times New Roman" w:hAnsi="Times New Roman" w:cs="Times New Roman"/>
          <w:sz w:val="24"/>
          <w:szCs w:val="24"/>
        </w:rPr>
        <w:t>were maintained in a complete growth DMEM low glucose medium supplemented with 10% (v/v) fetal bovine serum and penicillin-streptomycin-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amphotericin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B antibiotic mixture</w:t>
      </w:r>
      <w:r w:rsidR="007444BB" w:rsidRPr="00CA6CB7">
        <w:rPr>
          <w:rFonts w:ascii="Times New Roman" w:hAnsi="Times New Roman" w:cs="Times New Roman"/>
          <w:sz w:val="24"/>
          <w:szCs w:val="24"/>
        </w:rPr>
        <w:t xml:space="preserve"> under a</w:t>
      </w:r>
      <w:r w:rsidRPr="00CA6CB7">
        <w:rPr>
          <w:rFonts w:ascii="Times New Roman" w:hAnsi="Times New Roman" w:cs="Times New Roman"/>
          <w:sz w:val="24"/>
          <w:szCs w:val="24"/>
        </w:rPr>
        <w:t xml:space="preserve"> humidified atmosphere </w:t>
      </w:r>
      <w:r w:rsidR="007444BB" w:rsidRPr="00CA6CB7">
        <w:rPr>
          <w:rFonts w:ascii="Times New Roman" w:hAnsi="Times New Roman" w:cs="Times New Roman"/>
          <w:sz w:val="24"/>
          <w:szCs w:val="24"/>
        </w:rPr>
        <w:t>of</w:t>
      </w:r>
      <w:r w:rsidRPr="00CA6CB7">
        <w:rPr>
          <w:rFonts w:ascii="Times New Roman" w:hAnsi="Times New Roman" w:cs="Times New Roman"/>
          <w:sz w:val="24"/>
          <w:szCs w:val="24"/>
        </w:rPr>
        <w:t xml:space="preserve"> 5% CO</w:t>
      </w:r>
      <w:r w:rsidRPr="00CA6C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A6CB7">
        <w:rPr>
          <w:rFonts w:ascii="Times New Roman" w:hAnsi="Times New Roman" w:cs="Times New Roman"/>
          <w:sz w:val="24"/>
          <w:szCs w:val="24"/>
        </w:rPr>
        <w:t xml:space="preserve"> at 37ºC. The medium was changed every other day.</w:t>
      </w: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ab/>
        <w:t>2.6. Cell viability assay</w:t>
      </w: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35B2" w:rsidRPr="00CA6CB7">
        <w:rPr>
          <w:rFonts w:ascii="Times New Roman" w:hAnsi="Times New Roman" w:cs="Times New Roman"/>
          <w:sz w:val="24"/>
          <w:szCs w:val="24"/>
        </w:rPr>
        <w:t>Methylthiazolyldiphenyl</w:t>
      </w:r>
      <w:proofErr w:type="spellEnd"/>
      <w:r w:rsidR="005A35B2" w:rsidRPr="00CA6CB7">
        <w:rPr>
          <w:rFonts w:ascii="Times New Roman" w:hAnsi="Times New Roman" w:cs="Times New Roman"/>
          <w:sz w:val="24"/>
          <w:szCs w:val="24"/>
        </w:rPr>
        <w:t>-tetrazolium bromide (MTT) assays were carried out to evaluate t</w:t>
      </w:r>
      <w:r w:rsidRPr="00CA6CB7">
        <w:rPr>
          <w:rFonts w:ascii="Times New Roman" w:hAnsi="Times New Roman" w:cs="Times New Roman"/>
          <w:sz w:val="24"/>
          <w:szCs w:val="24"/>
        </w:rPr>
        <w:t>he cytotoxic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 effect</w:t>
      </w:r>
      <w:r w:rsidRPr="00CA6CB7">
        <w:rPr>
          <w:rFonts w:ascii="Times New Roman" w:hAnsi="Times New Roman" w:cs="Times New Roman"/>
          <w:sz w:val="24"/>
          <w:szCs w:val="24"/>
        </w:rPr>
        <w:t xml:space="preserve"> of </w:t>
      </w:r>
      <w:r w:rsidR="005A35B2" w:rsidRPr="00CA6CB7">
        <w:rPr>
          <w:rFonts w:ascii="Times New Roman" w:hAnsi="Times New Roman" w:cs="Times New Roman"/>
          <w:sz w:val="24"/>
          <w:szCs w:val="24"/>
        </w:rPr>
        <w:t>FA</w:t>
      </w:r>
      <w:r w:rsidRPr="00CA6C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A35B2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5A35B2" w:rsidRPr="00CA6CB7">
        <w:rPr>
          <w:rFonts w:ascii="Times New Roman" w:hAnsi="Times New Roman" w:cs="Times New Roman"/>
          <w:sz w:val="24"/>
          <w:szCs w:val="24"/>
        </w:rPr>
        <w:t>on</w:t>
      </w:r>
      <w:r w:rsidR="0046098B">
        <w:rPr>
          <w:rFonts w:ascii="Times New Roman" w:hAnsi="Times New Roman" w:cs="Times New Roman"/>
          <w:sz w:val="24"/>
          <w:szCs w:val="24"/>
        </w:rPr>
        <w:t xml:space="preserve"> BJ, MCF-7 and MDA-MB-231 cells</w:t>
      </w:r>
      <w:r w:rsidRPr="00CA6CB7">
        <w:rPr>
          <w:rFonts w:ascii="Times New Roman" w:hAnsi="Times New Roman" w:cs="Times New Roman"/>
          <w:sz w:val="24"/>
          <w:szCs w:val="24"/>
        </w:rPr>
        <w:t>.</w:t>
      </w:r>
      <w:r w:rsidR="0046098B" w:rsidRPr="0046098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460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B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A6CB7">
        <w:rPr>
          <w:rFonts w:ascii="Times New Roman" w:hAnsi="Times New Roman" w:cs="Times New Roman"/>
          <w:sz w:val="24"/>
          <w:szCs w:val="24"/>
        </w:rPr>
        <w:t xml:space="preserve"> cells were seeded in 96-well plate at density of 1x10</w:t>
      </w:r>
      <w:r w:rsidRPr="00CA6CB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6CB7">
        <w:rPr>
          <w:rFonts w:ascii="Times New Roman" w:hAnsi="Times New Roman" w:cs="Times New Roman"/>
          <w:sz w:val="24"/>
          <w:szCs w:val="24"/>
        </w:rPr>
        <w:t xml:space="preserve"> cells per well and cultured in complete growth medium for 24 h. Then, cells were incubated with 0-70 µg/well of native or FA-modified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for 24 h and 48 h. The culture medium was changed to 100μL serum-free medium containing 500μg/mL MTT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 and plates were</w:t>
      </w:r>
      <w:r w:rsidRPr="00CA6CB7">
        <w:rPr>
          <w:rFonts w:ascii="Times New Roman" w:hAnsi="Times New Roman" w:cs="Times New Roman"/>
          <w:sz w:val="24"/>
          <w:szCs w:val="24"/>
        </w:rPr>
        <w:t xml:space="preserve"> incubated for 3 h at 37°C and 5% CO</w:t>
      </w:r>
      <w:r w:rsidRPr="00CA6C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A6CB7">
        <w:rPr>
          <w:rFonts w:ascii="Times New Roman" w:hAnsi="Times New Roman" w:cs="Times New Roman"/>
          <w:sz w:val="24"/>
          <w:szCs w:val="24"/>
        </w:rPr>
        <w:t xml:space="preserve">. The formazan salts were dissolved in 120μL of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dimethylsulfoxide</w:t>
      </w:r>
      <w:proofErr w:type="spellEnd"/>
      <w:r w:rsidR="005A35B2" w:rsidRPr="00CA6CB7">
        <w:rPr>
          <w:rFonts w:ascii="Times New Roman" w:hAnsi="Times New Roman" w:cs="Times New Roman"/>
          <w:sz w:val="24"/>
          <w:szCs w:val="24"/>
        </w:rPr>
        <w:t xml:space="preserve"> (DMSO)</w:t>
      </w:r>
      <w:r w:rsidRPr="00CA6CB7">
        <w:rPr>
          <w:rFonts w:ascii="Times New Roman" w:hAnsi="Times New Roman" w:cs="Times New Roman"/>
          <w:sz w:val="24"/>
          <w:szCs w:val="24"/>
        </w:rPr>
        <w:t xml:space="preserve"> and the absorbance was </w:t>
      </w:r>
      <w:r w:rsidR="005A35B2" w:rsidRPr="00CA6CB7">
        <w:rPr>
          <w:rFonts w:ascii="Times New Roman" w:hAnsi="Times New Roman" w:cs="Times New Roman"/>
          <w:sz w:val="24"/>
          <w:szCs w:val="24"/>
        </w:rPr>
        <w:t>measured</w:t>
      </w:r>
      <w:r w:rsidRPr="00CA6CB7">
        <w:rPr>
          <w:rFonts w:ascii="Times New Roman" w:hAnsi="Times New Roman" w:cs="Times New Roman"/>
          <w:sz w:val="24"/>
          <w:szCs w:val="24"/>
        </w:rPr>
        <w:t xml:space="preserve"> at 544 nm on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FLUOstar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Optima </w:t>
      </w:r>
      <w:proofErr w:type="spellStart"/>
      <w:r w:rsidR="005A35B2" w:rsidRPr="00CA6CB7">
        <w:rPr>
          <w:rFonts w:ascii="Times New Roman" w:hAnsi="Times New Roman" w:cs="Times New Roman"/>
          <w:sz w:val="24"/>
          <w:szCs w:val="24"/>
        </w:rPr>
        <w:t>microplate</w:t>
      </w:r>
      <w:proofErr w:type="spellEnd"/>
      <w:r w:rsidR="005A35B2" w:rsidRPr="00CA6CB7">
        <w:rPr>
          <w:rFonts w:ascii="Times New Roman" w:hAnsi="Times New Roman" w:cs="Times New Roman"/>
          <w:sz w:val="24"/>
          <w:szCs w:val="24"/>
        </w:rPr>
        <w:t xml:space="preserve"> reader </w:t>
      </w:r>
      <w:r w:rsidRPr="00CA6CB7">
        <w:rPr>
          <w:rFonts w:ascii="Times New Roman" w:hAnsi="Times New Roman" w:cs="Times New Roman"/>
          <w:sz w:val="24"/>
          <w:szCs w:val="24"/>
        </w:rPr>
        <w:t xml:space="preserve">(BMG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Labtech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, Germany)</w:t>
      </w:r>
      <w:r w:rsidR="005A35B2" w:rsidRPr="00CA6CB7">
        <w:rPr>
          <w:rFonts w:ascii="Times New Roman" w:hAnsi="Times New Roman" w:cs="Times New Roman"/>
          <w:sz w:val="24"/>
          <w:szCs w:val="24"/>
        </w:rPr>
        <w:t>. Samples containing</w:t>
      </w:r>
      <w:r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23DC2" w:rsidRPr="00CA6CB7">
        <w:rPr>
          <w:rFonts w:ascii="Times New Roman" w:hAnsi="Times New Roman" w:cs="Times New Roman"/>
          <w:sz w:val="24"/>
          <w:szCs w:val="24"/>
        </w:rPr>
        <w:t xml:space="preserve">only </w:t>
      </w:r>
      <w:r w:rsidRPr="00CA6CB7">
        <w:rPr>
          <w:rFonts w:ascii="Times New Roman" w:hAnsi="Times New Roman" w:cs="Times New Roman"/>
          <w:sz w:val="24"/>
          <w:szCs w:val="24"/>
        </w:rPr>
        <w:t>DMSO</w:t>
      </w:r>
      <w:r w:rsidR="005A35B2" w:rsidRPr="00CA6CB7">
        <w:rPr>
          <w:rFonts w:ascii="Times New Roman" w:hAnsi="Times New Roman" w:cs="Times New Roman"/>
          <w:sz w:val="24"/>
          <w:szCs w:val="24"/>
        </w:rPr>
        <w:t xml:space="preserve"> were used</w:t>
      </w:r>
      <w:r w:rsidRPr="00CA6CB7">
        <w:rPr>
          <w:rFonts w:ascii="Times New Roman" w:hAnsi="Times New Roman" w:cs="Times New Roman"/>
          <w:sz w:val="24"/>
          <w:szCs w:val="24"/>
        </w:rPr>
        <w:t xml:space="preserve"> as a blank control. Control experiments containing untreated with FA-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cells were carried out. The survival of the cells, treated with </w:t>
      </w:r>
      <w:proofErr w:type="spellStart"/>
      <w:r w:rsidR="005A35B2" w:rsidRPr="00CA6CB7">
        <w:rPr>
          <w:rFonts w:ascii="Times New Roman" w:hAnsi="Times New Roman" w:cs="Times New Roman"/>
          <w:sz w:val="24"/>
          <w:szCs w:val="24"/>
        </w:rPr>
        <w:t>HlHs</w:t>
      </w:r>
      <w:proofErr w:type="spellEnd"/>
      <w:r w:rsidR="005A35B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>was presented in percentages from the corresponding control. Two independent experiments were performed for each cell line.</w:t>
      </w: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ab/>
        <w:t>2.7. Statistical analysis</w:t>
      </w:r>
    </w:p>
    <w:p w:rsidR="00675A72" w:rsidRPr="00CA6CB7" w:rsidRDefault="00675A7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  <w:t xml:space="preserve">Data were analyzed by one-way ANOVA followed by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Tukey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–Kramer post-hoc test. The values were considered to be significantly different if the p value was &lt; 0.05.</w:t>
      </w:r>
    </w:p>
    <w:p w:rsidR="003721C7" w:rsidRPr="00CA6CB7" w:rsidRDefault="003721C7" w:rsidP="00CA6CB7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820032" w:rsidRPr="00CA6CB7" w:rsidRDefault="00B23DC2" w:rsidP="00CA6CB7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CB7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5D7BA2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820032" w:rsidRPr="00CA6CB7" w:rsidRDefault="00B03784" w:rsidP="00CA6CB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3.1. </w:t>
      </w:r>
      <w:r w:rsidR="005E2D74" w:rsidRPr="00CA6CB7">
        <w:rPr>
          <w:rFonts w:ascii="Times New Roman" w:hAnsi="Times New Roman" w:cs="Times New Roman"/>
          <w:b/>
          <w:i/>
          <w:sz w:val="24"/>
          <w:szCs w:val="24"/>
        </w:rPr>
        <w:t>Synthesis</w:t>
      </w:r>
      <w:r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and biophysical characterization</w:t>
      </w:r>
      <w:r w:rsidR="00EE5B2D"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of the FA-</w:t>
      </w:r>
      <w:proofErr w:type="spellStart"/>
      <w:r w:rsidR="00EE5B2D" w:rsidRPr="00CA6CB7">
        <w:rPr>
          <w:rFonts w:ascii="Times New Roman" w:hAnsi="Times New Roman" w:cs="Times New Roman"/>
          <w:b/>
          <w:i/>
          <w:sz w:val="24"/>
          <w:szCs w:val="24"/>
        </w:rPr>
        <w:t>HlH</w:t>
      </w:r>
      <w:proofErr w:type="spellEnd"/>
      <w:r w:rsidR="00EE5B2D"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conjugates</w:t>
      </w:r>
    </w:p>
    <w:p w:rsidR="006032EA" w:rsidRDefault="00B03784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1F0EBF" w:rsidRPr="00CA6CB7">
        <w:rPr>
          <w:rFonts w:ascii="Times New Roman" w:hAnsi="Times New Roman" w:cs="Times New Roman"/>
          <w:sz w:val="24"/>
          <w:szCs w:val="24"/>
        </w:rPr>
        <w:t>Ferulic a</w:t>
      </w:r>
      <w:r w:rsidR="002D5614" w:rsidRPr="00CA6CB7">
        <w:rPr>
          <w:rFonts w:ascii="Times New Roman" w:hAnsi="Times New Roman" w:cs="Times New Roman"/>
          <w:sz w:val="24"/>
          <w:szCs w:val="24"/>
        </w:rPr>
        <w:t xml:space="preserve">cid was covalently linked to the accessible ε-amino groups of lysine residues and N-terminal amino groups of </w:t>
      </w:r>
      <w:proofErr w:type="spellStart"/>
      <w:r w:rsidR="002D5614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2D5614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8435CF" w:rsidRPr="00CA6CB7">
        <w:rPr>
          <w:rFonts w:ascii="Times New Roman" w:hAnsi="Times New Roman" w:cs="Times New Roman"/>
          <w:sz w:val="24"/>
          <w:szCs w:val="24"/>
        </w:rPr>
        <w:t>via activated ester method</w:t>
      </w:r>
      <w:r w:rsidR="006C5498" w:rsidRPr="00CA6CB7">
        <w:rPr>
          <w:rFonts w:ascii="Times New Roman" w:hAnsi="Times New Roman" w:cs="Times New Roman"/>
          <w:sz w:val="24"/>
          <w:szCs w:val="24"/>
        </w:rPr>
        <w:t xml:space="preserve"> (Scheme 1)</w:t>
      </w:r>
      <w:r w:rsidR="008435CF" w:rsidRPr="00CA6C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EA" w:rsidRDefault="006650D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92772" cy="1785896"/>
            <wp:effectExtent l="114300" t="57150" r="98178" b="61954"/>
            <wp:docPr id="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089" cy="178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650D1" w:rsidRPr="00CA6CB7" w:rsidRDefault="006650D1" w:rsidP="00665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 xml:space="preserve">Scheme 1: </w:t>
      </w:r>
      <w:r w:rsidRPr="00CA6CB7">
        <w:rPr>
          <w:rFonts w:ascii="Times New Roman" w:hAnsi="Times New Roman" w:cs="Times New Roman"/>
          <w:sz w:val="24"/>
          <w:szCs w:val="24"/>
        </w:rPr>
        <w:t xml:space="preserve">Steps in chemical modification of </w:t>
      </w:r>
      <w:r w:rsidRPr="00CA6CB7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Pr="00CA6CB7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hemocyanin with ferulic acid: a) a</w:t>
      </w:r>
      <w:r w:rsidRPr="00CA6CB7">
        <w:rPr>
          <w:rFonts w:ascii="Times New Roman" w:hAnsi="Times New Roman" w:cs="Times New Roman"/>
          <w:sz w:val="24"/>
          <w:szCs w:val="24"/>
        </w:rPr>
        <w:t>ctivation of the carboxylic group of ferulic acid</w:t>
      </w:r>
      <w:r>
        <w:rPr>
          <w:rFonts w:ascii="Times New Roman" w:hAnsi="Times New Roman" w:cs="Times New Roman"/>
          <w:sz w:val="24"/>
          <w:szCs w:val="24"/>
        </w:rPr>
        <w:t xml:space="preserve">; b) </w:t>
      </w:r>
      <w:r w:rsidRPr="00CA6CB7">
        <w:rPr>
          <w:rFonts w:ascii="Times New Roman" w:hAnsi="Times New Roman" w:cs="Times New Roman"/>
          <w:sz w:val="24"/>
          <w:szCs w:val="24"/>
        </w:rPr>
        <w:t>Conjugation of ferulic acid and primary amino groups of the hemocyanin.</w:t>
      </w:r>
    </w:p>
    <w:p w:rsidR="006650D1" w:rsidRDefault="006650D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EBF" w:rsidRPr="00CA6CB7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BCB" w:rsidRPr="00CA6CB7">
        <w:rPr>
          <w:rFonts w:ascii="Times New Roman" w:hAnsi="Times New Roman" w:cs="Times New Roman"/>
          <w:sz w:val="24"/>
          <w:szCs w:val="24"/>
        </w:rPr>
        <w:t xml:space="preserve">The reaction was conducted under mild reaction conditions in PBS buffer (pH 7.2), at which primary amino groups are positively charged and exposed to the protein surface. </w:t>
      </w:r>
      <w:r w:rsidR="00D14A1C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="00B17960" w:rsidRPr="00CA6CB7">
        <w:rPr>
          <w:rFonts w:ascii="Times New Roman" w:hAnsi="Times New Roman" w:cs="Times New Roman"/>
          <w:sz w:val="24"/>
          <w:szCs w:val="24"/>
        </w:rPr>
        <w:t xml:space="preserve">intermediate, </w:t>
      </w:r>
      <w:r w:rsidR="00D14A1C" w:rsidRPr="00CA6CB7">
        <w:rPr>
          <w:rFonts w:ascii="Times New Roman" w:hAnsi="Times New Roman" w:cs="Times New Roman"/>
          <w:sz w:val="24"/>
          <w:szCs w:val="24"/>
        </w:rPr>
        <w:t xml:space="preserve">NHS ester of ferulic acid was not </w:t>
      </w:r>
      <w:r w:rsidR="00B17960" w:rsidRPr="00CA6CB7">
        <w:rPr>
          <w:rFonts w:ascii="Times New Roman" w:hAnsi="Times New Roman" w:cs="Times New Roman"/>
          <w:sz w:val="24"/>
          <w:szCs w:val="24"/>
        </w:rPr>
        <w:t>isolated</w:t>
      </w:r>
      <w:r w:rsidR="00894CD8" w:rsidRPr="00CA6CB7">
        <w:rPr>
          <w:rFonts w:ascii="Times New Roman" w:hAnsi="Times New Roman" w:cs="Times New Roman"/>
          <w:sz w:val="24"/>
          <w:szCs w:val="24"/>
        </w:rPr>
        <w:t xml:space="preserve"> and synthesis was performed in one step.</w:t>
      </w:r>
      <w:r w:rsidR="00EE3662" w:rsidRPr="00CA6CB7">
        <w:rPr>
          <w:rFonts w:ascii="Times New Roman" w:hAnsi="Times New Roman" w:cs="Times New Roman"/>
          <w:sz w:val="24"/>
          <w:szCs w:val="24"/>
        </w:rPr>
        <w:t xml:space="preserve"> An excess of folic acid (100- to 500- fold) was used in order to obtain conjugates with high degree of substitution. Two FA-</w:t>
      </w:r>
      <w:proofErr w:type="spellStart"/>
      <w:r w:rsidR="00EE3662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EE3662" w:rsidRPr="00CA6CB7">
        <w:rPr>
          <w:rFonts w:ascii="Times New Roman" w:hAnsi="Times New Roman" w:cs="Times New Roman"/>
          <w:sz w:val="24"/>
          <w:szCs w:val="24"/>
        </w:rPr>
        <w:t xml:space="preserve"> conjugates containing 40- and 120 ferulic acid resi</w:t>
      </w:r>
      <w:r w:rsidR="00B03784" w:rsidRPr="00CA6CB7">
        <w:rPr>
          <w:rFonts w:ascii="Times New Roman" w:hAnsi="Times New Roman" w:cs="Times New Roman"/>
          <w:sz w:val="24"/>
          <w:szCs w:val="24"/>
        </w:rPr>
        <w:t>dues were prepared and isolated, and were denoted as FA-HlH-1 and FA-</w:t>
      </w:r>
      <w:proofErr w:type="spellStart"/>
      <w:r w:rsidR="00B03784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B03784" w:rsidRPr="00CA6CB7">
        <w:rPr>
          <w:rFonts w:ascii="Times New Roman" w:hAnsi="Times New Roman" w:cs="Times New Roman"/>
          <w:sz w:val="24"/>
          <w:szCs w:val="24"/>
        </w:rPr>
        <w:t xml:space="preserve">, respectively. </w:t>
      </w:r>
    </w:p>
    <w:p w:rsidR="002E3597" w:rsidRPr="00CA6CB7" w:rsidRDefault="00B03784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7442A3" w:rsidRPr="00CA6CB7">
        <w:rPr>
          <w:rFonts w:ascii="Times New Roman" w:hAnsi="Times New Roman" w:cs="Times New Roman"/>
          <w:sz w:val="24"/>
          <w:szCs w:val="24"/>
        </w:rPr>
        <w:t xml:space="preserve">We applied ATR-FTIR spectroscopy to assess the effect of the modification on the </w:t>
      </w:r>
      <w:proofErr w:type="spellStart"/>
      <w:r w:rsidR="003D3FBA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3D3FBA" w:rsidRPr="00CA6CB7">
        <w:rPr>
          <w:rFonts w:ascii="Times New Roman" w:hAnsi="Times New Roman" w:cs="Times New Roman"/>
          <w:sz w:val="24"/>
          <w:szCs w:val="24"/>
        </w:rPr>
        <w:t xml:space="preserve"> secondary structure. </w:t>
      </w:r>
      <w:r w:rsidR="00C92AF0" w:rsidRPr="00CA6CB7">
        <w:rPr>
          <w:rFonts w:ascii="Times New Roman" w:hAnsi="Times New Roman" w:cs="Times New Roman"/>
          <w:sz w:val="24"/>
          <w:szCs w:val="24"/>
        </w:rPr>
        <w:t xml:space="preserve">Spectra of FA-HlH-1, FA-HlH-2 and native </w:t>
      </w:r>
      <w:proofErr w:type="spellStart"/>
      <w:r w:rsidR="00C92AF0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C92AF0" w:rsidRPr="00CA6CB7">
        <w:rPr>
          <w:rFonts w:ascii="Times New Roman" w:hAnsi="Times New Roman" w:cs="Times New Roman"/>
          <w:sz w:val="24"/>
          <w:szCs w:val="24"/>
        </w:rPr>
        <w:t xml:space="preserve"> were compared in the Amide I band region (1700-1600 cm</w:t>
      </w:r>
      <w:r w:rsidR="00C92AF0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1EE3" w:rsidRPr="00CA6CB7">
        <w:rPr>
          <w:rFonts w:ascii="Times New Roman" w:hAnsi="Times New Roman" w:cs="Times New Roman"/>
          <w:sz w:val="24"/>
          <w:szCs w:val="24"/>
        </w:rPr>
        <w:t>),</w:t>
      </w:r>
      <w:r w:rsidR="00C92AF0" w:rsidRPr="00CA6CB7">
        <w:rPr>
          <w:rFonts w:ascii="Times New Roman" w:hAnsi="Times New Roman" w:cs="Times New Roman"/>
          <w:sz w:val="24"/>
          <w:szCs w:val="24"/>
        </w:rPr>
        <w:t xml:space="preserve"> which </w:t>
      </w:r>
      <w:r w:rsidR="0076575B" w:rsidRPr="00CA6CB7">
        <w:rPr>
          <w:rFonts w:ascii="Times New Roman" w:hAnsi="Times New Roman" w:cs="Times New Roman"/>
          <w:sz w:val="24"/>
          <w:szCs w:val="24"/>
        </w:rPr>
        <w:t>is mainly due to C=O stretching vibrations (70-80%) of the amide group</w:t>
      </w:r>
      <w:r w:rsidR="00281EE3" w:rsidRPr="00CA6CB7">
        <w:rPr>
          <w:rFonts w:ascii="Times New Roman" w:hAnsi="Times New Roman" w:cs="Times New Roman"/>
          <w:sz w:val="24"/>
          <w:szCs w:val="24"/>
        </w:rPr>
        <w:t>s</w:t>
      </w:r>
      <w:r w:rsidR="0076575B" w:rsidRPr="00CA6CB7">
        <w:rPr>
          <w:rFonts w:ascii="Times New Roman" w:hAnsi="Times New Roman" w:cs="Times New Roman"/>
          <w:sz w:val="24"/>
          <w:szCs w:val="24"/>
        </w:rPr>
        <w:t xml:space="preserve"> and is </w:t>
      </w:r>
      <w:r w:rsidR="00C92AF0" w:rsidRPr="00CA6CB7">
        <w:rPr>
          <w:rFonts w:ascii="Times New Roman" w:hAnsi="Times New Roman" w:cs="Times New Roman"/>
          <w:sz w:val="24"/>
          <w:szCs w:val="24"/>
        </w:rPr>
        <w:t xml:space="preserve">known as </w:t>
      </w:r>
      <w:proofErr w:type="spellStart"/>
      <w:r w:rsidR="00B6099B">
        <w:rPr>
          <w:rFonts w:ascii="Times New Roman" w:hAnsi="Times New Roman" w:cs="Times New Roman"/>
          <w:sz w:val="24"/>
          <w:szCs w:val="24"/>
        </w:rPr>
        <w:t>conformationally</w:t>
      </w:r>
      <w:proofErr w:type="spellEnd"/>
      <w:r w:rsidR="00B6099B">
        <w:rPr>
          <w:rFonts w:ascii="Times New Roman" w:hAnsi="Times New Roman" w:cs="Times New Roman"/>
          <w:sz w:val="24"/>
          <w:szCs w:val="24"/>
        </w:rPr>
        <w:t xml:space="preserve"> sensitive</w:t>
      </w:r>
      <w:r w:rsidR="0076575B" w:rsidRPr="00CA6CB7">
        <w:rPr>
          <w:rFonts w:ascii="Times New Roman" w:hAnsi="Times New Roman" w:cs="Times New Roman"/>
          <w:sz w:val="24"/>
          <w:szCs w:val="24"/>
        </w:rPr>
        <w:t>.</w:t>
      </w:r>
      <w:r w:rsidR="00B6099B" w:rsidRPr="00B6099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B6099B">
        <w:rPr>
          <w:rFonts w:ascii="Times New Roman" w:hAnsi="Times New Roman" w:cs="Times New Roman"/>
          <w:sz w:val="24"/>
          <w:szCs w:val="24"/>
        </w:rPr>
        <w:t xml:space="preserve"> </w:t>
      </w:r>
      <w:r w:rsidR="00C13ABA" w:rsidRPr="00CA6CB7">
        <w:rPr>
          <w:rFonts w:ascii="Times New Roman" w:hAnsi="Times New Roman" w:cs="Times New Roman"/>
          <w:sz w:val="24"/>
          <w:szCs w:val="24"/>
        </w:rPr>
        <w:t>For the three protein samples, t</w:t>
      </w:r>
      <w:r w:rsidR="00565233" w:rsidRPr="00CA6CB7">
        <w:rPr>
          <w:rFonts w:ascii="Times New Roman" w:hAnsi="Times New Roman" w:cs="Times New Roman"/>
          <w:sz w:val="24"/>
          <w:szCs w:val="24"/>
        </w:rPr>
        <w:t xml:space="preserve">he original, the second derivative and </w:t>
      </w:r>
      <w:r w:rsidR="00C13ABA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="00565233" w:rsidRPr="00CA6CB7">
        <w:rPr>
          <w:rFonts w:ascii="Times New Roman" w:hAnsi="Times New Roman" w:cs="Times New Roman"/>
          <w:sz w:val="24"/>
          <w:szCs w:val="24"/>
        </w:rPr>
        <w:t>deconvoluted</w:t>
      </w:r>
      <w:r w:rsidR="00C13ABA" w:rsidRPr="00CA6CB7">
        <w:rPr>
          <w:rFonts w:ascii="Times New Roman" w:hAnsi="Times New Roman" w:cs="Times New Roman"/>
          <w:sz w:val="24"/>
          <w:szCs w:val="24"/>
        </w:rPr>
        <w:t xml:space="preserve"> spectra scaled to an identical area under Amide I and Amide II (1700-1400 cm</w:t>
      </w:r>
      <w:r w:rsidR="00C13ABA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13ABA" w:rsidRPr="00CA6CB7">
        <w:rPr>
          <w:rFonts w:ascii="Times New Roman" w:hAnsi="Times New Roman" w:cs="Times New Roman"/>
          <w:sz w:val="24"/>
          <w:szCs w:val="24"/>
        </w:rPr>
        <w:t>) are given in the Supplementary (Fig.</w:t>
      </w:r>
      <w:r w:rsidR="000A3712" w:rsidRPr="00CA6CB7">
        <w:rPr>
          <w:rFonts w:ascii="Times New Roman" w:hAnsi="Times New Roman" w:cs="Times New Roman"/>
          <w:sz w:val="24"/>
          <w:szCs w:val="24"/>
        </w:rPr>
        <w:t xml:space="preserve"> S1</w:t>
      </w:r>
      <w:r w:rsidR="00C13ABA" w:rsidRPr="00CA6CB7">
        <w:rPr>
          <w:rFonts w:ascii="Times New Roman" w:hAnsi="Times New Roman" w:cs="Times New Roman"/>
          <w:sz w:val="24"/>
          <w:szCs w:val="24"/>
        </w:rPr>
        <w:t xml:space="preserve">). </w:t>
      </w:r>
      <w:r w:rsidR="0072108A" w:rsidRPr="00CA6CB7">
        <w:rPr>
          <w:rFonts w:ascii="Times New Roman" w:hAnsi="Times New Roman" w:cs="Times New Roman"/>
          <w:sz w:val="24"/>
          <w:szCs w:val="24"/>
        </w:rPr>
        <w:t xml:space="preserve">The spectra were analyzed using 7 (native </w:t>
      </w:r>
      <w:proofErr w:type="spellStart"/>
      <w:r w:rsidR="0072108A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72108A" w:rsidRPr="00CA6CB7">
        <w:rPr>
          <w:rFonts w:ascii="Times New Roman" w:hAnsi="Times New Roman" w:cs="Times New Roman"/>
          <w:sz w:val="24"/>
          <w:szCs w:val="24"/>
        </w:rPr>
        <w:t xml:space="preserve"> and FA-HlH-1) or 8 (FA-HlH-2) bands having a centre within </w:t>
      </w:r>
      <w:r w:rsidR="00801A71" w:rsidRPr="00CA6CB7">
        <w:rPr>
          <w:rFonts w:ascii="Times New Roman" w:hAnsi="Times New Roman" w:cs="Times New Roman"/>
          <w:sz w:val="24"/>
          <w:szCs w:val="24"/>
        </w:rPr>
        <w:t>1600</w:t>
      </w:r>
      <w:r w:rsidR="00FE4D95" w:rsidRPr="00CA6CB7">
        <w:rPr>
          <w:rFonts w:ascii="Times New Roman" w:hAnsi="Times New Roman" w:cs="Times New Roman"/>
          <w:sz w:val="24"/>
          <w:szCs w:val="24"/>
        </w:rPr>
        <w:t>–</w:t>
      </w:r>
      <w:r w:rsidR="00801A71" w:rsidRPr="00CA6CB7">
        <w:rPr>
          <w:rFonts w:ascii="Times New Roman" w:hAnsi="Times New Roman" w:cs="Times New Roman"/>
          <w:sz w:val="24"/>
          <w:szCs w:val="24"/>
        </w:rPr>
        <w:t>1615; 1615</w:t>
      </w:r>
      <w:r w:rsidR="00FE4D95" w:rsidRPr="00CA6CB7">
        <w:rPr>
          <w:rFonts w:ascii="Times New Roman" w:hAnsi="Times New Roman" w:cs="Times New Roman"/>
          <w:sz w:val="24"/>
          <w:szCs w:val="24"/>
        </w:rPr>
        <w:t>–</w:t>
      </w:r>
      <w:r w:rsidR="00801A71" w:rsidRPr="00CA6CB7">
        <w:rPr>
          <w:rFonts w:ascii="Times New Roman" w:hAnsi="Times New Roman" w:cs="Times New Roman"/>
          <w:sz w:val="24"/>
          <w:szCs w:val="24"/>
        </w:rPr>
        <w:t>1640; 1640</w:t>
      </w:r>
      <w:r w:rsidR="00FE4D95" w:rsidRPr="00CA6CB7">
        <w:rPr>
          <w:rFonts w:ascii="Times New Roman" w:hAnsi="Times New Roman" w:cs="Times New Roman"/>
          <w:sz w:val="24"/>
          <w:szCs w:val="24"/>
        </w:rPr>
        <w:t>–</w:t>
      </w:r>
      <w:r w:rsidR="00801A71" w:rsidRPr="00CA6CB7">
        <w:rPr>
          <w:rFonts w:ascii="Times New Roman" w:hAnsi="Times New Roman" w:cs="Times New Roman"/>
          <w:sz w:val="24"/>
          <w:szCs w:val="24"/>
        </w:rPr>
        <w:t>1660; 1660</w:t>
      </w:r>
      <w:r w:rsidR="00FE4D95" w:rsidRPr="00CA6CB7">
        <w:rPr>
          <w:rFonts w:ascii="Times New Roman" w:hAnsi="Times New Roman" w:cs="Times New Roman"/>
          <w:sz w:val="24"/>
          <w:szCs w:val="24"/>
        </w:rPr>
        <w:t>–</w:t>
      </w:r>
      <w:r w:rsidR="00801A71" w:rsidRPr="00CA6CB7">
        <w:rPr>
          <w:rFonts w:ascii="Times New Roman" w:hAnsi="Times New Roman" w:cs="Times New Roman"/>
          <w:sz w:val="24"/>
          <w:szCs w:val="24"/>
        </w:rPr>
        <w:t>1690; and 1690</w:t>
      </w:r>
      <w:r w:rsidR="00FE4D95" w:rsidRPr="00CA6CB7">
        <w:rPr>
          <w:rFonts w:ascii="Times New Roman" w:hAnsi="Times New Roman" w:cs="Times New Roman"/>
          <w:sz w:val="24"/>
          <w:szCs w:val="24"/>
        </w:rPr>
        <w:t>–</w:t>
      </w:r>
      <w:r w:rsidR="00801A71" w:rsidRPr="00CA6CB7">
        <w:rPr>
          <w:rFonts w:ascii="Times New Roman" w:hAnsi="Times New Roman" w:cs="Times New Roman"/>
          <w:sz w:val="24"/>
          <w:szCs w:val="24"/>
        </w:rPr>
        <w:t>1700 cm</w:t>
      </w:r>
      <w:r w:rsidR="00801A71" w:rsidRPr="00CA6CB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8630E" w:rsidRPr="00CA6CB7">
        <w:rPr>
          <w:rFonts w:ascii="Times New Roman" w:hAnsi="Times New Roman" w:cs="Times New Roman"/>
          <w:sz w:val="24"/>
          <w:szCs w:val="24"/>
        </w:rPr>
        <w:t xml:space="preserve">, which are assigned to extended conformations or side-chains residues, β-sheets; </w:t>
      </w:r>
      <w:r w:rsidR="00927B0A" w:rsidRPr="00CA6CB7">
        <w:rPr>
          <w:rFonts w:ascii="Times New Roman" w:hAnsi="Times New Roman" w:cs="Times New Roman"/>
          <w:sz w:val="24"/>
          <w:szCs w:val="24"/>
        </w:rPr>
        <w:t>α-</w:t>
      </w:r>
      <w:r w:rsidR="0068630E" w:rsidRPr="00CA6CB7">
        <w:rPr>
          <w:rFonts w:ascii="Times New Roman" w:hAnsi="Times New Roman" w:cs="Times New Roman"/>
          <w:sz w:val="24"/>
          <w:szCs w:val="24"/>
        </w:rPr>
        <w:t>helical, coil</w:t>
      </w:r>
      <w:r w:rsidR="00927B0A" w:rsidRPr="00CA6CB7">
        <w:rPr>
          <w:rFonts w:ascii="Times New Roman" w:hAnsi="Times New Roman" w:cs="Times New Roman"/>
          <w:sz w:val="24"/>
          <w:szCs w:val="24"/>
        </w:rPr>
        <w:t>ed or</w:t>
      </w:r>
      <w:r w:rsidR="0068630E" w:rsidRPr="00CA6CB7">
        <w:rPr>
          <w:rFonts w:ascii="Times New Roman" w:hAnsi="Times New Roman" w:cs="Times New Roman"/>
          <w:sz w:val="24"/>
          <w:szCs w:val="24"/>
        </w:rPr>
        <w:t xml:space="preserve"> disordered structures; β-turns and a</w:t>
      </w:r>
      <w:r w:rsidR="00B6099B">
        <w:rPr>
          <w:rFonts w:ascii="Times New Roman" w:hAnsi="Times New Roman" w:cs="Times New Roman"/>
          <w:sz w:val="24"/>
          <w:szCs w:val="24"/>
        </w:rPr>
        <w:t>ntiparallel β-sheet structures</w:t>
      </w:r>
      <w:r w:rsidR="0068630E" w:rsidRPr="00CA6CB7">
        <w:rPr>
          <w:rFonts w:ascii="Times New Roman" w:hAnsi="Times New Roman" w:cs="Times New Roman"/>
          <w:sz w:val="24"/>
          <w:szCs w:val="24"/>
        </w:rPr>
        <w:t>.</w:t>
      </w:r>
      <w:r w:rsidR="00B6099B" w:rsidRPr="00B6099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B6099B">
        <w:rPr>
          <w:rFonts w:ascii="Times New Roman" w:hAnsi="Times New Roman" w:cs="Times New Roman"/>
          <w:sz w:val="24"/>
          <w:szCs w:val="24"/>
        </w:rPr>
        <w:t xml:space="preserve"> </w:t>
      </w:r>
      <w:r w:rsidR="00854D9E" w:rsidRPr="00CA6CB7">
        <w:rPr>
          <w:rFonts w:ascii="Times New Roman" w:hAnsi="Times New Roman" w:cs="Times New Roman"/>
          <w:sz w:val="24"/>
          <w:szCs w:val="24"/>
        </w:rPr>
        <w:t xml:space="preserve">As obtained from the FTIR studies, the conformation of the native and the two feruloylated </w:t>
      </w:r>
      <w:proofErr w:type="spellStart"/>
      <w:r w:rsidR="00854D9E" w:rsidRPr="00CA6CB7">
        <w:rPr>
          <w:rFonts w:ascii="Times New Roman" w:hAnsi="Times New Roman" w:cs="Times New Roman"/>
          <w:sz w:val="24"/>
          <w:szCs w:val="24"/>
        </w:rPr>
        <w:t>HlHs</w:t>
      </w:r>
      <w:proofErr w:type="spellEnd"/>
      <w:r w:rsidR="00854D9E" w:rsidRPr="00CA6CB7">
        <w:rPr>
          <w:rFonts w:ascii="Times New Roman" w:hAnsi="Times New Roman" w:cs="Times New Roman"/>
          <w:sz w:val="24"/>
          <w:szCs w:val="24"/>
        </w:rPr>
        <w:t xml:space="preserve"> are reported in Table 1.</w:t>
      </w:r>
    </w:p>
    <w:p w:rsidR="006650D1" w:rsidRPr="00CA6CB7" w:rsidRDefault="002E5B9C" w:rsidP="00665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6650D1" w:rsidRPr="00CA6CB7">
        <w:rPr>
          <w:rFonts w:ascii="Times New Roman" w:hAnsi="Times New Roman" w:cs="Times New Roman"/>
          <w:b/>
          <w:sz w:val="24"/>
          <w:szCs w:val="24"/>
        </w:rPr>
        <w:t>Table 1.</w:t>
      </w:r>
      <w:proofErr w:type="gramEnd"/>
      <w:r w:rsidR="006650D1"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0D1" w:rsidRPr="00CA6CB7">
        <w:rPr>
          <w:rFonts w:ascii="Times New Roman" w:hAnsi="Times New Roman" w:cs="Times New Roman"/>
          <w:sz w:val="24"/>
          <w:szCs w:val="24"/>
        </w:rPr>
        <w:t xml:space="preserve">Secondary structure band assignments for the native and ferulic acid-conjugated </w:t>
      </w:r>
      <w:r w:rsidR="006650D1" w:rsidRPr="00CA6CB7">
        <w:rPr>
          <w:rFonts w:ascii="Times New Roman" w:hAnsi="Times New Roman" w:cs="Times New Roman"/>
          <w:i/>
          <w:sz w:val="24"/>
          <w:szCs w:val="24"/>
        </w:rPr>
        <w:t xml:space="preserve">Helix </w:t>
      </w:r>
      <w:proofErr w:type="spellStart"/>
      <w:r w:rsidR="006650D1" w:rsidRPr="00CA6CB7">
        <w:rPr>
          <w:rFonts w:ascii="Times New Roman" w:hAnsi="Times New Roman" w:cs="Times New Roman"/>
          <w:i/>
          <w:sz w:val="24"/>
          <w:szCs w:val="24"/>
        </w:rPr>
        <w:t>lucorum</w:t>
      </w:r>
      <w:proofErr w:type="spellEnd"/>
      <w:r w:rsidR="006650D1" w:rsidRPr="00CA6CB7">
        <w:rPr>
          <w:rFonts w:ascii="Times New Roman" w:hAnsi="Times New Roman" w:cs="Times New Roman"/>
          <w:sz w:val="24"/>
          <w:szCs w:val="24"/>
        </w:rPr>
        <w:t xml:space="preserve"> hemocyanin in 50 </w:t>
      </w:r>
      <w:proofErr w:type="spellStart"/>
      <w:r w:rsidR="006650D1"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6650D1" w:rsidRPr="00CA6CB7">
        <w:rPr>
          <w:rFonts w:ascii="Times New Roman" w:hAnsi="Times New Roman" w:cs="Times New Roman"/>
          <w:sz w:val="24"/>
          <w:szCs w:val="24"/>
        </w:rPr>
        <w:t xml:space="preserve"> PBS buffer (pH 7.2). </w:t>
      </w:r>
    </w:p>
    <w:tbl>
      <w:tblPr>
        <w:tblStyle w:val="TableGrid"/>
        <w:tblW w:w="0" w:type="auto"/>
        <w:tblLook w:val="04A0"/>
      </w:tblPr>
      <w:tblGrid>
        <w:gridCol w:w="1949"/>
        <w:gridCol w:w="1274"/>
        <w:gridCol w:w="1281"/>
        <w:gridCol w:w="1276"/>
        <w:gridCol w:w="1283"/>
        <w:gridCol w:w="1276"/>
        <w:gridCol w:w="1283"/>
      </w:tblGrid>
      <w:tr w:rsidR="006650D1" w:rsidRPr="00CA6CB7" w:rsidTr="003A1AF8">
        <w:tc>
          <w:tcPr>
            <w:tcW w:w="1949" w:type="dxa"/>
            <w:vMerge w:val="restart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Assignment of the secondary structure components</w:t>
            </w:r>
            <w:r w:rsidRPr="00603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555" w:type="dxa"/>
            <w:gridSpan w:val="2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HlH</w:t>
            </w:r>
            <w:proofErr w:type="spellEnd"/>
            <w:r w:rsidRPr="00CA6CB7">
              <w:rPr>
                <w:rFonts w:ascii="Times New Roman" w:hAnsi="Times New Roman" w:cs="Times New Roman"/>
                <w:sz w:val="24"/>
                <w:szCs w:val="24"/>
              </w:rPr>
              <w:t xml:space="preserve"> native</w:t>
            </w:r>
          </w:p>
        </w:tc>
        <w:tc>
          <w:tcPr>
            <w:tcW w:w="2559" w:type="dxa"/>
            <w:gridSpan w:val="2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FA-HlH-1</w:t>
            </w:r>
          </w:p>
        </w:tc>
        <w:tc>
          <w:tcPr>
            <w:tcW w:w="2559" w:type="dxa"/>
            <w:gridSpan w:val="2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FA-HlH-2</w:t>
            </w:r>
          </w:p>
        </w:tc>
      </w:tr>
      <w:tr w:rsidR="006650D1" w:rsidRPr="00CA6CB7" w:rsidTr="003A1AF8">
        <w:tc>
          <w:tcPr>
            <w:tcW w:w="1949" w:type="dxa"/>
            <w:vMerge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Band position (cm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Relative area (%)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Band position (cm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Relative area (%)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Band position (cm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b/>
                <w:sz w:val="24"/>
                <w:szCs w:val="24"/>
              </w:rPr>
              <w:t>Relative area (%)</w:t>
            </w:r>
          </w:p>
        </w:tc>
      </w:tr>
      <w:tr w:rsidR="006650D1" w:rsidRPr="00CA6CB7" w:rsidTr="003A1AF8">
        <w:tc>
          <w:tcPr>
            <w:tcW w:w="1949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anti-parallel β-sheets</w:t>
            </w:r>
          </w:p>
        </w:tc>
        <w:tc>
          <w:tcPr>
            <w:tcW w:w="1274" w:type="dxa"/>
          </w:tcPr>
          <w:p w:rsidR="006650D1" w:rsidRPr="00CA6CB7" w:rsidRDefault="006650D1" w:rsidP="0066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81" w:type="dxa"/>
          </w:tcPr>
          <w:p w:rsidR="006650D1" w:rsidRPr="00CA6CB7" w:rsidRDefault="006650D1" w:rsidP="0066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11.31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1613;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10.91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6650D1" w:rsidRPr="00CA6CB7" w:rsidTr="003A1AF8">
        <w:tc>
          <w:tcPr>
            <w:tcW w:w="1949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β -structures (sheets and turns)</w:t>
            </w:r>
          </w:p>
        </w:tc>
        <w:tc>
          <w:tcPr>
            <w:tcW w:w="1274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1629;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1633;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1664;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81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0.15;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8.0;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11.76;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23.31;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7.90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1621;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1633;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1667;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7.31;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14.0;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12.74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10.73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1624;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1632;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1666;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10.28;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14.57;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15.80;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</w:tr>
      <w:tr w:rsidR="006650D1" w:rsidRPr="00CA6CB7" w:rsidTr="003A1AF8">
        <w:tc>
          <w:tcPr>
            <w:tcW w:w="1949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α-helices</w:t>
            </w:r>
          </w:p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281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30.39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20.79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23.7</w:t>
            </w:r>
          </w:p>
        </w:tc>
      </w:tr>
      <w:tr w:rsidR="006650D1" w:rsidRPr="00CA6CB7" w:rsidTr="003A1AF8">
        <w:tc>
          <w:tcPr>
            <w:tcW w:w="1949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unordered structures/random coils</w:t>
            </w:r>
          </w:p>
        </w:tc>
        <w:tc>
          <w:tcPr>
            <w:tcW w:w="1274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281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23.13</w:t>
            </w:r>
          </w:p>
        </w:tc>
        <w:tc>
          <w:tcPr>
            <w:tcW w:w="1276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283" w:type="dxa"/>
          </w:tcPr>
          <w:p w:rsidR="006650D1" w:rsidRPr="00CA6CB7" w:rsidRDefault="006650D1" w:rsidP="006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B7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</w:tbl>
    <w:p w:rsidR="006650D1" w:rsidRPr="00CA6CB7" w:rsidRDefault="006650D1" w:rsidP="006650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>FA-HlH-1 (40 ferulic acid residues); FA-HlH-2 (120 ferulic acid residues)</w:t>
      </w:r>
    </w:p>
    <w:p w:rsidR="006650D1" w:rsidRDefault="006650D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F63" w:rsidRPr="00CA6CB7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02CF" w:rsidRPr="00CA6CB7">
        <w:rPr>
          <w:rFonts w:ascii="Times New Roman" w:hAnsi="Times New Roman" w:cs="Times New Roman"/>
          <w:sz w:val="24"/>
          <w:szCs w:val="24"/>
        </w:rPr>
        <w:t>We observed a</w:t>
      </w:r>
      <w:r w:rsidR="00E1147E" w:rsidRPr="00CA6CB7">
        <w:rPr>
          <w:rFonts w:ascii="Times New Roman" w:hAnsi="Times New Roman" w:cs="Times New Roman"/>
          <w:sz w:val="24"/>
          <w:szCs w:val="24"/>
        </w:rPr>
        <w:t xml:space="preserve"> decrease in α-helices at expense of β-structures</w:t>
      </w:r>
      <w:r w:rsidR="00A93D2F" w:rsidRPr="00CA6CB7">
        <w:rPr>
          <w:rFonts w:ascii="Times New Roman" w:hAnsi="Times New Roman" w:cs="Times New Roman"/>
          <w:sz w:val="24"/>
          <w:szCs w:val="24"/>
        </w:rPr>
        <w:t>,</w:t>
      </w:r>
      <w:r w:rsidR="002E3597" w:rsidRPr="00CA6CB7">
        <w:rPr>
          <w:rFonts w:ascii="Times New Roman" w:hAnsi="Times New Roman" w:cs="Times New Roman"/>
          <w:sz w:val="24"/>
          <w:szCs w:val="24"/>
        </w:rPr>
        <w:t xml:space="preserve"> which </w:t>
      </w:r>
      <w:r w:rsidR="00C702CF" w:rsidRPr="00CA6CB7">
        <w:rPr>
          <w:rFonts w:ascii="Times New Roman" w:hAnsi="Times New Roman" w:cs="Times New Roman"/>
          <w:sz w:val="24"/>
          <w:szCs w:val="24"/>
        </w:rPr>
        <w:t>is an indication</w:t>
      </w:r>
      <w:r w:rsidR="002E3597" w:rsidRPr="00CA6CB7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A93D2F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A93D2F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1147E" w:rsidRPr="00CA6CB7">
        <w:rPr>
          <w:rFonts w:ascii="Times New Roman" w:hAnsi="Times New Roman" w:cs="Times New Roman"/>
          <w:sz w:val="24"/>
          <w:szCs w:val="24"/>
        </w:rPr>
        <w:t>is</w:t>
      </w:r>
      <w:r w:rsidR="00A93D2F" w:rsidRPr="00CA6CB7">
        <w:rPr>
          <w:rFonts w:ascii="Times New Roman" w:hAnsi="Times New Roman" w:cs="Times New Roman"/>
          <w:sz w:val="24"/>
          <w:szCs w:val="24"/>
        </w:rPr>
        <w:t xml:space="preserve"> partially unfolded due to the feruloylation.</w:t>
      </w:r>
      <w:r w:rsidR="002E3597" w:rsidRPr="00CA6CB7">
        <w:rPr>
          <w:rFonts w:ascii="Times New Roman" w:hAnsi="Times New Roman" w:cs="Times New Roman"/>
          <w:sz w:val="24"/>
          <w:szCs w:val="24"/>
        </w:rPr>
        <w:t xml:space="preserve"> In the spectra of FA-HlH-1 and FA-HlH-2 are </w:t>
      </w:r>
      <w:r w:rsidR="00E1147E" w:rsidRPr="00CA6CB7">
        <w:rPr>
          <w:rFonts w:ascii="Times New Roman" w:hAnsi="Times New Roman" w:cs="Times New Roman"/>
          <w:sz w:val="24"/>
          <w:szCs w:val="24"/>
        </w:rPr>
        <w:t>found</w:t>
      </w:r>
      <w:r w:rsidR="002E3597" w:rsidRPr="00CA6CB7">
        <w:rPr>
          <w:rFonts w:ascii="Times New Roman" w:hAnsi="Times New Roman" w:cs="Times New Roman"/>
          <w:sz w:val="24"/>
          <w:szCs w:val="24"/>
        </w:rPr>
        <w:t xml:space="preserve"> the typical bands that are assigned </w:t>
      </w:r>
      <w:r w:rsidR="00C702CF" w:rsidRPr="00CA6CB7">
        <w:rPr>
          <w:rFonts w:ascii="Times New Roman" w:hAnsi="Times New Roman" w:cs="Times New Roman"/>
          <w:sz w:val="24"/>
          <w:szCs w:val="24"/>
        </w:rPr>
        <w:t>to</w:t>
      </w:r>
      <w:r w:rsidR="002E3597" w:rsidRPr="00CA6CB7">
        <w:rPr>
          <w:rFonts w:ascii="Times New Roman" w:hAnsi="Times New Roman" w:cs="Times New Roman"/>
          <w:sz w:val="24"/>
          <w:szCs w:val="24"/>
        </w:rPr>
        <w:t xml:space="preserve"> protein aggregates</w:t>
      </w:r>
      <w:r w:rsidR="00894CD8" w:rsidRPr="00CA6CB7">
        <w:rPr>
          <w:rFonts w:ascii="Times New Roman" w:hAnsi="Times New Roman" w:cs="Times New Roman"/>
          <w:sz w:val="24"/>
          <w:szCs w:val="24"/>
        </w:rPr>
        <w:t xml:space="preserve">, which are probably additionally stabilized by </w:t>
      </w:r>
      <w:r w:rsidR="008D18DD" w:rsidRPr="00CA6CB7">
        <w:rPr>
          <w:rFonts w:ascii="Times New Roman" w:hAnsi="Times New Roman" w:cs="Times New Roman"/>
          <w:sz w:val="24"/>
          <w:szCs w:val="24"/>
        </w:rPr>
        <w:t xml:space="preserve">non-covalent interactions </w:t>
      </w:r>
      <w:r w:rsidR="0069405E" w:rsidRPr="00CA6CB7">
        <w:rPr>
          <w:rFonts w:ascii="Times New Roman" w:hAnsi="Times New Roman" w:cs="Times New Roman"/>
          <w:sz w:val="24"/>
          <w:szCs w:val="24"/>
        </w:rPr>
        <w:t xml:space="preserve">involving the aroma ring of the </w:t>
      </w:r>
      <w:r w:rsidR="008D18DD" w:rsidRPr="00CA6CB7">
        <w:rPr>
          <w:rFonts w:ascii="Times New Roman" w:hAnsi="Times New Roman" w:cs="Times New Roman"/>
          <w:sz w:val="24"/>
          <w:szCs w:val="24"/>
        </w:rPr>
        <w:t xml:space="preserve">substituents. </w:t>
      </w:r>
    </w:p>
    <w:p w:rsidR="006650D1" w:rsidRDefault="002E5B9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ab/>
      </w:r>
      <w:r w:rsidR="00845F63" w:rsidRPr="00CA6CB7">
        <w:rPr>
          <w:rFonts w:ascii="Times New Roman" w:hAnsi="Times New Roman" w:cs="Times New Roman"/>
          <w:sz w:val="24"/>
          <w:szCs w:val="24"/>
        </w:rPr>
        <w:t xml:space="preserve">Interestingly, despite of the observed conformational changes of the </w:t>
      </w:r>
      <w:proofErr w:type="spellStart"/>
      <w:r w:rsidR="00845F63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845F63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A4719" w:rsidRPr="00CA6CB7">
        <w:rPr>
          <w:rFonts w:ascii="Times New Roman" w:hAnsi="Times New Roman" w:cs="Times New Roman"/>
          <w:sz w:val="24"/>
          <w:szCs w:val="24"/>
        </w:rPr>
        <w:t>induced by the</w:t>
      </w:r>
      <w:r w:rsidR="00845F63" w:rsidRPr="00CA6CB7">
        <w:rPr>
          <w:rFonts w:ascii="Times New Roman" w:hAnsi="Times New Roman" w:cs="Times New Roman"/>
          <w:sz w:val="24"/>
          <w:szCs w:val="24"/>
        </w:rPr>
        <w:t xml:space="preserve"> modification</w:t>
      </w:r>
      <w:r w:rsidR="00EA4719" w:rsidRPr="00CA6CB7">
        <w:rPr>
          <w:rFonts w:ascii="Times New Roman" w:hAnsi="Times New Roman" w:cs="Times New Roman"/>
          <w:sz w:val="24"/>
          <w:szCs w:val="24"/>
        </w:rPr>
        <w:t>,</w:t>
      </w:r>
      <w:r w:rsidR="00845F63" w:rsidRPr="00CA6CB7">
        <w:rPr>
          <w:rFonts w:ascii="Times New Roman" w:hAnsi="Times New Roman" w:cs="Times New Roman"/>
          <w:sz w:val="24"/>
          <w:szCs w:val="24"/>
        </w:rPr>
        <w:t xml:space="preserve"> the thermal stability of the protein remained mostly unaffected. DSC profiles of the native </w:t>
      </w:r>
      <w:proofErr w:type="spellStart"/>
      <w:r w:rsidR="00845F63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845F63" w:rsidRPr="00CA6CB7">
        <w:rPr>
          <w:rFonts w:ascii="Times New Roman" w:hAnsi="Times New Roman" w:cs="Times New Roman"/>
          <w:sz w:val="24"/>
          <w:szCs w:val="24"/>
        </w:rPr>
        <w:t xml:space="preserve">, FA-HlH-1 and FA-HlH-2 are depicted in Fig. 1. </w:t>
      </w:r>
    </w:p>
    <w:p w:rsidR="006650D1" w:rsidRDefault="0029785D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85D">
        <w:rPr>
          <w:szCs w:val="24"/>
        </w:rPr>
        <w:lastRenderedPageBreak/>
        <w:drawing>
          <wp:inline distT="0" distB="0" distL="0" distR="0">
            <wp:extent cx="2880000" cy="22219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22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D1" w:rsidRPr="00CA6CB7" w:rsidRDefault="006650D1" w:rsidP="00665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CB7">
        <w:rPr>
          <w:rFonts w:ascii="Times New Roman" w:hAnsi="Times New Roman" w:cs="Times New Roman"/>
          <w:b/>
          <w:sz w:val="24"/>
          <w:szCs w:val="24"/>
        </w:rPr>
        <w:t>Fig. 1.</w:t>
      </w:r>
      <w:proofErr w:type="gramEnd"/>
      <w:r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A6CB7">
        <w:rPr>
          <w:rFonts w:ascii="Times New Roman" w:hAnsi="Times New Roman" w:cs="Times New Roman"/>
          <w:sz w:val="24"/>
          <w:szCs w:val="24"/>
        </w:rPr>
        <w:t xml:space="preserve">DSC profiles of the thermal unfolding of native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(a) and conjugated with 40 and 120-ferulic acid residues, FA-HlH-1 (b) and FA-HlH-2 (c).</w:t>
      </w:r>
      <w:proofErr w:type="gramEnd"/>
    </w:p>
    <w:p w:rsidR="006650D1" w:rsidRPr="00CA6CB7" w:rsidRDefault="006650D1" w:rsidP="005D7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sz w:val="24"/>
          <w:szCs w:val="24"/>
        </w:rPr>
        <w:t xml:space="preserve">The experiment was conducted at a protein concentration of 3 mg/mL in PBS (pH 7.2, 50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>), and heating rate – 1K/min.</w:t>
      </w:r>
    </w:p>
    <w:p w:rsidR="006650D1" w:rsidRDefault="006650D1" w:rsidP="005D7B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F41" w:rsidRPr="00CA6CB7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4719" w:rsidRPr="00CA6CB7">
        <w:rPr>
          <w:rFonts w:ascii="Times New Roman" w:hAnsi="Times New Roman" w:cs="Times New Roman"/>
          <w:sz w:val="24"/>
          <w:szCs w:val="24"/>
        </w:rPr>
        <w:t xml:space="preserve">As seen the three DSC curves have asymmetric shape, which is due to the complex </w:t>
      </w:r>
      <w:proofErr w:type="spellStart"/>
      <w:r w:rsidR="00A108A8" w:rsidRPr="00CA6CB7">
        <w:rPr>
          <w:rFonts w:ascii="Times New Roman" w:hAnsi="Times New Roman" w:cs="Times New Roman"/>
          <w:sz w:val="24"/>
          <w:szCs w:val="24"/>
        </w:rPr>
        <w:t>multimeric</w:t>
      </w:r>
      <w:proofErr w:type="spellEnd"/>
      <w:r w:rsidR="00A108A8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A4719" w:rsidRPr="00CA6CB7">
        <w:rPr>
          <w:rFonts w:ascii="Times New Roman" w:hAnsi="Times New Roman" w:cs="Times New Roman"/>
          <w:sz w:val="24"/>
          <w:szCs w:val="24"/>
        </w:rPr>
        <w:t>structure of hemocyanins and is in agreement with the literature data on the thermal</w:t>
      </w:r>
      <w:r w:rsidR="00A108A8" w:rsidRPr="00CA6CB7">
        <w:rPr>
          <w:rFonts w:ascii="Times New Roman" w:hAnsi="Times New Roman" w:cs="Times New Roman"/>
          <w:sz w:val="24"/>
          <w:szCs w:val="24"/>
        </w:rPr>
        <w:t xml:space="preserve"> de</w:t>
      </w:r>
      <w:r w:rsidR="00DB0A20" w:rsidRPr="00CA6CB7">
        <w:rPr>
          <w:rFonts w:ascii="Times New Roman" w:hAnsi="Times New Roman" w:cs="Times New Roman"/>
          <w:sz w:val="24"/>
          <w:szCs w:val="24"/>
        </w:rPr>
        <w:t xml:space="preserve">naturation of </w:t>
      </w:r>
      <w:r w:rsidR="00427B15" w:rsidRPr="00CA6CB7">
        <w:rPr>
          <w:rFonts w:ascii="Times New Roman" w:hAnsi="Times New Roman" w:cs="Times New Roman"/>
          <w:sz w:val="24"/>
          <w:szCs w:val="24"/>
        </w:rPr>
        <w:t xml:space="preserve">another </w:t>
      </w:r>
      <w:proofErr w:type="spellStart"/>
      <w:r w:rsidR="00427B15" w:rsidRPr="00CA6CB7">
        <w:rPr>
          <w:rFonts w:ascii="Times New Roman" w:hAnsi="Times New Roman" w:cs="Times New Roman"/>
          <w:sz w:val="24"/>
          <w:szCs w:val="24"/>
        </w:rPr>
        <w:t>Hc</w:t>
      </w:r>
      <w:proofErr w:type="spellEnd"/>
      <w:r w:rsidR="00B6099B">
        <w:rPr>
          <w:rFonts w:ascii="Times New Roman" w:hAnsi="Times New Roman" w:cs="Times New Roman"/>
          <w:sz w:val="24"/>
          <w:szCs w:val="24"/>
        </w:rPr>
        <w:t xml:space="preserve"> in phosphate-saline buffer</w:t>
      </w:r>
      <w:r w:rsidR="00DB0A20" w:rsidRPr="00CA6CB7">
        <w:rPr>
          <w:rFonts w:ascii="Times New Roman" w:hAnsi="Times New Roman" w:cs="Times New Roman"/>
          <w:sz w:val="24"/>
          <w:szCs w:val="24"/>
        </w:rPr>
        <w:t>.</w:t>
      </w:r>
      <w:r w:rsidR="00B6099B" w:rsidRPr="00B6099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B6099B">
        <w:rPr>
          <w:rFonts w:ascii="Times New Roman" w:hAnsi="Times New Roman" w:cs="Times New Roman"/>
          <w:sz w:val="24"/>
          <w:szCs w:val="24"/>
        </w:rPr>
        <w:t xml:space="preserve"> </w:t>
      </w:r>
      <w:r w:rsidR="00040B63" w:rsidRPr="00CA6CB7">
        <w:rPr>
          <w:rFonts w:ascii="Times New Roman" w:hAnsi="Times New Roman" w:cs="Times New Roman"/>
          <w:sz w:val="24"/>
          <w:szCs w:val="24"/>
        </w:rPr>
        <w:t>The thermal denaturation</w:t>
      </w:r>
      <w:r w:rsidR="00933EBA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040B63" w:rsidRPr="00CA6CB7">
        <w:rPr>
          <w:rFonts w:ascii="Times New Roman" w:hAnsi="Times New Roman" w:cs="Times New Roman"/>
          <w:sz w:val="24"/>
          <w:szCs w:val="24"/>
        </w:rPr>
        <w:t xml:space="preserve">temperatures </w:t>
      </w:r>
      <w:r w:rsidR="00933EBA" w:rsidRPr="00CA6CB7">
        <w:rPr>
          <w:rFonts w:ascii="Times New Roman" w:hAnsi="Times New Roman" w:cs="Times New Roman"/>
          <w:sz w:val="24"/>
          <w:szCs w:val="24"/>
        </w:rPr>
        <w:t xml:space="preserve">of the feruloylated </w:t>
      </w:r>
      <w:proofErr w:type="spellStart"/>
      <w:r w:rsidR="00933EBA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933EBA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040B63" w:rsidRPr="00CA6CB7">
        <w:rPr>
          <w:rFonts w:ascii="Times New Roman" w:hAnsi="Times New Roman" w:cs="Times New Roman"/>
          <w:sz w:val="24"/>
          <w:szCs w:val="24"/>
        </w:rPr>
        <w:t xml:space="preserve">are slightly shifted toward the higher temperatures (by up to 5ºC) </w:t>
      </w:r>
      <w:r w:rsidR="00933EBA" w:rsidRPr="00CA6CB7">
        <w:rPr>
          <w:rFonts w:ascii="Times New Roman" w:hAnsi="Times New Roman" w:cs="Times New Roman"/>
          <w:sz w:val="24"/>
          <w:szCs w:val="24"/>
        </w:rPr>
        <w:t xml:space="preserve">in comparison to </w:t>
      </w:r>
      <w:r w:rsidR="00040B63" w:rsidRPr="00CA6CB7">
        <w:rPr>
          <w:rFonts w:ascii="Times New Roman" w:hAnsi="Times New Roman" w:cs="Times New Roman"/>
          <w:sz w:val="24"/>
          <w:szCs w:val="24"/>
        </w:rPr>
        <w:t xml:space="preserve">denaturation temperatures of the </w:t>
      </w:r>
      <w:r w:rsidR="00933EBA" w:rsidRPr="00CA6CB7">
        <w:rPr>
          <w:rFonts w:ascii="Times New Roman" w:hAnsi="Times New Roman" w:cs="Times New Roman"/>
          <w:sz w:val="24"/>
          <w:szCs w:val="24"/>
        </w:rPr>
        <w:t xml:space="preserve">native </w:t>
      </w:r>
      <w:proofErr w:type="spellStart"/>
      <w:r w:rsidR="00933EBA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0547A7" w:rsidRPr="00CA6CB7">
        <w:rPr>
          <w:rFonts w:ascii="Times New Roman" w:hAnsi="Times New Roman" w:cs="Times New Roman"/>
          <w:sz w:val="24"/>
          <w:szCs w:val="24"/>
        </w:rPr>
        <w:t>.</w:t>
      </w:r>
      <w:r w:rsidR="00933EBA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0547A7" w:rsidRPr="00CA6CB7">
        <w:rPr>
          <w:rFonts w:ascii="Times New Roman" w:hAnsi="Times New Roman" w:cs="Times New Roman"/>
          <w:sz w:val="24"/>
          <w:szCs w:val="24"/>
        </w:rPr>
        <w:t>DSC curves were experimentally deconvoluted using a successive annealing procedure as previously</w:t>
      </w:r>
      <w:r w:rsidR="00B6099B">
        <w:rPr>
          <w:rFonts w:ascii="Times New Roman" w:hAnsi="Times New Roman" w:cs="Times New Roman"/>
          <w:sz w:val="24"/>
          <w:szCs w:val="24"/>
        </w:rPr>
        <w:t xml:space="preserve"> described by </w:t>
      </w:r>
      <w:proofErr w:type="spellStart"/>
      <w:r w:rsidR="00B6099B">
        <w:rPr>
          <w:rFonts w:ascii="Times New Roman" w:hAnsi="Times New Roman" w:cs="Times New Roman"/>
          <w:sz w:val="24"/>
          <w:szCs w:val="24"/>
        </w:rPr>
        <w:t>Idakieva</w:t>
      </w:r>
      <w:proofErr w:type="spellEnd"/>
      <w:r w:rsidR="00B6099B">
        <w:rPr>
          <w:rFonts w:ascii="Times New Roman" w:hAnsi="Times New Roman" w:cs="Times New Roman"/>
          <w:sz w:val="24"/>
          <w:szCs w:val="24"/>
        </w:rPr>
        <w:t xml:space="preserve"> et al </w:t>
      </w:r>
      <w:r w:rsidR="000547A7" w:rsidRPr="00CA6CB7">
        <w:rPr>
          <w:rFonts w:ascii="Times New Roman" w:hAnsi="Times New Roman" w:cs="Times New Roman"/>
          <w:sz w:val="24"/>
          <w:szCs w:val="24"/>
        </w:rPr>
        <w:t>,</w:t>
      </w:r>
      <w:r w:rsidR="00B6099B" w:rsidRPr="00B6099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B6099B">
        <w:rPr>
          <w:rFonts w:ascii="Times New Roman" w:hAnsi="Times New Roman" w:cs="Times New Roman"/>
          <w:sz w:val="24"/>
          <w:szCs w:val="24"/>
        </w:rPr>
        <w:t xml:space="preserve"> </w:t>
      </w:r>
      <w:r w:rsidR="000547A7" w:rsidRPr="00CA6CB7">
        <w:rPr>
          <w:rFonts w:ascii="Times New Roman" w:hAnsi="Times New Roman" w:cs="Times New Roman"/>
          <w:sz w:val="24"/>
          <w:szCs w:val="24"/>
        </w:rPr>
        <w:t xml:space="preserve">which allowed more precise estimation of </w:t>
      </w:r>
      <w:r w:rsidR="003C0740" w:rsidRPr="00CA6CB7">
        <w:rPr>
          <w:rFonts w:ascii="Times New Roman" w:hAnsi="Times New Roman" w:cs="Times New Roman"/>
          <w:sz w:val="24"/>
          <w:szCs w:val="24"/>
        </w:rPr>
        <w:t xml:space="preserve">the </w:t>
      </w:r>
      <w:r w:rsidR="000547A7" w:rsidRPr="00CA6CB7">
        <w:rPr>
          <w:rFonts w:ascii="Times New Roman" w:hAnsi="Times New Roman" w:cs="Times New Roman"/>
          <w:sz w:val="24"/>
          <w:szCs w:val="24"/>
        </w:rPr>
        <w:t>thermodynamic parameters, transition temperature (</w:t>
      </w:r>
      <w:proofErr w:type="spellStart"/>
      <w:r w:rsidR="000547A7" w:rsidRPr="00CA6CB7">
        <w:rPr>
          <w:rFonts w:ascii="Times New Roman" w:hAnsi="Times New Roman" w:cs="Times New Roman"/>
          <w:sz w:val="24"/>
          <w:szCs w:val="24"/>
        </w:rPr>
        <w:t>Tm</w:t>
      </w:r>
      <w:r w:rsidR="000547A7" w:rsidRPr="00CA6CB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0547A7" w:rsidRPr="00CA6CB7">
        <w:rPr>
          <w:rFonts w:ascii="Times New Roman" w:hAnsi="Times New Roman" w:cs="Times New Roman"/>
          <w:sz w:val="24"/>
          <w:szCs w:val="24"/>
        </w:rPr>
        <w:t>) and calorimetric enthalpy (</w:t>
      </w:r>
      <w:proofErr w:type="spellStart"/>
      <w:r w:rsidR="000547A7" w:rsidRPr="00CA6CB7">
        <w:rPr>
          <w:rFonts w:ascii="Times New Roman" w:hAnsi="Times New Roman" w:cs="Times New Roman"/>
          <w:sz w:val="24"/>
          <w:szCs w:val="24"/>
        </w:rPr>
        <w:t>ΔH</w:t>
      </w:r>
      <w:r w:rsidR="000547A7" w:rsidRPr="00CA6CB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0547A7" w:rsidRPr="00CA6CB7">
        <w:rPr>
          <w:rFonts w:ascii="Times New Roman" w:hAnsi="Times New Roman" w:cs="Times New Roman"/>
          <w:sz w:val="24"/>
          <w:szCs w:val="24"/>
        </w:rPr>
        <w:t>)</w:t>
      </w:r>
      <w:r w:rsidR="003C0740" w:rsidRPr="00CA6CB7">
        <w:rPr>
          <w:rFonts w:ascii="Times New Roman" w:hAnsi="Times New Roman" w:cs="Times New Roman"/>
          <w:sz w:val="24"/>
          <w:szCs w:val="24"/>
        </w:rPr>
        <w:t xml:space="preserve"> (</w:t>
      </w:r>
      <w:r w:rsidR="000547A7" w:rsidRPr="00CA6CB7">
        <w:rPr>
          <w:rFonts w:ascii="Times New Roman" w:hAnsi="Times New Roman" w:cs="Times New Roman"/>
          <w:sz w:val="24"/>
          <w:szCs w:val="24"/>
        </w:rPr>
        <w:t>Table</w:t>
      </w:r>
      <w:r w:rsidR="002E5B9C" w:rsidRPr="00CA6CB7">
        <w:rPr>
          <w:rFonts w:ascii="Times New Roman" w:hAnsi="Times New Roman" w:cs="Times New Roman"/>
          <w:sz w:val="24"/>
          <w:szCs w:val="24"/>
        </w:rPr>
        <w:t> </w:t>
      </w:r>
      <w:r w:rsidR="000547A7" w:rsidRPr="00CA6CB7">
        <w:rPr>
          <w:rFonts w:ascii="Times New Roman" w:hAnsi="Times New Roman" w:cs="Times New Roman"/>
          <w:sz w:val="24"/>
          <w:szCs w:val="24"/>
        </w:rPr>
        <w:t>2</w:t>
      </w:r>
      <w:r w:rsidR="003C0740" w:rsidRPr="00CA6CB7">
        <w:rPr>
          <w:rFonts w:ascii="Times New Roman" w:hAnsi="Times New Roman" w:cs="Times New Roman"/>
          <w:sz w:val="24"/>
          <w:szCs w:val="24"/>
        </w:rPr>
        <w:t xml:space="preserve">). </w:t>
      </w:r>
      <w:r w:rsidR="005321B0" w:rsidRPr="00CA6CB7">
        <w:rPr>
          <w:rFonts w:ascii="Times New Roman" w:hAnsi="Times New Roman" w:cs="Times New Roman"/>
          <w:sz w:val="24"/>
          <w:szCs w:val="24"/>
        </w:rPr>
        <w:t xml:space="preserve">Apparently, the thermal stability of </w:t>
      </w:r>
      <w:proofErr w:type="spellStart"/>
      <w:r w:rsidR="005321B0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5321B0" w:rsidRPr="00CA6CB7">
        <w:rPr>
          <w:rFonts w:ascii="Times New Roman" w:hAnsi="Times New Roman" w:cs="Times New Roman"/>
          <w:sz w:val="24"/>
          <w:szCs w:val="24"/>
        </w:rPr>
        <w:t xml:space="preserve"> was preserved</w:t>
      </w:r>
      <w:r w:rsidR="00611D1C" w:rsidRPr="00CA6CB7">
        <w:rPr>
          <w:rFonts w:ascii="Times New Roman" w:hAnsi="Times New Roman" w:cs="Times New Roman"/>
          <w:sz w:val="24"/>
          <w:szCs w:val="24"/>
        </w:rPr>
        <w:t xml:space="preserve"> after the modification.</w:t>
      </w:r>
      <w:r w:rsidR="005321B0" w:rsidRPr="00CA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F41" w:rsidRDefault="00996F4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BA2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BA2" w:rsidRDefault="005D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50D1" w:rsidRPr="006650D1" w:rsidRDefault="006650D1" w:rsidP="006650D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650D1">
        <w:rPr>
          <w:rFonts w:ascii="Times New Roman" w:hAnsi="Times New Roman" w:cs="Times New Roman"/>
          <w:b/>
          <w:sz w:val="20"/>
          <w:szCs w:val="20"/>
        </w:rPr>
        <w:lastRenderedPageBreak/>
        <w:t>Table 2.</w:t>
      </w:r>
      <w:proofErr w:type="gramEnd"/>
      <w:r w:rsidRPr="006650D1">
        <w:rPr>
          <w:rFonts w:ascii="Times New Roman" w:hAnsi="Times New Roman" w:cs="Times New Roman"/>
          <w:sz w:val="20"/>
          <w:szCs w:val="20"/>
        </w:rPr>
        <w:t xml:space="preserve"> The thermodynamic parameters of the native and ferulic acid modified </w:t>
      </w:r>
      <w:proofErr w:type="spellStart"/>
      <w:r w:rsidRPr="006650D1">
        <w:rPr>
          <w:rFonts w:ascii="Times New Roman" w:hAnsi="Times New Roman" w:cs="Times New Roman"/>
          <w:sz w:val="20"/>
          <w:szCs w:val="20"/>
        </w:rPr>
        <w:t>HlH</w:t>
      </w:r>
      <w:proofErr w:type="spellEnd"/>
      <w:r w:rsidRPr="006650D1">
        <w:rPr>
          <w:rFonts w:ascii="Times New Roman" w:hAnsi="Times New Roman" w:cs="Times New Roman"/>
          <w:sz w:val="20"/>
          <w:szCs w:val="20"/>
        </w:rPr>
        <w:t xml:space="preserve"> thermal denaturation.</w:t>
      </w:r>
    </w:p>
    <w:tbl>
      <w:tblPr>
        <w:tblStyle w:val="TableGrid"/>
        <w:tblW w:w="10740" w:type="dxa"/>
        <w:tblLook w:val="04A0"/>
      </w:tblPr>
      <w:tblGrid>
        <w:gridCol w:w="708"/>
        <w:gridCol w:w="534"/>
        <w:gridCol w:w="851"/>
        <w:gridCol w:w="709"/>
        <w:gridCol w:w="992"/>
        <w:gridCol w:w="709"/>
        <w:gridCol w:w="992"/>
        <w:gridCol w:w="709"/>
        <w:gridCol w:w="1134"/>
        <w:gridCol w:w="708"/>
        <w:gridCol w:w="851"/>
        <w:gridCol w:w="992"/>
        <w:gridCol w:w="851"/>
      </w:tblGrid>
      <w:tr w:rsidR="005D7BA2" w:rsidRPr="006650D1" w:rsidTr="005D7BA2">
        <w:tc>
          <w:tcPr>
            <w:tcW w:w="708" w:type="dxa"/>
          </w:tcPr>
          <w:p w:rsidR="006650D1" w:rsidRPr="006650D1" w:rsidRDefault="006650D1" w:rsidP="005D7BA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</w:p>
        </w:tc>
        <w:tc>
          <w:tcPr>
            <w:tcW w:w="534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(°C)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ind w:left="-70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  <w:p w:rsidR="006650D1" w:rsidRPr="006650D1" w:rsidRDefault="006650D1" w:rsidP="005D7BA2">
            <w:pPr>
              <w:ind w:left="-70" w:right="-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ind w:left="-29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m2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(°C)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m3</w:t>
            </w:r>
          </w:p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(°C)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m4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(°C)</w:t>
            </w:r>
          </w:p>
        </w:tc>
        <w:tc>
          <w:tcPr>
            <w:tcW w:w="1134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m5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(°C)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</w:t>
            </w:r>
            <w:proofErr w:type="spellStart"/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total</w:t>
            </w:r>
            <w:proofErr w:type="spellEnd"/>
          </w:p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∆</w:t>
            </w:r>
            <w:proofErr w:type="spellStart"/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cal</w:t>
            </w:r>
            <w:proofErr w:type="spellEnd"/>
          </w:p>
          <w:p w:rsidR="006650D1" w:rsidRPr="006650D1" w:rsidRDefault="006650D1" w:rsidP="005D7BA2">
            <w:pPr>
              <w:ind w:left="-5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(kJ mol</w:t>
            </w:r>
            <w:r w:rsidRPr="006650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D7BA2" w:rsidRPr="006650D1" w:rsidTr="005D7BA2">
        <w:trPr>
          <w:trHeight w:val="557"/>
        </w:trPr>
        <w:tc>
          <w:tcPr>
            <w:tcW w:w="708" w:type="dxa"/>
          </w:tcPr>
          <w:p w:rsidR="006650D1" w:rsidRPr="006650D1" w:rsidRDefault="006650D1" w:rsidP="005D7BA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 xml:space="preserve">native </w:t>
            </w:r>
            <w:proofErr w:type="spellStart"/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HlH</w:t>
            </w:r>
            <w:proofErr w:type="spellEnd"/>
          </w:p>
        </w:tc>
        <w:tc>
          <w:tcPr>
            <w:tcW w:w="534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49.9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38080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55.</w:t>
            </w: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10752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92858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75.7</w:t>
            </w:r>
          </w:p>
        </w:tc>
        <w:tc>
          <w:tcPr>
            <w:tcW w:w="1134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99308</w:t>
            </w:r>
          </w:p>
        </w:tc>
        <w:tc>
          <w:tcPr>
            <w:tcW w:w="708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79.8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22263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263261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279337</w:t>
            </w:r>
          </w:p>
        </w:tc>
      </w:tr>
      <w:tr w:rsidR="005D7BA2" w:rsidRPr="006650D1" w:rsidTr="005D7BA2">
        <w:trPr>
          <w:trHeight w:val="664"/>
        </w:trPr>
        <w:tc>
          <w:tcPr>
            <w:tcW w:w="708" w:type="dxa"/>
          </w:tcPr>
          <w:p w:rsidR="006650D1" w:rsidRPr="006650D1" w:rsidRDefault="006650D1" w:rsidP="005D7BA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FA-HlH-1</w:t>
            </w:r>
          </w:p>
        </w:tc>
        <w:tc>
          <w:tcPr>
            <w:tcW w:w="534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40802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79585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75.4</w:t>
            </w:r>
          </w:p>
        </w:tc>
        <w:tc>
          <w:tcPr>
            <w:tcW w:w="1134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77372</w:t>
            </w:r>
          </w:p>
        </w:tc>
        <w:tc>
          <w:tcPr>
            <w:tcW w:w="708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80.4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20111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217870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214977</w:t>
            </w:r>
          </w:p>
        </w:tc>
      </w:tr>
      <w:tr w:rsidR="005D7BA2" w:rsidRPr="006650D1" w:rsidTr="005D7BA2">
        <w:trPr>
          <w:trHeight w:val="664"/>
        </w:trPr>
        <w:tc>
          <w:tcPr>
            <w:tcW w:w="708" w:type="dxa"/>
          </w:tcPr>
          <w:p w:rsidR="006650D1" w:rsidRPr="006650D1" w:rsidRDefault="006650D1" w:rsidP="005D7BA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FA-HlH-2</w:t>
            </w:r>
          </w:p>
        </w:tc>
        <w:tc>
          <w:tcPr>
            <w:tcW w:w="534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50D1" w:rsidRPr="006650D1" w:rsidRDefault="006650D1" w:rsidP="005D7BA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58.9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72399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68.5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70882 </w:t>
            </w:r>
          </w:p>
        </w:tc>
        <w:tc>
          <w:tcPr>
            <w:tcW w:w="709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75.5</w:t>
            </w:r>
          </w:p>
        </w:tc>
        <w:tc>
          <w:tcPr>
            <w:tcW w:w="1134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67464</w:t>
            </w:r>
          </w:p>
        </w:tc>
        <w:tc>
          <w:tcPr>
            <w:tcW w:w="708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27466</w:t>
            </w:r>
          </w:p>
        </w:tc>
        <w:tc>
          <w:tcPr>
            <w:tcW w:w="992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239091</w:t>
            </w:r>
          </w:p>
        </w:tc>
        <w:tc>
          <w:tcPr>
            <w:tcW w:w="851" w:type="dxa"/>
          </w:tcPr>
          <w:p w:rsidR="006650D1" w:rsidRPr="006650D1" w:rsidRDefault="006650D1" w:rsidP="005D7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0D1">
              <w:rPr>
                <w:rFonts w:ascii="Times New Roman" w:hAnsi="Times New Roman" w:cs="Times New Roman"/>
                <w:sz w:val="20"/>
                <w:szCs w:val="20"/>
              </w:rPr>
              <w:t>245351</w:t>
            </w:r>
          </w:p>
        </w:tc>
      </w:tr>
    </w:tbl>
    <w:p w:rsidR="006650D1" w:rsidRPr="006650D1" w:rsidRDefault="006650D1" w:rsidP="006650D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650D1">
        <w:rPr>
          <w:rFonts w:ascii="Times New Roman" w:hAnsi="Times New Roman" w:cs="Times New Roman"/>
          <w:sz w:val="20"/>
          <w:szCs w:val="20"/>
        </w:rPr>
        <w:t>FA-HlH-1 (40 folic acid residues); FA-HlH-2 (120 folic acid residues)</w:t>
      </w:r>
    </w:p>
    <w:p w:rsidR="006650D1" w:rsidRPr="00CA6CB7" w:rsidRDefault="006650D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8E" w:rsidRPr="00CA6CB7" w:rsidRDefault="0029448E" w:rsidP="00CA6CB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CB7">
        <w:rPr>
          <w:rFonts w:ascii="Times New Roman" w:hAnsi="Times New Roman" w:cs="Times New Roman"/>
          <w:b/>
          <w:i/>
          <w:sz w:val="24"/>
          <w:szCs w:val="24"/>
        </w:rPr>
        <w:t>3.2. Comparison of the cytotoxicity of</w:t>
      </w:r>
      <w:r w:rsidR="00F63968"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the</w:t>
      </w:r>
      <w:r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native </w:t>
      </w:r>
      <w:r w:rsidR="00F63968" w:rsidRPr="00CA6CB7">
        <w:rPr>
          <w:rFonts w:ascii="Times New Roman" w:hAnsi="Times New Roman" w:cs="Times New Roman"/>
          <w:b/>
          <w:i/>
          <w:sz w:val="24"/>
          <w:szCs w:val="24"/>
        </w:rPr>
        <w:t>and the</w:t>
      </w:r>
      <w:r w:rsidR="006C5498" w:rsidRPr="00CA6CB7">
        <w:rPr>
          <w:rFonts w:ascii="Times New Roman" w:hAnsi="Times New Roman" w:cs="Times New Roman"/>
          <w:b/>
          <w:i/>
          <w:sz w:val="24"/>
          <w:szCs w:val="24"/>
        </w:rPr>
        <w:t xml:space="preserve"> feruloylated </w:t>
      </w:r>
      <w:proofErr w:type="spellStart"/>
      <w:r w:rsidR="006C5498" w:rsidRPr="00CA6CB7">
        <w:rPr>
          <w:rFonts w:ascii="Times New Roman" w:hAnsi="Times New Roman" w:cs="Times New Roman"/>
          <w:b/>
          <w:i/>
          <w:sz w:val="24"/>
          <w:szCs w:val="24"/>
        </w:rPr>
        <w:t>HlH</w:t>
      </w:r>
      <w:proofErr w:type="spellEnd"/>
    </w:p>
    <w:p w:rsidR="0029785D" w:rsidRDefault="005D7BA2" w:rsidP="005D7B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7F7C" w:rsidRPr="00CA6CB7">
        <w:rPr>
          <w:rFonts w:ascii="Times New Roman" w:hAnsi="Times New Roman" w:cs="Times New Roman"/>
          <w:sz w:val="24"/>
          <w:szCs w:val="24"/>
        </w:rPr>
        <w:t xml:space="preserve">The effect of FA-HlH-1 and FA-HlH-2 on the cell viability of human fibroblasts (BJ cells) was tested in a concentration range between 25 and 200 µg/well (Fig 2). </w:t>
      </w:r>
    </w:p>
    <w:p w:rsidR="007E07F3" w:rsidRDefault="007E07F3" w:rsidP="005D7B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000" cy="2019310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1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000" cy="2101935"/>
            <wp:effectExtent l="1905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0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BA2" w:rsidRDefault="005D7BA2" w:rsidP="005D7BA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6CB7">
        <w:rPr>
          <w:rFonts w:ascii="Times New Roman" w:hAnsi="Times New Roman" w:cs="Times New Roman"/>
          <w:b/>
          <w:noProof/>
          <w:sz w:val="24"/>
          <w:szCs w:val="24"/>
        </w:rPr>
        <w:t xml:space="preserve">Fig. 2. </w:t>
      </w:r>
      <w:r w:rsidRPr="00CA6CB7">
        <w:rPr>
          <w:rFonts w:ascii="Times New Roman" w:hAnsi="Times New Roman" w:cs="Times New Roman"/>
          <w:noProof/>
          <w:sz w:val="24"/>
          <w:szCs w:val="24"/>
        </w:rPr>
        <w:t>Antiproliferative effect of native and ferulic acid conjugated HlH on normal fibroblasts (BJ cells) after 24 h (A) and 48 h (B) incunation. Data are presented as mean±SD, p&lt;0.05, n=3.</w:t>
      </w:r>
    </w:p>
    <w:p w:rsidR="007E07F3" w:rsidRPr="00CA6CB7" w:rsidRDefault="007E07F3" w:rsidP="005D7BA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11D1C" w:rsidRPr="00CA6CB7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7F7C" w:rsidRPr="00CA6CB7">
        <w:rPr>
          <w:rFonts w:ascii="Times New Roman" w:hAnsi="Times New Roman" w:cs="Times New Roman"/>
          <w:sz w:val="24"/>
          <w:szCs w:val="24"/>
        </w:rPr>
        <w:t xml:space="preserve">We observed a slight increase in proliferation or no effect after a 24h exposure of the BJ cells to 25 or 50 µg/mL of the native or feruloylated </w:t>
      </w:r>
      <w:proofErr w:type="spellStart"/>
      <w:r w:rsidR="00F67F7C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F67F7C" w:rsidRPr="00CA6CB7">
        <w:rPr>
          <w:rFonts w:ascii="Times New Roman" w:hAnsi="Times New Roman" w:cs="Times New Roman"/>
          <w:sz w:val="24"/>
          <w:szCs w:val="24"/>
        </w:rPr>
        <w:t>. For the same samples, not evidence of any sign of toxicity was observed even after longer incubation time. Reduction in BJ cell growth was observed after a 24h-treatment with 200 µg/well (18.4±5%, P&lt;0.001) of FA-HlH-1, a similar effect was produced by 100 µg/well of FA-HlH-2. The lowest cell viability of</w:t>
      </w:r>
      <w:r w:rsidR="008037AB" w:rsidRPr="00CA6CB7">
        <w:rPr>
          <w:rFonts w:ascii="Times New Roman" w:hAnsi="Times New Roman" w:cs="Times New Roman"/>
          <w:sz w:val="24"/>
          <w:szCs w:val="24"/>
        </w:rPr>
        <w:t xml:space="preserve"> the</w:t>
      </w:r>
      <w:r w:rsidR="00F67F7C" w:rsidRPr="00CA6CB7">
        <w:rPr>
          <w:rFonts w:ascii="Times New Roman" w:hAnsi="Times New Roman" w:cs="Times New Roman"/>
          <w:sz w:val="24"/>
          <w:szCs w:val="24"/>
        </w:rPr>
        <w:t xml:space="preserve"> BJ cells, 64.1 </w:t>
      </w:r>
      <w:r w:rsidR="00F67F7C" w:rsidRPr="00CA6CB7">
        <w:rPr>
          <w:rFonts w:ascii="Times New Roman" w:hAnsi="Times New Roman" w:cs="Times New Roman"/>
          <w:sz w:val="24"/>
          <w:szCs w:val="24"/>
        </w:rPr>
        <w:lastRenderedPageBreak/>
        <w:t xml:space="preserve">and 51.1%, was detected after 24 and 48 h, respectively of incubation </w:t>
      </w:r>
      <w:proofErr w:type="gramStart"/>
      <w:r w:rsidR="00F67F7C" w:rsidRPr="00CA6CB7">
        <w:rPr>
          <w:rFonts w:ascii="Times New Roman" w:hAnsi="Times New Roman" w:cs="Times New Roman"/>
          <w:sz w:val="24"/>
          <w:szCs w:val="24"/>
        </w:rPr>
        <w:t>with 200 µg/mL FA-HlH-2</w:t>
      </w:r>
      <w:proofErr w:type="gramEnd"/>
      <w:r w:rsidR="00F67F7C" w:rsidRPr="00CA6CB7">
        <w:rPr>
          <w:rFonts w:ascii="Times New Roman" w:hAnsi="Times New Roman" w:cs="Times New Roman"/>
          <w:sz w:val="24"/>
          <w:szCs w:val="24"/>
        </w:rPr>
        <w:t>.</w:t>
      </w:r>
    </w:p>
    <w:p w:rsidR="007717CF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14C9" w:rsidRPr="00CA6CB7">
        <w:rPr>
          <w:rFonts w:ascii="Times New Roman" w:hAnsi="Times New Roman" w:cs="Times New Roman"/>
          <w:sz w:val="24"/>
          <w:szCs w:val="24"/>
        </w:rPr>
        <w:t xml:space="preserve">Cytotoxicity of the feruloylated </w:t>
      </w:r>
      <w:proofErr w:type="spellStart"/>
      <w:r w:rsidR="005714C9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5714C9" w:rsidRPr="00CA6CB7">
        <w:rPr>
          <w:rFonts w:ascii="Times New Roman" w:hAnsi="Times New Roman" w:cs="Times New Roman"/>
          <w:sz w:val="24"/>
          <w:szCs w:val="24"/>
        </w:rPr>
        <w:t xml:space="preserve"> against two breast cancer cell lines</w:t>
      </w:r>
      <w:r w:rsidR="008037AB" w:rsidRPr="00CA6CB7">
        <w:rPr>
          <w:rFonts w:ascii="Times New Roman" w:hAnsi="Times New Roman" w:cs="Times New Roman"/>
          <w:sz w:val="24"/>
          <w:szCs w:val="24"/>
        </w:rPr>
        <w:t>, a hormone-dependent (MCF-7) and a hormone-independent (MDA-MB-231)</w:t>
      </w:r>
      <w:r w:rsidR="00C9516A" w:rsidRPr="00CA6CB7">
        <w:rPr>
          <w:rFonts w:ascii="Times New Roman" w:hAnsi="Times New Roman" w:cs="Times New Roman"/>
          <w:sz w:val="24"/>
          <w:szCs w:val="24"/>
        </w:rPr>
        <w:t>,</w:t>
      </w:r>
      <w:r w:rsidR="008037AB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5714C9" w:rsidRPr="00CA6CB7">
        <w:rPr>
          <w:rFonts w:ascii="Times New Roman" w:hAnsi="Times New Roman" w:cs="Times New Roman"/>
          <w:sz w:val="24"/>
          <w:szCs w:val="24"/>
        </w:rPr>
        <w:t>w</w:t>
      </w:r>
      <w:r w:rsidR="008037AB" w:rsidRPr="00CA6CB7">
        <w:rPr>
          <w:rFonts w:ascii="Times New Roman" w:hAnsi="Times New Roman" w:cs="Times New Roman"/>
          <w:sz w:val="24"/>
          <w:szCs w:val="24"/>
        </w:rPr>
        <w:t xml:space="preserve">as </w:t>
      </w:r>
      <w:r w:rsidR="00C9516A" w:rsidRPr="00CA6CB7">
        <w:rPr>
          <w:rFonts w:ascii="Times New Roman" w:hAnsi="Times New Roman" w:cs="Times New Roman"/>
          <w:sz w:val="24"/>
          <w:szCs w:val="24"/>
        </w:rPr>
        <w:t xml:space="preserve">estimated at concentrations from 10 to 70µg/well, </w:t>
      </w:r>
      <w:r w:rsidR="004A47BF" w:rsidRPr="00CA6CB7">
        <w:rPr>
          <w:rFonts w:ascii="Times New Roman" w:hAnsi="Times New Roman" w:cs="Times New Roman"/>
          <w:sz w:val="24"/>
          <w:szCs w:val="24"/>
        </w:rPr>
        <w:t xml:space="preserve">which are </w:t>
      </w:r>
      <w:r w:rsidR="00C9516A" w:rsidRPr="00CA6CB7">
        <w:rPr>
          <w:rFonts w:ascii="Times New Roman" w:hAnsi="Times New Roman" w:cs="Times New Roman"/>
          <w:sz w:val="24"/>
          <w:szCs w:val="24"/>
        </w:rPr>
        <w:t xml:space="preserve">not toxic </w:t>
      </w:r>
      <w:r w:rsidR="004A47BF" w:rsidRPr="00CA6CB7">
        <w:rPr>
          <w:rFonts w:ascii="Times New Roman" w:hAnsi="Times New Roman" w:cs="Times New Roman"/>
          <w:sz w:val="24"/>
          <w:szCs w:val="24"/>
        </w:rPr>
        <w:t>for</w:t>
      </w:r>
      <w:r w:rsidR="00C9516A" w:rsidRPr="00CA6CB7">
        <w:rPr>
          <w:rFonts w:ascii="Times New Roman" w:hAnsi="Times New Roman" w:cs="Times New Roman"/>
          <w:sz w:val="24"/>
          <w:szCs w:val="24"/>
        </w:rPr>
        <w:t xml:space="preserve"> normal fibroblasts. The native and the two feruloylated </w:t>
      </w:r>
      <w:proofErr w:type="spellStart"/>
      <w:r w:rsidR="00C9516A" w:rsidRPr="00CA6CB7">
        <w:rPr>
          <w:rFonts w:ascii="Times New Roman" w:hAnsi="Times New Roman" w:cs="Times New Roman"/>
          <w:sz w:val="24"/>
          <w:szCs w:val="24"/>
        </w:rPr>
        <w:t>HlHs</w:t>
      </w:r>
      <w:proofErr w:type="spellEnd"/>
      <w:r w:rsidR="00C9516A" w:rsidRPr="00CA6CB7">
        <w:rPr>
          <w:rFonts w:ascii="Times New Roman" w:hAnsi="Times New Roman" w:cs="Times New Roman"/>
          <w:sz w:val="24"/>
          <w:szCs w:val="24"/>
        </w:rPr>
        <w:t xml:space="preserve"> produce a similar effect </w:t>
      </w:r>
      <w:r w:rsidR="005D254A" w:rsidRPr="00CA6CB7">
        <w:rPr>
          <w:rFonts w:ascii="Times New Roman" w:hAnsi="Times New Roman" w:cs="Times New Roman"/>
          <w:sz w:val="24"/>
          <w:szCs w:val="24"/>
        </w:rPr>
        <w:t>within one and the same cell line</w:t>
      </w:r>
      <w:r w:rsidR="00C9516A" w:rsidRPr="00CA6CB7">
        <w:rPr>
          <w:rFonts w:ascii="Times New Roman" w:hAnsi="Times New Roman" w:cs="Times New Roman"/>
          <w:sz w:val="24"/>
          <w:szCs w:val="24"/>
        </w:rPr>
        <w:t xml:space="preserve">. </w:t>
      </w:r>
      <w:r w:rsidR="005D254A" w:rsidRPr="00CA6CB7">
        <w:rPr>
          <w:rFonts w:ascii="Times New Roman" w:hAnsi="Times New Roman" w:cs="Times New Roman"/>
          <w:sz w:val="24"/>
          <w:szCs w:val="24"/>
        </w:rPr>
        <w:t>The effect was more pronounced for FA-HlH-2,</w:t>
      </w:r>
      <w:r w:rsidR="008821D5" w:rsidRPr="00CA6CB7">
        <w:rPr>
          <w:rFonts w:ascii="Times New Roman" w:hAnsi="Times New Roman" w:cs="Times New Roman"/>
          <w:sz w:val="24"/>
          <w:szCs w:val="24"/>
        </w:rPr>
        <w:t xml:space="preserve"> especially for the MCF-7 cells,</w:t>
      </w:r>
      <w:r w:rsidR="005D254A" w:rsidRPr="00CA6CB7">
        <w:rPr>
          <w:rFonts w:ascii="Times New Roman" w:hAnsi="Times New Roman" w:cs="Times New Roman"/>
          <w:sz w:val="24"/>
          <w:szCs w:val="24"/>
        </w:rPr>
        <w:t xml:space="preserve"> for which we noticed concentration dependence</w:t>
      </w:r>
      <w:r w:rsidR="008821D5" w:rsidRPr="00CA6CB7">
        <w:rPr>
          <w:rFonts w:ascii="Times New Roman" w:hAnsi="Times New Roman" w:cs="Times New Roman"/>
          <w:sz w:val="24"/>
          <w:szCs w:val="24"/>
        </w:rPr>
        <w:t xml:space="preserve"> (Fig. 3)</w:t>
      </w:r>
      <w:r w:rsidR="005D254A" w:rsidRPr="00CA6CB7">
        <w:rPr>
          <w:rFonts w:ascii="Times New Roman" w:hAnsi="Times New Roman" w:cs="Times New Roman"/>
          <w:sz w:val="24"/>
          <w:szCs w:val="24"/>
        </w:rPr>
        <w:t>.</w:t>
      </w:r>
      <w:r w:rsidR="00C9516A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A367AA" w:rsidRPr="00CA6CB7">
        <w:rPr>
          <w:rFonts w:ascii="Times New Roman" w:hAnsi="Times New Roman" w:cs="Times New Roman"/>
          <w:sz w:val="24"/>
          <w:szCs w:val="24"/>
        </w:rPr>
        <w:t>The t</w:t>
      </w:r>
      <w:r w:rsidR="00427B15" w:rsidRPr="00CA6CB7">
        <w:rPr>
          <w:rFonts w:ascii="Times New Roman" w:hAnsi="Times New Roman" w:cs="Times New Roman"/>
          <w:sz w:val="24"/>
          <w:szCs w:val="24"/>
        </w:rPr>
        <w:t>h</w:t>
      </w:r>
      <w:r w:rsidR="00A367AA" w:rsidRPr="00CA6CB7">
        <w:rPr>
          <w:rFonts w:ascii="Times New Roman" w:hAnsi="Times New Roman" w:cs="Times New Roman"/>
          <w:sz w:val="24"/>
          <w:szCs w:val="24"/>
        </w:rPr>
        <w:t xml:space="preserve">ree </w:t>
      </w:r>
      <w:proofErr w:type="spellStart"/>
      <w:r w:rsidR="00A367AA" w:rsidRPr="00CA6CB7">
        <w:rPr>
          <w:rFonts w:ascii="Times New Roman" w:hAnsi="Times New Roman" w:cs="Times New Roman"/>
          <w:sz w:val="24"/>
          <w:szCs w:val="24"/>
        </w:rPr>
        <w:t>Hcs</w:t>
      </w:r>
      <w:proofErr w:type="spellEnd"/>
      <w:r w:rsidR="00A367AA" w:rsidRPr="00CA6CB7">
        <w:rPr>
          <w:rFonts w:ascii="Times New Roman" w:hAnsi="Times New Roman" w:cs="Times New Roman"/>
          <w:sz w:val="24"/>
          <w:szCs w:val="24"/>
        </w:rPr>
        <w:t xml:space="preserve"> had negligible cytotoxic effects on MDA-MB-231 cells, even at a concentration </w:t>
      </w:r>
      <w:proofErr w:type="gramStart"/>
      <w:r w:rsidR="00A367AA" w:rsidRPr="00CA6CB7">
        <w:rPr>
          <w:rFonts w:ascii="Times New Roman" w:hAnsi="Times New Roman" w:cs="Times New Roman"/>
          <w:sz w:val="24"/>
          <w:szCs w:val="24"/>
        </w:rPr>
        <w:t>of 70 µg/well, the highest tested concentration (Fig. 4)</w:t>
      </w:r>
      <w:proofErr w:type="gramEnd"/>
      <w:r w:rsidR="00A367AA" w:rsidRPr="00CA6CB7">
        <w:rPr>
          <w:rFonts w:ascii="Times New Roman" w:hAnsi="Times New Roman" w:cs="Times New Roman"/>
          <w:sz w:val="24"/>
          <w:szCs w:val="24"/>
        </w:rPr>
        <w:t>.</w:t>
      </w:r>
      <w:r w:rsidR="00495094" w:rsidRPr="00CA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BA2" w:rsidRDefault="005D7BA2" w:rsidP="00CA6CB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55333" w:rsidRDefault="00C55333" w:rsidP="00CA6CB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000" cy="1916286"/>
            <wp:effectExtent l="1905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16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000" cy="1871440"/>
            <wp:effectExtent l="19050" t="0" r="0" b="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7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333" w:rsidRDefault="00C55333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BA2" w:rsidRPr="00CA6CB7" w:rsidRDefault="005D7BA2" w:rsidP="005D7B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 xml:space="preserve">Fig.3. </w:t>
      </w:r>
      <w:r w:rsidRPr="00CA6CB7">
        <w:rPr>
          <w:rFonts w:ascii="Times New Roman" w:hAnsi="Times New Roman" w:cs="Times New Roman"/>
          <w:sz w:val="24"/>
          <w:szCs w:val="24"/>
        </w:rPr>
        <w:t>Effect</w:t>
      </w:r>
      <w:r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 xml:space="preserve">of native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and </w:t>
      </w:r>
      <w:r w:rsidRPr="00CA6CB7">
        <w:rPr>
          <w:rFonts w:ascii="Times New Roman" w:hAnsi="Times New Roman" w:cs="Times New Roman"/>
          <w:noProof/>
          <w:sz w:val="24"/>
          <w:szCs w:val="24"/>
        </w:rPr>
        <w:t xml:space="preserve">ferulic acid conjugated HlH </w:t>
      </w:r>
      <w:r w:rsidRPr="00CA6CB7">
        <w:rPr>
          <w:rFonts w:ascii="Times New Roman" w:hAnsi="Times New Roman" w:cs="Times New Roman"/>
          <w:sz w:val="24"/>
          <w:szCs w:val="24"/>
        </w:rPr>
        <w:t xml:space="preserve">on MCF-7 cell viability after 24 h (A) and 48 h (B) incubation. </w:t>
      </w:r>
      <w:r w:rsidRPr="00CA6CB7">
        <w:rPr>
          <w:rFonts w:ascii="Times New Roman" w:hAnsi="Times New Roman" w:cs="Times New Roman"/>
          <w:noProof/>
          <w:sz w:val="24"/>
          <w:szCs w:val="24"/>
        </w:rPr>
        <w:t>Data are presented as mean±SD, p&lt;0.05, n=3.</w:t>
      </w:r>
    </w:p>
    <w:p w:rsidR="005D7BA2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B13" w:rsidRDefault="00E03791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80000" cy="1762048"/>
            <wp:effectExtent l="19050" t="0" r="0" b="0"/>
            <wp:docPr id="2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62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0000" cy="1904422"/>
            <wp:effectExtent l="19050" t="0" r="0" b="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04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BA2" w:rsidRPr="00CA6CB7" w:rsidRDefault="005D7BA2" w:rsidP="005D7B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CB7">
        <w:rPr>
          <w:rFonts w:ascii="Times New Roman" w:hAnsi="Times New Roman" w:cs="Times New Roman"/>
          <w:b/>
          <w:sz w:val="24"/>
          <w:szCs w:val="24"/>
        </w:rPr>
        <w:t>Fig. 4.</w:t>
      </w:r>
      <w:proofErr w:type="gramEnd"/>
      <w:r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>Effect</w:t>
      </w:r>
      <w:r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 xml:space="preserve">of native </w:t>
      </w:r>
      <w:proofErr w:type="spellStart"/>
      <w:r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CA6CB7">
        <w:rPr>
          <w:rFonts w:ascii="Times New Roman" w:hAnsi="Times New Roman" w:cs="Times New Roman"/>
          <w:sz w:val="24"/>
          <w:szCs w:val="24"/>
        </w:rPr>
        <w:t xml:space="preserve"> and </w:t>
      </w:r>
      <w:r w:rsidRPr="00CA6CB7">
        <w:rPr>
          <w:rFonts w:ascii="Times New Roman" w:hAnsi="Times New Roman" w:cs="Times New Roman"/>
          <w:noProof/>
          <w:sz w:val="24"/>
          <w:szCs w:val="24"/>
        </w:rPr>
        <w:t xml:space="preserve">ferulic acid conjugated HlH </w:t>
      </w:r>
      <w:r w:rsidRPr="00CA6CB7">
        <w:rPr>
          <w:rFonts w:ascii="Times New Roman" w:hAnsi="Times New Roman" w:cs="Times New Roman"/>
          <w:sz w:val="24"/>
          <w:szCs w:val="24"/>
        </w:rPr>
        <w:t xml:space="preserve">on MDA-MB-231 cell viability after 24 h (A) and 48 h (B) incubation. </w:t>
      </w:r>
      <w:r w:rsidRPr="00CA6CB7">
        <w:rPr>
          <w:rFonts w:ascii="Times New Roman" w:hAnsi="Times New Roman" w:cs="Times New Roman"/>
          <w:noProof/>
          <w:sz w:val="24"/>
          <w:szCs w:val="24"/>
        </w:rPr>
        <w:t>Data are presented as mean±SD, p&lt;0.05, n=3.</w:t>
      </w:r>
    </w:p>
    <w:p w:rsidR="005D7BA2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8E" w:rsidRPr="00CA6CB7" w:rsidRDefault="005D7BA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17A4" w:rsidRPr="00CA6CB7">
        <w:rPr>
          <w:rFonts w:ascii="Times New Roman" w:hAnsi="Times New Roman" w:cs="Times New Roman"/>
          <w:sz w:val="24"/>
          <w:szCs w:val="24"/>
        </w:rPr>
        <w:t xml:space="preserve">The moderate to excellent activity and selectivity of the native and the feruloylated </w:t>
      </w:r>
      <w:proofErr w:type="spellStart"/>
      <w:r w:rsidR="00FF17A4" w:rsidRPr="00CA6CB7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="00FF17A4" w:rsidRPr="00CA6CB7">
        <w:rPr>
          <w:rFonts w:ascii="Times New Roman" w:hAnsi="Times New Roman" w:cs="Times New Roman"/>
          <w:sz w:val="24"/>
          <w:szCs w:val="24"/>
        </w:rPr>
        <w:t xml:space="preserve"> towards MCF-7 cells </w:t>
      </w:r>
      <w:r w:rsidR="001D2D08" w:rsidRPr="00CA6CB7">
        <w:rPr>
          <w:rFonts w:ascii="Times New Roman" w:hAnsi="Times New Roman" w:cs="Times New Roman"/>
          <w:sz w:val="24"/>
          <w:szCs w:val="24"/>
        </w:rPr>
        <w:t>makes them promising for future studies in view of their biopharmaceutical potential.</w:t>
      </w:r>
      <w:proofErr w:type="gramEnd"/>
      <w:r w:rsidR="001D2D08" w:rsidRPr="00CA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094" w:rsidRPr="00CA6CB7" w:rsidRDefault="00495094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032" w:rsidRPr="00CA6CB7" w:rsidRDefault="00820032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b/>
          <w:i/>
          <w:caps/>
          <w:sz w:val="24"/>
          <w:szCs w:val="24"/>
        </w:rPr>
        <w:t>Acknowledgements:</w:t>
      </w:r>
      <w:r w:rsidRPr="00CA6CB7">
        <w:rPr>
          <w:rFonts w:ascii="Times New Roman" w:hAnsi="Times New Roman" w:cs="Times New Roman"/>
          <w:sz w:val="24"/>
          <w:szCs w:val="24"/>
        </w:rPr>
        <w:t xml:space="preserve"> The financial support of the Bulgarian National Science Fund (Project: ДКОСТ 01/27) is gratefully acknowledged.</w:t>
      </w:r>
    </w:p>
    <w:p w:rsidR="00E25894" w:rsidRPr="00CA6CB7" w:rsidRDefault="00E25894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032" w:rsidRDefault="00820032" w:rsidP="00CA6C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CB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77542" w:rsidRPr="00CA6CB7" w:rsidRDefault="00B6099B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2739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Rukkumani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Aruna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P. S.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Varma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V. P.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Menon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J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Med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Food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b/>
          <w:sz w:val="24"/>
          <w:szCs w:val="24"/>
        </w:rPr>
        <w:t>2004</w:t>
      </w:r>
      <w:r w:rsidR="00E25894" w:rsidRPr="00CA6CB7">
        <w:rPr>
          <w:rFonts w:ascii="Times New Roman" w:hAnsi="Times New Roman" w:cs="Times New Roman"/>
          <w:sz w:val="24"/>
          <w:szCs w:val="24"/>
        </w:rPr>
        <w:t>,</w:t>
      </w:r>
      <w:r w:rsidR="0017754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177542" w:rsidRPr="00B6099B">
        <w:rPr>
          <w:rFonts w:ascii="Times New Roman" w:hAnsi="Times New Roman" w:cs="Times New Roman"/>
          <w:i/>
          <w:sz w:val="24"/>
          <w:szCs w:val="24"/>
        </w:rPr>
        <w:t>7</w:t>
      </w:r>
      <w:r w:rsidR="00222739" w:rsidRPr="00CA6CB7">
        <w:rPr>
          <w:rFonts w:ascii="Times New Roman" w:hAnsi="Times New Roman" w:cs="Times New Roman"/>
          <w:sz w:val="24"/>
          <w:szCs w:val="24"/>
        </w:rPr>
        <w:t>,</w:t>
      </w:r>
      <w:r w:rsidR="0017754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3721C7" w:rsidRPr="00CA6CB7">
        <w:rPr>
          <w:rFonts w:ascii="Times New Roman" w:hAnsi="Times New Roman" w:cs="Times New Roman"/>
          <w:sz w:val="24"/>
          <w:szCs w:val="24"/>
        </w:rPr>
        <w:t>456–461.</w:t>
      </w:r>
    </w:p>
    <w:p w:rsidR="00177542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3703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S.F.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>, K.</w:t>
      </w:r>
      <w:r w:rsidR="003721C7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177542" w:rsidRPr="00CA6CB7">
        <w:rPr>
          <w:rFonts w:ascii="Times New Roman" w:hAnsi="Times New Roman" w:cs="Times New Roman"/>
          <w:sz w:val="24"/>
          <w:szCs w:val="24"/>
        </w:rPr>
        <w:t xml:space="preserve">P. Devi, D.S.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Malar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Sureda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Daglia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77542" w:rsidRPr="00CA6CB7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="00177542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Mini</w:t>
      </w:r>
      <w:r w:rsidR="003721C7" w:rsidRPr="00CA6CB7">
        <w:rPr>
          <w:rFonts w:ascii="Times New Roman" w:hAnsi="Times New Roman" w:cs="Times New Roman"/>
          <w:i/>
          <w:sz w:val="24"/>
          <w:szCs w:val="24"/>
        </w:rPr>
        <w:t>-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Rev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3721C7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>Med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177542" w:rsidRPr="00CA6CB7">
        <w:rPr>
          <w:rFonts w:ascii="Times New Roman" w:hAnsi="Times New Roman" w:cs="Times New Roman"/>
          <w:i/>
          <w:sz w:val="24"/>
          <w:szCs w:val="24"/>
        </w:rPr>
        <w:t xml:space="preserve"> Chem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b/>
          <w:sz w:val="24"/>
          <w:szCs w:val="24"/>
        </w:rPr>
        <w:t>2015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177542" w:rsidRPr="003A208C">
        <w:rPr>
          <w:rFonts w:ascii="Times New Roman" w:hAnsi="Times New Roman" w:cs="Times New Roman"/>
          <w:i/>
          <w:sz w:val="24"/>
          <w:szCs w:val="24"/>
        </w:rPr>
        <w:t>15</w:t>
      </w:r>
      <w:r w:rsidR="00177542" w:rsidRPr="00CA6CB7">
        <w:rPr>
          <w:rFonts w:ascii="Times New Roman" w:hAnsi="Times New Roman" w:cs="Times New Roman"/>
          <w:sz w:val="24"/>
          <w:szCs w:val="24"/>
        </w:rPr>
        <w:t>, 776</w:t>
      </w:r>
      <w:r w:rsidR="003721C7" w:rsidRPr="00CA6CB7">
        <w:rPr>
          <w:rFonts w:ascii="Times New Roman" w:hAnsi="Times New Roman" w:cs="Times New Roman"/>
          <w:sz w:val="24"/>
          <w:szCs w:val="24"/>
        </w:rPr>
        <w:t>–788</w:t>
      </w:r>
      <w:r w:rsidR="00853703" w:rsidRPr="00CA6CB7">
        <w:rPr>
          <w:rFonts w:ascii="Times New Roman" w:hAnsi="Times New Roman" w:cs="Times New Roman"/>
          <w:sz w:val="24"/>
          <w:szCs w:val="24"/>
        </w:rPr>
        <w:t>.</w:t>
      </w:r>
    </w:p>
    <w:p w:rsidR="00674B1F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 H.</w:t>
      </w:r>
      <w:r w:rsidR="00853703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674B1F" w:rsidRPr="00CA6CB7">
        <w:rPr>
          <w:rFonts w:ascii="Times New Roman" w:hAnsi="Times New Roman" w:cs="Times New Roman"/>
          <w:sz w:val="24"/>
          <w:szCs w:val="24"/>
        </w:rPr>
        <w:t>Maruyama, F. Kawakami, T.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674B1F" w:rsidRPr="00CA6CB7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674B1F" w:rsidRPr="00CA6CB7">
        <w:rPr>
          <w:rFonts w:ascii="Times New Roman" w:hAnsi="Times New Roman" w:cs="Times New Roman"/>
          <w:sz w:val="24"/>
          <w:szCs w:val="24"/>
        </w:rPr>
        <w:t>Lwin</w:t>
      </w:r>
      <w:proofErr w:type="spellEnd"/>
      <w:r w:rsidR="00674B1F" w:rsidRPr="00CA6CB7">
        <w:rPr>
          <w:rFonts w:ascii="Times New Roman" w:hAnsi="Times New Roman" w:cs="Times New Roman"/>
          <w:sz w:val="24"/>
          <w:szCs w:val="24"/>
        </w:rPr>
        <w:t xml:space="preserve">, M. Imai, F. </w:t>
      </w:r>
      <w:proofErr w:type="spellStart"/>
      <w:r w:rsidR="00674B1F" w:rsidRPr="00CA6CB7">
        <w:rPr>
          <w:rFonts w:ascii="Times New Roman" w:hAnsi="Times New Roman" w:cs="Times New Roman"/>
          <w:sz w:val="24"/>
          <w:szCs w:val="24"/>
        </w:rPr>
        <w:t>Shamsa</w:t>
      </w:r>
      <w:proofErr w:type="spellEnd"/>
      <w:r w:rsidR="00674B1F" w:rsidRPr="00CA6CB7">
        <w:rPr>
          <w:rFonts w:ascii="Times New Roman" w:hAnsi="Times New Roman" w:cs="Times New Roman"/>
          <w:sz w:val="24"/>
          <w:szCs w:val="24"/>
        </w:rPr>
        <w:t>,</w:t>
      </w:r>
      <w:r w:rsidR="00A10F31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9A63FA" w:rsidRPr="00CA6CB7">
        <w:rPr>
          <w:rFonts w:ascii="Times New Roman" w:hAnsi="Times New Roman" w:cs="Times New Roman"/>
          <w:i/>
          <w:sz w:val="24"/>
          <w:szCs w:val="24"/>
        </w:rPr>
        <w:t>Biol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A63FA" w:rsidRPr="00CA6CB7">
        <w:rPr>
          <w:rFonts w:ascii="Times New Roman" w:hAnsi="Times New Roman" w:cs="Times New Roman"/>
          <w:i/>
          <w:sz w:val="24"/>
          <w:szCs w:val="24"/>
        </w:rPr>
        <w:t>Pharm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A63FA" w:rsidRPr="00CA6CB7">
        <w:rPr>
          <w:rFonts w:ascii="Times New Roman" w:hAnsi="Times New Roman" w:cs="Times New Roman"/>
          <w:i/>
          <w:sz w:val="24"/>
          <w:szCs w:val="24"/>
        </w:rPr>
        <w:t>Bull</w:t>
      </w:r>
      <w:r w:rsidR="00E25894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9A63FA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b/>
          <w:sz w:val="24"/>
          <w:szCs w:val="24"/>
        </w:rPr>
        <w:t>2018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41</w:t>
      </w:r>
      <w:r w:rsidR="009A63FA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674B1F" w:rsidRPr="00CA6CB7">
        <w:rPr>
          <w:rFonts w:ascii="Times New Roman" w:hAnsi="Times New Roman" w:cs="Times New Roman"/>
          <w:sz w:val="24"/>
          <w:szCs w:val="24"/>
        </w:rPr>
        <w:t>806</w:t>
      </w:r>
      <w:r w:rsidR="00A10F31" w:rsidRPr="00CA6CB7">
        <w:rPr>
          <w:rFonts w:ascii="Times New Roman" w:hAnsi="Times New Roman" w:cs="Times New Roman"/>
          <w:sz w:val="24"/>
          <w:szCs w:val="24"/>
        </w:rPr>
        <w:t>–810</w:t>
      </w:r>
      <w:r w:rsidR="00853703" w:rsidRPr="00CA6CB7">
        <w:rPr>
          <w:rFonts w:ascii="Times New Roman" w:hAnsi="Times New Roman" w:cs="Times New Roman"/>
          <w:sz w:val="24"/>
          <w:szCs w:val="24"/>
        </w:rPr>
        <w:t>.</w:t>
      </w:r>
    </w:p>
    <w:p w:rsidR="00674B1F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853703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E25894" w:rsidRPr="00CA6CB7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="00D77C25" w:rsidRPr="00CA6CB7">
        <w:rPr>
          <w:rFonts w:ascii="Times New Roman" w:hAnsi="Times New Roman" w:cs="Times New Roman"/>
          <w:sz w:val="24"/>
          <w:szCs w:val="24"/>
        </w:rPr>
        <w:t>Valacchi</w:t>
      </w:r>
      <w:proofErr w:type="spellEnd"/>
      <w:r w:rsidR="00D77C25" w:rsidRPr="00CA6CB7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="00D77C25" w:rsidRPr="00CA6CB7">
        <w:rPr>
          <w:rFonts w:ascii="Times New Roman" w:hAnsi="Times New Roman" w:cs="Times New Roman"/>
          <w:sz w:val="24"/>
          <w:szCs w:val="24"/>
        </w:rPr>
        <w:t>Grisci</w:t>
      </w:r>
      <w:proofErr w:type="spellEnd"/>
      <w:r w:rsidR="00D77C25" w:rsidRPr="00CA6CB7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="00D77C25" w:rsidRPr="00CA6CB7">
        <w:rPr>
          <w:rFonts w:ascii="Times New Roman" w:hAnsi="Times New Roman" w:cs="Times New Roman"/>
          <w:sz w:val="24"/>
          <w:szCs w:val="24"/>
        </w:rPr>
        <w:t>Sticozzi</w:t>
      </w:r>
      <w:proofErr w:type="spellEnd"/>
      <w:r w:rsidR="00D77C25" w:rsidRPr="00CA6CB7">
        <w:rPr>
          <w:rFonts w:ascii="Times New Roman" w:hAnsi="Times New Roman" w:cs="Times New Roman"/>
          <w:sz w:val="24"/>
          <w:szCs w:val="24"/>
        </w:rPr>
        <w:t xml:space="preserve">, Y. Lim, M. </w:t>
      </w:r>
      <w:proofErr w:type="spellStart"/>
      <w:r w:rsidR="00D77C25" w:rsidRPr="00CA6CB7">
        <w:rPr>
          <w:rFonts w:ascii="Times New Roman" w:hAnsi="Times New Roman" w:cs="Times New Roman"/>
          <w:sz w:val="24"/>
          <w:szCs w:val="24"/>
        </w:rPr>
        <w:t>Paolino</w:t>
      </w:r>
      <w:proofErr w:type="spellEnd"/>
      <w:r w:rsidR="00D77C25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F613A8" w:rsidRPr="00CA6CB7">
        <w:rPr>
          <w:rFonts w:ascii="Times New Roman" w:hAnsi="Times New Roman" w:cs="Times New Roman"/>
          <w:sz w:val="24"/>
          <w:szCs w:val="24"/>
        </w:rPr>
        <w:t xml:space="preserve">G. Giuliani, R.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Mendichi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,. G. Belmonte, R.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Artusi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Zanardi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Garofalo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Giorgi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Cappelli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="00F613A8" w:rsidRPr="00CA6CB7">
        <w:rPr>
          <w:rFonts w:ascii="Times New Roman" w:hAnsi="Times New Roman" w:cs="Times New Roman"/>
          <w:sz w:val="24"/>
          <w:szCs w:val="24"/>
        </w:rPr>
        <w:t>Rovati</w:t>
      </w:r>
      <w:proofErr w:type="spellEnd"/>
      <w:r w:rsidR="00F613A8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D77C25" w:rsidRPr="00CA6CB7">
        <w:rPr>
          <w:rFonts w:ascii="Times New Roman" w:hAnsi="Times New Roman" w:cs="Times New Roman"/>
          <w:i/>
          <w:sz w:val="24"/>
          <w:szCs w:val="24"/>
        </w:rPr>
        <w:t>J</w:t>
      </w:r>
      <w:r w:rsidR="00F613A8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A10F31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C25" w:rsidRPr="00CA6CB7">
        <w:rPr>
          <w:rFonts w:ascii="Times New Roman" w:hAnsi="Times New Roman" w:cs="Times New Roman"/>
          <w:i/>
          <w:sz w:val="24"/>
          <w:szCs w:val="24"/>
        </w:rPr>
        <w:t>Mat</w:t>
      </w:r>
      <w:r w:rsidR="00F613A8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7C25" w:rsidRPr="00CA6CB7">
        <w:rPr>
          <w:rFonts w:ascii="Times New Roman" w:hAnsi="Times New Roman" w:cs="Times New Roman"/>
          <w:i/>
          <w:sz w:val="24"/>
          <w:szCs w:val="24"/>
        </w:rPr>
        <w:t>Chem</w:t>
      </w:r>
      <w:r w:rsidR="00F613A8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7C25" w:rsidRPr="00CA6CB7">
        <w:rPr>
          <w:rFonts w:ascii="Times New Roman" w:hAnsi="Times New Roman" w:cs="Times New Roman"/>
          <w:i/>
          <w:sz w:val="24"/>
          <w:szCs w:val="24"/>
        </w:rPr>
        <w:t>B</w:t>
      </w:r>
      <w:r w:rsidR="00F613A8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F613A8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F613A8" w:rsidRPr="00CA6CB7">
        <w:rPr>
          <w:rFonts w:ascii="Times New Roman" w:hAnsi="Times New Roman" w:cs="Times New Roman"/>
          <w:b/>
          <w:sz w:val="24"/>
          <w:szCs w:val="24"/>
        </w:rPr>
        <w:t>2015</w:t>
      </w:r>
      <w:r w:rsidR="00F613A8" w:rsidRPr="00CA6CB7">
        <w:rPr>
          <w:rFonts w:ascii="Times New Roman" w:hAnsi="Times New Roman" w:cs="Times New Roman"/>
          <w:sz w:val="24"/>
          <w:szCs w:val="24"/>
        </w:rPr>
        <w:t>,</w:t>
      </w:r>
      <w:r w:rsidR="00D77C25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D77C25" w:rsidRPr="003A208C">
        <w:rPr>
          <w:rFonts w:ascii="Times New Roman" w:hAnsi="Times New Roman" w:cs="Times New Roman"/>
          <w:i/>
          <w:sz w:val="24"/>
          <w:szCs w:val="24"/>
        </w:rPr>
        <w:t>3</w:t>
      </w:r>
      <w:r w:rsidR="00D77C25" w:rsidRPr="00CA6CB7">
        <w:rPr>
          <w:rFonts w:ascii="Times New Roman" w:hAnsi="Times New Roman" w:cs="Times New Roman"/>
          <w:sz w:val="24"/>
          <w:szCs w:val="24"/>
        </w:rPr>
        <w:t>, 7037</w:t>
      </w:r>
      <w:r w:rsidR="00A10F31" w:rsidRPr="00CA6CB7">
        <w:rPr>
          <w:rFonts w:ascii="Times New Roman" w:hAnsi="Times New Roman" w:cs="Times New Roman"/>
          <w:sz w:val="24"/>
          <w:szCs w:val="24"/>
        </w:rPr>
        <w:t>–7045</w:t>
      </w:r>
      <w:r w:rsidR="00853703" w:rsidRPr="00CA6CB7">
        <w:rPr>
          <w:rFonts w:ascii="Times New Roman" w:hAnsi="Times New Roman" w:cs="Times New Roman"/>
          <w:sz w:val="24"/>
          <w:szCs w:val="24"/>
        </w:rPr>
        <w:t>.</w:t>
      </w:r>
    </w:p>
    <w:p w:rsidR="00425CC5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5CC5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C. </w:t>
      </w:r>
      <w:r w:rsidR="00425CC5" w:rsidRPr="00CA6CB7">
        <w:rPr>
          <w:rFonts w:ascii="Times New Roman" w:hAnsi="Times New Roman" w:cs="Times New Roman"/>
          <w:sz w:val="24"/>
          <w:szCs w:val="24"/>
        </w:rPr>
        <w:t xml:space="preserve">Li, J.-B. Li, </w:t>
      </w:r>
      <w:r w:rsidR="00425CC5" w:rsidRPr="00CA6CB7">
        <w:rPr>
          <w:rFonts w:ascii="Times New Roman" w:hAnsi="Times New Roman" w:cs="Times New Roman"/>
          <w:i/>
          <w:sz w:val="24"/>
          <w:szCs w:val="24"/>
        </w:rPr>
        <w:t>Int</w:t>
      </w:r>
      <w:r w:rsidR="00764C63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5CC5" w:rsidRPr="00CA6CB7">
        <w:rPr>
          <w:rFonts w:ascii="Times New Roman" w:hAnsi="Times New Roman" w:cs="Times New Roman"/>
          <w:i/>
          <w:sz w:val="24"/>
          <w:szCs w:val="24"/>
        </w:rPr>
        <w:t>J</w:t>
      </w:r>
      <w:r w:rsidR="00764C63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5CC5" w:rsidRPr="00CA6CB7">
        <w:rPr>
          <w:rFonts w:ascii="Times New Roman" w:hAnsi="Times New Roman" w:cs="Times New Roman"/>
          <w:i/>
          <w:sz w:val="24"/>
          <w:szCs w:val="24"/>
        </w:rPr>
        <w:t>Biol</w:t>
      </w:r>
      <w:r w:rsidR="00764C63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425CC5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CC5" w:rsidRPr="00CA6CB7">
        <w:rPr>
          <w:rFonts w:ascii="Times New Roman" w:hAnsi="Times New Roman" w:cs="Times New Roman"/>
          <w:i/>
          <w:sz w:val="24"/>
          <w:szCs w:val="24"/>
        </w:rPr>
        <w:t>Macromol</w:t>
      </w:r>
      <w:proofErr w:type="spellEnd"/>
      <w:r w:rsidR="00764C63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764C63" w:rsidRPr="00CA6CB7">
        <w:rPr>
          <w:rFonts w:ascii="Times New Roman" w:hAnsi="Times New Roman" w:cs="Times New Roman"/>
          <w:b/>
          <w:sz w:val="24"/>
          <w:szCs w:val="24"/>
        </w:rPr>
        <w:t>2017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425CC5" w:rsidRPr="003A208C">
        <w:rPr>
          <w:rFonts w:ascii="Times New Roman" w:hAnsi="Times New Roman" w:cs="Times New Roman"/>
          <w:i/>
          <w:sz w:val="24"/>
          <w:szCs w:val="24"/>
        </w:rPr>
        <w:t>105</w:t>
      </w:r>
      <w:r w:rsidR="00425CC5" w:rsidRPr="00CA6CB7">
        <w:rPr>
          <w:rFonts w:ascii="Times New Roman" w:hAnsi="Times New Roman" w:cs="Times New Roman"/>
          <w:sz w:val="24"/>
          <w:szCs w:val="24"/>
        </w:rPr>
        <w:t>, 1539–1543.</w:t>
      </w:r>
    </w:p>
    <w:p w:rsidR="00764C63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W. </w:t>
      </w:r>
      <w:r w:rsidR="00BE1F5A" w:rsidRPr="00CA6CB7">
        <w:rPr>
          <w:rFonts w:ascii="Times New Roman" w:hAnsi="Times New Roman" w:cs="Times New Roman"/>
          <w:sz w:val="24"/>
          <w:szCs w:val="24"/>
        </w:rPr>
        <w:t>Wu</w:t>
      </w:r>
      <w:r w:rsidR="00022A97" w:rsidRPr="00CA6CB7">
        <w:rPr>
          <w:rFonts w:ascii="Times New Roman" w:hAnsi="Times New Roman" w:cs="Times New Roman"/>
          <w:sz w:val="24"/>
          <w:szCs w:val="24"/>
        </w:rPr>
        <w:t>, S.-Y.</w:t>
      </w:r>
      <w:proofErr w:type="gramEnd"/>
      <w:r w:rsidR="00022A97" w:rsidRPr="00CA6CB7">
        <w:rPr>
          <w:rFonts w:ascii="Times New Roman" w:hAnsi="Times New Roman" w:cs="Times New Roman"/>
          <w:sz w:val="24"/>
          <w:szCs w:val="24"/>
        </w:rPr>
        <w:t xml:space="preserve"> Lee, X. Wu, J. Y. Tyler, H. Wang, 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764C63" w:rsidRPr="00CA6CB7">
        <w:rPr>
          <w:rFonts w:ascii="Times New Roman" w:hAnsi="Times New Roman" w:cs="Times New Roman"/>
          <w:sz w:val="24"/>
          <w:szCs w:val="24"/>
        </w:rPr>
        <w:t>Ouyang</w:t>
      </w:r>
      <w:proofErr w:type="spellEnd"/>
      <w:r w:rsidR="00764C63" w:rsidRPr="00CA6CB7">
        <w:rPr>
          <w:rFonts w:ascii="Times New Roman" w:hAnsi="Times New Roman" w:cs="Times New Roman"/>
          <w:sz w:val="24"/>
          <w:szCs w:val="24"/>
        </w:rPr>
        <w:t xml:space="preserve">, K. Park, X.M. </w:t>
      </w:r>
      <w:proofErr w:type="spellStart"/>
      <w:r w:rsidR="00764C63" w:rsidRPr="00CA6CB7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="00764C63" w:rsidRPr="00CA6CB7">
        <w:rPr>
          <w:rFonts w:ascii="Times New Roman" w:hAnsi="Times New Roman" w:cs="Times New Roman"/>
          <w:sz w:val="24"/>
          <w:szCs w:val="24"/>
        </w:rPr>
        <w:t>, J.X. Cheng,</w:t>
      </w:r>
    </w:p>
    <w:p w:rsidR="00860EDC" w:rsidRPr="00CA6CB7" w:rsidRDefault="0054622E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B7">
        <w:rPr>
          <w:rFonts w:ascii="Times New Roman" w:hAnsi="Times New Roman" w:cs="Times New Roman"/>
          <w:i/>
          <w:sz w:val="24"/>
          <w:szCs w:val="24"/>
        </w:rPr>
        <w:t>B</w:t>
      </w:r>
      <w:r w:rsidR="00F14EDC" w:rsidRPr="00CA6CB7">
        <w:rPr>
          <w:rFonts w:ascii="Times New Roman" w:hAnsi="Times New Roman" w:cs="Times New Roman"/>
          <w:i/>
          <w:sz w:val="24"/>
          <w:szCs w:val="24"/>
        </w:rPr>
        <w:t>iomaterials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764C63" w:rsidRPr="00CA6CB7">
        <w:rPr>
          <w:rFonts w:ascii="Times New Roman" w:hAnsi="Times New Roman" w:cs="Times New Roman"/>
          <w:b/>
          <w:sz w:val="24"/>
          <w:szCs w:val="24"/>
        </w:rPr>
        <w:t>2014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Pr="003A208C">
        <w:rPr>
          <w:rFonts w:ascii="Times New Roman" w:hAnsi="Times New Roman" w:cs="Times New Roman"/>
          <w:i/>
          <w:sz w:val="24"/>
          <w:szCs w:val="24"/>
        </w:rPr>
        <w:t>35</w:t>
      </w:r>
      <w:r w:rsidR="00764C63" w:rsidRPr="00CA6CB7">
        <w:rPr>
          <w:rFonts w:ascii="Times New Roman" w:hAnsi="Times New Roman" w:cs="Times New Roman"/>
          <w:sz w:val="24"/>
          <w:szCs w:val="24"/>
        </w:rPr>
        <w:t>,</w:t>
      </w:r>
      <w:r w:rsidRPr="00CA6CB7">
        <w:rPr>
          <w:rFonts w:ascii="Times New Roman" w:hAnsi="Times New Roman" w:cs="Times New Roman"/>
          <w:sz w:val="24"/>
          <w:szCs w:val="24"/>
        </w:rPr>
        <w:t xml:space="preserve"> 2355</w:t>
      </w:r>
      <w:r w:rsidR="00F14EDC" w:rsidRPr="00CA6CB7">
        <w:rPr>
          <w:rFonts w:ascii="Times New Roman" w:hAnsi="Times New Roman" w:cs="Times New Roman"/>
          <w:sz w:val="24"/>
          <w:szCs w:val="24"/>
        </w:rPr>
        <w:t>–</w:t>
      </w:r>
      <w:r w:rsidRPr="00CA6CB7">
        <w:rPr>
          <w:rFonts w:ascii="Times New Roman" w:hAnsi="Times New Roman" w:cs="Times New Roman"/>
          <w:sz w:val="24"/>
          <w:szCs w:val="24"/>
        </w:rPr>
        <w:t>236</w:t>
      </w:r>
      <w:r w:rsidR="00F14EDC" w:rsidRPr="00CA6CB7">
        <w:rPr>
          <w:rFonts w:ascii="Times New Roman" w:hAnsi="Times New Roman" w:cs="Times New Roman"/>
          <w:sz w:val="24"/>
          <w:szCs w:val="24"/>
        </w:rPr>
        <w:t>4</w:t>
      </w:r>
      <w:r w:rsidRPr="00CA6CB7">
        <w:rPr>
          <w:rFonts w:ascii="Times New Roman" w:hAnsi="Times New Roman" w:cs="Times New Roman"/>
          <w:sz w:val="24"/>
          <w:szCs w:val="24"/>
        </w:rPr>
        <w:t>.</w:t>
      </w:r>
      <w:r w:rsidR="00860EDC" w:rsidRPr="00CA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8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764C63" w:rsidRPr="00CA6CB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Gatsogiannis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Hofnagel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Markl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Stefan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Raunser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0168A1" w:rsidRPr="00CA6CB7">
        <w:rPr>
          <w:rFonts w:ascii="Times New Roman" w:hAnsi="Times New Roman" w:cs="Times New Roman"/>
          <w:i/>
          <w:sz w:val="24"/>
          <w:szCs w:val="24"/>
        </w:rPr>
        <w:t>Structure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b/>
          <w:sz w:val="24"/>
          <w:szCs w:val="24"/>
        </w:rPr>
        <w:t>2015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0168A1" w:rsidRPr="003A208C">
        <w:rPr>
          <w:rFonts w:ascii="Times New Roman" w:hAnsi="Times New Roman" w:cs="Times New Roman"/>
          <w:i/>
          <w:sz w:val="24"/>
          <w:szCs w:val="24"/>
        </w:rPr>
        <w:t>23</w:t>
      </w:r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93–103. </w:t>
      </w:r>
    </w:p>
    <w:p w:rsidR="000168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J.R. </w:t>
      </w:r>
      <w:r w:rsidR="000168A1" w:rsidRPr="00CA6CB7">
        <w:rPr>
          <w:rFonts w:ascii="Times New Roman" w:hAnsi="Times New Roman" w:cs="Times New Roman"/>
          <w:sz w:val="24"/>
          <w:szCs w:val="24"/>
        </w:rPr>
        <w:t xml:space="preserve">Harris, J.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Markl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F14EDC" w:rsidRPr="00CA6CB7">
        <w:rPr>
          <w:rFonts w:ascii="Times New Roman" w:hAnsi="Times New Roman" w:cs="Times New Roman"/>
          <w:i/>
          <w:sz w:val="24"/>
          <w:szCs w:val="24"/>
        </w:rPr>
        <w:t>Micron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b/>
          <w:sz w:val="24"/>
          <w:szCs w:val="24"/>
        </w:rPr>
        <w:t xml:space="preserve">1999, </w:t>
      </w:r>
      <w:r w:rsidR="000168A1" w:rsidRPr="003A208C">
        <w:rPr>
          <w:rFonts w:ascii="Times New Roman" w:hAnsi="Times New Roman" w:cs="Times New Roman"/>
          <w:i/>
          <w:sz w:val="24"/>
          <w:szCs w:val="24"/>
        </w:rPr>
        <w:t>30</w:t>
      </w:r>
      <w:r w:rsidR="000168A1" w:rsidRPr="00CA6CB7">
        <w:rPr>
          <w:rFonts w:ascii="Times New Roman" w:hAnsi="Times New Roman" w:cs="Times New Roman"/>
          <w:sz w:val="24"/>
          <w:szCs w:val="24"/>
        </w:rPr>
        <w:t>, 597–623.</w:t>
      </w:r>
    </w:p>
    <w:p w:rsidR="000168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0168A1" w:rsidRPr="00CA6CB7">
        <w:rPr>
          <w:rFonts w:ascii="Times New Roman" w:hAnsi="Times New Roman" w:cs="Times New Roman"/>
          <w:sz w:val="24"/>
          <w:szCs w:val="24"/>
        </w:rPr>
        <w:t xml:space="preserve">C. J. Coates, J. </w:t>
      </w:r>
      <w:proofErr w:type="spellStart"/>
      <w:r w:rsidR="000168A1" w:rsidRPr="00CA6CB7">
        <w:rPr>
          <w:rFonts w:ascii="Times New Roman" w:hAnsi="Times New Roman" w:cs="Times New Roman"/>
          <w:sz w:val="24"/>
          <w:szCs w:val="24"/>
        </w:rPr>
        <w:t>Nairn</w:t>
      </w:r>
      <w:proofErr w:type="spellEnd"/>
      <w:r w:rsidR="000168A1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0168A1" w:rsidRPr="00CA6CB7">
        <w:rPr>
          <w:rFonts w:ascii="Times New Roman" w:hAnsi="Times New Roman" w:cs="Times New Roman"/>
          <w:i/>
          <w:sz w:val="24"/>
          <w:szCs w:val="24"/>
        </w:rPr>
        <w:t>Dev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F14EDC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8A1" w:rsidRPr="00CA6CB7">
        <w:rPr>
          <w:rFonts w:ascii="Times New Roman" w:hAnsi="Times New Roman" w:cs="Times New Roman"/>
          <w:i/>
          <w:sz w:val="24"/>
          <w:szCs w:val="24"/>
        </w:rPr>
        <w:t>Comp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168A1" w:rsidRPr="00CA6CB7">
        <w:rPr>
          <w:rFonts w:ascii="Times New Roman" w:hAnsi="Times New Roman" w:cs="Times New Roman"/>
          <w:i/>
          <w:sz w:val="24"/>
          <w:szCs w:val="24"/>
        </w:rPr>
        <w:t>Immunol</w:t>
      </w:r>
      <w:proofErr w:type="spellEnd"/>
      <w:r w:rsidR="00B6736C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0168A1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b/>
          <w:sz w:val="24"/>
          <w:szCs w:val="24"/>
        </w:rPr>
        <w:t>2014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0168A1" w:rsidRPr="003A208C">
        <w:rPr>
          <w:rFonts w:ascii="Times New Roman" w:hAnsi="Times New Roman" w:cs="Times New Roman"/>
          <w:i/>
          <w:sz w:val="24"/>
          <w:szCs w:val="24"/>
        </w:rPr>
        <w:t>45</w:t>
      </w:r>
      <w:r w:rsidR="00F14EDC" w:rsidRPr="00CA6CB7">
        <w:rPr>
          <w:rFonts w:ascii="Times New Roman" w:hAnsi="Times New Roman" w:cs="Times New Roman"/>
          <w:sz w:val="24"/>
          <w:szCs w:val="24"/>
        </w:rPr>
        <w:t>,</w:t>
      </w:r>
      <w:r w:rsidR="000168A1" w:rsidRPr="00CA6CB7">
        <w:rPr>
          <w:rFonts w:ascii="Times New Roman" w:hAnsi="Times New Roman" w:cs="Times New Roman"/>
          <w:sz w:val="24"/>
          <w:szCs w:val="24"/>
        </w:rPr>
        <w:t xml:space="preserve"> 43–55. </w:t>
      </w:r>
    </w:p>
    <w:p w:rsidR="004560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14ED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Pr="00CA6CB7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Velkova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H. Schwarz, S.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Stevanovic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W.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Voelter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6736C" w:rsidRPr="00CA6CB7">
        <w:rPr>
          <w:rFonts w:ascii="Times New Roman" w:hAnsi="Times New Roman" w:cs="Times New Roman"/>
          <w:sz w:val="24"/>
          <w:szCs w:val="24"/>
        </w:rPr>
        <w:t>Salvato</w:t>
      </w:r>
      <w:proofErr w:type="spellEnd"/>
      <w:r w:rsidR="00B6736C" w:rsidRPr="00CA6CB7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B6736C" w:rsidRPr="00CA6CB7">
        <w:rPr>
          <w:rFonts w:ascii="Times New Roman" w:hAnsi="Times New Roman" w:cs="Times New Roman"/>
          <w:sz w:val="24"/>
          <w:szCs w:val="24"/>
        </w:rPr>
        <w:t>Dolashka-Angelova</w:t>
      </w:r>
      <w:proofErr w:type="spellEnd"/>
      <w:r w:rsidR="00B6736C" w:rsidRPr="00CA6CB7">
        <w:rPr>
          <w:rFonts w:ascii="Times New Roman" w:hAnsi="Times New Roman" w:cs="Times New Roman"/>
          <w:sz w:val="24"/>
          <w:szCs w:val="24"/>
        </w:rPr>
        <w:t>,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4560A1" w:rsidRPr="00CA6CB7">
        <w:rPr>
          <w:rFonts w:ascii="Times New Roman" w:hAnsi="Times New Roman" w:cs="Times New Roman"/>
          <w:i/>
          <w:sz w:val="24"/>
          <w:szCs w:val="24"/>
        </w:rPr>
        <w:t>Com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4560A1" w:rsidRPr="00CA6CB7">
        <w:rPr>
          <w:rFonts w:ascii="Times New Roman" w:hAnsi="Times New Roman" w:cs="Times New Roman"/>
          <w:i/>
          <w:sz w:val="24"/>
          <w:szCs w:val="24"/>
        </w:rPr>
        <w:t>Biochem</w:t>
      </w:r>
      <w:proofErr w:type="spellEnd"/>
      <w:r w:rsidR="00B6736C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4560A1" w:rsidRPr="00CA6CB7">
        <w:rPr>
          <w:rFonts w:ascii="Times New Roman" w:hAnsi="Times New Roman" w:cs="Times New Roman"/>
          <w:i/>
          <w:sz w:val="24"/>
          <w:szCs w:val="24"/>
        </w:rPr>
        <w:t>Physiol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4560A1" w:rsidRPr="00CA6CB7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60A1" w:rsidRPr="00CA6CB7">
        <w:rPr>
          <w:rFonts w:ascii="Times New Roman" w:hAnsi="Times New Roman" w:cs="Times New Roman"/>
          <w:i/>
          <w:sz w:val="24"/>
          <w:szCs w:val="24"/>
        </w:rPr>
        <w:t>Biochem</w:t>
      </w:r>
      <w:proofErr w:type="spellEnd"/>
      <w:r w:rsidR="00B6736C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02152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60A1" w:rsidRPr="00CA6CB7">
        <w:rPr>
          <w:rFonts w:ascii="Times New Roman" w:hAnsi="Times New Roman" w:cs="Times New Roman"/>
          <w:i/>
          <w:sz w:val="24"/>
          <w:szCs w:val="24"/>
        </w:rPr>
        <w:t>Mol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560A1" w:rsidRPr="00CA6CB7">
        <w:rPr>
          <w:rFonts w:ascii="Times New Roman" w:hAnsi="Times New Roman" w:cs="Times New Roman"/>
          <w:i/>
          <w:sz w:val="24"/>
          <w:szCs w:val="24"/>
        </w:rPr>
        <w:t>Biol</w:t>
      </w:r>
      <w:r w:rsidR="00B6736C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b/>
          <w:sz w:val="24"/>
          <w:szCs w:val="24"/>
        </w:rPr>
        <w:t>2010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4560A1" w:rsidRPr="003A208C">
        <w:rPr>
          <w:rFonts w:ascii="Times New Roman" w:hAnsi="Times New Roman" w:cs="Times New Roman"/>
          <w:i/>
          <w:sz w:val="24"/>
          <w:szCs w:val="24"/>
        </w:rPr>
        <w:t>157</w:t>
      </w:r>
      <w:r w:rsidR="004560A1" w:rsidRPr="00CA6CB7">
        <w:rPr>
          <w:rFonts w:ascii="Times New Roman" w:hAnsi="Times New Roman" w:cs="Times New Roman"/>
          <w:sz w:val="24"/>
          <w:szCs w:val="24"/>
        </w:rPr>
        <w:t>, 16</w:t>
      </w:r>
      <w:r w:rsidR="00402152" w:rsidRPr="00CA6CB7">
        <w:rPr>
          <w:rFonts w:ascii="Times New Roman" w:hAnsi="Times New Roman" w:cs="Times New Roman"/>
          <w:sz w:val="24"/>
          <w:szCs w:val="24"/>
        </w:rPr>
        <w:t>–</w:t>
      </w:r>
      <w:r w:rsidR="004560A1" w:rsidRPr="00CA6CB7">
        <w:rPr>
          <w:rFonts w:ascii="Times New Roman" w:hAnsi="Times New Roman" w:cs="Times New Roman"/>
          <w:sz w:val="24"/>
          <w:szCs w:val="24"/>
        </w:rPr>
        <w:t xml:space="preserve">25. </w:t>
      </w:r>
    </w:p>
    <w:p w:rsidR="004560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B6736C" w:rsidRPr="00CA6CB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Dolashki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Dolashka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Stenzl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Stevanovic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W. K. </w:t>
      </w:r>
      <w:proofErr w:type="spellStart"/>
      <w:r w:rsidR="004560A1" w:rsidRPr="00CA6CB7">
        <w:rPr>
          <w:rFonts w:ascii="Times New Roman" w:hAnsi="Times New Roman" w:cs="Times New Roman"/>
          <w:sz w:val="24"/>
          <w:szCs w:val="24"/>
        </w:rPr>
        <w:t>Aicher</w:t>
      </w:r>
      <w:proofErr w:type="spellEnd"/>
      <w:r w:rsidR="004560A1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F219BB" w:rsidRPr="00CA6CB7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F219BB" w:rsidRPr="00CA6CB7">
        <w:rPr>
          <w:rFonts w:ascii="Times New Roman" w:hAnsi="Times New Roman" w:cs="Times New Roman"/>
          <w:sz w:val="24"/>
          <w:szCs w:val="24"/>
        </w:rPr>
        <w:t>Velkova</w:t>
      </w:r>
      <w:proofErr w:type="spellEnd"/>
      <w:r w:rsidR="00F219BB"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9BB" w:rsidRPr="00CA6CB7">
        <w:rPr>
          <w:rFonts w:ascii="Times New Roman" w:hAnsi="Times New Roman" w:cs="Times New Roman"/>
          <w:sz w:val="24"/>
          <w:szCs w:val="24"/>
        </w:rPr>
        <w:t>R.Velikova</w:t>
      </w:r>
      <w:proofErr w:type="spellEnd"/>
      <w:r w:rsidR="00F219BB" w:rsidRPr="00CA6CB7">
        <w:rPr>
          <w:rFonts w:ascii="Times New Roman" w:hAnsi="Times New Roman" w:cs="Times New Roman"/>
          <w:sz w:val="24"/>
          <w:szCs w:val="24"/>
        </w:rPr>
        <w:t xml:space="preserve">, W. </w:t>
      </w:r>
      <w:proofErr w:type="spellStart"/>
      <w:r w:rsidR="00F219BB" w:rsidRPr="00CA6CB7">
        <w:rPr>
          <w:rFonts w:ascii="Times New Roman" w:hAnsi="Times New Roman" w:cs="Times New Roman"/>
          <w:sz w:val="24"/>
          <w:szCs w:val="24"/>
        </w:rPr>
        <w:t>Voelter</w:t>
      </w:r>
      <w:proofErr w:type="spellEnd"/>
      <w:r w:rsidR="00F219BB"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152" w:rsidRPr="00CA6CB7">
        <w:rPr>
          <w:rFonts w:ascii="Times New Roman" w:hAnsi="Times New Roman" w:cs="Times New Roman"/>
          <w:i/>
          <w:sz w:val="24"/>
          <w:szCs w:val="24"/>
        </w:rPr>
        <w:t>Biotechnol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4560A1" w:rsidRPr="00CA6CB7">
        <w:rPr>
          <w:rFonts w:ascii="Times New Roman" w:hAnsi="Times New Roman" w:cs="Times New Roman"/>
          <w:i/>
          <w:sz w:val="24"/>
          <w:szCs w:val="24"/>
        </w:rPr>
        <w:t>Biotech</w:t>
      </w:r>
      <w:r w:rsidR="00402152" w:rsidRPr="00CA6CB7">
        <w:rPr>
          <w:rFonts w:ascii="Times New Roman" w:hAnsi="Times New Roman" w:cs="Times New Roman"/>
          <w:i/>
          <w:sz w:val="24"/>
          <w:szCs w:val="24"/>
        </w:rPr>
        <w:t>nol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560A1" w:rsidRPr="00CA6CB7">
        <w:rPr>
          <w:rFonts w:ascii="Times New Roman" w:hAnsi="Times New Roman" w:cs="Times New Roman"/>
          <w:i/>
          <w:sz w:val="24"/>
          <w:szCs w:val="24"/>
        </w:rPr>
        <w:t xml:space="preserve"> Eq</w:t>
      </w:r>
      <w:r w:rsidR="002C6397" w:rsidRPr="00CA6CB7">
        <w:rPr>
          <w:rFonts w:ascii="Times New Roman" w:hAnsi="Times New Roman" w:cs="Times New Roman"/>
          <w:i/>
          <w:sz w:val="24"/>
          <w:szCs w:val="24"/>
        </w:rPr>
        <w:t>uip.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F219BB" w:rsidRPr="00CA6CB7">
        <w:rPr>
          <w:rFonts w:ascii="Times New Roman" w:hAnsi="Times New Roman" w:cs="Times New Roman"/>
          <w:b/>
          <w:sz w:val="24"/>
          <w:szCs w:val="24"/>
        </w:rPr>
        <w:t>2019</w:t>
      </w:r>
      <w:r w:rsidR="00F219BB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33</w:t>
      </w:r>
      <w:r w:rsidR="004560A1" w:rsidRPr="003A208C">
        <w:rPr>
          <w:rFonts w:ascii="Times New Roman" w:hAnsi="Times New Roman" w:cs="Times New Roman"/>
          <w:i/>
          <w:sz w:val="24"/>
          <w:szCs w:val="24"/>
        </w:rPr>
        <w:t>,</w:t>
      </w:r>
      <w:r w:rsidR="004560A1" w:rsidRPr="00CA6CB7">
        <w:rPr>
          <w:rFonts w:ascii="Times New Roman" w:hAnsi="Times New Roman" w:cs="Times New Roman"/>
          <w:sz w:val="24"/>
          <w:szCs w:val="24"/>
        </w:rPr>
        <w:t xml:space="preserve"> 20</w:t>
      </w:r>
      <w:r w:rsidR="00402152" w:rsidRPr="00CA6CB7">
        <w:rPr>
          <w:rFonts w:ascii="Times New Roman" w:hAnsi="Times New Roman" w:cs="Times New Roman"/>
          <w:sz w:val="24"/>
          <w:szCs w:val="24"/>
        </w:rPr>
        <w:t>–</w:t>
      </w:r>
      <w:r w:rsidR="004560A1" w:rsidRPr="00CA6CB7">
        <w:rPr>
          <w:rFonts w:ascii="Times New Roman" w:hAnsi="Times New Roman" w:cs="Times New Roman"/>
          <w:sz w:val="24"/>
          <w:szCs w:val="24"/>
        </w:rPr>
        <w:t xml:space="preserve">32. </w:t>
      </w:r>
    </w:p>
    <w:p w:rsidR="004560A1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M. </w:t>
      </w:r>
      <w:r w:rsidR="00AC5C9C" w:rsidRPr="00CA6CB7">
        <w:rPr>
          <w:rFonts w:ascii="Times New Roman" w:hAnsi="Times New Roman" w:cs="Times New Roman"/>
          <w:sz w:val="24"/>
          <w:szCs w:val="24"/>
        </w:rPr>
        <w:t xml:space="preserve">Bradford, </w:t>
      </w:r>
      <w:r w:rsidR="00402152" w:rsidRPr="00CA6CB7">
        <w:rPr>
          <w:rFonts w:ascii="Times New Roman" w:hAnsi="Times New Roman" w:cs="Times New Roman"/>
          <w:i/>
          <w:sz w:val="24"/>
          <w:szCs w:val="24"/>
        </w:rPr>
        <w:t>Anal</w:t>
      </w:r>
      <w:r w:rsidR="002C6397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AC5C9C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AC5C9C" w:rsidRPr="00CA6CB7">
        <w:rPr>
          <w:rFonts w:ascii="Times New Roman" w:hAnsi="Times New Roman" w:cs="Times New Roman"/>
          <w:i/>
          <w:sz w:val="24"/>
          <w:szCs w:val="24"/>
        </w:rPr>
        <w:t>Biochem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C6397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b/>
          <w:sz w:val="24"/>
          <w:szCs w:val="24"/>
        </w:rPr>
        <w:t>1976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AC5C9C" w:rsidRPr="003A208C">
        <w:rPr>
          <w:rFonts w:ascii="Times New Roman" w:hAnsi="Times New Roman" w:cs="Times New Roman"/>
          <w:i/>
          <w:sz w:val="24"/>
          <w:szCs w:val="24"/>
        </w:rPr>
        <w:t>72</w:t>
      </w:r>
      <w:r w:rsidR="00402152" w:rsidRPr="00CA6CB7">
        <w:rPr>
          <w:rFonts w:ascii="Times New Roman" w:hAnsi="Times New Roman" w:cs="Times New Roman"/>
          <w:sz w:val="24"/>
          <w:szCs w:val="24"/>
        </w:rPr>
        <w:t>,</w:t>
      </w:r>
      <w:r w:rsidR="00AC5C9C" w:rsidRPr="00CA6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C9C" w:rsidRPr="00CA6CB7">
        <w:rPr>
          <w:rFonts w:ascii="Times New Roman" w:hAnsi="Times New Roman" w:cs="Times New Roman"/>
          <w:sz w:val="24"/>
          <w:szCs w:val="24"/>
        </w:rPr>
        <w:t>248–254.</w:t>
      </w:r>
    </w:p>
    <w:p w:rsidR="00222739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A. </w:t>
      </w:r>
      <w:r w:rsidR="00222739" w:rsidRPr="00CA6CB7">
        <w:rPr>
          <w:rFonts w:ascii="Times New Roman" w:hAnsi="Times New Roman" w:cs="Times New Roman"/>
          <w:sz w:val="24"/>
          <w:szCs w:val="24"/>
        </w:rPr>
        <w:t>Barth,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Biochim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Biophys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22739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="00517183" w:rsidRPr="00CA6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2152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b/>
          <w:sz w:val="24"/>
          <w:szCs w:val="24"/>
        </w:rPr>
        <w:t>2007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222739" w:rsidRPr="003A208C">
        <w:rPr>
          <w:rFonts w:ascii="Times New Roman" w:hAnsi="Times New Roman" w:cs="Times New Roman"/>
          <w:i/>
          <w:sz w:val="24"/>
          <w:szCs w:val="24"/>
        </w:rPr>
        <w:t>1767</w:t>
      </w:r>
      <w:r w:rsidR="00402152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222739" w:rsidRPr="00CA6CB7">
        <w:rPr>
          <w:rFonts w:ascii="Times New Roman" w:hAnsi="Times New Roman" w:cs="Times New Roman"/>
          <w:sz w:val="24"/>
          <w:szCs w:val="24"/>
        </w:rPr>
        <w:t>1073–1101</w:t>
      </w:r>
      <w:r w:rsidR="00402152" w:rsidRPr="00CA6CB7">
        <w:rPr>
          <w:rFonts w:ascii="Times New Roman" w:hAnsi="Times New Roman" w:cs="Times New Roman"/>
          <w:sz w:val="24"/>
          <w:szCs w:val="24"/>
        </w:rPr>
        <w:t>.</w:t>
      </w:r>
    </w:p>
    <w:p w:rsidR="009D4DC2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27687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F27687" w:rsidRPr="00CA6CB7">
        <w:rPr>
          <w:rFonts w:ascii="Times New Roman" w:hAnsi="Times New Roman" w:cs="Times New Roman"/>
          <w:sz w:val="24"/>
          <w:szCs w:val="24"/>
        </w:rPr>
        <w:t>Idakieva</w:t>
      </w:r>
      <w:proofErr w:type="spellEnd"/>
      <w:r w:rsidR="00F27687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9B44CC" w:rsidRPr="00CA6CB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9B44CC" w:rsidRPr="00CA6CB7">
        <w:rPr>
          <w:rFonts w:ascii="Times New Roman" w:hAnsi="Times New Roman" w:cs="Times New Roman"/>
          <w:sz w:val="24"/>
          <w:szCs w:val="24"/>
        </w:rPr>
        <w:t>Gielens</w:t>
      </w:r>
      <w:proofErr w:type="spellEnd"/>
      <w:r w:rsidR="009B44CC" w:rsidRPr="00CA6CB7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9B44CC" w:rsidRPr="00CA6CB7">
        <w:rPr>
          <w:rFonts w:ascii="Times New Roman" w:hAnsi="Times New Roman" w:cs="Times New Roman"/>
          <w:sz w:val="24"/>
          <w:szCs w:val="24"/>
        </w:rPr>
        <w:t>Siddiqui</w:t>
      </w:r>
      <w:proofErr w:type="spellEnd"/>
      <w:r w:rsidR="009B44CC" w:rsidRPr="00CA6CB7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="009B44CC" w:rsidRPr="00CA6CB7">
        <w:rPr>
          <w:rFonts w:ascii="Times New Roman" w:hAnsi="Times New Roman" w:cs="Times New Roman"/>
          <w:sz w:val="24"/>
          <w:szCs w:val="24"/>
        </w:rPr>
        <w:t>Doumanova</w:t>
      </w:r>
      <w:proofErr w:type="spellEnd"/>
      <w:r w:rsidR="009B44CC" w:rsidRPr="00CA6CB7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9B44CC" w:rsidRPr="00CA6CB7">
        <w:rPr>
          <w:rFonts w:ascii="Times New Roman" w:hAnsi="Times New Roman" w:cs="Times New Roman"/>
          <w:sz w:val="24"/>
          <w:szCs w:val="24"/>
        </w:rPr>
        <w:t>Vasseva</w:t>
      </w:r>
      <w:proofErr w:type="spellEnd"/>
      <w:r w:rsidR="009B44CC"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6397" w:rsidRPr="00CA6CB7">
        <w:rPr>
          <w:rFonts w:ascii="Times New Roman" w:hAnsi="Times New Roman" w:cs="Times New Roman"/>
          <w:sz w:val="24"/>
          <w:szCs w:val="24"/>
        </w:rPr>
        <w:t>Kostov</w:t>
      </w:r>
      <w:proofErr w:type="spellEnd"/>
      <w:r w:rsidR="002C6397" w:rsidRPr="00CA6CB7">
        <w:rPr>
          <w:rFonts w:ascii="Times New Roman" w:hAnsi="Times New Roman" w:cs="Times New Roman"/>
          <w:sz w:val="24"/>
          <w:szCs w:val="24"/>
        </w:rPr>
        <w:t xml:space="preserve">, V.L. </w:t>
      </w:r>
      <w:proofErr w:type="spellStart"/>
      <w:r w:rsidR="002C6397" w:rsidRPr="00CA6CB7">
        <w:rPr>
          <w:rFonts w:ascii="Times New Roman" w:hAnsi="Times New Roman" w:cs="Times New Roman"/>
          <w:sz w:val="24"/>
          <w:szCs w:val="24"/>
        </w:rPr>
        <w:t>Shnyrov</w:t>
      </w:r>
      <w:proofErr w:type="spellEnd"/>
      <w:r w:rsidR="00517183" w:rsidRPr="00CA6CB7">
        <w:rPr>
          <w:rFonts w:ascii="Times New Roman" w:hAnsi="Times New Roman" w:cs="Times New Roman"/>
          <w:sz w:val="24"/>
          <w:szCs w:val="24"/>
        </w:rPr>
        <w:t>,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F27687" w:rsidRPr="00CA6CB7">
        <w:rPr>
          <w:rFonts w:ascii="Times New Roman" w:hAnsi="Times New Roman" w:cs="Times New Roman"/>
          <w:i/>
          <w:sz w:val="24"/>
          <w:szCs w:val="24"/>
        </w:rPr>
        <w:t>Z</w:t>
      </w:r>
      <w:r w:rsidR="002C6397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B44CC" w:rsidRPr="00CA6CB7">
        <w:rPr>
          <w:rFonts w:ascii="Times New Roman" w:hAnsi="Times New Roman" w:cs="Times New Roman"/>
          <w:i/>
          <w:sz w:val="24"/>
          <w:szCs w:val="24"/>
        </w:rPr>
        <w:t>Naturfors</w:t>
      </w:r>
      <w:proofErr w:type="spellEnd"/>
      <w:r w:rsidR="002C6397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517183" w:rsidRPr="00CA6CB7">
        <w:rPr>
          <w:rFonts w:ascii="Times New Roman" w:hAnsi="Times New Roman" w:cs="Times New Roman"/>
          <w:i/>
          <w:sz w:val="24"/>
          <w:szCs w:val="24"/>
        </w:rPr>
        <w:t xml:space="preserve"> B.</w:t>
      </w:r>
      <w:r w:rsidR="009B44CC" w:rsidRPr="00CA6CB7">
        <w:rPr>
          <w:rFonts w:ascii="Times New Roman" w:hAnsi="Times New Roman" w:cs="Times New Roman"/>
          <w:sz w:val="24"/>
          <w:szCs w:val="24"/>
        </w:rPr>
        <w:t xml:space="preserve"> </w:t>
      </w:r>
      <w:r w:rsidR="002C6397" w:rsidRPr="00CA6CB7">
        <w:rPr>
          <w:rFonts w:ascii="Times New Roman" w:hAnsi="Times New Roman" w:cs="Times New Roman"/>
          <w:b/>
          <w:sz w:val="24"/>
          <w:szCs w:val="24"/>
        </w:rPr>
        <w:t>2007</w:t>
      </w:r>
      <w:r w:rsidR="002C6397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9B44CC" w:rsidRPr="003A208C">
        <w:rPr>
          <w:rFonts w:ascii="Times New Roman" w:hAnsi="Times New Roman" w:cs="Times New Roman"/>
          <w:i/>
          <w:sz w:val="24"/>
          <w:szCs w:val="24"/>
        </w:rPr>
        <w:t>62a</w:t>
      </w:r>
      <w:r w:rsidR="00FA66D2" w:rsidRPr="00CA6CB7">
        <w:rPr>
          <w:rFonts w:ascii="Times New Roman" w:hAnsi="Times New Roman" w:cs="Times New Roman"/>
          <w:sz w:val="24"/>
          <w:szCs w:val="24"/>
        </w:rPr>
        <w:t>,</w:t>
      </w:r>
      <w:r w:rsidR="009B44CC" w:rsidRPr="00CA6CB7">
        <w:rPr>
          <w:rFonts w:ascii="Times New Roman" w:hAnsi="Times New Roman" w:cs="Times New Roman"/>
          <w:sz w:val="24"/>
          <w:szCs w:val="24"/>
        </w:rPr>
        <w:t xml:space="preserve"> 499 – 506.</w:t>
      </w:r>
    </w:p>
    <w:p w:rsidR="00675A72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517183" w:rsidRPr="00CA6CB7">
        <w:rPr>
          <w:rFonts w:ascii="Times New Roman" w:hAnsi="Times New Roman" w:cs="Times New Roman"/>
          <w:sz w:val="24"/>
          <w:szCs w:val="24"/>
        </w:rPr>
        <w:t xml:space="preserve"> T.</w:t>
      </w:r>
      <w:r w:rsidR="00F27687" w:rsidRPr="00CA6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A72" w:rsidRPr="00CA6CB7">
        <w:rPr>
          <w:rFonts w:ascii="Times New Roman" w:hAnsi="Times New Roman" w:cs="Times New Roman"/>
          <w:sz w:val="24"/>
          <w:szCs w:val="24"/>
        </w:rPr>
        <w:t>Mosmann</w:t>
      </w:r>
      <w:proofErr w:type="spellEnd"/>
      <w:r w:rsidR="00675A72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675A72" w:rsidRPr="00CA6CB7">
        <w:rPr>
          <w:rFonts w:ascii="Times New Roman" w:hAnsi="Times New Roman" w:cs="Times New Roman"/>
          <w:i/>
          <w:sz w:val="24"/>
          <w:szCs w:val="24"/>
        </w:rPr>
        <w:t>J</w:t>
      </w:r>
      <w:r w:rsidR="00517183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675A72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75A72" w:rsidRPr="00CA6CB7">
        <w:rPr>
          <w:rFonts w:ascii="Times New Roman" w:hAnsi="Times New Roman" w:cs="Times New Roman"/>
          <w:i/>
          <w:sz w:val="24"/>
          <w:szCs w:val="24"/>
        </w:rPr>
        <w:t>Immunol</w:t>
      </w:r>
      <w:proofErr w:type="spellEnd"/>
      <w:r w:rsidR="00517183" w:rsidRPr="00CA6CB7">
        <w:rPr>
          <w:rFonts w:ascii="Times New Roman" w:hAnsi="Times New Roman" w:cs="Times New Roman"/>
          <w:i/>
          <w:sz w:val="24"/>
          <w:szCs w:val="24"/>
        </w:rPr>
        <w:t>.</w:t>
      </w:r>
      <w:r w:rsidR="00675A72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75A72" w:rsidRPr="00CA6CB7">
        <w:rPr>
          <w:rFonts w:ascii="Times New Roman" w:hAnsi="Times New Roman" w:cs="Times New Roman"/>
          <w:i/>
          <w:sz w:val="24"/>
          <w:szCs w:val="24"/>
        </w:rPr>
        <w:t>Meth</w:t>
      </w:r>
      <w:r w:rsidR="00517183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17183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7183" w:rsidRPr="00CA6CB7">
        <w:rPr>
          <w:rFonts w:ascii="Times New Roman" w:hAnsi="Times New Roman" w:cs="Times New Roman"/>
          <w:b/>
          <w:sz w:val="24"/>
          <w:szCs w:val="24"/>
        </w:rPr>
        <w:t>1983</w:t>
      </w:r>
      <w:r w:rsidR="00517183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Pr="003A208C">
        <w:rPr>
          <w:rFonts w:ascii="Times New Roman" w:hAnsi="Times New Roman" w:cs="Times New Roman"/>
          <w:i/>
          <w:sz w:val="24"/>
          <w:szCs w:val="24"/>
        </w:rPr>
        <w:t>65</w:t>
      </w:r>
      <w:r w:rsidR="00F27687" w:rsidRPr="00CA6CB7">
        <w:rPr>
          <w:rFonts w:ascii="Times New Roman" w:hAnsi="Times New Roman" w:cs="Times New Roman"/>
          <w:sz w:val="24"/>
          <w:szCs w:val="24"/>
        </w:rPr>
        <w:t>,</w:t>
      </w:r>
      <w:r w:rsidR="00675A72" w:rsidRPr="00CA6CB7">
        <w:rPr>
          <w:rFonts w:ascii="Times New Roman" w:hAnsi="Times New Roman" w:cs="Times New Roman"/>
          <w:sz w:val="24"/>
          <w:szCs w:val="24"/>
        </w:rPr>
        <w:t xml:space="preserve"> 55–63.</w:t>
      </w:r>
    </w:p>
    <w:p w:rsidR="00222739" w:rsidRPr="00CA6CB7" w:rsidRDefault="003A208C" w:rsidP="00CA6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517183" w:rsidRPr="00CA6CB7">
        <w:rPr>
          <w:rFonts w:ascii="Times New Roman" w:hAnsi="Times New Roman" w:cs="Times New Roman"/>
          <w:sz w:val="24"/>
          <w:szCs w:val="24"/>
        </w:rPr>
        <w:t xml:space="preserve"> K.</w:t>
      </w:r>
      <w:r w:rsidR="00F27687" w:rsidRPr="00CA6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739" w:rsidRPr="00CA6CB7">
        <w:rPr>
          <w:rFonts w:ascii="Times New Roman" w:hAnsi="Times New Roman" w:cs="Times New Roman"/>
          <w:sz w:val="24"/>
          <w:szCs w:val="24"/>
        </w:rPr>
        <w:t>Idakieva</w:t>
      </w:r>
      <w:proofErr w:type="spellEnd"/>
      <w:r w:rsidR="00222739" w:rsidRPr="00CA6CB7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="00222739" w:rsidRPr="00CA6CB7">
        <w:rPr>
          <w:rFonts w:ascii="Times New Roman" w:hAnsi="Times New Roman" w:cs="Times New Roman"/>
          <w:sz w:val="24"/>
          <w:szCs w:val="24"/>
        </w:rPr>
        <w:t>Parvanova</w:t>
      </w:r>
      <w:proofErr w:type="spellEnd"/>
      <w:r w:rsidR="00222739" w:rsidRPr="00CA6C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739" w:rsidRPr="00CA6CB7">
        <w:rPr>
          <w:rFonts w:ascii="Times New Roman" w:hAnsi="Times New Roman" w:cs="Times New Roman"/>
          <w:sz w:val="24"/>
          <w:szCs w:val="24"/>
        </w:rPr>
        <w:t>S.Todinova</w:t>
      </w:r>
      <w:proofErr w:type="spellEnd"/>
      <w:r w:rsidR="00222739" w:rsidRPr="00CA6CB7">
        <w:rPr>
          <w:rFonts w:ascii="Times New Roman" w:hAnsi="Times New Roman" w:cs="Times New Roman"/>
          <w:sz w:val="24"/>
          <w:szCs w:val="24"/>
        </w:rPr>
        <w:t>,</w:t>
      </w:r>
      <w:r w:rsidR="00F27687" w:rsidRPr="00CA6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Biochim</w:t>
      </w:r>
      <w:proofErr w:type="spellEnd"/>
      <w:r w:rsidR="00517183" w:rsidRPr="00CA6CB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Biophys</w:t>
      </w:r>
      <w:proofErr w:type="spellEnd"/>
      <w:r w:rsidR="00517183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22739" w:rsidRPr="00CA6C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22739" w:rsidRPr="00CA6CB7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="00517183" w:rsidRPr="00CA6CB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22739" w:rsidRPr="00CA6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7183" w:rsidRPr="00CA6CB7">
        <w:rPr>
          <w:rFonts w:ascii="Times New Roman" w:hAnsi="Times New Roman" w:cs="Times New Roman"/>
          <w:b/>
          <w:sz w:val="24"/>
          <w:szCs w:val="24"/>
        </w:rPr>
        <w:t>2005</w:t>
      </w:r>
      <w:r w:rsidR="00517183" w:rsidRPr="00CA6CB7">
        <w:rPr>
          <w:rFonts w:ascii="Times New Roman" w:hAnsi="Times New Roman" w:cs="Times New Roman"/>
          <w:sz w:val="24"/>
          <w:szCs w:val="24"/>
        </w:rPr>
        <w:t xml:space="preserve">, </w:t>
      </w:r>
      <w:r w:rsidR="00222739" w:rsidRPr="003A208C">
        <w:rPr>
          <w:rFonts w:ascii="Times New Roman" w:hAnsi="Times New Roman" w:cs="Times New Roman"/>
          <w:i/>
          <w:sz w:val="24"/>
          <w:szCs w:val="24"/>
        </w:rPr>
        <w:t>1748</w:t>
      </w:r>
      <w:r w:rsidR="00F27687" w:rsidRPr="00CA6CB7">
        <w:rPr>
          <w:rFonts w:ascii="Times New Roman" w:hAnsi="Times New Roman" w:cs="Times New Roman"/>
          <w:sz w:val="24"/>
          <w:szCs w:val="24"/>
        </w:rPr>
        <w:t>,</w:t>
      </w:r>
      <w:r w:rsidR="00222739" w:rsidRPr="00CA6CB7">
        <w:rPr>
          <w:rFonts w:ascii="Times New Roman" w:hAnsi="Times New Roman" w:cs="Times New Roman"/>
          <w:sz w:val="24"/>
          <w:szCs w:val="24"/>
        </w:rPr>
        <w:t xml:space="preserve"> 50– 56.</w:t>
      </w:r>
      <w:proofErr w:type="gramEnd"/>
    </w:p>
    <w:sectPr w:rsidR="00222739" w:rsidRPr="00CA6CB7" w:rsidSect="00C811CD">
      <w:footerReference w:type="default" r:id="rId16"/>
      <w:pgSz w:w="12240" w:h="15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7D" w:rsidRDefault="006C257D" w:rsidP="00765C73">
      <w:pPr>
        <w:spacing w:after="0" w:line="240" w:lineRule="auto"/>
      </w:pPr>
      <w:r>
        <w:separator/>
      </w:r>
    </w:p>
  </w:endnote>
  <w:endnote w:type="continuationSeparator" w:id="0">
    <w:p w:rsidR="006C257D" w:rsidRDefault="006C257D" w:rsidP="0076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TWNQL+ACasl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9040"/>
      <w:docPartObj>
        <w:docPartGallery w:val="Page Numbers (Bottom of Page)"/>
        <w:docPartUnique/>
      </w:docPartObj>
    </w:sdtPr>
    <w:sdtContent>
      <w:p w:rsidR="00765C73" w:rsidRDefault="00483017">
        <w:pPr>
          <w:pStyle w:val="Footer"/>
          <w:jc w:val="right"/>
        </w:pPr>
        <w:fldSimple w:instr=" PAGE   \* MERGEFORMAT ">
          <w:r w:rsidR="00E03791">
            <w:rPr>
              <w:noProof/>
            </w:rPr>
            <w:t>8</w:t>
          </w:r>
        </w:fldSimple>
      </w:p>
    </w:sdtContent>
  </w:sdt>
  <w:p w:rsidR="00765C73" w:rsidRDefault="00765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7D" w:rsidRDefault="006C257D" w:rsidP="00765C73">
      <w:pPr>
        <w:spacing w:after="0" w:line="240" w:lineRule="auto"/>
      </w:pPr>
      <w:r>
        <w:separator/>
      </w:r>
    </w:p>
  </w:footnote>
  <w:footnote w:type="continuationSeparator" w:id="0">
    <w:p w:rsidR="006C257D" w:rsidRDefault="006C257D" w:rsidP="00765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675"/>
    <w:rsid w:val="00014FDF"/>
    <w:rsid w:val="000168A1"/>
    <w:rsid w:val="00017A76"/>
    <w:rsid w:val="00022A97"/>
    <w:rsid w:val="00027ACE"/>
    <w:rsid w:val="00040B63"/>
    <w:rsid w:val="000518B1"/>
    <w:rsid w:val="000547A7"/>
    <w:rsid w:val="0005496B"/>
    <w:rsid w:val="0009396D"/>
    <w:rsid w:val="000979B4"/>
    <w:rsid w:val="000A3712"/>
    <w:rsid w:val="000A573A"/>
    <w:rsid w:val="000A69D7"/>
    <w:rsid w:val="000C0273"/>
    <w:rsid w:val="000C6FD5"/>
    <w:rsid w:val="000E4FF5"/>
    <w:rsid w:val="00113B3F"/>
    <w:rsid w:val="0012467B"/>
    <w:rsid w:val="00143C8A"/>
    <w:rsid w:val="0015198F"/>
    <w:rsid w:val="00173C47"/>
    <w:rsid w:val="00177542"/>
    <w:rsid w:val="001870C2"/>
    <w:rsid w:val="001A4DC4"/>
    <w:rsid w:val="001C1126"/>
    <w:rsid w:val="001D0BA0"/>
    <w:rsid w:val="001D2D08"/>
    <w:rsid w:val="001F0EBF"/>
    <w:rsid w:val="001F749F"/>
    <w:rsid w:val="00201373"/>
    <w:rsid w:val="00212253"/>
    <w:rsid w:val="00216108"/>
    <w:rsid w:val="00222739"/>
    <w:rsid w:val="00223B13"/>
    <w:rsid w:val="002253CE"/>
    <w:rsid w:val="0026250E"/>
    <w:rsid w:val="00262AC3"/>
    <w:rsid w:val="00281EE3"/>
    <w:rsid w:val="0029448E"/>
    <w:rsid w:val="0029785D"/>
    <w:rsid w:val="002A7567"/>
    <w:rsid w:val="002B047C"/>
    <w:rsid w:val="002C6397"/>
    <w:rsid w:val="002D5614"/>
    <w:rsid w:val="002E3597"/>
    <w:rsid w:val="002E5B9C"/>
    <w:rsid w:val="00312359"/>
    <w:rsid w:val="003524E0"/>
    <w:rsid w:val="003526C0"/>
    <w:rsid w:val="003535AF"/>
    <w:rsid w:val="003600A3"/>
    <w:rsid w:val="003721C7"/>
    <w:rsid w:val="00380832"/>
    <w:rsid w:val="00380C24"/>
    <w:rsid w:val="00380D7C"/>
    <w:rsid w:val="00383DD0"/>
    <w:rsid w:val="00391897"/>
    <w:rsid w:val="003A208C"/>
    <w:rsid w:val="003C0740"/>
    <w:rsid w:val="003D3FBA"/>
    <w:rsid w:val="003F6B72"/>
    <w:rsid w:val="00402152"/>
    <w:rsid w:val="00424B58"/>
    <w:rsid w:val="00425CC5"/>
    <w:rsid w:val="00427B15"/>
    <w:rsid w:val="00432E25"/>
    <w:rsid w:val="00445F13"/>
    <w:rsid w:val="004560A1"/>
    <w:rsid w:val="0046098B"/>
    <w:rsid w:val="00465D86"/>
    <w:rsid w:val="004762EE"/>
    <w:rsid w:val="00483017"/>
    <w:rsid w:val="00495094"/>
    <w:rsid w:val="00495263"/>
    <w:rsid w:val="004A47BF"/>
    <w:rsid w:val="004A6C6A"/>
    <w:rsid w:val="004B11FB"/>
    <w:rsid w:val="004F7FF1"/>
    <w:rsid w:val="00517183"/>
    <w:rsid w:val="005247B4"/>
    <w:rsid w:val="005321B0"/>
    <w:rsid w:val="0054622E"/>
    <w:rsid w:val="00554DF3"/>
    <w:rsid w:val="005563D3"/>
    <w:rsid w:val="005572A7"/>
    <w:rsid w:val="00565233"/>
    <w:rsid w:val="005714C9"/>
    <w:rsid w:val="005A313F"/>
    <w:rsid w:val="005A35B2"/>
    <w:rsid w:val="005B6514"/>
    <w:rsid w:val="005D254A"/>
    <w:rsid w:val="005D6E86"/>
    <w:rsid w:val="005D7BA2"/>
    <w:rsid w:val="005E2D74"/>
    <w:rsid w:val="005E5546"/>
    <w:rsid w:val="005F7224"/>
    <w:rsid w:val="00600C0A"/>
    <w:rsid w:val="006032EA"/>
    <w:rsid w:val="00611D1C"/>
    <w:rsid w:val="006163D4"/>
    <w:rsid w:val="00624843"/>
    <w:rsid w:val="00655C44"/>
    <w:rsid w:val="006650D1"/>
    <w:rsid w:val="00674B1F"/>
    <w:rsid w:val="00675A72"/>
    <w:rsid w:val="006777F9"/>
    <w:rsid w:val="0068630E"/>
    <w:rsid w:val="0069405E"/>
    <w:rsid w:val="006B241D"/>
    <w:rsid w:val="006C257D"/>
    <w:rsid w:val="006C5498"/>
    <w:rsid w:val="0070100B"/>
    <w:rsid w:val="00714792"/>
    <w:rsid w:val="0072108A"/>
    <w:rsid w:val="00724E83"/>
    <w:rsid w:val="007368ED"/>
    <w:rsid w:val="00736CC3"/>
    <w:rsid w:val="007442A3"/>
    <w:rsid w:val="007444BB"/>
    <w:rsid w:val="00747D78"/>
    <w:rsid w:val="007629D6"/>
    <w:rsid w:val="00764C63"/>
    <w:rsid w:val="0076575B"/>
    <w:rsid w:val="00765C73"/>
    <w:rsid w:val="007717CF"/>
    <w:rsid w:val="007A0433"/>
    <w:rsid w:val="007A572F"/>
    <w:rsid w:val="007C66D3"/>
    <w:rsid w:val="007C7819"/>
    <w:rsid w:val="007E07F3"/>
    <w:rsid w:val="007E23FC"/>
    <w:rsid w:val="00801A71"/>
    <w:rsid w:val="008037AB"/>
    <w:rsid w:val="00806346"/>
    <w:rsid w:val="00806C3C"/>
    <w:rsid w:val="00814430"/>
    <w:rsid w:val="00820032"/>
    <w:rsid w:val="008320D1"/>
    <w:rsid w:val="008337E4"/>
    <w:rsid w:val="008435CF"/>
    <w:rsid w:val="00845F63"/>
    <w:rsid w:val="00853703"/>
    <w:rsid w:val="0085496B"/>
    <w:rsid w:val="00854D9E"/>
    <w:rsid w:val="00860EDC"/>
    <w:rsid w:val="008821D5"/>
    <w:rsid w:val="00883A24"/>
    <w:rsid w:val="0088520A"/>
    <w:rsid w:val="00894CD8"/>
    <w:rsid w:val="008A6A46"/>
    <w:rsid w:val="008D18DD"/>
    <w:rsid w:val="00927B0A"/>
    <w:rsid w:val="00930240"/>
    <w:rsid w:val="00933EBA"/>
    <w:rsid w:val="009648C7"/>
    <w:rsid w:val="0097491B"/>
    <w:rsid w:val="00996F41"/>
    <w:rsid w:val="009A1738"/>
    <w:rsid w:val="009A61F3"/>
    <w:rsid w:val="009A63FA"/>
    <w:rsid w:val="009B44CC"/>
    <w:rsid w:val="009C2EB1"/>
    <w:rsid w:val="009D09AE"/>
    <w:rsid w:val="009D15C1"/>
    <w:rsid w:val="009D4DC2"/>
    <w:rsid w:val="009F0202"/>
    <w:rsid w:val="00A108A8"/>
    <w:rsid w:val="00A10F31"/>
    <w:rsid w:val="00A30533"/>
    <w:rsid w:val="00A367AA"/>
    <w:rsid w:val="00A93D2F"/>
    <w:rsid w:val="00AA6675"/>
    <w:rsid w:val="00AC5C9C"/>
    <w:rsid w:val="00AE5255"/>
    <w:rsid w:val="00AF11C8"/>
    <w:rsid w:val="00B03784"/>
    <w:rsid w:val="00B17960"/>
    <w:rsid w:val="00B23DC2"/>
    <w:rsid w:val="00B42847"/>
    <w:rsid w:val="00B6099B"/>
    <w:rsid w:val="00B6736C"/>
    <w:rsid w:val="00B74838"/>
    <w:rsid w:val="00B9192C"/>
    <w:rsid w:val="00BE1F5A"/>
    <w:rsid w:val="00BF4A5C"/>
    <w:rsid w:val="00BF75D2"/>
    <w:rsid w:val="00C13ABA"/>
    <w:rsid w:val="00C31658"/>
    <w:rsid w:val="00C34743"/>
    <w:rsid w:val="00C407D2"/>
    <w:rsid w:val="00C55333"/>
    <w:rsid w:val="00C702CF"/>
    <w:rsid w:val="00C811CD"/>
    <w:rsid w:val="00C85BCB"/>
    <w:rsid w:val="00C92AF0"/>
    <w:rsid w:val="00C93935"/>
    <w:rsid w:val="00C9516A"/>
    <w:rsid w:val="00CA4150"/>
    <w:rsid w:val="00CA6CB7"/>
    <w:rsid w:val="00CB2DB1"/>
    <w:rsid w:val="00D07C76"/>
    <w:rsid w:val="00D14A1C"/>
    <w:rsid w:val="00D52A12"/>
    <w:rsid w:val="00D5611E"/>
    <w:rsid w:val="00D61728"/>
    <w:rsid w:val="00D77C25"/>
    <w:rsid w:val="00D947EE"/>
    <w:rsid w:val="00D95ED7"/>
    <w:rsid w:val="00DB0A20"/>
    <w:rsid w:val="00DB1224"/>
    <w:rsid w:val="00DB661D"/>
    <w:rsid w:val="00DC2D7B"/>
    <w:rsid w:val="00DF6B75"/>
    <w:rsid w:val="00E03791"/>
    <w:rsid w:val="00E1147E"/>
    <w:rsid w:val="00E15C20"/>
    <w:rsid w:val="00E16BE6"/>
    <w:rsid w:val="00E25894"/>
    <w:rsid w:val="00E2613B"/>
    <w:rsid w:val="00E552B4"/>
    <w:rsid w:val="00E9366B"/>
    <w:rsid w:val="00EA4719"/>
    <w:rsid w:val="00EC3908"/>
    <w:rsid w:val="00ED01F8"/>
    <w:rsid w:val="00ED2791"/>
    <w:rsid w:val="00EE3662"/>
    <w:rsid w:val="00EE5B2D"/>
    <w:rsid w:val="00F06FD3"/>
    <w:rsid w:val="00F13CCB"/>
    <w:rsid w:val="00F1460E"/>
    <w:rsid w:val="00F14EDC"/>
    <w:rsid w:val="00F15924"/>
    <w:rsid w:val="00F219BB"/>
    <w:rsid w:val="00F268D7"/>
    <w:rsid w:val="00F27687"/>
    <w:rsid w:val="00F31CFD"/>
    <w:rsid w:val="00F600F5"/>
    <w:rsid w:val="00F613A8"/>
    <w:rsid w:val="00F63968"/>
    <w:rsid w:val="00F64D0C"/>
    <w:rsid w:val="00F67F7C"/>
    <w:rsid w:val="00F76801"/>
    <w:rsid w:val="00F76CFE"/>
    <w:rsid w:val="00F850B7"/>
    <w:rsid w:val="00FA66D2"/>
    <w:rsid w:val="00FB1261"/>
    <w:rsid w:val="00FB2119"/>
    <w:rsid w:val="00FC1C07"/>
    <w:rsid w:val="00FE4D95"/>
    <w:rsid w:val="00FF17A4"/>
    <w:rsid w:val="00FF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19"/>
  </w:style>
  <w:style w:type="paragraph" w:styleId="Heading1">
    <w:name w:val="heading 1"/>
    <w:basedOn w:val="Normal"/>
    <w:link w:val="Heading1Char"/>
    <w:uiPriority w:val="9"/>
    <w:qFormat/>
    <w:rsid w:val="007A0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9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A4DC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04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76575B"/>
    <w:pPr>
      <w:autoSpaceDE w:val="0"/>
      <w:autoSpaceDN w:val="0"/>
      <w:adjustRightInd w:val="0"/>
      <w:spacing w:after="0" w:line="240" w:lineRule="auto"/>
    </w:pPr>
    <w:rPr>
      <w:rFonts w:ascii="ATWNQL+ACaslonPro-Regular" w:hAnsi="ATWNQL+ACaslonPro-Regular" w:cs="ATWNQL+ACasl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5C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C73"/>
  </w:style>
  <w:style w:type="paragraph" w:styleId="Footer">
    <w:name w:val="footer"/>
    <w:basedOn w:val="Normal"/>
    <w:link w:val="FooterChar"/>
    <w:uiPriority w:val="99"/>
    <w:unhideWhenUsed/>
    <w:rsid w:val="00765C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C73"/>
  </w:style>
  <w:style w:type="paragraph" w:styleId="BalloonText">
    <w:name w:val="Balloon Text"/>
    <w:basedOn w:val="Normal"/>
    <w:link w:val="BalloonTextChar"/>
    <w:uiPriority w:val="99"/>
    <w:semiHidden/>
    <w:unhideWhenUsed/>
    <w:rsid w:val="0080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2589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7E2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ag@orgchm.bas.b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7633-6710-4BF0-BE14-C54AC3D3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IOHCF-BAN</Company>
  <LinksUpToDate>false</LinksUpToDate>
  <CharactersWithSpaces>18002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2</cp:revision>
  <cp:lastPrinted>2019-07-12T09:23:00Z</cp:lastPrinted>
  <dcterms:created xsi:type="dcterms:W3CDTF">2019-07-12T13:30:00Z</dcterms:created>
  <dcterms:modified xsi:type="dcterms:W3CDTF">2019-07-12T13:30:00Z</dcterms:modified>
</cp:coreProperties>
</file>