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19" w:rsidRPr="00304959" w:rsidRDefault="00304959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959">
        <w:rPr>
          <w:rFonts w:ascii="Times New Roman" w:hAnsi="Times New Roman" w:cs="Times New Roman"/>
          <w:b/>
          <w:sz w:val="24"/>
          <w:szCs w:val="24"/>
        </w:rPr>
        <w:t>Supporting information</w:t>
      </w:r>
    </w:p>
    <w:p w:rsidR="00304959" w:rsidRPr="00304959" w:rsidRDefault="00304959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59">
        <w:rPr>
          <w:rFonts w:ascii="Times New Roman" w:hAnsi="Times New Roman" w:cs="Times New Roman"/>
          <w:sz w:val="24"/>
          <w:szCs w:val="24"/>
        </w:rPr>
        <w:t xml:space="preserve">Biophysical properties and cytotoxicity of feruloylated </w:t>
      </w:r>
      <w:r w:rsidRPr="00304959">
        <w:rPr>
          <w:rFonts w:ascii="Times New Roman" w:hAnsi="Times New Roman" w:cs="Times New Roman"/>
          <w:i/>
          <w:sz w:val="24"/>
          <w:szCs w:val="24"/>
        </w:rPr>
        <w:t xml:space="preserve">Helix </w:t>
      </w:r>
      <w:proofErr w:type="spellStart"/>
      <w:r w:rsidRPr="00304959">
        <w:rPr>
          <w:rFonts w:ascii="Times New Roman" w:hAnsi="Times New Roman" w:cs="Times New Roman"/>
          <w:i/>
          <w:sz w:val="24"/>
          <w:szCs w:val="24"/>
        </w:rPr>
        <w:t>lucorum</w:t>
      </w:r>
      <w:proofErr w:type="spellEnd"/>
      <w:r w:rsidRPr="00304959">
        <w:rPr>
          <w:rFonts w:ascii="Times New Roman" w:hAnsi="Times New Roman" w:cs="Times New Roman"/>
          <w:sz w:val="24"/>
          <w:szCs w:val="24"/>
        </w:rPr>
        <w:t xml:space="preserve"> hemocyanin</w:t>
      </w:r>
    </w:p>
    <w:p w:rsidR="00304959" w:rsidRPr="00304959" w:rsidRDefault="00304959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59">
        <w:rPr>
          <w:rFonts w:ascii="Times New Roman" w:hAnsi="Times New Roman" w:cs="Times New Roman"/>
          <w:sz w:val="24"/>
          <w:szCs w:val="24"/>
        </w:rPr>
        <w:t>Maya Guncheva</w:t>
      </w: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304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959">
        <w:rPr>
          <w:rFonts w:ascii="Times New Roman" w:hAnsi="Times New Roman" w:cs="Times New Roman"/>
          <w:sz w:val="24"/>
          <w:szCs w:val="24"/>
        </w:rPr>
        <w:t>Krassimira</w:t>
      </w:r>
      <w:proofErr w:type="spellEnd"/>
      <w:r w:rsidRPr="00304959">
        <w:rPr>
          <w:rFonts w:ascii="Times New Roman" w:hAnsi="Times New Roman" w:cs="Times New Roman"/>
          <w:sz w:val="24"/>
          <w:szCs w:val="24"/>
        </w:rPr>
        <w:t xml:space="preserve"> Idakieva</w:t>
      </w: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4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959">
        <w:rPr>
          <w:rFonts w:ascii="Times New Roman" w:hAnsi="Times New Roman" w:cs="Times New Roman"/>
          <w:sz w:val="24"/>
          <w:szCs w:val="24"/>
        </w:rPr>
        <w:t>Svetla</w:t>
      </w:r>
      <w:proofErr w:type="spellEnd"/>
      <w:r w:rsidRPr="00304959">
        <w:rPr>
          <w:rFonts w:ascii="Times New Roman" w:hAnsi="Times New Roman" w:cs="Times New Roman"/>
          <w:sz w:val="24"/>
          <w:szCs w:val="24"/>
        </w:rPr>
        <w:t xml:space="preserve"> Todinova</w:t>
      </w: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4959">
        <w:rPr>
          <w:rFonts w:ascii="Times New Roman" w:hAnsi="Times New Roman" w:cs="Times New Roman"/>
          <w:sz w:val="24"/>
          <w:szCs w:val="24"/>
        </w:rPr>
        <w:t>, Elena Stoyanova</w:t>
      </w: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4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959">
        <w:rPr>
          <w:rFonts w:ascii="Times New Roman" w:hAnsi="Times New Roman" w:cs="Times New Roman"/>
          <w:sz w:val="24"/>
          <w:szCs w:val="24"/>
        </w:rPr>
        <w:t>Denitsa</w:t>
      </w:r>
      <w:proofErr w:type="spellEnd"/>
      <w:r w:rsidRPr="00304959">
        <w:rPr>
          <w:rFonts w:ascii="Times New Roman" w:hAnsi="Times New Roman" w:cs="Times New Roman"/>
          <w:sz w:val="24"/>
          <w:szCs w:val="24"/>
        </w:rPr>
        <w:t> Yancheva</w:t>
      </w: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04959" w:rsidRPr="00304959" w:rsidRDefault="00304959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4959">
        <w:rPr>
          <w:rFonts w:ascii="Times New Roman" w:hAnsi="Times New Roman" w:cs="Times New Roman"/>
          <w:sz w:val="24"/>
          <w:szCs w:val="24"/>
        </w:rPr>
        <w:t xml:space="preserve">Institute of Organic Chemistry with Centre of Phytochemistry, Bulgarian Academy of Sciences; Sofia, Bulgaria; </w:t>
      </w:r>
    </w:p>
    <w:p w:rsidR="00304959" w:rsidRPr="00304959" w:rsidRDefault="00304959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4959">
        <w:rPr>
          <w:rFonts w:ascii="Times New Roman" w:hAnsi="Times New Roman" w:cs="Times New Roman"/>
          <w:sz w:val="24"/>
          <w:szCs w:val="24"/>
        </w:rPr>
        <w:t xml:space="preserve">Institute of Biophysics and Biomedical Engineering, Bulgarian Academy of Sciences, Sofia, Bulgaria; </w:t>
      </w:r>
    </w:p>
    <w:p w:rsidR="00304959" w:rsidRPr="00304959" w:rsidRDefault="00304959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4959">
        <w:rPr>
          <w:rFonts w:ascii="Times New Roman" w:hAnsi="Times New Roman" w:cs="Times New Roman"/>
          <w:sz w:val="24"/>
          <w:szCs w:val="24"/>
        </w:rPr>
        <w:t>Institute of Biology and Immunology of Reproduction, Bulgarian Academy of Sciences Sofia Bulgaria</w:t>
      </w:r>
    </w:p>
    <w:p w:rsidR="00304959" w:rsidRPr="00304959" w:rsidRDefault="00304959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59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5" w:history="1">
        <w:r w:rsidRPr="00304959">
          <w:rPr>
            <w:rStyle w:val="Hyperlink"/>
            <w:rFonts w:ascii="Times New Roman" w:hAnsi="Times New Roman" w:cs="Times New Roman"/>
            <w:sz w:val="24"/>
            <w:szCs w:val="24"/>
          </w:rPr>
          <w:t>maiag@orgchm.bas.bg</w:t>
        </w:r>
      </w:hyperlink>
      <w:r w:rsidRPr="00304959">
        <w:rPr>
          <w:rFonts w:ascii="Times New Roman" w:hAnsi="Times New Roman" w:cs="Times New Roman"/>
          <w:sz w:val="24"/>
          <w:szCs w:val="24"/>
        </w:rPr>
        <w:t xml:space="preserve"> (M. Guncheva)</w:t>
      </w:r>
    </w:p>
    <w:p w:rsidR="00304959" w:rsidRDefault="00304959" w:rsidP="003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50AA" w:rsidRPr="00806C3C" w:rsidRDefault="003050AA" w:rsidP="003050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2</w:t>
      </w:r>
      <w:r w:rsidRPr="00806C3C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806C3C">
        <w:rPr>
          <w:rFonts w:ascii="Times New Roman" w:hAnsi="Times New Roman" w:cs="Times New Roman"/>
          <w:b/>
          <w:sz w:val="24"/>
          <w:szCs w:val="24"/>
        </w:rPr>
        <w:t>Fourier-transform Infrared spectroscopy (FTIR)</w:t>
      </w:r>
    </w:p>
    <w:p w:rsidR="003050AA" w:rsidRPr="00806C3C" w:rsidRDefault="003050AA" w:rsidP="003050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C3C">
        <w:rPr>
          <w:rFonts w:ascii="Times New Roman" w:hAnsi="Times New Roman" w:cs="Times New Roman"/>
          <w:caps/>
          <w:sz w:val="24"/>
          <w:szCs w:val="24"/>
        </w:rPr>
        <w:tab/>
        <w:t xml:space="preserve">FTIR </w:t>
      </w:r>
      <w:r w:rsidRPr="00806C3C">
        <w:rPr>
          <w:rFonts w:ascii="Times New Roman" w:hAnsi="Times New Roman" w:cs="Times New Roman"/>
          <w:sz w:val="24"/>
          <w:szCs w:val="24"/>
        </w:rPr>
        <w:t xml:space="preserve">spectra were recorded on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Vertex 70 spectrometer equipped with a diamond ATR accessory in the frequency region 4000–600 cm</w:t>
      </w:r>
      <w:r w:rsidRPr="00806C3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06C3C">
        <w:rPr>
          <w:rFonts w:ascii="Times New Roman" w:hAnsi="Times New Roman" w:cs="Times New Roman"/>
          <w:sz w:val="24"/>
          <w:szCs w:val="24"/>
        </w:rPr>
        <w:t xml:space="preserve"> with 128 scanning at resolution of 1 cm</w:t>
      </w:r>
      <w:r w:rsidRPr="00806C3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06C3C">
        <w:rPr>
          <w:rFonts w:ascii="Times New Roman" w:hAnsi="Times New Roman" w:cs="Times New Roman"/>
          <w:sz w:val="24"/>
          <w:szCs w:val="24"/>
        </w:rPr>
        <w:t xml:space="preserve">. Protein samples were dissolved in PBS buffer (pH 7.2, 50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>) at concentration of 20 mg/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All spectra were obtained after subtraction of the buffer baseline and were strictly collected under the same conditions, after adjusting the subtraction baseline until a flat baseline was obtained in the 2000–1700 cm</w:t>
      </w:r>
      <w:r w:rsidRPr="00806C3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06C3C">
        <w:rPr>
          <w:rFonts w:ascii="Times New Roman" w:hAnsi="Times New Roman" w:cs="Times New Roman"/>
          <w:sz w:val="24"/>
          <w:szCs w:val="24"/>
        </w:rPr>
        <w:t xml:space="preserve"> region. Second derivatives were obtained using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Savitzky-Golay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algorithm based on 25 smoothing points. Curve fitting of the amide I band from 1700 to 1600 cm−1, in water, was performed using Opus software version 5.5 according to the Local Least Squares algorithm. The initial bandwidth of all components was set to 12 cm</w:t>
      </w:r>
      <w:r w:rsidRPr="00806C3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06C3C">
        <w:rPr>
          <w:rFonts w:ascii="Times New Roman" w:hAnsi="Times New Roman" w:cs="Times New Roman"/>
          <w:sz w:val="24"/>
          <w:szCs w:val="24"/>
        </w:rPr>
        <w:t xml:space="preserve"> and the components were approximated by mixed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Lorentzian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>/Gaussian functions. Amide I band positions are assigned to the corresponding secondary structures according to the literature [13].</w:t>
      </w:r>
    </w:p>
    <w:p w:rsidR="00304959" w:rsidRDefault="00304959" w:rsidP="003D3A7A">
      <w:pPr>
        <w:spacing w:line="360" w:lineRule="auto"/>
        <w:rPr>
          <w:noProof/>
        </w:rPr>
      </w:pPr>
    </w:p>
    <w:p w:rsidR="003050AA" w:rsidRDefault="003050AA" w:rsidP="003D3A7A">
      <w:pPr>
        <w:spacing w:line="360" w:lineRule="auto"/>
        <w:rPr>
          <w:noProof/>
        </w:rPr>
      </w:pPr>
    </w:p>
    <w:p w:rsidR="003050AA" w:rsidRDefault="003050AA" w:rsidP="003D3A7A">
      <w:pPr>
        <w:spacing w:line="360" w:lineRule="auto"/>
        <w:rPr>
          <w:noProof/>
        </w:rPr>
      </w:pPr>
    </w:p>
    <w:p w:rsidR="00304959" w:rsidRDefault="00304959" w:rsidP="003D3A7A">
      <w:pPr>
        <w:spacing w:line="360" w:lineRule="auto"/>
      </w:pPr>
      <w:r>
        <w:rPr>
          <w:noProof/>
        </w:rPr>
        <w:drawing>
          <wp:inline distT="0" distB="0" distL="0" distR="0">
            <wp:extent cx="2882188" cy="1805627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88" cy="180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959" w:rsidRDefault="00304959" w:rsidP="003D3A7A">
      <w:pPr>
        <w:spacing w:line="360" w:lineRule="auto"/>
      </w:pPr>
    </w:p>
    <w:p w:rsidR="00304959" w:rsidRDefault="00304959" w:rsidP="003D3A7A">
      <w:pPr>
        <w:spacing w:line="360" w:lineRule="auto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809036" cy="1773627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36" cy="177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959" w:rsidRDefault="00304959" w:rsidP="003D3A7A">
      <w:pPr>
        <w:spacing w:line="360" w:lineRule="auto"/>
        <w:rPr>
          <w:noProof/>
        </w:rPr>
      </w:pPr>
    </w:p>
    <w:p w:rsidR="00304959" w:rsidRDefault="00304959" w:rsidP="003D3A7A">
      <w:pPr>
        <w:spacing w:line="360" w:lineRule="auto"/>
      </w:pPr>
      <w:r>
        <w:rPr>
          <w:noProof/>
        </w:rPr>
        <w:drawing>
          <wp:inline distT="0" distB="0" distL="0" distR="0">
            <wp:extent cx="3141116" cy="1719506"/>
            <wp:effectExtent l="19050" t="0" r="2134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11" t="5263" r="1844"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16" cy="171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959" w:rsidRDefault="00304959" w:rsidP="003D3A7A">
      <w:pPr>
        <w:spacing w:line="360" w:lineRule="auto"/>
      </w:pPr>
    </w:p>
    <w:p w:rsidR="00304959" w:rsidRPr="00EA1728" w:rsidRDefault="00304959" w:rsidP="003D3A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39D3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193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939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EA1728">
        <w:rPr>
          <w:rFonts w:ascii="Times New Roman" w:hAnsi="Times New Roman" w:cs="Times New Roman"/>
          <w:sz w:val="24"/>
          <w:szCs w:val="24"/>
        </w:rPr>
        <w:t xml:space="preserve">Original (a), second derivative and </w:t>
      </w:r>
      <w:r w:rsidRPr="00EA1728">
        <w:rPr>
          <w:rFonts w:ascii="Times New Roman" w:eastAsia="Calibri" w:hAnsi="Times New Roman" w:cs="Times New Roman"/>
          <w:sz w:val="24"/>
          <w:szCs w:val="24"/>
        </w:rPr>
        <w:t xml:space="preserve">deconvoluted </w:t>
      </w:r>
      <w:r w:rsidRPr="00EA1728">
        <w:rPr>
          <w:rFonts w:ascii="Times New Roman" w:hAnsi="Times New Roman"/>
          <w:sz w:val="24"/>
          <w:szCs w:val="24"/>
        </w:rPr>
        <w:t xml:space="preserve">ATR-FTIR </w:t>
      </w:r>
      <w:r w:rsidRPr="00EA1728">
        <w:rPr>
          <w:rFonts w:ascii="Times New Roman" w:eastAsia="Calibri" w:hAnsi="Times New Roman" w:cs="Times New Roman"/>
          <w:sz w:val="24"/>
          <w:szCs w:val="24"/>
        </w:rPr>
        <w:t xml:space="preserve">spectra in Amide I region </w:t>
      </w:r>
      <w:r w:rsidRPr="00EA172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native </w:t>
      </w:r>
      <w:proofErr w:type="spellStart"/>
      <w:r w:rsidRPr="00EA1728">
        <w:rPr>
          <w:rFonts w:ascii="Times New Roman" w:hAnsi="Times New Roman"/>
          <w:sz w:val="24"/>
          <w:szCs w:val="24"/>
        </w:rPr>
        <w:t>HlH</w:t>
      </w:r>
      <w:proofErr w:type="spellEnd"/>
      <w:r>
        <w:rPr>
          <w:rFonts w:ascii="Times New Roman" w:hAnsi="Times New Roman"/>
          <w:sz w:val="24"/>
          <w:szCs w:val="24"/>
        </w:rPr>
        <w:t xml:space="preserve"> in PBS buffer (pH 7.2, 50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</w:rPr>
        <w:t>) at concentration of 20 mg/</w:t>
      </w:r>
      <w:proofErr w:type="spellStart"/>
      <w:r>
        <w:rPr>
          <w:rFonts w:ascii="Times New Roman" w:hAnsi="Times New Roman"/>
          <w:sz w:val="24"/>
          <w:szCs w:val="24"/>
        </w:rPr>
        <w:t>mL.</w:t>
      </w:r>
      <w:proofErr w:type="spellEnd"/>
    </w:p>
    <w:p w:rsidR="00304959" w:rsidRDefault="00304959" w:rsidP="003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4959" w:rsidRDefault="008A4CE7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95484" cy="1800000"/>
            <wp:effectExtent l="0" t="0" r="11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8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E7" w:rsidRDefault="00B86F29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876923" cy="180000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4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2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29" w:rsidRDefault="00DA1C8B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555414" cy="1800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180" t="11558" b="8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1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959" w:rsidRDefault="00304959" w:rsidP="003D3A7A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939D3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193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939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EA1728">
        <w:rPr>
          <w:rFonts w:ascii="Times New Roman" w:hAnsi="Times New Roman" w:cs="Times New Roman"/>
          <w:sz w:val="24"/>
          <w:szCs w:val="24"/>
        </w:rPr>
        <w:t xml:space="preserve">Original (a), second derivative and </w:t>
      </w:r>
      <w:r w:rsidRPr="00EA1728">
        <w:rPr>
          <w:rFonts w:ascii="Times New Roman" w:eastAsia="Calibri" w:hAnsi="Times New Roman" w:cs="Times New Roman"/>
          <w:sz w:val="24"/>
          <w:szCs w:val="24"/>
        </w:rPr>
        <w:t xml:space="preserve">deconvoluted </w:t>
      </w:r>
      <w:r w:rsidRPr="00EA1728">
        <w:rPr>
          <w:rFonts w:ascii="Times New Roman" w:hAnsi="Times New Roman"/>
          <w:sz w:val="24"/>
          <w:szCs w:val="24"/>
        </w:rPr>
        <w:t xml:space="preserve">ATR-FTIR </w:t>
      </w:r>
      <w:r w:rsidRPr="00EA1728">
        <w:rPr>
          <w:rFonts w:ascii="Times New Roman" w:eastAsia="Calibri" w:hAnsi="Times New Roman" w:cs="Times New Roman"/>
          <w:sz w:val="24"/>
          <w:szCs w:val="24"/>
        </w:rPr>
        <w:t xml:space="preserve">spectra in Amide I region </w:t>
      </w:r>
      <w:r w:rsidRPr="00EA172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FA- </w:t>
      </w:r>
      <w:r w:rsidRPr="00EA1728">
        <w:rPr>
          <w:rFonts w:ascii="Times New Roman" w:hAnsi="Times New Roman"/>
          <w:sz w:val="24"/>
          <w:szCs w:val="24"/>
        </w:rPr>
        <w:t>HlH</w:t>
      </w:r>
      <w:r>
        <w:rPr>
          <w:rFonts w:ascii="Times New Roman" w:hAnsi="Times New Roman"/>
          <w:sz w:val="24"/>
          <w:szCs w:val="24"/>
        </w:rPr>
        <w:t>-1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HlH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containing 40 ferulic acid residues) in PBS buffer (pH 7.2, 50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</w:rPr>
        <w:t>) at concentration of 20 mg/</w:t>
      </w:r>
      <w:proofErr w:type="spellStart"/>
      <w:r>
        <w:rPr>
          <w:rFonts w:ascii="Times New Roman" w:hAnsi="Times New Roman"/>
          <w:sz w:val="24"/>
          <w:szCs w:val="24"/>
        </w:rPr>
        <w:t>mL.</w:t>
      </w:r>
      <w:proofErr w:type="spellEnd"/>
    </w:p>
    <w:p w:rsidR="00DA1C8B" w:rsidRDefault="00DA1C8B" w:rsidP="003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636D" w:rsidRDefault="00CE0128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64681" cy="180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8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28" w:rsidRDefault="00DB345A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876923" cy="180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4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2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45A" w:rsidRDefault="00255ACA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556504" cy="18000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5741" t="16583" b="9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0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36D" w:rsidRDefault="00CC636D" w:rsidP="003D3A7A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939D3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193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939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EA1728">
        <w:rPr>
          <w:rFonts w:ascii="Times New Roman" w:hAnsi="Times New Roman" w:cs="Times New Roman"/>
          <w:sz w:val="24"/>
          <w:szCs w:val="24"/>
        </w:rPr>
        <w:t xml:space="preserve">Original (a), second derivative and </w:t>
      </w:r>
      <w:r w:rsidRPr="00EA1728">
        <w:rPr>
          <w:rFonts w:ascii="Times New Roman" w:eastAsia="Calibri" w:hAnsi="Times New Roman" w:cs="Times New Roman"/>
          <w:sz w:val="24"/>
          <w:szCs w:val="24"/>
        </w:rPr>
        <w:t xml:space="preserve">deconvoluted </w:t>
      </w:r>
      <w:r w:rsidRPr="00EA1728">
        <w:rPr>
          <w:rFonts w:ascii="Times New Roman" w:hAnsi="Times New Roman"/>
          <w:sz w:val="24"/>
          <w:szCs w:val="24"/>
        </w:rPr>
        <w:t xml:space="preserve">ATR-FTIR </w:t>
      </w:r>
      <w:r w:rsidRPr="00EA1728">
        <w:rPr>
          <w:rFonts w:ascii="Times New Roman" w:eastAsia="Calibri" w:hAnsi="Times New Roman" w:cs="Times New Roman"/>
          <w:sz w:val="24"/>
          <w:szCs w:val="24"/>
        </w:rPr>
        <w:t xml:space="preserve">spectra in Amide I region </w:t>
      </w:r>
      <w:r w:rsidRPr="00EA172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FA- </w:t>
      </w:r>
      <w:r w:rsidRPr="00EA1728">
        <w:rPr>
          <w:rFonts w:ascii="Times New Roman" w:hAnsi="Times New Roman"/>
          <w:sz w:val="24"/>
          <w:szCs w:val="24"/>
        </w:rPr>
        <w:t>HlH</w:t>
      </w:r>
      <w:r>
        <w:rPr>
          <w:rFonts w:ascii="Times New Roman" w:hAnsi="Times New Roman"/>
          <w:sz w:val="24"/>
          <w:szCs w:val="24"/>
        </w:rPr>
        <w:t>-2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HlH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containing 120 ferulic acid residues) in PBS buffer (pH 7.2, 50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</w:rPr>
        <w:t>) at concentration of 20 mg/</w:t>
      </w:r>
      <w:proofErr w:type="spellStart"/>
      <w:r>
        <w:rPr>
          <w:rFonts w:ascii="Times New Roman" w:hAnsi="Times New Roman"/>
          <w:sz w:val="24"/>
          <w:szCs w:val="24"/>
        </w:rPr>
        <w:t>mL.</w:t>
      </w:r>
      <w:proofErr w:type="spellEnd"/>
    </w:p>
    <w:p w:rsidR="00207310" w:rsidRDefault="00207310" w:rsidP="003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2113" w:rsidRPr="00806C3C" w:rsidRDefault="00732113" w:rsidP="00732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113" w:rsidRPr="00806C3C" w:rsidRDefault="00732113" w:rsidP="007321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06C3C">
        <w:rPr>
          <w:rFonts w:ascii="Times New Roman" w:hAnsi="Times New Roman" w:cs="Times New Roman"/>
          <w:b/>
          <w:sz w:val="24"/>
          <w:szCs w:val="24"/>
        </w:rPr>
        <w:t>Differential Scanning Calorimetry (DSC)</w:t>
      </w:r>
    </w:p>
    <w:p w:rsidR="00732113" w:rsidRPr="00806C3C" w:rsidRDefault="00732113" w:rsidP="00732113">
      <w:pPr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06C3C">
        <w:rPr>
          <w:rFonts w:ascii="Times New Roman" w:hAnsi="Times New Roman" w:cs="Times New Roman"/>
          <w:sz w:val="24"/>
          <w:szCs w:val="24"/>
        </w:rPr>
        <w:t xml:space="preserve">DSC scans were carried out on a high-sensitivity differential scanning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microcalorimeter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DASM-4 (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Biopribor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Pushchino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, Russia), with a sensitivity &gt; 0.017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mJ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K-1 and a noise level &lt; ±0.05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μW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. The protein samples were dissolved in PBS (pH 7.2, 50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>) at a concentration of 3 mg/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</w:t>
      </w:r>
      <w:r w:rsidRPr="00806C3C">
        <w:rPr>
          <w:rFonts w:ascii="Times New Roman" w:hAnsi="Times New Roman" w:cs="Times New Roman"/>
          <w:color w:val="231F20"/>
          <w:sz w:val="24"/>
          <w:szCs w:val="24"/>
        </w:rPr>
        <w:t>Heat capacity versus temperature profiles were obtained in the range 30–110ºC at scan rate 1K.min</w:t>
      </w:r>
      <w:r w:rsidRPr="00806C3C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-1</w:t>
      </w:r>
      <w:r w:rsidRPr="00806C3C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806C3C">
        <w:rPr>
          <w:rFonts w:ascii="Times New Roman" w:hAnsi="Times New Roman" w:cs="Times New Roman"/>
          <w:sz w:val="24"/>
          <w:szCs w:val="24"/>
        </w:rPr>
        <w:t xml:space="preserve">Sample scans were buffer-subtracted, concentration normalized and corrected with the progress baseline. </w:t>
      </w:r>
      <w:r w:rsidRPr="00806C3C">
        <w:rPr>
          <w:rFonts w:ascii="Times New Roman" w:hAnsi="Times New Roman" w:cs="Times New Roman"/>
          <w:color w:val="231F20"/>
          <w:sz w:val="24"/>
          <w:szCs w:val="24"/>
        </w:rPr>
        <w:t>DSC curves were analyzed using ORIGIN (</w:t>
      </w:r>
      <w:proofErr w:type="spellStart"/>
      <w:r w:rsidRPr="00806C3C">
        <w:rPr>
          <w:rFonts w:ascii="Times New Roman" w:hAnsi="Times New Roman" w:cs="Times New Roman"/>
          <w:color w:val="231F20"/>
          <w:sz w:val="24"/>
          <w:szCs w:val="24"/>
        </w:rPr>
        <w:t>MicroCal</w:t>
      </w:r>
      <w:proofErr w:type="spellEnd"/>
      <w:r w:rsidRPr="00806C3C">
        <w:rPr>
          <w:rFonts w:ascii="Times New Roman" w:hAnsi="Times New Roman" w:cs="Times New Roman"/>
          <w:color w:val="231F20"/>
          <w:sz w:val="24"/>
          <w:szCs w:val="24"/>
        </w:rPr>
        <w:t xml:space="preserve"> Software) program. Experimental deconvolution of heat capacity curves into individual components by a successive annealing procedure was applied following the approach of </w:t>
      </w:r>
      <w:proofErr w:type="spellStart"/>
      <w:r w:rsidRPr="00806C3C">
        <w:rPr>
          <w:rFonts w:ascii="Times New Roman" w:hAnsi="Times New Roman" w:cs="Times New Roman"/>
          <w:color w:val="231F20"/>
          <w:sz w:val="24"/>
          <w:szCs w:val="24"/>
        </w:rPr>
        <w:t>Idakieva</w:t>
      </w:r>
      <w:proofErr w:type="spellEnd"/>
      <w:r w:rsidRPr="00806C3C">
        <w:rPr>
          <w:rFonts w:ascii="Times New Roman" w:hAnsi="Times New Roman" w:cs="Times New Roman"/>
          <w:color w:val="231F20"/>
          <w:sz w:val="24"/>
          <w:szCs w:val="24"/>
        </w:rPr>
        <w:t xml:space="preserve"> et al [14]. </w:t>
      </w:r>
    </w:p>
    <w:p w:rsidR="00732113" w:rsidRPr="00806C3C" w:rsidRDefault="00732113" w:rsidP="00732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310" w:rsidRDefault="00207310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7310" w:rsidRDefault="00207310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61229" cy="2880000"/>
            <wp:effectExtent l="19050" t="0" r="5671" b="0"/>
            <wp:docPr id="3" name="Picture 1" descr="C:\Users\mg\Desktop\fig1_Hl_folate-supp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\Desktop\fig1_Hl_folate-suppl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2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310" w:rsidRPr="009D5382" w:rsidRDefault="00207310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7310" w:rsidRPr="009D5382" w:rsidRDefault="00207310" w:rsidP="003D3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382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9D5382">
        <w:rPr>
          <w:rFonts w:ascii="Times New Roman" w:hAnsi="Times New Roman" w:cs="Times New Roman"/>
          <w:b/>
          <w:sz w:val="24"/>
          <w:szCs w:val="24"/>
        </w:rPr>
        <w:t xml:space="preserve"> S2.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D5382">
        <w:rPr>
          <w:rFonts w:ascii="Times New Roman" w:hAnsi="Times New Roman" w:cs="Times New Roman"/>
          <w:sz w:val="24"/>
          <w:szCs w:val="24"/>
        </w:rPr>
        <w:t xml:space="preserve">An example of the successive annealing procedure for the native </w:t>
      </w:r>
      <w:proofErr w:type="spellStart"/>
      <w:r w:rsidRPr="009D5382">
        <w:rPr>
          <w:rFonts w:ascii="Times New Roman" w:hAnsi="Times New Roman" w:cs="Times New Roman"/>
          <w:sz w:val="24"/>
          <w:szCs w:val="24"/>
        </w:rPr>
        <w:t>HlH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10" w:rsidRPr="009D5382" w:rsidRDefault="00207310" w:rsidP="003D3A7A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5382">
        <w:rPr>
          <w:rFonts w:ascii="Times New Roman" w:hAnsi="Times New Roman" w:cs="Times New Roman"/>
          <w:sz w:val="24"/>
          <w:szCs w:val="24"/>
        </w:rPr>
        <w:lastRenderedPageBreak/>
        <w:t xml:space="preserve">Complete calorimetric profile of HlH-free (solid black line) in </w:t>
      </w:r>
      <w:r>
        <w:rPr>
          <w:rFonts w:ascii="Times New Roman" w:hAnsi="Times New Roman" w:cs="Times New Roman"/>
          <w:sz w:val="24"/>
          <w:szCs w:val="24"/>
        </w:rPr>
        <w:t xml:space="preserve">PBS (pH 7.2, 50 mM) </w:t>
      </w:r>
      <w:r w:rsidRPr="009D5382">
        <w:rPr>
          <w:rFonts w:ascii="Times New Roman" w:hAnsi="Times New Roman" w:cs="Times New Roman"/>
          <w:sz w:val="24"/>
          <w:szCs w:val="24"/>
        </w:rPr>
        <w:t>buffer at a heating rate of 1.0 Kmin</w:t>
      </w:r>
      <w:r w:rsidRPr="009D5382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9D5382">
        <w:rPr>
          <w:rFonts w:ascii="Times New Roman" w:hAnsi="Times New Roman" w:cs="Times New Roman"/>
          <w:sz w:val="24"/>
          <w:szCs w:val="24"/>
        </w:rPr>
        <w:t xml:space="preserve"> and the successive scans, stopped at 51 °C, 56 °C, 69 °C, 76 °C and 86 °C respectively (dash dot lines). </w:t>
      </w:r>
    </w:p>
    <w:p w:rsidR="00207310" w:rsidRPr="009D5382" w:rsidRDefault="00207310" w:rsidP="003D3A7A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5382">
        <w:rPr>
          <w:rFonts w:ascii="Times New Roman" w:hAnsi="Times New Roman" w:cs="Times New Roman"/>
          <w:sz w:val="24"/>
          <w:szCs w:val="24"/>
        </w:rPr>
        <w:t>Result of the deconvolution of the experimental contour (short dash line), which provides five individual components (blue lines).</w:t>
      </w:r>
      <w:bookmarkStart w:id="0" w:name="_GoBack"/>
      <w:bookmarkEnd w:id="0"/>
    </w:p>
    <w:p w:rsidR="00207310" w:rsidRDefault="00207310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13" w:rsidRPr="00732113" w:rsidRDefault="00732113" w:rsidP="007321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113">
        <w:rPr>
          <w:rFonts w:ascii="Times New Roman" w:hAnsi="Times New Roman" w:cs="Times New Roman"/>
          <w:b/>
          <w:sz w:val="24"/>
          <w:szCs w:val="24"/>
        </w:rPr>
        <w:t>4. Cell viability assay</w:t>
      </w:r>
    </w:p>
    <w:p w:rsidR="00732113" w:rsidRPr="00806C3C" w:rsidRDefault="00732113" w:rsidP="00732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Methylthiazolyldiphenyl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>-tetrazolium bromide (MTT) assays were carried out to evaluate the cytotoxic effect of FA-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on BJ, MCF-7 and MDA-MB-231 cells [15]. The cells were seeded in 96-well plate at density of 1x10</w:t>
      </w:r>
      <w:r w:rsidRPr="00806C3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06C3C">
        <w:rPr>
          <w:rFonts w:ascii="Times New Roman" w:hAnsi="Times New Roman" w:cs="Times New Roman"/>
          <w:sz w:val="24"/>
          <w:szCs w:val="24"/>
        </w:rPr>
        <w:t xml:space="preserve"> cells per well and cultured in complete growth medium for 24 h. Then, cells were incubated with 0-70 µg/well of native or FA-modified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for 24 h and 48 h. The culture medium was changed to 100μL serum-free medium containing 500μg/mL MTT and plates were incubated for 3 h at 37°C and 5% CO</w:t>
      </w:r>
      <w:r w:rsidRPr="00806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6C3C">
        <w:rPr>
          <w:rFonts w:ascii="Times New Roman" w:hAnsi="Times New Roman" w:cs="Times New Roman"/>
          <w:sz w:val="24"/>
          <w:szCs w:val="24"/>
        </w:rPr>
        <w:t xml:space="preserve">. The formazan salts were dissolved in 120μL of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dimethylsulfoxide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(DMSO) and the absorbance was measured at 544 nm on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FLUOstar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Optima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microplate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reader (BMG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Labtech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>, Germany). Samples containing only DMSO were used as a blank control. Control experiments containing untreated with FA-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cells were carried out. The survival of the cells, treated with </w:t>
      </w:r>
      <w:proofErr w:type="spellStart"/>
      <w:r w:rsidRPr="00806C3C">
        <w:rPr>
          <w:rFonts w:ascii="Times New Roman" w:hAnsi="Times New Roman" w:cs="Times New Roman"/>
          <w:sz w:val="24"/>
          <w:szCs w:val="24"/>
        </w:rPr>
        <w:t>HlHs</w:t>
      </w:r>
      <w:proofErr w:type="spellEnd"/>
      <w:r w:rsidRPr="00806C3C">
        <w:rPr>
          <w:rFonts w:ascii="Times New Roman" w:hAnsi="Times New Roman" w:cs="Times New Roman"/>
          <w:sz w:val="24"/>
          <w:szCs w:val="24"/>
        </w:rPr>
        <w:t xml:space="preserve"> was presented in percentages from the corresponding control. Two independent experiments were performed for each cell line.</w:t>
      </w:r>
    </w:p>
    <w:p w:rsidR="00207310" w:rsidRPr="001939D3" w:rsidRDefault="00207310" w:rsidP="003D3A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4959" w:rsidRPr="00304959" w:rsidRDefault="00304959" w:rsidP="003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04959" w:rsidRPr="00304959" w:rsidSect="00FB21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7E73"/>
    <w:multiLevelType w:val="hybridMultilevel"/>
    <w:tmpl w:val="86500E5E"/>
    <w:lvl w:ilvl="0" w:tplc="765284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4959"/>
    <w:rsid w:val="0009396D"/>
    <w:rsid w:val="001F749F"/>
    <w:rsid w:val="00207310"/>
    <w:rsid w:val="00212253"/>
    <w:rsid w:val="00255ACA"/>
    <w:rsid w:val="002F286D"/>
    <w:rsid w:val="00304959"/>
    <w:rsid w:val="003050AA"/>
    <w:rsid w:val="003D3A7A"/>
    <w:rsid w:val="004E3DDA"/>
    <w:rsid w:val="005E5546"/>
    <w:rsid w:val="00732113"/>
    <w:rsid w:val="007C66D3"/>
    <w:rsid w:val="00855EBD"/>
    <w:rsid w:val="008A4CE7"/>
    <w:rsid w:val="009648C7"/>
    <w:rsid w:val="00B16148"/>
    <w:rsid w:val="00B86F29"/>
    <w:rsid w:val="00CC636D"/>
    <w:rsid w:val="00CE0128"/>
    <w:rsid w:val="00DA1C8B"/>
    <w:rsid w:val="00DB345A"/>
    <w:rsid w:val="00FB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49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310"/>
    <w:pPr>
      <w:spacing w:after="160" w:line="259" w:lineRule="auto"/>
      <w:ind w:left="720"/>
      <w:contextualSpacing/>
    </w:pPr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hyperlink" Target="mailto:maiag@orgchm.bas.bg" TargetMode="External"/><Relationship Id="rId15" Type="http://schemas.openxmlformats.org/officeDocument/2006/relationships/image" Target="media/image10.tif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IOHCF-BAN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13</cp:revision>
  <dcterms:created xsi:type="dcterms:W3CDTF">2019-07-02T10:35:00Z</dcterms:created>
  <dcterms:modified xsi:type="dcterms:W3CDTF">2019-07-09T13:51:00Z</dcterms:modified>
</cp:coreProperties>
</file>