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A40" w:rsidRDefault="00EA1D41" w:rsidP="006F1A40">
      <w:pPr>
        <w:spacing w:line="360" w:lineRule="auto"/>
        <w:jc w:val="center"/>
        <w:rPr>
          <w:b/>
        </w:rPr>
      </w:pPr>
      <w:r w:rsidRPr="00007FF4">
        <w:rPr>
          <w:b/>
        </w:rPr>
        <w:t xml:space="preserve">Formulation and Evaluation of </w:t>
      </w:r>
      <w:r w:rsidR="005E680B" w:rsidRPr="00007FF4">
        <w:rPr>
          <w:b/>
        </w:rPr>
        <w:t>Multi-dose</w:t>
      </w:r>
      <w:r w:rsidR="00347383" w:rsidRPr="00007FF4">
        <w:rPr>
          <w:b/>
        </w:rPr>
        <w:t xml:space="preserve"> Propofol </w:t>
      </w:r>
      <w:r w:rsidR="00121192" w:rsidRPr="00007FF4">
        <w:rPr>
          <w:b/>
        </w:rPr>
        <w:t>Nano-emulsion</w:t>
      </w:r>
      <w:r w:rsidR="00347383" w:rsidRPr="00007FF4">
        <w:rPr>
          <w:b/>
        </w:rPr>
        <w:t xml:space="preserve"> Using Sta</w:t>
      </w:r>
      <w:r w:rsidRPr="00007FF4">
        <w:rPr>
          <w:b/>
        </w:rPr>
        <w:t>tistically Designed Experiments</w:t>
      </w:r>
    </w:p>
    <w:p w:rsidR="00393E8A" w:rsidRDefault="00393E8A" w:rsidP="006F1A40">
      <w:pPr>
        <w:spacing w:line="360" w:lineRule="auto"/>
        <w:jc w:val="center"/>
        <w:rPr>
          <w:b/>
        </w:rPr>
      </w:pPr>
    </w:p>
    <w:p w:rsidR="00080A43" w:rsidRPr="00007FF4" w:rsidRDefault="00080A43" w:rsidP="006F1A40">
      <w:pPr>
        <w:spacing w:line="360" w:lineRule="auto"/>
        <w:jc w:val="center"/>
        <w:rPr>
          <w:b/>
        </w:rPr>
      </w:pPr>
    </w:p>
    <w:p w:rsidR="007E45D4" w:rsidRPr="00007FF4" w:rsidRDefault="007E45D4" w:rsidP="009871EB">
      <w:pPr>
        <w:spacing w:line="360" w:lineRule="auto"/>
        <w:rPr>
          <w:vertAlign w:val="superscript"/>
          <w:lang w:val="en-IN"/>
        </w:rPr>
      </w:pPr>
      <w:r w:rsidRPr="00007FF4">
        <w:t>Sidhartha Sankar Hota</w:t>
      </w:r>
      <w:r w:rsidRPr="00007FF4">
        <w:rPr>
          <w:vertAlign w:val="superscript"/>
        </w:rPr>
        <w:t>1</w:t>
      </w:r>
      <w:r w:rsidR="00B20F8A" w:rsidRPr="00007FF4">
        <w:rPr>
          <w:vertAlign w:val="superscript"/>
        </w:rPr>
        <w:t>,3</w:t>
      </w:r>
      <w:r w:rsidRPr="00007FF4">
        <w:t xml:space="preserve">, </w:t>
      </w:r>
      <w:r w:rsidRPr="00007FF4">
        <w:rPr>
          <w:lang w:val="en-IN"/>
        </w:rPr>
        <w:t>Satyanarayan Pattnaik</w:t>
      </w:r>
      <w:r w:rsidRPr="00007FF4">
        <w:rPr>
          <w:vertAlign w:val="superscript"/>
          <w:lang w:val="en-IN"/>
        </w:rPr>
        <w:t>2</w:t>
      </w:r>
      <w:r w:rsidRPr="00007FF4">
        <w:rPr>
          <w:lang w:val="en-IN"/>
        </w:rPr>
        <w:t>, Subrata Mallick</w:t>
      </w:r>
      <w:r w:rsidRPr="00007FF4">
        <w:rPr>
          <w:vertAlign w:val="superscript"/>
          <w:lang w:val="en-IN"/>
        </w:rPr>
        <w:t>1</w:t>
      </w:r>
    </w:p>
    <w:p w:rsidR="007E45D4" w:rsidRPr="00007FF4" w:rsidRDefault="007E45D4" w:rsidP="009871EB">
      <w:pPr>
        <w:pStyle w:val="ListParagraph"/>
        <w:numPr>
          <w:ilvl w:val="0"/>
          <w:numId w:val="2"/>
        </w:numPr>
        <w:spacing w:line="360" w:lineRule="auto"/>
      </w:pPr>
      <w:r w:rsidRPr="00007FF4">
        <w:t>School</w:t>
      </w:r>
      <w:r w:rsidR="00FD736E" w:rsidRPr="00007FF4">
        <w:t xml:space="preserve"> of Pharmaceutical Sciences, Siksha ‘O’ Anusandhan</w:t>
      </w:r>
      <w:r w:rsidRPr="00007FF4">
        <w:t xml:space="preserve"> </w:t>
      </w:r>
      <w:r w:rsidR="00FD736E" w:rsidRPr="00007FF4">
        <w:t>(</w:t>
      </w:r>
      <w:r w:rsidRPr="00007FF4">
        <w:t>Deemed to be University</w:t>
      </w:r>
      <w:r w:rsidR="00FD736E" w:rsidRPr="00007FF4">
        <w:t>)</w:t>
      </w:r>
      <w:r w:rsidR="004D3780" w:rsidRPr="00007FF4">
        <w:t>, Bhubaneswar</w:t>
      </w:r>
      <w:r w:rsidRPr="00007FF4">
        <w:t xml:space="preserve"> </w:t>
      </w:r>
      <w:r w:rsidR="00FD736E" w:rsidRPr="00007FF4">
        <w:t xml:space="preserve">751003, </w:t>
      </w:r>
      <w:r w:rsidRPr="00007FF4">
        <w:t>Odisha, India</w:t>
      </w:r>
      <w:r w:rsidR="00B54096" w:rsidRPr="00007FF4">
        <w:t>.</w:t>
      </w:r>
      <w:r w:rsidR="00FD736E" w:rsidRPr="00007FF4">
        <w:t xml:space="preserve"> </w:t>
      </w:r>
    </w:p>
    <w:p w:rsidR="007E45D4" w:rsidRPr="00007FF4" w:rsidRDefault="007E45D4" w:rsidP="009871EB">
      <w:pPr>
        <w:pStyle w:val="ListParagraph"/>
        <w:numPr>
          <w:ilvl w:val="0"/>
          <w:numId w:val="2"/>
        </w:numPr>
        <w:spacing w:line="360" w:lineRule="auto"/>
      </w:pPr>
      <w:r w:rsidRPr="00007FF4">
        <w:t>Talla Padmavathi College of Pharmacy, Orus, Warangal,</w:t>
      </w:r>
      <w:r w:rsidR="00B54096" w:rsidRPr="00007FF4">
        <w:t xml:space="preserve"> Telangana,</w:t>
      </w:r>
      <w:r w:rsidRPr="00007FF4">
        <w:t xml:space="preserve"> India</w:t>
      </w:r>
      <w:r w:rsidR="00B54096" w:rsidRPr="00007FF4">
        <w:t>.</w:t>
      </w:r>
    </w:p>
    <w:p w:rsidR="00B54096" w:rsidRPr="00007FF4" w:rsidRDefault="00082732" w:rsidP="009871EB">
      <w:pPr>
        <w:pStyle w:val="ListParagraph"/>
        <w:numPr>
          <w:ilvl w:val="0"/>
          <w:numId w:val="2"/>
        </w:numPr>
        <w:spacing w:line="360" w:lineRule="auto"/>
      </w:pPr>
      <w:r w:rsidRPr="00007FF4">
        <w:t>Zenotech Laboratories Ltd., Hyderabad,</w:t>
      </w:r>
      <w:r w:rsidR="00B54096" w:rsidRPr="00007FF4">
        <w:t xml:space="preserve"> Telangana,</w:t>
      </w:r>
      <w:r w:rsidRPr="00007FF4">
        <w:t xml:space="preserve"> India</w:t>
      </w:r>
      <w:r w:rsidR="00B54096" w:rsidRPr="00007FF4">
        <w:t>.</w:t>
      </w:r>
    </w:p>
    <w:p w:rsidR="00393E8A" w:rsidRDefault="00393E8A" w:rsidP="009871EB">
      <w:pPr>
        <w:spacing w:line="360" w:lineRule="auto"/>
        <w:ind w:left="360"/>
      </w:pPr>
    </w:p>
    <w:p w:rsidR="00393E8A" w:rsidRDefault="00393E8A" w:rsidP="009871EB">
      <w:pPr>
        <w:spacing w:line="360" w:lineRule="auto"/>
        <w:ind w:left="360"/>
      </w:pPr>
    </w:p>
    <w:p w:rsidR="00393E8A" w:rsidRDefault="00393E8A" w:rsidP="009871EB">
      <w:pPr>
        <w:spacing w:line="360" w:lineRule="auto"/>
        <w:ind w:left="360"/>
      </w:pPr>
    </w:p>
    <w:p w:rsidR="00393E8A" w:rsidRDefault="00393E8A" w:rsidP="009871EB">
      <w:pPr>
        <w:spacing w:line="360" w:lineRule="auto"/>
        <w:ind w:left="360"/>
      </w:pPr>
    </w:p>
    <w:p w:rsidR="00393E8A" w:rsidRDefault="00393E8A" w:rsidP="009871EB">
      <w:pPr>
        <w:spacing w:line="360" w:lineRule="auto"/>
        <w:ind w:left="360"/>
      </w:pPr>
    </w:p>
    <w:p w:rsidR="00393E8A" w:rsidRDefault="00393E8A" w:rsidP="009871EB">
      <w:pPr>
        <w:spacing w:line="360" w:lineRule="auto"/>
        <w:ind w:left="360"/>
      </w:pPr>
    </w:p>
    <w:p w:rsidR="00393E8A" w:rsidRDefault="00393E8A" w:rsidP="009871EB">
      <w:pPr>
        <w:spacing w:line="360" w:lineRule="auto"/>
        <w:ind w:left="360"/>
      </w:pPr>
    </w:p>
    <w:p w:rsidR="00393E8A" w:rsidRDefault="00393E8A" w:rsidP="009871EB">
      <w:pPr>
        <w:spacing w:line="360" w:lineRule="auto"/>
        <w:ind w:left="360"/>
      </w:pPr>
    </w:p>
    <w:p w:rsidR="00393E8A" w:rsidRDefault="00393E8A" w:rsidP="009871EB">
      <w:pPr>
        <w:spacing w:line="360" w:lineRule="auto"/>
        <w:ind w:left="360"/>
      </w:pPr>
    </w:p>
    <w:p w:rsidR="00393E8A" w:rsidRDefault="00393E8A" w:rsidP="009871EB">
      <w:pPr>
        <w:spacing w:line="360" w:lineRule="auto"/>
        <w:ind w:left="360"/>
      </w:pPr>
    </w:p>
    <w:p w:rsidR="00393E8A" w:rsidRDefault="00393E8A" w:rsidP="009871EB">
      <w:pPr>
        <w:spacing w:line="360" w:lineRule="auto"/>
        <w:ind w:left="360"/>
      </w:pPr>
    </w:p>
    <w:p w:rsidR="00393E8A" w:rsidRDefault="00393E8A" w:rsidP="009871EB">
      <w:pPr>
        <w:spacing w:line="360" w:lineRule="auto"/>
        <w:ind w:left="360"/>
      </w:pPr>
    </w:p>
    <w:p w:rsidR="00393E8A" w:rsidRDefault="00393E8A" w:rsidP="009871EB">
      <w:pPr>
        <w:spacing w:line="360" w:lineRule="auto"/>
        <w:ind w:left="360"/>
      </w:pPr>
      <w:r>
        <w:t>-------------------------------------------------------------------------------------------------</w:t>
      </w:r>
    </w:p>
    <w:p w:rsidR="00393E8A" w:rsidRDefault="00393E8A" w:rsidP="00393E8A">
      <w:pPr>
        <w:rPr>
          <w:rFonts w:eastAsia="Calibri"/>
          <w:color w:val="000000" w:themeColor="text1"/>
        </w:rPr>
      </w:pPr>
      <w:r w:rsidRPr="00BF30E5">
        <w:rPr>
          <w:rFonts w:eastAsia="Calibri"/>
          <w:color w:val="000000" w:themeColor="text1"/>
        </w:rPr>
        <w:t xml:space="preserve">*Correspondence to: </w:t>
      </w:r>
    </w:p>
    <w:p w:rsidR="00393E8A" w:rsidRDefault="00393E8A" w:rsidP="00393E8A">
      <w:pPr>
        <w:spacing w:line="360" w:lineRule="auto"/>
        <w:rPr>
          <w:rFonts w:eastAsia="Calibri"/>
          <w:color w:val="000000" w:themeColor="text1"/>
        </w:rPr>
      </w:pPr>
      <w:r w:rsidRPr="00BF30E5">
        <w:rPr>
          <w:rFonts w:eastAsia="Calibri"/>
          <w:color w:val="000000" w:themeColor="text1"/>
        </w:rPr>
        <w:t xml:space="preserve">Subrata Mallick </w:t>
      </w:r>
    </w:p>
    <w:p w:rsidR="00393E8A" w:rsidRDefault="00393E8A" w:rsidP="00393E8A">
      <w:pPr>
        <w:spacing w:line="360" w:lineRule="auto"/>
        <w:rPr>
          <w:rFonts w:eastAsia="Calibri"/>
          <w:color w:val="000000" w:themeColor="text1"/>
        </w:rPr>
      </w:pPr>
      <w:r w:rsidRPr="00007FF4">
        <w:t>School of Pharmaceutical Sciences, Siksha ‘O’ Anusandhan (Deemed to be University), Bhubaneswar 751003, Odisha, India.</w:t>
      </w:r>
    </w:p>
    <w:p w:rsidR="00393E8A" w:rsidRPr="00BF30E5" w:rsidRDefault="00393E8A" w:rsidP="00393E8A">
      <w:pPr>
        <w:spacing w:line="360" w:lineRule="auto"/>
        <w:rPr>
          <w:rFonts w:eastAsia="Calibri"/>
          <w:color w:val="000000" w:themeColor="text1"/>
        </w:rPr>
      </w:pPr>
      <w:r w:rsidRPr="00BF30E5">
        <w:rPr>
          <w:rFonts w:eastAsia="Calibri"/>
          <w:color w:val="000000" w:themeColor="text1"/>
        </w:rPr>
        <w:t>(Telephone: +91-67</w:t>
      </w:r>
      <w:r>
        <w:rPr>
          <w:rFonts w:eastAsia="Calibri"/>
          <w:color w:val="000000" w:themeColor="text1"/>
        </w:rPr>
        <w:t>4-2386209; fax: +91-674 2386271)</w:t>
      </w:r>
    </w:p>
    <w:p w:rsidR="00393E8A" w:rsidRDefault="00393E8A" w:rsidP="00393E8A">
      <w:pPr>
        <w:spacing w:line="360" w:lineRule="auto"/>
      </w:pPr>
      <w:r w:rsidRPr="00BF30E5">
        <w:rPr>
          <w:rFonts w:eastAsia="Calibri"/>
          <w:color w:val="000000" w:themeColor="text1"/>
        </w:rPr>
        <w:t xml:space="preserve">E-mail: profsmallick@gmail.com </w:t>
      </w:r>
    </w:p>
    <w:p w:rsidR="00E90C3A" w:rsidRPr="00007FF4" w:rsidRDefault="00E90C3A" w:rsidP="00393E8A">
      <w:pPr>
        <w:spacing w:line="360" w:lineRule="auto"/>
        <w:ind w:left="360"/>
      </w:pPr>
      <w:r w:rsidRPr="00007FF4">
        <w:t xml:space="preserve">sshota@rediffmail.com, </w:t>
      </w:r>
    </w:p>
    <w:p w:rsidR="00393E8A" w:rsidRDefault="00393E8A" w:rsidP="009871EB">
      <w:pPr>
        <w:spacing w:line="360" w:lineRule="auto"/>
      </w:pPr>
    </w:p>
    <w:p w:rsidR="003F49AC" w:rsidRPr="00007FF4" w:rsidRDefault="003F49AC" w:rsidP="009871EB">
      <w:pPr>
        <w:spacing w:line="360" w:lineRule="auto"/>
        <w:jc w:val="center"/>
        <w:rPr>
          <w:b/>
        </w:rPr>
      </w:pPr>
      <w:r w:rsidRPr="00007FF4">
        <w:rPr>
          <w:b/>
        </w:rPr>
        <w:lastRenderedPageBreak/>
        <w:t xml:space="preserve">Formulation and Evaluation of </w:t>
      </w:r>
      <w:r w:rsidR="005E680B" w:rsidRPr="00007FF4">
        <w:rPr>
          <w:b/>
        </w:rPr>
        <w:t>Multi-dose</w:t>
      </w:r>
      <w:r w:rsidRPr="00007FF4">
        <w:rPr>
          <w:b/>
        </w:rPr>
        <w:t xml:space="preserve"> Propofol </w:t>
      </w:r>
      <w:r w:rsidR="00121192" w:rsidRPr="00007FF4">
        <w:rPr>
          <w:b/>
        </w:rPr>
        <w:t>Nano-emulsion</w:t>
      </w:r>
      <w:r w:rsidRPr="00007FF4">
        <w:rPr>
          <w:b/>
        </w:rPr>
        <w:t xml:space="preserve"> Using Statistically Designed Experiments</w:t>
      </w:r>
    </w:p>
    <w:p w:rsidR="004E6FBD" w:rsidRPr="00007FF4" w:rsidRDefault="004545D6" w:rsidP="009871EB">
      <w:pPr>
        <w:spacing w:line="360" w:lineRule="auto"/>
        <w:rPr>
          <w:b/>
        </w:rPr>
      </w:pPr>
      <w:r w:rsidRPr="00007FF4">
        <w:rPr>
          <w:b/>
        </w:rPr>
        <w:t>A</w:t>
      </w:r>
      <w:r w:rsidR="007C09B5" w:rsidRPr="00007FF4">
        <w:rPr>
          <w:b/>
        </w:rPr>
        <w:t>bstract</w:t>
      </w:r>
    </w:p>
    <w:p w:rsidR="00C94E8E" w:rsidRPr="00D00B80" w:rsidRDefault="00C94E8E" w:rsidP="00393E8A">
      <w:pPr>
        <w:spacing w:after="240" w:line="360" w:lineRule="auto"/>
        <w:rPr>
          <w:color w:val="FF0000"/>
        </w:rPr>
      </w:pPr>
      <w:r w:rsidRPr="00007FF4">
        <w:t xml:space="preserve">Present work was undertaken to develop a stable multi-dose propofol nano-emulsion using the design of experiments. Propofol was incorporated in the mixture of disodium edetate, sodium oleate, thioglycerol, glycerol, egg lecithin, soyabean oil and medium chain triglyceride oil, and homogenization was continued </w:t>
      </w:r>
      <w:r w:rsidR="007B0AB1" w:rsidRPr="00007FF4">
        <w:t xml:space="preserve">at controlled temperature of 20 </w:t>
      </w:r>
      <w:r w:rsidR="007B0AB1" w:rsidRPr="00007FF4">
        <w:sym w:font="Symbol" w:char="F0B0"/>
      </w:r>
      <w:r w:rsidRPr="00007FF4">
        <w:t>C. As the egg lecithin is unstable and very much prone to microbial growth, it was added into the previously prepared solution containing antioxidant and preservatives. In the present research a 3</w:t>
      </w:r>
      <w:r w:rsidRPr="00D00B80">
        <w:rPr>
          <w:vertAlign w:val="superscript"/>
        </w:rPr>
        <w:t>2</w:t>
      </w:r>
      <w:r w:rsidRPr="00007FF4">
        <w:t xml:space="preserve"> full factorial design was used to optimize the homogenization process parameters. The product didn</w:t>
      </w:r>
      <w:r w:rsidR="00D00B80">
        <w:t>o</w:t>
      </w:r>
      <w:r w:rsidRPr="00007FF4">
        <w:t xml:space="preserve">t show any significant change in visible extraneous particulate matter, pH, osmolality, bacterial endo-toxin, sterility, assay and </w:t>
      </w:r>
      <w:r w:rsidR="00CC7FEE" w:rsidRPr="00007FF4">
        <w:t xml:space="preserve">impurities after exposing at 40 </w:t>
      </w:r>
      <w:r w:rsidR="00CC7FEE" w:rsidRPr="00007FF4">
        <w:sym w:font="Symbol" w:char="F0B0"/>
      </w:r>
      <w:r w:rsidRPr="00007FF4">
        <w:t xml:space="preserve">C for 3 and 6 months. The formulation on 90 minutes of homogenization at 800 bar pressure produced 174 nm particles with –53.6 mv zeta potential. </w:t>
      </w:r>
    </w:p>
    <w:p w:rsidR="003D1370" w:rsidRPr="00007FF4" w:rsidRDefault="003D1370" w:rsidP="00393E8A">
      <w:pPr>
        <w:spacing w:after="240" w:line="360" w:lineRule="auto"/>
      </w:pPr>
      <w:r w:rsidRPr="00007FF4">
        <w:rPr>
          <w:b/>
        </w:rPr>
        <w:t>Key words:</w:t>
      </w:r>
      <w:r w:rsidRPr="00007FF4">
        <w:t xml:space="preserve"> Homogenization, nano-emulsion, propofol, statistical design of experiment.</w:t>
      </w:r>
    </w:p>
    <w:p w:rsidR="00366577" w:rsidRPr="007C09B5" w:rsidRDefault="004545D6" w:rsidP="009871EB">
      <w:pPr>
        <w:pStyle w:val="ListParagraph"/>
        <w:numPr>
          <w:ilvl w:val="0"/>
          <w:numId w:val="30"/>
        </w:numPr>
        <w:spacing w:line="360" w:lineRule="auto"/>
        <w:jc w:val="center"/>
        <w:rPr>
          <w:b/>
        </w:rPr>
      </w:pPr>
      <w:r w:rsidRPr="007C09B5">
        <w:rPr>
          <w:b/>
        </w:rPr>
        <w:t>I</w:t>
      </w:r>
      <w:r w:rsidR="007C09B5" w:rsidRPr="007C09B5">
        <w:rPr>
          <w:b/>
        </w:rPr>
        <w:t>ntroduction</w:t>
      </w:r>
    </w:p>
    <w:p w:rsidR="004D76FB" w:rsidRPr="00007FF4" w:rsidRDefault="00FC58CA" w:rsidP="009871EB">
      <w:pPr>
        <w:spacing w:line="360" w:lineRule="auto"/>
        <w:contextualSpacing/>
        <w:rPr>
          <w:vertAlign w:val="superscript"/>
        </w:rPr>
      </w:pPr>
      <w:r w:rsidRPr="00007FF4">
        <w:t xml:space="preserve">From the time of World War–II, anesthesiology got its importance for induction in combat casualties. </w:t>
      </w:r>
      <w:r w:rsidR="000761FF" w:rsidRPr="00007FF4">
        <w:rPr>
          <w:lang w:val="en-IN"/>
        </w:rPr>
        <w:t>The core objectives in develop</w:t>
      </w:r>
      <w:r w:rsidR="000B1A66" w:rsidRPr="00007FF4">
        <w:rPr>
          <w:lang w:val="en-IN"/>
        </w:rPr>
        <w:t>ing</w:t>
      </w:r>
      <w:r w:rsidR="000761FF" w:rsidRPr="00007FF4">
        <w:rPr>
          <w:lang w:val="en-IN"/>
        </w:rPr>
        <w:t xml:space="preserve"> injectable formulation are solubility, stability, and systemic tolerability.</w:t>
      </w:r>
      <w:r w:rsidR="00F04908" w:rsidRPr="00007FF4">
        <w:rPr>
          <w:lang w:val="en-IN"/>
        </w:rPr>
        <w:t xml:space="preserve"> Osmolality is a potential factor for local </w:t>
      </w:r>
      <w:r w:rsidR="00B05592" w:rsidRPr="00007FF4">
        <w:rPr>
          <w:lang w:val="en-IN"/>
        </w:rPr>
        <w:t xml:space="preserve">tissue </w:t>
      </w:r>
      <w:r w:rsidR="00F04908" w:rsidRPr="00007FF4">
        <w:rPr>
          <w:lang w:val="en-IN"/>
        </w:rPr>
        <w:t>tolerability of an injectable drug product which would ideally be similar to that of the body fluid.</w:t>
      </w:r>
      <w:r w:rsidR="00F37F0B" w:rsidRPr="00007FF4">
        <w:t xml:space="preserve"> </w:t>
      </w:r>
      <w:r w:rsidRPr="00007FF4">
        <w:t xml:space="preserve">Propofol is </w:t>
      </w:r>
      <w:r w:rsidR="004152F1" w:rsidRPr="00007FF4">
        <w:t>widely used</w:t>
      </w:r>
      <w:r w:rsidR="00F37F0B" w:rsidRPr="00007FF4">
        <w:t xml:space="preserve"> for</w:t>
      </w:r>
      <w:r w:rsidRPr="00007FF4">
        <w:t xml:space="preserve"> anesthesia</w:t>
      </w:r>
      <w:r w:rsidR="00F638BA" w:rsidRPr="00007FF4">
        <w:rPr>
          <w:vertAlign w:val="superscript"/>
        </w:rPr>
        <w:t>1,</w:t>
      </w:r>
      <w:r w:rsidR="00CB60AA" w:rsidRPr="00007FF4">
        <w:rPr>
          <w:vertAlign w:val="superscript"/>
        </w:rPr>
        <w:t xml:space="preserve"> </w:t>
      </w:r>
      <w:r w:rsidR="00F638BA" w:rsidRPr="00007FF4">
        <w:rPr>
          <w:vertAlign w:val="superscript"/>
        </w:rPr>
        <w:t>2</w:t>
      </w:r>
      <w:r w:rsidR="00AF61F7" w:rsidRPr="00007FF4">
        <w:rPr>
          <w:vertAlign w:val="superscript"/>
        </w:rPr>
        <w:t>,28,29</w:t>
      </w:r>
      <w:r w:rsidR="00987049" w:rsidRPr="00007FF4">
        <w:t xml:space="preserve"> </w:t>
      </w:r>
      <w:r w:rsidR="0023782B" w:rsidRPr="00007FF4">
        <w:rPr>
          <w:bCs/>
        </w:rPr>
        <w:t>and at a reduced concentration anesthetics exhibit sedation</w:t>
      </w:r>
      <w:r w:rsidR="00216951" w:rsidRPr="00007FF4">
        <w:rPr>
          <w:bCs/>
        </w:rPr>
        <w:t xml:space="preserve">. </w:t>
      </w:r>
      <w:r w:rsidR="00BA66D9" w:rsidRPr="00007FF4">
        <w:t>H</w:t>
      </w:r>
      <w:r w:rsidRPr="00007FF4">
        <w:t>owever</w:t>
      </w:r>
      <w:r w:rsidR="00BA66D9" w:rsidRPr="00007FF4">
        <w:t>,</w:t>
      </w:r>
      <w:r w:rsidR="00C47A42" w:rsidRPr="00007FF4">
        <w:t xml:space="preserve"> </w:t>
      </w:r>
      <w:r w:rsidR="00BA66D9" w:rsidRPr="00007FF4">
        <w:t xml:space="preserve">propofol </w:t>
      </w:r>
      <w:r w:rsidR="00C47A42" w:rsidRPr="00007FF4">
        <w:t>is</w:t>
      </w:r>
      <w:r w:rsidRPr="00007FF4">
        <w:t xml:space="preserve"> associated with pain at the</w:t>
      </w:r>
      <w:r w:rsidR="00D311E5" w:rsidRPr="00007FF4">
        <w:t xml:space="preserve"> administration</w:t>
      </w:r>
      <w:r w:rsidRPr="00007FF4">
        <w:t xml:space="preserve"> site of </w:t>
      </w:r>
      <w:r w:rsidR="00D311E5" w:rsidRPr="00007FF4">
        <w:t xml:space="preserve">the </w:t>
      </w:r>
      <w:r w:rsidRPr="00007FF4">
        <w:t xml:space="preserve">intravenous (IV) injection which </w:t>
      </w:r>
      <w:r w:rsidR="00C71836" w:rsidRPr="00007FF4">
        <w:t>is the</w:t>
      </w:r>
      <w:r w:rsidRPr="00007FF4">
        <w:t xml:space="preserve"> </w:t>
      </w:r>
      <w:r w:rsidR="00D311E5" w:rsidRPr="00007FF4">
        <w:t>substantial</w:t>
      </w:r>
      <w:r w:rsidRPr="00007FF4">
        <w:t xml:space="preserve"> </w:t>
      </w:r>
      <w:r w:rsidR="00D311E5" w:rsidRPr="00007FF4">
        <w:t>setback</w:t>
      </w:r>
      <w:r w:rsidR="00C47A42" w:rsidRPr="00007FF4">
        <w:t xml:space="preserve"> in clinical anesthesiology </w:t>
      </w:r>
      <w:r w:rsidRPr="00007FF4">
        <w:t>for smooth induction of general anesthesia</w:t>
      </w:r>
      <w:r w:rsidR="005C3690" w:rsidRPr="00007FF4">
        <w:t>.</w:t>
      </w:r>
      <w:r w:rsidR="005C3690" w:rsidRPr="00007FF4">
        <w:rPr>
          <w:vertAlign w:val="superscript"/>
        </w:rPr>
        <w:t>3, 4</w:t>
      </w:r>
      <w:r w:rsidR="00670183" w:rsidRPr="00007FF4">
        <w:t xml:space="preserve"> </w:t>
      </w:r>
      <w:r w:rsidRPr="00007FF4">
        <w:t>To overcome this patient distress</w:t>
      </w:r>
      <w:r w:rsidR="00B77DB9" w:rsidRPr="00007FF4">
        <w:t>,</w:t>
      </w:r>
      <w:r w:rsidRPr="00007FF4">
        <w:t xml:space="preserve"> various strategies have been reported to </w:t>
      </w:r>
      <w:r w:rsidR="008213B2" w:rsidRPr="00007FF4">
        <w:t>diminish</w:t>
      </w:r>
      <w:r w:rsidRPr="00007FF4">
        <w:t xml:space="preserve"> the </w:t>
      </w:r>
      <w:r w:rsidR="008213B2" w:rsidRPr="00007FF4">
        <w:t xml:space="preserve">prevalence of pain by </w:t>
      </w:r>
      <w:r w:rsidR="008E4BD1" w:rsidRPr="00007FF4">
        <w:t xml:space="preserve">the </w:t>
      </w:r>
      <w:r w:rsidR="008213B2" w:rsidRPr="00007FF4">
        <w:t>addition of</w:t>
      </w:r>
      <w:r w:rsidRPr="00007FF4">
        <w:t xml:space="preserve"> lidocaine, pethidine, fentanyl, alfentanil, remifentanil, butorphanol, thiopental </w:t>
      </w:r>
      <w:r w:rsidR="008E4BD1" w:rsidRPr="00007FF4">
        <w:t xml:space="preserve">etc. </w:t>
      </w:r>
      <w:r w:rsidRPr="00007FF4">
        <w:t xml:space="preserve">to propofol but no </w:t>
      </w:r>
      <w:r w:rsidR="00534052" w:rsidRPr="00007FF4">
        <w:t>significant success</w:t>
      </w:r>
      <w:r w:rsidRPr="00007FF4">
        <w:t xml:space="preserve"> has </w:t>
      </w:r>
      <w:r w:rsidR="0047394F" w:rsidRPr="00007FF4">
        <w:t xml:space="preserve">yet </w:t>
      </w:r>
      <w:r w:rsidRPr="00007FF4">
        <w:t>been achieved</w:t>
      </w:r>
      <w:r w:rsidR="00307FE4" w:rsidRPr="00007FF4">
        <w:t>.</w:t>
      </w:r>
      <w:r w:rsidR="00BB0D10">
        <w:rPr>
          <w:vertAlign w:val="superscript"/>
        </w:rPr>
        <w:t>5-</w:t>
      </w:r>
      <w:r w:rsidR="00D57A87" w:rsidRPr="00007FF4">
        <w:rPr>
          <w:vertAlign w:val="superscript"/>
        </w:rPr>
        <w:t>7</w:t>
      </w:r>
      <w:r w:rsidR="00727172" w:rsidRPr="00007FF4">
        <w:rPr>
          <w:lang w:val="en-IN"/>
        </w:rPr>
        <w:t xml:space="preserve"> </w:t>
      </w:r>
      <w:r w:rsidR="009E7C86" w:rsidRPr="00007FF4">
        <w:rPr>
          <w:lang w:val="en-IN"/>
        </w:rPr>
        <w:t xml:space="preserve">The </w:t>
      </w:r>
      <w:r w:rsidR="009E7C86" w:rsidRPr="00007FF4">
        <w:t>induction needs a dose of 1-5 mg/kg and for the maintenance of a</w:t>
      </w:r>
      <w:r w:rsidR="00830598" w:rsidRPr="00007FF4">
        <w:t>nesthesia a dose of 50-250 mcg/K</w:t>
      </w:r>
      <w:r w:rsidR="009E7C86" w:rsidRPr="00007FF4">
        <w:t>g/min is required</w:t>
      </w:r>
      <w:r w:rsidR="00CC6E35" w:rsidRPr="00007FF4">
        <w:t xml:space="preserve"> to be infused</w:t>
      </w:r>
      <w:r w:rsidR="00420EE3" w:rsidRPr="00007FF4">
        <w:t xml:space="preserve"> </w:t>
      </w:r>
      <w:r w:rsidR="007161A0" w:rsidRPr="00007FF4">
        <w:t>for which</w:t>
      </w:r>
      <w:r w:rsidR="00420EE3" w:rsidRPr="00007FF4">
        <w:t xml:space="preserve"> a number of frequency of dosing may be required for the entire operation</w:t>
      </w:r>
      <w:r w:rsidR="00F33A8F" w:rsidRPr="00007FF4">
        <w:t xml:space="preserve"> period.</w:t>
      </w:r>
      <w:r w:rsidR="00F33A8F" w:rsidRPr="00007FF4">
        <w:rPr>
          <w:vertAlign w:val="superscript"/>
        </w:rPr>
        <w:t>8</w:t>
      </w:r>
      <w:r w:rsidR="0043270C" w:rsidRPr="00007FF4">
        <w:t xml:space="preserve"> </w:t>
      </w:r>
      <w:r w:rsidR="001C307F" w:rsidRPr="00007FF4">
        <w:t xml:space="preserve">Attempts were also taken to minimize the pain by increasing the rate of </w:t>
      </w:r>
      <w:r w:rsidR="00100E1F" w:rsidRPr="00007FF4">
        <w:t>infusion</w:t>
      </w:r>
      <w:r w:rsidR="001C307F" w:rsidRPr="00007FF4">
        <w:t xml:space="preserve"> </w:t>
      </w:r>
      <w:r w:rsidR="001C307F" w:rsidRPr="00007FF4">
        <w:lastRenderedPageBreak/>
        <w:t>at 2.5 to 5 ml every 5 seconds</w:t>
      </w:r>
      <w:r w:rsidR="00687268" w:rsidRPr="00007FF4">
        <w:t xml:space="preserve"> compared to </w:t>
      </w:r>
      <w:r w:rsidR="001C307F" w:rsidRPr="00007FF4">
        <w:t>the normal rate of infusion (20 drops/minute)</w:t>
      </w:r>
      <w:r w:rsidR="00FC204F" w:rsidRPr="00007FF4">
        <w:t xml:space="preserve"> but managing pain was still not possible</w:t>
      </w:r>
      <w:r w:rsidR="003E5CDC" w:rsidRPr="00007FF4">
        <w:t>.</w:t>
      </w:r>
      <w:r w:rsidR="00BB0D10">
        <w:rPr>
          <w:vertAlign w:val="superscript"/>
        </w:rPr>
        <w:t>9-</w:t>
      </w:r>
      <w:r w:rsidR="003E5CDC" w:rsidRPr="00007FF4">
        <w:rPr>
          <w:vertAlign w:val="superscript"/>
        </w:rPr>
        <w:t>11</w:t>
      </w:r>
    </w:p>
    <w:p w:rsidR="00C33D5C" w:rsidRPr="00007FF4" w:rsidRDefault="00CB745B" w:rsidP="009871EB">
      <w:pPr>
        <w:spacing w:line="360" w:lineRule="auto"/>
        <w:contextualSpacing/>
        <w:rPr>
          <w:vertAlign w:val="superscript"/>
          <w:lang w:val="en-IN"/>
        </w:rPr>
      </w:pPr>
      <w:r w:rsidRPr="00007FF4">
        <w:rPr>
          <w:lang w:val="en-IN"/>
        </w:rPr>
        <w:t>C</w:t>
      </w:r>
      <w:r w:rsidR="001C69F9" w:rsidRPr="00007FF4">
        <w:rPr>
          <w:lang w:val="en-IN"/>
        </w:rPr>
        <w:t xml:space="preserve">ommercially available propofol emulsions vary in particle </w:t>
      </w:r>
      <w:r w:rsidR="00DD5C58" w:rsidRPr="00007FF4">
        <w:rPr>
          <w:lang w:val="en-IN"/>
        </w:rPr>
        <w:t>size</w:t>
      </w:r>
      <w:r w:rsidR="007F73DD" w:rsidRPr="00007FF4">
        <w:rPr>
          <w:lang w:val="en-IN"/>
        </w:rPr>
        <w:t xml:space="preserve"> and lies somewhere around</w:t>
      </w:r>
      <w:r w:rsidR="00DD5C58" w:rsidRPr="00007FF4">
        <w:rPr>
          <w:lang w:val="en-IN"/>
        </w:rPr>
        <w:t xml:space="preserve"> 3</w:t>
      </w:r>
      <w:r w:rsidR="00AC1A6D" w:rsidRPr="00007FF4">
        <w:rPr>
          <w:lang w:val="en-IN"/>
        </w:rPr>
        <w:t>00</w:t>
      </w:r>
      <w:r w:rsidR="0059445B">
        <w:rPr>
          <w:lang w:val="en-IN"/>
        </w:rPr>
        <w:t xml:space="preserve"> </w:t>
      </w:r>
      <w:r w:rsidR="00AC1A6D" w:rsidRPr="00007FF4">
        <w:rPr>
          <w:lang w:val="en-IN"/>
        </w:rPr>
        <w:t>nm</w:t>
      </w:r>
      <w:r w:rsidR="000206B0" w:rsidRPr="00007FF4">
        <w:rPr>
          <w:lang w:val="en-IN"/>
        </w:rPr>
        <w:t>.</w:t>
      </w:r>
      <w:r w:rsidR="002F509A">
        <w:rPr>
          <w:vertAlign w:val="superscript"/>
          <w:lang w:val="en-IN"/>
        </w:rPr>
        <w:t>5,12,</w:t>
      </w:r>
      <w:r w:rsidR="000206B0" w:rsidRPr="00007FF4">
        <w:rPr>
          <w:vertAlign w:val="superscript"/>
          <w:lang w:val="en-IN"/>
        </w:rPr>
        <w:t>1</w:t>
      </w:r>
      <w:r w:rsidR="002F509A">
        <w:rPr>
          <w:vertAlign w:val="superscript"/>
          <w:lang w:val="en-IN"/>
        </w:rPr>
        <w:t>3</w:t>
      </w:r>
      <w:r w:rsidR="007650AB" w:rsidRPr="00007FF4">
        <w:rPr>
          <w:lang w:val="en-IN"/>
        </w:rPr>
        <w:t xml:space="preserve"> </w:t>
      </w:r>
      <w:r w:rsidR="007F73DD" w:rsidRPr="00007FF4">
        <w:rPr>
          <w:lang w:val="en-IN"/>
        </w:rPr>
        <w:t>Reduction in particle size of propofol may reduce pain upon its int</w:t>
      </w:r>
      <w:r w:rsidR="00AC1A6D" w:rsidRPr="00007FF4">
        <w:rPr>
          <w:lang w:val="en-IN"/>
        </w:rPr>
        <w:t>ravenous administration</w:t>
      </w:r>
      <w:r w:rsidR="00753AB5" w:rsidRPr="00007FF4">
        <w:rPr>
          <w:lang w:val="en-IN"/>
        </w:rPr>
        <w:t>.</w:t>
      </w:r>
      <w:r w:rsidR="00F710BE" w:rsidRPr="00007FF4">
        <w:rPr>
          <w:vertAlign w:val="superscript"/>
          <w:lang w:val="en-IN"/>
        </w:rPr>
        <w:t xml:space="preserve"> </w:t>
      </w:r>
      <w:r w:rsidR="00535C6D" w:rsidRPr="00007FF4">
        <w:rPr>
          <w:lang w:val="en-IN"/>
        </w:rPr>
        <w:t xml:space="preserve"> </w:t>
      </w:r>
      <w:r w:rsidR="009B4857" w:rsidRPr="00007FF4">
        <w:rPr>
          <w:lang w:val="en-IN"/>
        </w:rPr>
        <w:t xml:space="preserve">Particle size reduction </w:t>
      </w:r>
      <w:r w:rsidR="00F40D41" w:rsidRPr="00007FF4">
        <w:rPr>
          <w:lang w:val="en-IN"/>
        </w:rPr>
        <w:t>present</w:t>
      </w:r>
      <w:r w:rsidR="009B4857" w:rsidRPr="00007FF4">
        <w:rPr>
          <w:lang w:val="en-IN"/>
        </w:rPr>
        <w:t>ed</w:t>
      </w:r>
      <w:r w:rsidR="00F40D41" w:rsidRPr="00007FF4">
        <w:rPr>
          <w:lang w:val="en-IN"/>
        </w:rPr>
        <w:t xml:space="preserve"> lower</w:t>
      </w:r>
      <w:r w:rsidR="009B4857" w:rsidRPr="00007FF4">
        <w:rPr>
          <w:lang w:val="en-IN"/>
        </w:rPr>
        <w:t xml:space="preserve"> free fraction of propofol and a</w:t>
      </w:r>
      <w:r w:rsidR="00F40D41" w:rsidRPr="00007FF4">
        <w:rPr>
          <w:lang w:val="en-IN"/>
        </w:rPr>
        <w:t xml:space="preserve"> tendency</w:t>
      </w:r>
      <w:r w:rsidR="009B4857" w:rsidRPr="00007FF4">
        <w:rPr>
          <w:lang w:val="en-IN"/>
        </w:rPr>
        <w:t xml:space="preserve"> </w:t>
      </w:r>
      <w:r w:rsidR="00F40D41" w:rsidRPr="00007FF4">
        <w:rPr>
          <w:lang w:val="en-IN"/>
        </w:rPr>
        <w:t>to a lower incidence of pain.</w:t>
      </w:r>
      <w:r w:rsidR="002F509A">
        <w:rPr>
          <w:vertAlign w:val="superscript"/>
          <w:lang w:val="en-IN"/>
        </w:rPr>
        <w:t>14</w:t>
      </w:r>
      <w:r w:rsidR="00F40D41" w:rsidRPr="00007FF4">
        <w:rPr>
          <w:lang w:val="en-IN"/>
        </w:rPr>
        <w:t xml:space="preserve"> </w:t>
      </w:r>
      <w:r w:rsidR="0024754B" w:rsidRPr="00007FF4">
        <w:rPr>
          <w:lang w:val="en-IN"/>
        </w:rPr>
        <w:t xml:space="preserve">One of the strategies to fabricate </w:t>
      </w:r>
      <w:r w:rsidR="00853973" w:rsidRPr="00007FF4">
        <w:rPr>
          <w:lang w:val="en-IN"/>
        </w:rPr>
        <w:t>nano-sized drug particles which have</w:t>
      </w:r>
      <w:r w:rsidR="00F40D41" w:rsidRPr="00007FF4">
        <w:rPr>
          <w:lang w:val="en-IN"/>
        </w:rPr>
        <w:t xml:space="preserve"> created </w:t>
      </w:r>
      <w:r w:rsidR="0024754B" w:rsidRPr="00007FF4">
        <w:rPr>
          <w:lang w:val="en-IN"/>
        </w:rPr>
        <w:t>a lot of momentum in the recent past is top-down method like high pressure homogenization.</w:t>
      </w:r>
      <w:r w:rsidR="00AF22F9" w:rsidRPr="00007FF4">
        <w:rPr>
          <w:vertAlign w:val="superscript"/>
          <w:lang w:val="en-IN"/>
        </w:rPr>
        <w:t xml:space="preserve"> </w:t>
      </w:r>
    </w:p>
    <w:p w:rsidR="009871EB" w:rsidRDefault="0093517D" w:rsidP="009871EB">
      <w:pPr>
        <w:spacing w:line="360" w:lineRule="auto"/>
        <w:rPr>
          <w:lang w:val="en-IN"/>
        </w:rPr>
      </w:pPr>
      <w:r>
        <w:t>Li et al.</w:t>
      </w:r>
      <w:r w:rsidR="008F73E7">
        <w:t>,</w:t>
      </w:r>
      <w:r w:rsidR="004A0046">
        <w:t xml:space="preserve"> </w:t>
      </w:r>
      <w:r w:rsidR="004A0046" w:rsidRPr="00007FF4">
        <w:t xml:space="preserve">formulated </w:t>
      </w:r>
      <w:r w:rsidR="004A0046">
        <w:t>m</w:t>
      </w:r>
      <w:r w:rsidR="00C33D5C" w:rsidRPr="00007FF4">
        <w:t xml:space="preserve">icroemulsion </w:t>
      </w:r>
      <w:r w:rsidR="008E5568" w:rsidRPr="00007FF4">
        <w:t>using</w:t>
      </w:r>
      <w:r w:rsidR="00C33D5C" w:rsidRPr="00007FF4">
        <w:t xml:space="preserve"> pluronic F68, propylene glyc</w:t>
      </w:r>
      <w:r w:rsidR="003B2656" w:rsidRPr="00007FF4">
        <w:t>ol and saline</w:t>
      </w:r>
      <w:r w:rsidR="008E5568" w:rsidRPr="00007FF4">
        <w:t>,</w:t>
      </w:r>
      <w:r w:rsidR="003B2656" w:rsidRPr="00007FF4">
        <w:t xml:space="preserve"> </w:t>
      </w:r>
      <w:r w:rsidR="00C33D5C" w:rsidRPr="00007FF4">
        <w:t xml:space="preserve">and produced a </w:t>
      </w:r>
      <w:r w:rsidR="00C33D5C" w:rsidRPr="00007FF4">
        <w:rPr>
          <w:lang w:val="en-IN"/>
        </w:rPr>
        <w:t>droplet size of</w:t>
      </w:r>
      <w:r w:rsidR="0099311A">
        <w:rPr>
          <w:lang w:val="en-IN"/>
        </w:rPr>
        <w:t xml:space="preserve"> about</w:t>
      </w:r>
      <w:r w:rsidR="00C33D5C" w:rsidRPr="00007FF4">
        <w:rPr>
          <w:lang w:val="en-IN"/>
        </w:rPr>
        <w:t xml:space="preserve"> 300 nm</w:t>
      </w:r>
      <w:r w:rsidR="00BB0D10">
        <w:rPr>
          <w:lang w:val="en-IN"/>
        </w:rPr>
        <w:t>.</w:t>
      </w:r>
      <w:r w:rsidR="00967EF2">
        <w:rPr>
          <w:vertAlign w:val="superscript"/>
          <w:lang w:val="en-IN"/>
        </w:rPr>
        <w:t>13</w:t>
      </w:r>
      <w:r w:rsidR="00695D74" w:rsidRPr="00007FF4">
        <w:rPr>
          <w:vertAlign w:val="superscript"/>
          <w:lang w:val="en-IN"/>
        </w:rPr>
        <w:t xml:space="preserve"> </w:t>
      </w:r>
      <w:r w:rsidR="00695D74" w:rsidRPr="00007FF4">
        <w:rPr>
          <w:lang w:val="en-IN"/>
        </w:rPr>
        <w:t xml:space="preserve"> </w:t>
      </w:r>
      <w:r w:rsidR="0076019F" w:rsidRPr="00007FF4">
        <w:rPr>
          <w:lang w:val="en-IN"/>
        </w:rPr>
        <w:t xml:space="preserve">Ethyl butyrate </w:t>
      </w:r>
      <w:r w:rsidR="005D70AA" w:rsidRPr="00007FF4">
        <w:rPr>
          <w:lang w:val="en-IN"/>
        </w:rPr>
        <w:t xml:space="preserve">being </w:t>
      </w:r>
      <w:r w:rsidR="00CA742C" w:rsidRPr="00007FF4">
        <w:rPr>
          <w:lang w:val="en-IN"/>
        </w:rPr>
        <w:t>small</w:t>
      </w:r>
      <w:r w:rsidR="0076019F" w:rsidRPr="00007FF4">
        <w:rPr>
          <w:lang w:val="en-IN"/>
        </w:rPr>
        <w:t xml:space="preserve"> chai</w:t>
      </w:r>
      <w:r w:rsidR="00D9156B" w:rsidRPr="00007FF4">
        <w:rPr>
          <w:lang w:val="en-IN"/>
        </w:rPr>
        <w:t>n oil</w:t>
      </w:r>
      <w:r w:rsidR="0076019F" w:rsidRPr="00007FF4">
        <w:rPr>
          <w:lang w:val="en-IN"/>
        </w:rPr>
        <w:t xml:space="preserve"> show</w:t>
      </w:r>
      <w:r w:rsidR="00D9156B" w:rsidRPr="00007FF4">
        <w:rPr>
          <w:lang w:val="en-IN"/>
        </w:rPr>
        <w:t>ed</w:t>
      </w:r>
      <w:r w:rsidR="0076019F" w:rsidRPr="00007FF4">
        <w:rPr>
          <w:lang w:val="en-IN"/>
        </w:rPr>
        <w:t xml:space="preserve"> high</w:t>
      </w:r>
      <w:r w:rsidR="008A038E" w:rsidRPr="00007FF4">
        <w:rPr>
          <w:lang w:val="en-IN"/>
        </w:rPr>
        <w:t>er</w:t>
      </w:r>
      <w:r w:rsidR="0076019F" w:rsidRPr="00007FF4">
        <w:rPr>
          <w:lang w:val="en-IN"/>
        </w:rPr>
        <w:t xml:space="preserve"> drug </w:t>
      </w:r>
      <w:r w:rsidR="008A038E" w:rsidRPr="00007FF4">
        <w:rPr>
          <w:lang w:val="en-IN"/>
        </w:rPr>
        <w:t>release</w:t>
      </w:r>
      <w:r w:rsidR="0076019F" w:rsidRPr="00007FF4">
        <w:rPr>
          <w:lang w:val="en-IN"/>
        </w:rPr>
        <w:t xml:space="preserve"> but </w:t>
      </w:r>
      <w:r w:rsidR="008A038E" w:rsidRPr="00007FF4">
        <w:rPr>
          <w:lang w:val="en-IN"/>
        </w:rPr>
        <w:t>deprived</w:t>
      </w:r>
      <w:r w:rsidR="00CA742C" w:rsidRPr="00007FF4">
        <w:rPr>
          <w:lang w:val="en-IN"/>
        </w:rPr>
        <w:t xml:space="preserve"> stability, where as </w:t>
      </w:r>
      <w:r w:rsidR="0076019F" w:rsidRPr="00007FF4">
        <w:rPr>
          <w:lang w:val="en-IN"/>
        </w:rPr>
        <w:t>soybean oil</w:t>
      </w:r>
      <w:r w:rsidR="007B1C7E" w:rsidRPr="00007FF4">
        <w:rPr>
          <w:lang w:val="en-IN"/>
        </w:rPr>
        <w:t>,</w:t>
      </w:r>
      <w:r w:rsidR="006570BD" w:rsidRPr="00007FF4">
        <w:rPr>
          <w:lang w:val="en-IN"/>
        </w:rPr>
        <w:t xml:space="preserve"> a larger molecule</w:t>
      </w:r>
      <w:r w:rsidR="0076019F" w:rsidRPr="00007FF4">
        <w:rPr>
          <w:lang w:val="en-IN"/>
        </w:rPr>
        <w:t xml:space="preserve"> exhibit</w:t>
      </w:r>
      <w:r w:rsidR="00172F63" w:rsidRPr="00007FF4">
        <w:rPr>
          <w:lang w:val="en-IN"/>
        </w:rPr>
        <w:t>ed</w:t>
      </w:r>
      <w:r w:rsidR="00E521CF" w:rsidRPr="00007FF4">
        <w:rPr>
          <w:lang w:val="en-IN"/>
        </w:rPr>
        <w:t xml:space="preserve"> lower partitioning with</w:t>
      </w:r>
      <w:r w:rsidR="0076019F" w:rsidRPr="00007FF4">
        <w:rPr>
          <w:lang w:val="en-IN"/>
        </w:rPr>
        <w:t xml:space="preserve"> excellent emulsion stability. Propofol emulsions formulated with mixtures of ethyl butyrate and soybean oil were kinetically stable with reduced aqueous phase drug concentration</w:t>
      </w:r>
      <w:r w:rsidR="00A43935" w:rsidRPr="00007FF4">
        <w:rPr>
          <w:lang w:val="en-IN"/>
        </w:rPr>
        <w:t>.</w:t>
      </w:r>
      <w:r w:rsidR="00A43935" w:rsidRPr="00007FF4">
        <w:rPr>
          <w:vertAlign w:val="superscript"/>
          <w:lang w:val="en-IN"/>
        </w:rPr>
        <w:t>15</w:t>
      </w:r>
      <w:r w:rsidR="0037127A" w:rsidRPr="00007FF4">
        <w:rPr>
          <w:lang w:val="en-IN"/>
        </w:rPr>
        <w:t xml:space="preserve"> </w:t>
      </w:r>
      <w:r w:rsidR="00CD7855" w:rsidRPr="00007FF4">
        <w:t xml:space="preserve">Methylene blue might act locally by </w:t>
      </w:r>
      <w:r w:rsidR="00410651" w:rsidRPr="00007FF4">
        <w:t>avoiding</w:t>
      </w:r>
      <w:r w:rsidR="00CD7855" w:rsidRPr="00007FF4">
        <w:t xml:space="preserve"> the </w:t>
      </w:r>
      <w:r w:rsidR="00410651" w:rsidRPr="00007FF4">
        <w:t>liberation</w:t>
      </w:r>
      <w:r w:rsidR="00CD7855" w:rsidRPr="00007FF4">
        <w:t xml:space="preserve"> of bradykinin, </w:t>
      </w:r>
      <w:r w:rsidR="000E362B" w:rsidRPr="00007FF4">
        <w:t>dipping blood flow in the site</w:t>
      </w:r>
      <w:r w:rsidR="00CD7855" w:rsidRPr="00007FF4">
        <w:t xml:space="preserve"> on administration of Propofol</w:t>
      </w:r>
      <w:r w:rsidR="00F34C6A" w:rsidRPr="00007FF4">
        <w:t>.</w:t>
      </w:r>
      <w:r w:rsidR="00F34C6A" w:rsidRPr="00007FF4">
        <w:rPr>
          <w:vertAlign w:val="superscript"/>
        </w:rPr>
        <w:t>16</w:t>
      </w:r>
      <w:r w:rsidR="00F34C6A" w:rsidRPr="00007FF4">
        <w:t xml:space="preserve"> </w:t>
      </w:r>
      <w:r w:rsidR="00CD7855" w:rsidRPr="00007FF4">
        <w:t xml:space="preserve">A prior application of 50 mg of methylene blue or 40 mg of 2% lidocaine eased the pain </w:t>
      </w:r>
      <w:r w:rsidR="00B224E7" w:rsidRPr="00007FF4">
        <w:t>allied</w:t>
      </w:r>
      <w:r w:rsidR="00CD7855" w:rsidRPr="00007FF4">
        <w:t xml:space="preserve"> with </w:t>
      </w:r>
      <w:r w:rsidR="00AC1A6D" w:rsidRPr="00007FF4">
        <w:rPr>
          <w:lang w:val="en-IN"/>
        </w:rPr>
        <w:t>propofol injection</w:t>
      </w:r>
      <w:r w:rsidR="00780412" w:rsidRPr="00007FF4">
        <w:rPr>
          <w:lang w:val="en-IN"/>
        </w:rPr>
        <w:t>.</w:t>
      </w:r>
      <w:r w:rsidR="00780412" w:rsidRPr="00007FF4">
        <w:rPr>
          <w:vertAlign w:val="superscript"/>
          <w:lang w:val="en-IN"/>
        </w:rPr>
        <w:t>17</w:t>
      </w:r>
      <w:r w:rsidR="00C1373E" w:rsidRPr="00007FF4">
        <w:rPr>
          <w:lang w:val="en-IN"/>
        </w:rPr>
        <w:t xml:space="preserve"> </w:t>
      </w:r>
      <w:r w:rsidR="00A56910" w:rsidRPr="00007FF4">
        <w:rPr>
          <w:lang w:val="en-IN"/>
        </w:rPr>
        <w:t>In semifluorinated alkane perfluorohexyloctane (F6H8)</w:t>
      </w:r>
      <w:r w:rsidR="00A2660F" w:rsidRPr="00007FF4">
        <w:rPr>
          <w:lang w:val="en-IN"/>
        </w:rPr>
        <w:t>, propofol</w:t>
      </w:r>
      <w:r w:rsidR="00A56910" w:rsidRPr="00007FF4">
        <w:rPr>
          <w:lang w:val="en-IN"/>
        </w:rPr>
        <w:t xml:space="preserve"> has a very high (&gt;300 mg/ml) solubility.</w:t>
      </w:r>
      <w:r w:rsidR="00594693" w:rsidRPr="00007FF4">
        <w:rPr>
          <w:lang w:val="en-IN"/>
        </w:rPr>
        <w:t xml:space="preserve"> After an intravenous bolus injection of</w:t>
      </w:r>
      <w:r w:rsidR="00A56910" w:rsidRPr="00007FF4">
        <w:rPr>
          <w:lang w:val="en-IN"/>
        </w:rPr>
        <w:t xml:space="preserve"> F6H8-based emulsion</w:t>
      </w:r>
      <w:r w:rsidR="00A2660F" w:rsidRPr="00007FF4">
        <w:rPr>
          <w:lang w:val="en-IN"/>
        </w:rPr>
        <w:t xml:space="preserve"> (safe excipient in rats)</w:t>
      </w:r>
      <w:r w:rsidR="00A56910" w:rsidRPr="00007FF4">
        <w:rPr>
          <w:lang w:val="en-IN"/>
        </w:rPr>
        <w:t xml:space="preserve"> </w:t>
      </w:r>
      <w:r w:rsidR="00594693" w:rsidRPr="00007FF4">
        <w:rPr>
          <w:lang w:val="en-IN"/>
        </w:rPr>
        <w:t>of propofol in Wistar rats, t</w:t>
      </w:r>
      <w:r w:rsidR="00A56910" w:rsidRPr="00007FF4">
        <w:rPr>
          <w:lang w:val="en-IN"/>
        </w:rPr>
        <w:t>he pharmacokinetic parameters were evaluated</w:t>
      </w:r>
      <w:r w:rsidR="00594693" w:rsidRPr="00007FF4">
        <w:rPr>
          <w:lang w:val="en-IN"/>
        </w:rPr>
        <w:t>.</w:t>
      </w:r>
      <w:r w:rsidR="00A56910" w:rsidRPr="00007FF4">
        <w:rPr>
          <w:lang w:val="en-IN"/>
        </w:rPr>
        <w:t xml:space="preserve"> </w:t>
      </w:r>
      <w:r w:rsidR="00594693" w:rsidRPr="00007FF4">
        <w:rPr>
          <w:lang w:val="en-IN"/>
        </w:rPr>
        <w:t xml:space="preserve">No significant </w:t>
      </w:r>
      <w:r w:rsidR="00A41EE4" w:rsidRPr="00007FF4">
        <w:rPr>
          <w:lang w:val="en-IN"/>
        </w:rPr>
        <w:t>differences in pharmacokinetics and sedation properties were</w:t>
      </w:r>
      <w:r w:rsidR="00A2660F" w:rsidRPr="00007FF4">
        <w:rPr>
          <w:lang w:val="en-IN"/>
        </w:rPr>
        <w:t xml:space="preserve"> observed</w:t>
      </w:r>
      <w:r w:rsidR="00594693" w:rsidRPr="00007FF4">
        <w:rPr>
          <w:lang w:val="en-IN"/>
        </w:rPr>
        <w:t xml:space="preserve"> </w:t>
      </w:r>
      <w:r w:rsidR="00A2660F" w:rsidRPr="00007FF4">
        <w:rPr>
          <w:lang w:val="en-IN"/>
        </w:rPr>
        <w:t xml:space="preserve">on comparison </w:t>
      </w:r>
      <w:r w:rsidR="00594693" w:rsidRPr="00007FF4">
        <w:rPr>
          <w:lang w:val="en-IN"/>
        </w:rPr>
        <w:t>to a commerci</w:t>
      </w:r>
      <w:r w:rsidR="00AC1A6D" w:rsidRPr="00007FF4">
        <w:rPr>
          <w:lang w:val="en-IN"/>
        </w:rPr>
        <w:t>al soy-based propofol emulsion</w:t>
      </w:r>
      <w:r w:rsidR="00713E56" w:rsidRPr="00007FF4">
        <w:rPr>
          <w:lang w:val="en-IN"/>
        </w:rPr>
        <w:t>.</w:t>
      </w:r>
      <w:r w:rsidR="00713E56" w:rsidRPr="00007FF4">
        <w:rPr>
          <w:vertAlign w:val="superscript"/>
          <w:lang w:val="en-IN"/>
        </w:rPr>
        <w:t>18</w:t>
      </w:r>
      <w:r w:rsidR="004F310E" w:rsidRPr="00007FF4">
        <w:rPr>
          <w:lang w:val="en-IN"/>
        </w:rPr>
        <w:t xml:space="preserve"> </w:t>
      </w:r>
      <w:r w:rsidR="00BC1182" w:rsidRPr="00007FF4">
        <w:t xml:space="preserve">To decrease the </w:t>
      </w:r>
      <w:r w:rsidR="00A41EE4" w:rsidRPr="00007FF4">
        <w:t>amount</w:t>
      </w:r>
      <w:r w:rsidR="00BC1182" w:rsidRPr="00007FF4">
        <w:t xml:space="preserve"> of free propofol in the aqueous phase</w:t>
      </w:r>
      <w:r w:rsidR="00C1664E" w:rsidRPr="00007FF4">
        <w:t xml:space="preserve"> propofol </w:t>
      </w:r>
      <w:r w:rsidR="00C1664E" w:rsidRPr="00007FF4">
        <w:rPr>
          <w:lang w:val="en-IN"/>
        </w:rPr>
        <w:t>emulsions were fabricated</w:t>
      </w:r>
      <w:r w:rsidR="00BC1182" w:rsidRPr="00007FF4">
        <w:t xml:space="preserve"> with</w:t>
      </w:r>
      <w:r w:rsidR="00C1664E" w:rsidRPr="00007FF4">
        <w:t xml:space="preserve"> medium</w:t>
      </w:r>
      <w:r w:rsidR="00BC1182" w:rsidRPr="00007FF4">
        <w:t xml:space="preserve"> and long-chain triglyceride</w:t>
      </w:r>
      <w:r w:rsidR="00C1664E" w:rsidRPr="00007FF4">
        <w:t>s</w:t>
      </w:r>
      <w:r w:rsidR="00BC1182" w:rsidRPr="00007FF4">
        <w:t xml:space="preserve"> </w:t>
      </w:r>
      <w:r w:rsidR="00BC1182" w:rsidRPr="00007FF4">
        <w:rPr>
          <w:lang w:val="en-IN"/>
        </w:rPr>
        <w:t>(MCT/LCT)</w:t>
      </w:r>
      <w:r w:rsidR="004F310E" w:rsidRPr="00007FF4">
        <w:rPr>
          <w:lang w:val="en-IN"/>
        </w:rPr>
        <w:t>.</w:t>
      </w:r>
      <w:r w:rsidR="004F310E" w:rsidRPr="00007FF4">
        <w:rPr>
          <w:vertAlign w:val="superscript"/>
          <w:lang w:val="en-IN"/>
        </w:rPr>
        <w:t>19</w:t>
      </w:r>
      <w:r w:rsidR="00B16569" w:rsidRPr="00007FF4">
        <w:rPr>
          <w:lang w:val="en-IN"/>
        </w:rPr>
        <w:t xml:space="preserve"> </w:t>
      </w:r>
      <w:r w:rsidR="00BC1182" w:rsidRPr="00007FF4">
        <w:t xml:space="preserve">It was found that </w:t>
      </w:r>
      <w:r w:rsidR="00E23241" w:rsidRPr="00007FF4">
        <w:t>presence of lidocaine tempts</w:t>
      </w:r>
      <w:r w:rsidR="00BC1182" w:rsidRPr="00007FF4">
        <w:t xml:space="preserve"> instability of propofol emulsion and heating of a propofol product can </w:t>
      </w:r>
      <w:r w:rsidR="00C1664E" w:rsidRPr="00007FF4">
        <w:t>swiftly</w:t>
      </w:r>
      <w:r w:rsidR="00BC1182" w:rsidRPr="00007FF4">
        <w:t xml:space="preserve"> induce microbial growth. </w:t>
      </w:r>
      <w:r w:rsidR="00C1664E" w:rsidRPr="00007FF4">
        <w:t>The emulsion</w:t>
      </w:r>
      <w:r w:rsidR="00BC1182" w:rsidRPr="00007FF4">
        <w:t xml:space="preserve"> of propofol</w:t>
      </w:r>
      <w:r w:rsidR="00C1664E" w:rsidRPr="00007FF4">
        <w:t xml:space="preserve"> with</w:t>
      </w:r>
      <w:r w:rsidR="00BC1182" w:rsidRPr="00007FF4">
        <w:t xml:space="preserve"> MCT/LCT </w:t>
      </w:r>
      <w:r w:rsidR="00C1664E" w:rsidRPr="00007FF4">
        <w:t>was</w:t>
      </w:r>
      <w:r w:rsidR="00BC1182" w:rsidRPr="00007FF4">
        <w:t xml:space="preserve"> </w:t>
      </w:r>
      <w:r w:rsidR="001364B4" w:rsidRPr="00007FF4">
        <w:t>suggested</w:t>
      </w:r>
      <w:r w:rsidR="00C1664E" w:rsidRPr="00007FF4">
        <w:t xml:space="preserve"> </w:t>
      </w:r>
      <w:r w:rsidR="00BC1182" w:rsidRPr="00007FF4">
        <w:t xml:space="preserve">for </w:t>
      </w:r>
      <w:r w:rsidR="001364B4" w:rsidRPr="00007FF4">
        <w:t>lessening of pain on injection, as</w:t>
      </w:r>
      <w:r w:rsidR="00BC1182" w:rsidRPr="00007FF4">
        <w:t xml:space="preserve"> the </w:t>
      </w:r>
      <w:r w:rsidR="001364B4" w:rsidRPr="00007FF4">
        <w:t>concentration</w:t>
      </w:r>
      <w:r w:rsidR="00C1664E" w:rsidRPr="00007FF4">
        <w:t xml:space="preserve"> </w:t>
      </w:r>
      <w:r w:rsidR="001364B4" w:rsidRPr="00007FF4">
        <w:t>of free propofol was</w:t>
      </w:r>
      <w:r w:rsidR="00BC1182" w:rsidRPr="00007FF4">
        <w:t xml:space="preserve"> found to be </w:t>
      </w:r>
      <w:r w:rsidR="00D64BEA" w:rsidRPr="00007FF4">
        <w:t>considerably</w:t>
      </w:r>
      <w:r w:rsidR="00C1664E" w:rsidRPr="00007FF4">
        <w:t xml:space="preserve"> </w:t>
      </w:r>
      <w:r w:rsidR="0066247A" w:rsidRPr="00007FF4">
        <w:t>smaller (about</w:t>
      </w:r>
      <w:r w:rsidR="00BC1182" w:rsidRPr="00007FF4">
        <w:t xml:space="preserve"> 30–45</w:t>
      </w:r>
      <w:r w:rsidR="001258D2">
        <w:t xml:space="preserve"> </w:t>
      </w:r>
      <w:r w:rsidR="00BC1182" w:rsidRPr="00007FF4">
        <w:t>%) than those in</w:t>
      </w:r>
      <w:r w:rsidR="00AC1A6D" w:rsidRPr="00007FF4">
        <w:t xml:space="preserve"> the marketed samples</w:t>
      </w:r>
      <w:r w:rsidR="009C4EDB" w:rsidRPr="00007FF4">
        <w:t>.</w:t>
      </w:r>
      <w:r w:rsidR="009C4EDB" w:rsidRPr="00007FF4">
        <w:rPr>
          <w:vertAlign w:val="superscript"/>
        </w:rPr>
        <w:t>2,20</w:t>
      </w:r>
      <w:r w:rsidR="00B7560B" w:rsidRPr="00007FF4">
        <w:t xml:space="preserve"> </w:t>
      </w:r>
      <w:r w:rsidR="00550FAB" w:rsidRPr="00007FF4">
        <w:rPr>
          <w:lang w:val="en-IN"/>
        </w:rPr>
        <w:t>Transdermal or transmembrane propofol formulations with 1 wt</w:t>
      </w:r>
      <w:r w:rsidR="001258D2">
        <w:rPr>
          <w:lang w:val="en-IN"/>
        </w:rPr>
        <w:t xml:space="preserve"> </w:t>
      </w:r>
      <w:r w:rsidR="00550FAB" w:rsidRPr="00007FF4">
        <w:rPr>
          <w:lang w:val="en-IN"/>
        </w:rPr>
        <w:t xml:space="preserve">% propofol micro droplets were developed, in which the drug served as the oil phase. The microemulsion nanodroplets size was increased due to propofol, behaviour was unchanged. </w:t>
      </w:r>
      <w:r w:rsidR="002C75B1" w:rsidRPr="00007FF4">
        <w:rPr>
          <w:lang w:val="en-IN"/>
        </w:rPr>
        <w:t xml:space="preserve">Within the surfactant tails the solubilised propofol was well packed as </w:t>
      </w:r>
      <w:r w:rsidR="00E9050C" w:rsidRPr="00007FF4">
        <w:rPr>
          <w:lang w:val="en-IN"/>
        </w:rPr>
        <w:t>condensed</w:t>
      </w:r>
      <w:r w:rsidR="002C75B1" w:rsidRPr="00007FF4">
        <w:rPr>
          <w:lang w:val="en-IN"/>
        </w:rPr>
        <w:t xml:space="preserve"> oily phase</w:t>
      </w:r>
      <w:r w:rsidR="005258FF" w:rsidRPr="00007FF4">
        <w:rPr>
          <w:lang w:val="en-IN"/>
        </w:rPr>
        <w:t>.</w:t>
      </w:r>
      <w:r w:rsidR="005258FF" w:rsidRPr="00007FF4">
        <w:rPr>
          <w:vertAlign w:val="superscript"/>
          <w:lang w:val="en-IN"/>
        </w:rPr>
        <w:t>21</w:t>
      </w:r>
      <w:r w:rsidR="0002597D" w:rsidRPr="00007FF4">
        <w:rPr>
          <w:lang w:val="en-IN"/>
        </w:rPr>
        <w:t xml:space="preserve"> </w:t>
      </w:r>
      <w:r w:rsidR="00EA7755" w:rsidRPr="00007FF4">
        <w:rPr>
          <w:lang w:val="en-IN"/>
        </w:rPr>
        <w:t xml:space="preserve">Rapid dissolution of the propofol emulsion could be a factor in pain caused </w:t>
      </w:r>
      <w:r w:rsidR="00EA7755" w:rsidRPr="00007FF4">
        <w:rPr>
          <w:lang w:val="en-IN"/>
        </w:rPr>
        <w:lastRenderedPageBreak/>
        <w:t>by the interaction of the d</w:t>
      </w:r>
      <w:r w:rsidR="00AC1A6D" w:rsidRPr="00007FF4">
        <w:rPr>
          <w:lang w:val="en-IN"/>
        </w:rPr>
        <w:t>rug with the surrounding tissue</w:t>
      </w:r>
      <w:r w:rsidR="0002597D" w:rsidRPr="00007FF4">
        <w:rPr>
          <w:lang w:val="en-IN"/>
        </w:rPr>
        <w:t>.</w:t>
      </w:r>
      <w:r w:rsidR="00532462" w:rsidRPr="00007FF4">
        <w:rPr>
          <w:vertAlign w:val="superscript"/>
          <w:lang w:val="en-IN"/>
        </w:rPr>
        <w:t>15</w:t>
      </w:r>
      <w:r w:rsidR="0002597D" w:rsidRPr="00007FF4">
        <w:rPr>
          <w:lang w:val="en-IN"/>
        </w:rPr>
        <w:t xml:space="preserve"> </w:t>
      </w:r>
      <w:r w:rsidR="006D3D98" w:rsidRPr="00007FF4">
        <w:rPr>
          <w:lang w:val="en-IN"/>
        </w:rPr>
        <w:t>Reduction</w:t>
      </w:r>
      <w:r w:rsidR="00F1774B" w:rsidRPr="00007FF4">
        <w:t xml:space="preserve"> </w:t>
      </w:r>
      <w:r w:rsidR="009931E6" w:rsidRPr="00007FF4">
        <w:t>of</w:t>
      </w:r>
      <w:r w:rsidR="00F1774B" w:rsidRPr="00007FF4">
        <w:t xml:space="preserve"> </w:t>
      </w:r>
      <w:r w:rsidR="009931E6" w:rsidRPr="00007FF4">
        <w:t>pain in</w:t>
      </w:r>
      <w:r w:rsidR="007F7E13" w:rsidRPr="00007FF4">
        <w:t xml:space="preserve"> </w:t>
      </w:r>
      <w:r w:rsidR="007F7E13" w:rsidRPr="00007FF4">
        <w:rPr>
          <w:lang w:val="en-IN"/>
        </w:rPr>
        <w:t>Laryngeal Mask Airway (</w:t>
      </w:r>
      <w:r w:rsidR="007F7E13" w:rsidRPr="00007FF4">
        <w:t>LMA) insertion facilitation was observed with rapid administration of propofol</w:t>
      </w:r>
      <w:r w:rsidR="00532462" w:rsidRPr="00007FF4">
        <w:t>.</w:t>
      </w:r>
      <w:r w:rsidR="00532462" w:rsidRPr="00007FF4">
        <w:rPr>
          <w:vertAlign w:val="superscript"/>
        </w:rPr>
        <w:t>22</w:t>
      </w:r>
      <w:r w:rsidR="00B31E18" w:rsidRPr="00007FF4">
        <w:t xml:space="preserve"> </w:t>
      </w:r>
      <w:r w:rsidR="00FB01B5" w:rsidRPr="00007FF4">
        <w:t xml:space="preserve">It was evident from a </w:t>
      </w:r>
      <w:r w:rsidR="00FB01B5" w:rsidRPr="00007FF4">
        <w:rPr>
          <w:lang w:val="en-IN"/>
        </w:rPr>
        <w:t xml:space="preserve">randomized double-blind </w:t>
      </w:r>
      <w:r w:rsidR="00FB01B5" w:rsidRPr="00007FF4">
        <w:t>clinical trial that pain on injection was reduced with small particle size lipid emulsion of propofol</w:t>
      </w:r>
      <w:r w:rsidR="00532462" w:rsidRPr="00007FF4">
        <w:t>.</w:t>
      </w:r>
      <w:r w:rsidR="00532462" w:rsidRPr="00007FF4">
        <w:rPr>
          <w:vertAlign w:val="superscript"/>
        </w:rPr>
        <w:t>23</w:t>
      </w:r>
      <w:r w:rsidR="003C6A4E" w:rsidRPr="00007FF4">
        <w:t xml:space="preserve"> </w:t>
      </w:r>
      <w:r w:rsidR="001B55D6" w:rsidRPr="00007FF4">
        <w:rPr>
          <w:lang w:val="en-IN"/>
        </w:rPr>
        <w:t xml:space="preserve">The innovator product (Diprivan, Astra Zeneca) contains propofol, </w:t>
      </w:r>
      <w:r w:rsidR="001B55D6" w:rsidRPr="00007FF4">
        <w:t>soybean oil, glycerol, egg lecithin, and disodium edetate; with sodium hydroxide to adjust pH. Attempts had also been taken to formulate the injectable adding other t</w:t>
      </w:r>
      <w:r w:rsidR="00FA266E" w:rsidRPr="00007FF4">
        <w:t>riglycerides and phospholipids</w:t>
      </w:r>
      <w:r w:rsidR="00917CA2" w:rsidRPr="00007FF4">
        <w:t>.</w:t>
      </w:r>
      <w:r w:rsidR="00BB0D10">
        <w:rPr>
          <w:vertAlign w:val="superscript"/>
        </w:rPr>
        <w:t>24-</w:t>
      </w:r>
      <w:r w:rsidR="00917CA2" w:rsidRPr="00007FF4">
        <w:rPr>
          <w:vertAlign w:val="superscript"/>
        </w:rPr>
        <w:t>26</w:t>
      </w:r>
      <w:r w:rsidR="009871EB">
        <w:rPr>
          <w:lang w:val="en-IN"/>
        </w:rPr>
        <w:t xml:space="preserve"> </w:t>
      </w:r>
    </w:p>
    <w:p w:rsidR="00F81275" w:rsidRDefault="00C658F7" w:rsidP="009871EB">
      <w:pPr>
        <w:spacing w:line="360" w:lineRule="auto"/>
        <w:rPr>
          <w:lang w:val="en-IN"/>
        </w:rPr>
      </w:pPr>
      <w:r w:rsidRPr="00007FF4">
        <w:rPr>
          <w:lang w:val="en-IN"/>
        </w:rPr>
        <w:t xml:space="preserve">This led the present research work to </w:t>
      </w:r>
      <w:r w:rsidR="00837ED7" w:rsidRPr="00007FF4">
        <w:rPr>
          <w:lang w:val="en-IN"/>
        </w:rPr>
        <w:t>develop a formulation with nano</w:t>
      </w:r>
      <w:r w:rsidR="00960593" w:rsidRPr="00007FF4">
        <w:rPr>
          <w:lang w:val="en-IN"/>
        </w:rPr>
        <w:t>-</w:t>
      </w:r>
      <w:r w:rsidR="00837ED7" w:rsidRPr="00007FF4">
        <w:rPr>
          <w:lang w:val="en-IN"/>
        </w:rPr>
        <w:t>size</w:t>
      </w:r>
      <w:r w:rsidR="003831B9" w:rsidRPr="00007FF4">
        <w:rPr>
          <w:lang w:val="en-IN"/>
        </w:rPr>
        <w:t>d propofol</w:t>
      </w:r>
      <w:r w:rsidR="00837ED7" w:rsidRPr="00007FF4">
        <w:rPr>
          <w:lang w:val="en-IN"/>
        </w:rPr>
        <w:t xml:space="preserve">, assuming that the smaller </w:t>
      </w:r>
      <w:r w:rsidR="00960593" w:rsidRPr="00007FF4">
        <w:rPr>
          <w:lang w:val="en-IN"/>
        </w:rPr>
        <w:t>particles</w:t>
      </w:r>
      <w:r w:rsidR="00837ED7" w:rsidRPr="00007FF4">
        <w:rPr>
          <w:lang w:val="en-IN"/>
        </w:rPr>
        <w:t xml:space="preserve"> will cause less p</w:t>
      </w:r>
      <w:r w:rsidR="00D9684F" w:rsidRPr="00007FF4">
        <w:rPr>
          <w:lang w:val="en-IN"/>
        </w:rPr>
        <w:t>ain</w:t>
      </w:r>
      <w:r w:rsidR="003831B9" w:rsidRPr="00007FF4">
        <w:rPr>
          <w:lang w:val="en-IN"/>
        </w:rPr>
        <w:t xml:space="preserve"> a</w:t>
      </w:r>
      <w:r w:rsidR="00D9684F" w:rsidRPr="00007FF4">
        <w:rPr>
          <w:lang w:val="en-IN"/>
        </w:rPr>
        <w:t>nd a multi-dose</w:t>
      </w:r>
      <w:r w:rsidR="0024754B" w:rsidRPr="00007FF4">
        <w:rPr>
          <w:lang w:val="en-IN"/>
        </w:rPr>
        <w:t xml:space="preserve"> (properly preserved against microbial contamination)</w:t>
      </w:r>
      <w:r w:rsidR="00D637BB" w:rsidRPr="00007FF4">
        <w:rPr>
          <w:vertAlign w:val="superscript"/>
          <w:lang w:val="en-IN"/>
        </w:rPr>
        <w:t>27</w:t>
      </w:r>
      <w:r w:rsidR="00250724" w:rsidRPr="00007FF4">
        <w:rPr>
          <w:lang w:val="en-IN"/>
        </w:rPr>
        <w:t xml:space="preserve"> </w:t>
      </w:r>
      <w:r w:rsidR="00D9684F" w:rsidRPr="00007FF4">
        <w:rPr>
          <w:lang w:val="en-IN"/>
        </w:rPr>
        <w:t>pack</w:t>
      </w:r>
      <w:r w:rsidR="00837ED7" w:rsidRPr="00007FF4">
        <w:rPr>
          <w:lang w:val="en-IN"/>
        </w:rPr>
        <w:t xml:space="preserve"> can help the easy maintenance of administration to the patients </w:t>
      </w:r>
      <w:r w:rsidR="00D92A1C" w:rsidRPr="00007FF4">
        <w:rPr>
          <w:lang w:val="en-IN"/>
        </w:rPr>
        <w:t xml:space="preserve">over </w:t>
      </w:r>
      <w:r w:rsidR="00837ED7" w:rsidRPr="00007FF4">
        <w:rPr>
          <w:lang w:val="en-IN"/>
        </w:rPr>
        <w:t>a period of time.</w:t>
      </w:r>
      <w:r w:rsidR="006360E1" w:rsidRPr="00007FF4">
        <w:rPr>
          <w:lang w:val="en-IN"/>
        </w:rPr>
        <w:t xml:space="preserve"> </w:t>
      </w:r>
    </w:p>
    <w:p w:rsidR="007C09B5" w:rsidRDefault="007C09B5" w:rsidP="009871EB">
      <w:pPr>
        <w:pStyle w:val="ListParagraph"/>
        <w:numPr>
          <w:ilvl w:val="0"/>
          <w:numId w:val="30"/>
        </w:numPr>
        <w:spacing w:line="360" w:lineRule="auto"/>
        <w:jc w:val="center"/>
        <w:rPr>
          <w:b/>
        </w:rPr>
      </w:pPr>
      <w:r>
        <w:rPr>
          <w:b/>
        </w:rPr>
        <w:t>Experimental</w:t>
      </w:r>
    </w:p>
    <w:p w:rsidR="008F1503" w:rsidRPr="007C09B5" w:rsidRDefault="007C09B5" w:rsidP="009871EB">
      <w:pPr>
        <w:pStyle w:val="ListParagraph"/>
        <w:numPr>
          <w:ilvl w:val="1"/>
          <w:numId w:val="31"/>
        </w:numPr>
        <w:spacing w:line="360" w:lineRule="auto"/>
        <w:ind w:left="720" w:hanging="720"/>
        <w:rPr>
          <w:b/>
        </w:rPr>
      </w:pPr>
      <w:r>
        <w:rPr>
          <w:b/>
        </w:rPr>
        <w:t xml:space="preserve"> </w:t>
      </w:r>
      <w:r w:rsidR="00E551DE" w:rsidRPr="007C09B5">
        <w:rPr>
          <w:b/>
        </w:rPr>
        <w:t>M</w:t>
      </w:r>
      <w:r w:rsidRPr="007C09B5">
        <w:rPr>
          <w:b/>
        </w:rPr>
        <w:t>aterials</w:t>
      </w:r>
    </w:p>
    <w:p w:rsidR="00E21A9C" w:rsidRPr="00007FF4" w:rsidRDefault="00E551DE" w:rsidP="009871EB">
      <w:pPr>
        <w:spacing w:line="360" w:lineRule="auto"/>
      </w:pPr>
      <w:r w:rsidRPr="00007FF4">
        <w:t>Propofol</w:t>
      </w:r>
      <w:r w:rsidR="00E21A9C" w:rsidRPr="00007FF4">
        <w:t xml:space="preserve"> was </w:t>
      </w:r>
      <w:r w:rsidR="000B5E00" w:rsidRPr="00007FF4">
        <w:t xml:space="preserve">received as </w:t>
      </w:r>
      <w:r w:rsidR="00E21A9C" w:rsidRPr="00007FF4">
        <w:t>a kind gift</w:t>
      </w:r>
      <w:r w:rsidR="000B5E00" w:rsidRPr="00007FF4">
        <w:t xml:space="preserve"> sample from</w:t>
      </w:r>
      <w:r w:rsidR="00E21A9C" w:rsidRPr="00007FF4">
        <w:t xml:space="preserve"> Themis Medicare, Gujarat, India. Soybean oil (Lipoid purified soybean oil 700), MCT (medium chain triglycerides) oil, Egg lecithin (Lipoid E80), </w:t>
      </w:r>
      <w:r w:rsidR="008C6B19" w:rsidRPr="00007FF4">
        <w:t xml:space="preserve">and </w:t>
      </w:r>
      <w:r w:rsidR="00054459" w:rsidRPr="00007FF4">
        <w:t>s</w:t>
      </w:r>
      <w:r w:rsidR="00E21A9C" w:rsidRPr="00007FF4">
        <w:t xml:space="preserve">odium Oleate (Lipoid Sodium Oleate B) were </w:t>
      </w:r>
      <w:r w:rsidR="008C6B19" w:rsidRPr="00007FF4">
        <w:t>collected from</w:t>
      </w:r>
      <w:r w:rsidR="00E21A9C" w:rsidRPr="00007FF4">
        <w:t xml:space="preserve"> Lipoid GMBH, Germany</w:t>
      </w:r>
      <w:r w:rsidR="009277D4" w:rsidRPr="00007FF4">
        <w:t xml:space="preserve">. </w:t>
      </w:r>
      <w:r w:rsidR="00E21A9C" w:rsidRPr="00007FF4">
        <w:t>Glycerol</w:t>
      </w:r>
      <w:r w:rsidR="008C6B19" w:rsidRPr="00007FF4">
        <w:t>s</w:t>
      </w:r>
      <w:r w:rsidR="00054459" w:rsidRPr="00007FF4">
        <w:t>, thioglycerol, benzyl alcohol, disodium edetate, s</w:t>
      </w:r>
      <w:r w:rsidR="00E21A9C" w:rsidRPr="00007FF4">
        <w:t xml:space="preserve">odium hydroxide </w:t>
      </w:r>
      <w:r w:rsidR="001225E2" w:rsidRPr="00007FF4">
        <w:t>were</w:t>
      </w:r>
      <w:r w:rsidR="00E21A9C" w:rsidRPr="00007FF4">
        <w:t xml:space="preserve"> sourced from Sigma Aldrich / Merck India. </w:t>
      </w:r>
      <w:r w:rsidR="00C1407E" w:rsidRPr="00007FF4">
        <w:t xml:space="preserve">Capsule and membrane filters were from Millipore, India. </w:t>
      </w:r>
      <w:r w:rsidR="0088506D" w:rsidRPr="00007FF4">
        <w:t>Clear tubular</w:t>
      </w:r>
      <w:r w:rsidR="00E21A9C" w:rsidRPr="00007FF4">
        <w:t xml:space="preserve"> glass vial</w:t>
      </w:r>
      <w:r w:rsidR="0088506D" w:rsidRPr="00007FF4">
        <w:t>s were</w:t>
      </w:r>
      <w:r w:rsidR="00026118" w:rsidRPr="00007FF4">
        <w:t xml:space="preserve"> procured</w:t>
      </w:r>
      <w:r w:rsidR="00E21A9C" w:rsidRPr="00007FF4">
        <w:t xml:space="preserve"> from Schott Kaisha, India and Bromobutyl stoppers were from West Pharma, Singapore. Freshly prepared double distilled </w:t>
      </w:r>
      <w:r w:rsidR="00355F1A" w:rsidRPr="00007FF4">
        <w:t>water</w:t>
      </w:r>
      <w:r w:rsidR="00E21A9C" w:rsidRPr="00007FF4">
        <w:t xml:space="preserve"> was used whenever required. All other reagents used were of analytic grade.  </w:t>
      </w:r>
    </w:p>
    <w:p w:rsidR="009871EB" w:rsidRPr="009871EB" w:rsidRDefault="009871EB" w:rsidP="009871EB">
      <w:pPr>
        <w:pStyle w:val="ListParagraph"/>
        <w:numPr>
          <w:ilvl w:val="1"/>
          <w:numId w:val="31"/>
        </w:numPr>
        <w:spacing w:line="360" w:lineRule="auto"/>
        <w:ind w:left="720" w:hanging="720"/>
        <w:rPr>
          <w:b/>
        </w:rPr>
      </w:pPr>
      <w:r w:rsidRPr="009871EB">
        <w:rPr>
          <w:b/>
        </w:rPr>
        <w:t>Formulation Development and Optimization</w:t>
      </w:r>
    </w:p>
    <w:p w:rsidR="004E59FE" w:rsidRPr="00007FF4" w:rsidRDefault="00F1445E" w:rsidP="009871EB">
      <w:pPr>
        <w:spacing w:line="360" w:lineRule="auto"/>
      </w:pPr>
      <w:r w:rsidRPr="00007FF4">
        <w:t>Preliminary s</w:t>
      </w:r>
      <w:r w:rsidR="000C61AE" w:rsidRPr="00007FF4">
        <w:t>tudies were performed to characterize the active and inactive substances for their various physicochemical properties. Solubility and compatibility of th</w:t>
      </w:r>
      <w:r w:rsidR="005D298F" w:rsidRPr="00007FF4">
        <w:t>e drug with other excipients were</w:t>
      </w:r>
      <w:r w:rsidR="000C61AE" w:rsidRPr="00007FF4">
        <w:t xml:space="preserve"> determined. </w:t>
      </w:r>
      <w:r w:rsidR="004E59FE" w:rsidRPr="00007FF4">
        <w:t>The drug substance was thoroughly mixed with each of the excipients (except sodium hydroxide) in 1:1 ratio and were exposed at 50</w:t>
      </w:r>
      <w:r w:rsidR="00044506" w:rsidRPr="00007FF4">
        <w:t xml:space="preserve"> </w:t>
      </w:r>
      <w:r w:rsidR="00A256E8" w:rsidRPr="00007FF4">
        <w:rPr>
          <w:bCs/>
          <w:vertAlign w:val="superscript"/>
        </w:rPr>
        <w:sym w:font="Symbol" w:char="F06F"/>
      </w:r>
      <w:r w:rsidR="00A256E8" w:rsidRPr="00007FF4">
        <w:rPr>
          <w:bCs/>
        </w:rPr>
        <w:t>C</w:t>
      </w:r>
      <w:r w:rsidR="004E59FE" w:rsidRPr="00007FF4">
        <w:t xml:space="preserve"> for 2 weeks and observed for any change due to the impa</w:t>
      </w:r>
      <w:r w:rsidR="008F0EE7" w:rsidRPr="00007FF4">
        <w:t>ct of temperature and humidity.</w:t>
      </w:r>
    </w:p>
    <w:p w:rsidR="004E59FE" w:rsidRPr="00007FF4" w:rsidRDefault="00F64B7C" w:rsidP="009871EB">
      <w:pPr>
        <w:tabs>
          <w:tab w:val="left" w:pos="1215"/>
        </w:tabs>
        <w:spacing w:line="360" w:lineRule="auto"/>
        <w:rPr>
          <w:bCs/>
        </w:rPr>
      </w:pPr>
      <w:r w:rsidRPr="00007FF4">
        <w:t>The entire work was carried out in a Class–100 area, under the LAF (Lamellar Air Flow</w:t>
      </w:r>
      <w:r w:rsidR="004E57D6" w:rsidRPr="00007FF4">
        <w:t>, Accumax</w:t>
      </w:r>
      <w:r w:rsidR="00B72E3D" w:rsidRPr="00007FF4">
        <w:t>,</w:t>
      </w:r>
      <w:r w:rsidR="004E57D6" w:rsidRPr="00007FF4">
        <w:t xml:space="preserve"> India</w:t>
      </w:r>
      <w:r w:rsidRPr="00007FF4">
        <w:t>) cabinet, pre fumigated with H</w:t>
      </w:r>
      <w:r w:rsidRPr="00007FF4">
        <w:rPr>
          <w:vertAlign w:val="subscript"/>
        </w:rPr>
        <w:t>2</w:t>
      </w:r>
      <w:r w:rsidRPr="00007FF4">
        <w:t>O</w:t>
      </w:r>
      <w:r w:rsidRPr="00007FF4">
        <w:rPr>
          <w:vertAlign w:val="subscript"/>
        </w:rPr>
        <w:t>2</w:t>
      </w:r>
      <w:r w:rsidRPr="00007FF4">
        <w:t>. All the containers and accessories were autoclaved at 121</w:t>
      </w:r>
      <w:r w:rsidR="0085545D" w:rsidRPr="00007FF4">
        <w:t xml:space="preserve"> </w:t>
      </w:r>
      <w:r w:rsidR="0085545D" w:rsidRPr="00007FF4">
        <w:sym w:font="Symbol" w:char="F0B0"/>
      </w:r>
      <w:r w:rsidR="00A256E8" w:rsidRPr="00007FF4">
        <w:rPr>
          <w:bCs/>
        </w:rPr>
        <w:t>C</w:t>
      </w:r>
      <w:r w:rsidRPr="00007FF4">
        <w:t xml:space="preserve">, 15lb pressure for 45 </w:t>
      </w:r>
      <w:r w:rsidR="009801F7" w:rsidRPr="00007FF4">
        <w:t>min</w:t>
      </w:r>
      <w:r w:rsidRPr="00007FF4">
        <w:t xml:space="preserve"> prior to use. </w:t>
      </w:r>
      <w:r w:rsidR="004E59FE" w:rsidRPr="00007FF4">
        <w:rPr>
          <w:bCs/>
        </w:rPr>
        <w:t xml:space="preserve">The dissolution of each and every </w:t>
      </w:r>
      <w:r w:rsidR="000C498C" w:rsidRPr="00007FF4">
        <w:rPr>
          <w:bCs/>
        </w:rPr>
        <w:t xml:space="preserve">formulation </w:t>
      </w:r>
      <w:r w:rsidR="004E59FE" w:rsidRPr="00007FF4">
        <w:rPr>
          <w:bCs/>
        </w:rPr>
        <w:t>ingredient</w:t>
      </w:r>
      <w:r w:rsidR="00001360" w:rsidRPr="00007FF4">
        <w:rPr>
          <w:bCs/>
        </w:rPr>
        <w:t xml:space="preserve"> </w:t>
      </w:r>
      <w:r w:rsidR="004E59FE" w:rsidRPr="00007FF4">
        <w:rPr>
          <w:bCs/>
        </w:rPr>
        <w:lastRenderedPageBreak/>
        <w:t>was checked. The speed of stirring, temperature and time were recorded.</w:t>
      </w:r>
      <w:r w:rsidR="00F50DE0" w:rsidRPr="00007FF4">
        <w:rPr>
          <w:bCs/>
        </w:rPr>
        <w:t xml:space="preserve"> </w:t>
      </w:r>
      <w:r w:rsidR="004E59FE" w:rsidRPr="00007FF4">
        <w:rPr>
          <w:bCs/>
        </w:rPr>
        <w:t xml:space="preserve">The </w:t>
      </w:r>
      <w:r w:rsidR="0085545D" w:rsidRPr="00007FF4">
        <w:rPr>
          <w:bCs/>
        </w:rPr>
        <w:t xml:space="preserve">manufacturing </w:t>
      </w:r>
      <w:r w:rsidR="004E59FE" w:rsidRPr="00007FF4">
        <w:rPr>
          <w:bCs/>
        </w:rPr>
        <w:t xml:space="preserve">temperature was fixed by observing the solubility of </w:t>
      </w:r>
      <w:r w:rsidR="00C41277" w:rsidRPr="00007FF4">
        <w:rPr>
          <w:bCs/>
        </w:rPr>
        <w:t>p</w:t>
      </w:r>
      <w:r w:rsidR="004E59FE" w:rsidRPr="00007FF4">
        <w:rPr>
          <w:bCs/>
        </w:rPr>
        <w:t>ropofol.</w:t>
      </w:r>
      <w:r w:rsidR="00C41277" w:rsidRPr="00007FF4">
        <w:rPr>
          <w:bCs/>
        </w:rPr>
        <w:t xml:space="preserve"> </w:t>
      </w:r>
      <w:r w:rsidR="004E59FE" w:rsidRPr="00007FF4">
        <w:rPr>
          <w:bCs/>
        </w:rPr>
        <w:t>The formulation pH was observed by checking the pH at each step with reference to pH drift studies performed by adjusting the pH of the bulk to differen</w:t>
      </w:r>
      <w:r w:rsidR="00777BCC" w:rsidRPr="00007FF4">
        <w:rPr>
          <w:bCs/>
        </w:rPr>
        <w:t>t pH values within the range.</w:t>
      </w:r>
    </w:p>
    <w:p w:rsidR="00F64B7C" w:rsidRPr="00007FF4" w:rsidRDefault="004351F8" w:rsidP="009871EB">
      <w:pPr>
        <w:tabs>
          <w:tab w:val="left" w:pos="1215"/>
        </w:tabs>
        <w:spacing w:line="360" w:lineRule="auto"/>
        <w:rPr>
          <w:bCs/>
        </w:rPr>
      </w:pPr>
      <w:r w:rsidRPr="00007FF4">
        <w:rPr>
          <w:bCs/>
        </w:rPr>
        <w:t xml:space="preserve">After execution of several trials of </w:t>
      </w:r>
      <w:r w:rsidR="00BF38F5" w:rsidRPr="00007FF4">
        <w:t xml:space="preserve">process temperature, homogenization time, formulation stability and microbial attributes </w:t>
      </w:r>
      <w:r w:rsidR="00241D05" w:rsidRPr="00007FF4">
        <w:rPr>
          <w:bCs/>
        </w:rPr>
        <w:t>the</w:t>
      </w:r>
      <w:r w:rsidR="00401165" w:rsidRPr="00007FF4">
        <w:rPr>
          <w:bCs/>
        </w:rPr>
        <w:t xml:space="preserve"> optimize</w:t>
      </w:r>
      <w:r w:rsidR="00241D05" w:rsidRPr="00007FF4">
        <w:rPr>
          <w:bCs/>
        </w:rPr>
        <w:t xml:space="preserve">d formulation </w:t>
      </w:r>
      <w:r w:rsidR="00750C58" w:rsidRPr="00007FF4">
        <w:rPr>
          <w:bCs/>
        </w:rPr>
        <w:t xml:space="preserve">was finalized </w:t>
      </w:r>
      <w:r w:rsidR="00241D05" w:rsidRPr="00007FF4">
        <w:rPr>
          <w:bCs/>
        </w:rPr>
        <w:t>with</w:t>
      </w:r>
      <w:r w:rsidR="00BF74EF" w:rsidRPr="00007FF4">
        <w:rPr>
          <w:bCs/>
        </w:rPr>
        <w:t xml:space="preserve"> the inactive ingredients </w:t>
      </w:r>
      <w:r w:rsidR="0030321A" w:rsidRPr="00007FF4">
        <w:rPr>
          <w:bCs/>
        </w:rPr>
        <w:t xml:space="preserve">as: </w:t>
      </w:r>
      <w:r w:rsidR="00DF5DF9" w:rsidRPr="00007FF4">
        <w:rPr>
          <w:bCs/>
        </w:rPr>
        <w:t>s</w:t>
      </w:r>
      <w:r w:rsidR="00401165" w:rsidRPr="00007FF4">
        <w:rPr>
          <w:bCs/>
        </w:rPr>
        <w:t>oyabean oil</w:t>
      </w:r>
      <w:r w:rsidR="00275283" w:rsidRPr="00007FF4">
        <w:rPr>
          <w:bCs/>
        </w:rPr>
        <w:t xml:space="preserve"> </w:t>
      </w:r>
      <w:r w:rsidR="00275283" w:rsidRPr="00007FF4">
        <w:t>(50</w:t>
      </w:r>
      <w:r w:rsidR="0006323D" w:rsidRPr="00007FF4">
        <w:t xml:space="preserve"> </w:t>
      </w:r>
      <w:r w:rsidR="00275283" w:rsidRPr="00007FF4">
        <w:t>mg/mL), MCT oil (50</w:t>
      </w:r>
      <w:r w:rsidR="00DC118D" w:rsidRPr="00007FF4">
        <w:t xml:space="preserve"> </w:t>
      </w:r>
      <w:r w:rsidR="00275283" w:rsidRPr="00007FF4">
        <w:t xml:space="preserve">mg/mL), </w:t>
      </w:r>
      <w:r w:rsidR="00DF5DF9" w:rsidRPr="00007FF4">
        <w:t>e</w:t>
      </w:r>
      <w:r w:rsidR="00401165" w:rsidRPr="00007FF4">
        <w:t>gg lecithin</w:t>
      </w:r>
      <w:r w:rsidR="00275283" w:rsidRPr="00007FF4">
        <w:t xml:space="preserve"> (13</w:t>
      </w:r>
      <w:r w:rsidR="00DC118D" w:rsidRPr="00007FF4">
        <w:t xml:space="preserve"> </w:t>
      </w:r>
      <w:r w:rsidR="00275283" w:rsidRPr="00007FF4">
        <w:t>mg/mL),</w:t>
      </w:r>
      <w:r w:rsidR="00401165" w:rsidRPr="00007FF4">
        <w:t xml:space="preserve"> </w:t>
      </w:r>
      <w:r w:rsidR="00DF5DF9" w:rsidRPr="00007FF4">
        <w:t>s</w:t>
      </w:r>
      <w:r w:rsidR="00401165" w:rsidRPr="00007FF4">
        <w:t>odium oleate</w:t>
      </w:r>
      <w:r w:rsidR="00275283" w:rsidRPr="00007FF4">
        <w:t xml:space="preserve"> (0.52</w:t>
      </w:r>
      <w:r w:rsidR="0006323D" w:rsidRPr="00007FF4">
        <w:t xml:space="preserve"> </w:t>
      </w:r>
      <w:r w:rsidR="00275283" w:rsidRPr="00007FF4">
        <w:t>mg/mL),</w:t>
      </w:r>
      <w:r w:rsidR="00401165" w:rsidRPr="00007FF4">
        <w:t xml:space="preserve"> </w:t>
      </w:r>
      <w:r w:rsidR="00DF5DF9" w:rsidRPr="00007FF4">
        <w:t>g</w:t>
      </w:r>
      <w:r w:rsidR="00401165" w:rsidRPr="00007FF4">
        <w:t>lycerol</w:t>
      </w:r>
      <w:r w:rsidR="00275283" w:rsidRPr="00007FF4">
        <w:t xml:space="preserve"> (22.5 mg/mL),</w:t>
      </w:r>
      <w:r w:rsidR="00401165" w:rsidRPr="00007FF4">
        <w:t xml:space="preserve"> </w:t>
      </w:r>
      <w:r w:rsidR="00DF5DF9" w:rsidRPr="00007FF4">
        <w:t>b</w:t>
      </w:r>
      <w:r w:rsidR="00401165" w:rsidRPr="00007FF4">
        <w:t>enzyl alcohol</w:t>
      </w:r>
      <w:r w:rsidR="00275283" w:rsidRPr="00007FF4">
        <w:t xml:space="preserve"> (1 mg/mL),</w:t>
      </w:r>
      <w:r w:rsidR="00401165" w:rsidRPr="00007FF4">
        <w:t xml:space="preserve"> </w:t>
      </w:r>
      <w:r w:rsidR="00DF5DF9" w:rsidRPr="00007FF4">
        <w:t>d</w:t>
      </w:r>
      <w:r w:rsidR="00401165" w:rsidRPr="00007FF4">
        <w:t xml:space="preserve">isodium </w:t>
      </w:r>
      <w:r w:rsidR="007A11F9" w:rsidRPr="00007FF4">
        <w:t>ede</w:t>
      </w:r>
      <w:r w:rsidR="00275283" w:rsidRPr="00007FF4">
        <w:t>tate (0.05 mg/mL),</w:t>
      </w:r>
      <w:r w:rsidR="00401165" w:rsidRPr="00007FF4">
        <w:t xml:space="preserve"> </w:t>
      </w:r>
      <w:r w:rsidR="00DF5DF9" w:rsidRPr="00007FF4">
        <w:t>and t</w:t>
      </w:r>
      <w:r w:rsidR="00401165" w:rsidRPr="00007FF4">
        <w:t>hioglycerol</w:t>
      </w:r>
      <w:r w:rsidR="00275283" w:rsidRPr="00007FF4">
        <w:t xml:space="preserve"> (1 mg/mL)</w:t>
      </w:r>
      <w:r w:rsidR="00D20513" w:rsidRPr="00007FF4">
        <w:t>.</w:t>
      </w:r>
      <w:r w:rsidR="00533D1D" w:rsidRPr="00007FF4">
        <w:t xml:space="preserve"> </w:t>
      </w:r>
      <w:r w:rsidR="00AE1AAE" w:rsidRPr="00007FF4">
        <w:rPr>
          <w:bCs/>
        </w:rPr>
        <w:t xml:space="preserve">Disodium edetate, sodium oleate, </w:t>
      </w:r>
      <w:r w:rsidR="00F45A5C" w:rsidRPr="00007FF4">
        <w:rPr>
          <w:bCs/>
        </w:rPr>
        <w:t>thioglycerol, g</w:t>
      </w:r>
      <w:r w:rsidR="00F8100F" w:rsidRPr="00007FF4">
        <w:rPr>
          <w:bCs/>
        </w:rPr>
        <w:t>lycerol and Egg lecithin were added</w:t>
      </w:r>
      <w:r w:rsidR="00447BDE" w:rsidRPr="00007FF4">
        <w:rPr>
          <w:bCs/>
        </w:rPr>
        <w:t xml:space="preserve"> to </w:t>
      </w:r>
      <w:r w:rsidR="00355F1A" w:rsidRPr="00007FF4">
        <w:rPr>
          <w:bCs/>
        </w:rPr>
        <w:t>water</w:t>
      </w:r>
      <w:r w:rsidR="00447BDE" w:rsidRPr="00007FF4">
        <w:rPr>
          <w:bCs/>
        </w:rPr>
        <w:t xml:space="preserve"> at about 20</w:t>
      </w:r>
      <w:r w:rsidR="006848CB" w:rsidRPr="00007FF4">
        <w:rPr>
          <w:bCs/>
        </w:rPr>
        <w:t xml:space="preserve"> </w:t>
      </w:r>
      <w:r w:rsidR="00447BDE" w:rsidRPr="00007FF4">
        <w:rPr>
          <w:bCs/>
          <w:vertAlign w:val="superscript"/>
        </w:rPr>
        <w:sym w:font="Symbol" w:char="F06F"/>
      </w:r>
      <w:r w:rsidR="00447BDE" w:rsidRPr="00007FF4">
        <w:rPr>
          <w:bCs/>
        </w:rPr>
        <w:t xml:space="preserve">C </w:t>
      </w:r>
      <w:r w:rsidR="00F8100F" w:rsidRPr="00007FF4">
        <w:rPr>
          <w:bCs/>
        </w:rPr>
        <w:t xml:space="preserve">and stirred for 10 </w:t>
      </w:r>
      <w:r w:rsidR="009801F7" w:rsidRPr="00007FF4">
        <w:rPr>
          <w:bCs/>
        </w:rPr>
        <w:t>min</w:t>
      </w:r>
      <w:r w:rsidR="00F8100F" w:rsidRPr="00007FF4">
        <w:rPr>
          <w:bCs/>
        </w:rPr>
        <w:t xml:space="preserve"> with an overhead stirrer and filtered using a 0.45 micron PVDF filter (Durapore, Millipore).</w:t>
      </w:r>
      <w:r w:rsidR="003C4A61" w:rsidRPr="00007FF4">
        <w:rPr>
          <w:bCs/>
        </w:rPr>
        <w:t xml:space="preserve"> </w:t>
      </w:r>
      <w:r w:rsidR="00F8100F" w:rsidRPr="00007FF4">
        <w:rPr>
          <w:bCs/>
        </w:rPr>
        <w:t xml:space="preserve">Soyabean oil and MCT oil were mixed with an overhead stirrer for 5 </w:t>
      </w:r>
      <w:r w:rsidR="009801F7" w:rsidRPr="00007FF4">
        <w:rPr>
          <w:bCs/>
        </w:rPr>
        <w:t>min</w:t>
      </w:r>
      <w:r w:rsidR="00F8100F" w:rsidRPr="00007FF4">
        <w:rPr>
          <w:bCs/>
        </w:rPr>
        <w:t xml:space="preserve"> in a separate beaker and </w:t>
      </w:r>
      <w:r w:rsidR="00534052" w:rsidRPr="00007FF4">
        <w:rPr>
          <w:bCs/>
        </w:rPr>
        <w:t>p</w:t>
      </w:r>
      <w:r w:rsidR="00F8100F" w:rsidRPr="00007FF4">
        <w:rPr>
          <w:bCs/>
        </w:rPr>
        <w:t>ropofol</w:t>
      </w:r>
      <w:r w:rsidR="00075DCA" w:rsidRPr="00007FF4">
        <w:rPr>
          <w:bCs/>
        </w:rPr>
        <w:t xml:space="preserve"> (10 mg/mL)</w:t>
      </w:r>
      <w:r w:rsidR="00F8100F" w:rsidRPr="00007FF4">
        <w:rPr>
          <w:bCs/>
        </w:rPr>
        <w:t xml:space="preserve"> was added </w:t>
      </w:r>
      <w:r w:rsidR="00B31C3E" w:rsidRPr="00007FF4">
        <w:rPr>
          <w:bCs/>
        </w:rPr>
        <w:t xml:space="preserve">to it </w:t>
      </w:r>
      <w:r w:rsidR="00F8100F" w:rsidRPr="00007FF4">
        <w:rPr>
          <w:bCs/>
        </w:rPr>
        <w:t xml:space="preserve">and mixed further for 5 </w:t>
      </w:r>
      <w:r w:rsidR="009801F7" w:rsidRPr="00007FF4">
        <w:rPr>
          <w:bCs/>
        </w:rPr>
        <w:t>min</w:t>
      </w:r>
      <w:r w:rsidR="0045594D" w:rsidRPr="00007FF4">
        <w:t>.</w:t>
      </w:r>
      <w:r w:rsidR="00F8100F" w:rsidRPr="00007FF4">
        <w:rPr>
          <w:bCs/>
        </w:rPr>
        <w:t xml:space="preserve"> Both these phases were mixed for 5 </w:t>
      </w:r>
      <w:r w:rsidR="009801F7" w:rsidRPr="00007FF4">
        <w:rPr>
          <w:bCs/>
        </w:rPr>
        <w:t>min</w:t>
      </w:r>
      <w:r w:rsidR="00F8100F" w:rsidRPr="00007FF4">
        <w:rPr>
          <w:bCs/>
        </w:rPr>
        <w:t xml:space="preserve"> and </w:t>
      </w:r>
      <w:r w:rsidR="002E1855" w:rsidRPr="00007FF4">
        <w:t>sodium hydroxide was added for pH adjustm</w:t>
      </w:r>
      <w:r w:rsidR="00FE2FDB" w:rsidRPr="00007FF4">
        <w:t>ent to 6.5. Then</w:t>
      </w:r>
      <w:r w:rsidR="002E1855" w:rsidRPr="00007FF4">
        <w:t xml:space="preserve"> </w:t>
      </w:r>
      <w:r w:rsidR="00F8100F" w:rsidRPr="00007FF4">
        <w:rPr>
          <w:bCs/>
        </w:rPr>
        <w:t xml:space="preserve">homogenized </w:t>
      </w:r>
      <w:r w:rsidR="00BC63FE" w:rsidRPr="00007FF4">
        <w:rPr>
          <w:bCs/>
        </w:rPr>
        <w:t>using</w:t>
      </w:r>
      <w:r w:rsidR="00F8100F" w:rsidRPr="00007FF4">
        <w:rPr>
          <w:bCs/>
        </w:rPr>
        <w:t xml:space="preserve"> the Lab scale homogenizer (Lark Ultrasonic Cell Crusher</w:t>
      </w:r>
      <w:r w:rsidR="00FC4171" w:rsidRPr="00007FF4">
        <w:rPr>
          <w:bCs/>
        </w:rPr>
        <w:t>, India</w:t>
      </w:r>
      <w:r w:rsidR="00F8100F" w:rsidRPr="00007FF4">
        <w:rPr>
          <w:bCs/>
        </w:rPr>
        <w:t xml:space="preserve">) until </w:t>
      </w:r>
      <w:r w:rsidR="007205A2" w:rsidRPr="00007FF4">
        <w:rPr>
          <w:bCs/>
        </w:rPr>
        <w:t>it was filterable through the</w:t>
      </w:r>
      <w:r w:rsidR="008310EA" w:rsidRPr="00007FF4">
        <w:rPr>
          <w:bCs/>
        </w:rPr>
        <w:t xml:space="preserve"> 0.22 micron PVDF filter (Durapore, Millipore)</w:t>
      </w:r>
      <w:r w:rsidR="00F8100F" w:rsidRPr="00007FF4">
        <w:rPr>
          <w:bCs/>
        </w:rPr>
        <w:t>. Throughout the process, the temperature was maintained at about 25</w:t>
      </w:r>
      <w:r w:rsidR="00EF65C1" w:rsidRPr="00007FF4">
        <w:rPr>
          <w:bCs/>
        </w:rPr>
        <w:t xml:space="preserve"> </w:t>
      </w:r>
      <w:r w:rsidR="00534052" w:rsidRPr="00007FF4">
        <w:rPr>
          <w:bCs/>
        </w:rPr>
        <w:t>°</w:t>
      </w:r>
      <w:r w:rsidR="00F8100F" w:rsidRPr="00007FF4">
        <w:rPr>
          <w:bCs/>
        </w:rPr>
        <w:t xml:space="preserve">C. </w:t>
      </w:r>
      <w:r w:rsidR="00206A54" w:rsidRPr="00007FF4">
        <w:rPr>
          <w:bCs/>
        </w:rPr>
        <w:t xml:space="preserve">The laboratory scale </w:t>
      </w:r>
      <w:r w:rsidR="005D0F00" w:rsidRPr="00007FF4">
        <w:rPr>
          <w:bCs/>
        </w:rPr>
        <w:t>optimized process was</w:t>
      </w:r>
      <w:r w:rsidR="00206A54" w:rsidRPr="00007FF4">
        <w:rPr>
          <w:bCs/>
        </w:rPr>
        <w:t xml:space="preserve"> executed in triplicate for reproducibility and to monitor the robustness of the formulae and process with confirmation of various analytical parameters.</w:t>
      </w:r>
    </w:p>
    <w:p w:rsidR="00C35F8C" w:rsidRPr="00007FF4" w:rsidRDefault="00F643FB" w:rsidP="009871EB">
      <w:pPr>
        <w:spacing w:line="360" w:lineRule="auto"/>
        <w:rPr>
          <w:bCs/>
        </w:rPr>
      </w:pPr>
      <w:r w:rsidRPr="00007FF4">
        <w:rPr>
          <w:bCs/>
        </w:rPr>
        <w:t>S</w:t>
      </w:r>
      <w:r w:rsidR="00036B7F" w:rsidRPr="00007FF4">
        <w:rPr>
          <w:bCs/>
        </w:rPr>
        <w:t>cale up of the</w:t>
      </w:r>
      <w:r w:rsidR="00FC4171" w:rsidRPr="00007FF4">
        <w:rPr>
          <w:bCs/>
        </w:rPr>
        <w:t xml:space="preserve"> manufacturing process</w:t>
      </w:r>
      <w:r w:rsidR="00F50DE0" w:rsidRPr="00007FF4">
        <w:rPr>
          <w:bCs/>
        </w:rPr>
        <w:t xml:space="preserve"> </w:t>
      </w:r>
      <w:r w:rsidR="000F584A" w:rsidRPr="00007FF4">
        <w:rPr>
          <w:bCs/>
        </w:rPr>
        <w:t xml:space="preserve">of </w:t>
      </w:r>
      <w:r w:rsidR="005568CC" w:rsidRPr="00007FF4">
        <w:rPr>
          <w:bCs/>
        </w:rPr>
        <w:t>the optimized batch</w:t>
      </w:r>
      <w:r w:rsidR="000F584A" w:rsidRPr="00007FF4">
        <w:rPr>
          <w:bCs/>
        </w:rPr>
        <w:t xml:space="preserve"> </w:t>
      </w:r>
      <w:r w:rsidRPr="00007FF4">
        <w:rPr>
          <w:bCs/>
        </w:rPr>
        <w:t xml:space="preserve">was carried out </w:t>
      </w:r>
      <w:r w:rsidR="00036B7F" w:rsidRPr="00007FF4">
        <w:rPr>
          <w:bCs/>
        </w:rPr>
        <w:t xml:space="preserve">in a </w:t>
      </w:r>
      <w:r w:rsidRPr="00007FF4">
        <w:rPr>
          <w:bCs/>
        </w:rPr>
        <w:t>class-100 area (room temperature 20±2</w:t>
      </w:r>
      <w:r w:rsidR="001258D2">
        <w:rPr>
          <w:bCs/>
        </w:rPr>
        <w:t xml:space="preserve"> </w:t>
      </w:r>
      <w:r w:rsidR="000B4C05" w:rsidRPr="00007FF4">
        <w:rPr>
          <w:bCs/>
        </w:rPr>
        <w:sym w:font="Symbol" w:char="F0B0"/>
      </w:r>
      <w:r w:rsidRPr="00007FF4">
        <w:rPr>
          <w:bCs/>
        </w:rPr>
        <w:t>C) using large scale equipments, e</w:t>
      </w:r>
      <w:r w:rsidR="00EA663F" w:rsidRPr="00007FF4">
        <w:rPr>
          <w:bCs/>
        </w:rPr>
        <w:t>.</w:t>
      </w:r>
      <w:r w:rsidRPr="00007FF4">
        <w:rPr>
          <w:bCs/>
        </w:rPr>
        <w:t xml:space="preserve">g., mixing/pressure vessels, homogenizer (Goma, India), cooling jackets, vertical stirrers, filling and sealing machines. </w:t>
      </w:r>
      <w:r w:rsidR="003E4A1B" w:rsidRPr="00007FF4">
        <w:rPr>
          <w:bCs/>
        </w:rPr>
        <w:t>Homogenization was continued for 30, 60 or 90</w:t>
      </w:r>
      <w:r w:rsidR="005C22E8" w:rsidRPr="00007FF4">
        <w:rPr>
          <w:bCs/>
        </w:rPr>
        <w:t xml:space="preserve"> min</w:t>
      </w:r>
      <w:r w:rsidR="005F06CB" w:rsidRPr="00007FF4">
        <w:rPr>
          <w:bCs/>
        </w:rPr>
        <w:t xml:space="preserve"> at 650, 750 or 850 </w:t>
      </w:r>
      <w:r w:rsidR="002707AD" w:rsidRPr="00007FF4">
        <w:rPr>
          <w:bCs/>
        </w:rPr>
        <w:t>bar</w:t>
      </w:r>
      <w:r w:rsidR="003E4A1B" w:rsidRPr="00007FF4">
        <w:rPr>
          <w:bCs/>
        </w:rPr>
        <w:t xml:space="preserve"> as per the</w:t>
      </w:r>
      <w:r w:rsidR="00D60087" w:rsidRPr="00007FF4">
        <w:rPr>
          <w:bCs/>
        </w:rPr>
        <w:t xml:space="preserve"> levels of the</w:t>
      </w:r>
      <w:r w:rsidR="003E4A1B" w:rsidRPr="00007FF4">
        <w:rPr>
          <w:bCs/>
        </w:rPr>
        <w:t xml:space="preserve"> factorial design (</w:t>
      </w:r>
      <w:r w:rsidR="00FC0203" w:rsidRPr="00007FF4">
        <w:rPr>
          <w:bCs/>
        </w:rPr>
        <w:t>Tabl</w:t>
      </w:r>
      <w:r w:rsidR="00DE626A" w:rsidRPr="00007FF4">
        <w:rPr>
          <w:bCs/>
        </w:rPr>
        <w:t>e 1</w:t>
      </w:r>
      <w:r w:rsidR="003E4A1B" w:rsidRPr="00007FF4">
        <w:rPr>
          <w:bCs/>
        </w:rPr>
        <w:t xml:space="preserve">). </w:t>
      </w:r>
    </w:p>
    <w:p w:rsidR="00C35F8C" w:rsidRPr="00007FF4" w:rsidRDefault="00C4133D" w:rsidP="009871EB">
      <w:pPr>
        <w:spacing w:line="360" w:lineRule="auto"/>
        <w:rPr>
          <w:bCs/>
        </w:rPr>
      </w:pPr>
      <w:r w:rsidRPr="00007FF4">
        <w:rPr>
          <w:bCs/>
        </w:rPr>
        <w:t>B</w:t>
      </w:r>
      <w:r w:rsidR="00AC4DBD" w:rsidRPr="00007FF4">
        <w:rPr>
          <w:bCs/>
        </w:rPr>
        <w:t xml:space="preserve">enzyl alcohol, </w:t>
      </w:r>
      <w:r w:rsidR="00F54BEA" w:rsidRPr="00007FF4">
        <w:rPr>
          <w:bCs/>
        </w:rPr>
        <w:t>thioglycerol</w:t>
      </w:r>
      <w:r w:rsidR="000B63A0" w:rsidRPr="00007FF4">
        <w:rPr>
          <w:bCs/>
        </w:rPr>
        <w:t xml:space="preserve"> and</w:t>
      </w:r>
      <w:r w:rsidR="00AC4DBD" w:rsidRPr="00007FF4">
        <w:rPr>
          <w:bCs/>
        </w:rPr>
        <w:t xml:space="preserve"> d</w:t>
      </w:r>
      <w:r w:rsidR="00AC4DBD" w:rsidRPr="00007FF4">
        <w:t>isodium edetate</w:t>
      </w:r>
      <w:r w:rsidR="00F54BEA" w:rsidRPr="00007FF4">
        <w:rPr>
          <w:bCs/>
        </w:rPr>
        <w:t xml:space="preserve"> were </w:t>
      </w:r>
      <w:r w:rsidRPr="00007FF4">
        <w:rPr>
          <w:bCs/>
        </w:rPr>
        <w:t xml:space="preserve">dissolved in water at about 20 </w:t>
      </w:r>
      <w:r w:rsidRPr="00007FF4">
        <w:rPr>
          <w:bCs/>
        </w:rPr>
        <w:sym w:font="Symbol" w:char="F0B0"/>
      </w:r>
      <w:r w:rsidRPr="00007FF4">
        <w:rPr>
          <w:bCs/>
        </w:rPr>
        <w:t>C and e</w:t>
      </w:r>
      <w:r w:rsidR="00D42DEA" w:rsidRPr="00007FF4">
        <w:rPr>
          <w:bCs/>
        </w:rPr>
        <w:t>gg lecithin was added with continued stirring</w:t>
      </w:r>
      <w:r w:rsidR="0088597E" w:rsidRPr="00007FF4">
        <w:rPr>
          <w:bCs/>
        </w:rPr>
        <w:t xml:space="preserve"> for 30 </w:t>
      </w:r>
      <w:r w:rsidR="009801F7" w:rsidRPr="00007FF4">
        <w:rPr>
          <w:bCs/>
        </w:rPr>
        <w:t>min</w:t>
      </w:r>
      <w:r w:rsidR="0088597E" w:rsidRPr="00007FF4">
        <w:rPr>
          <w:bCs/>
        </w:rPr>
        <w:t>.</w:t>
      </w:r>
      <w:r w:rsidR="00C319D9" w:rsidRPr="00007FF4">
        <w:rPr>
          <w:bCs/>
        </w:rPr>
        <w:t xml:space="preserve"> </w:t>
      </w:r>
      <w:r w:rsidR="0022091F" w:rsidRPr="00007FF4">
        <w:rPr>
          <w:bCs/>
        </w:rPr>
        <w:t>Other</w:t>
      </w:r>
      <w:r w:rsidR="0088597E" w:rsidRPr="00007FF4">
        <w:rPr>
          <w:bCs/>
        </w:rPr>
        <w:t xml:space="preserve"> ingredients </w:t>
      </w:r>
      <w:r w:rsidR="00F32188" w:rsidRPr="00007FF4">
        <w:rPr>
          <w:bCs/>
        </w:rPr>
        <w:t xml:space="preserve">of the oil phase </w:t>
      </w:r>
      <w:r w:rsidR="0088597E" w:rsidRPr="00007FF4">
        <w:rPr>
          <w:bCs/>
        </w:rPr>
        <w:t xml:space="preserve">were </w:t>
      </w:r>
      <w:r w:rsidR="00552687" w:rsidRPr="00007FF4">
        <w:rPr>
          <w:bCs/>
        </w:rPr>
        <w:t xml:space="preserve">properly </w:t>
      </w:r>
      <w:r w:rsidR="0088597E" w:rsidRPr="00007FF4">
        <w:rPr>
          <w:bCs/>
        </w:rPr>
        <w:t xml:space="preserve">mixed and filtered </w:t>
      </w:r>
      <w:r w:rsidR="00885B84" w:rsidRPr="00007FF4">
        <w:rPr>
          <w:bCs/>
        </w:rPr>
        <w:t>through</w:t>
      </w:r>
      <w:r w:rsidR="0088597E" w:rsidRPr="00007FF4">
        <w:rPr>
          <w:bCs/>
        </w:rPr>
        <w:t xml:space="preserve"> 0.45 micron filter</w:t>
      </w:r>
      <w:r w:rsidR="007A6C17" w:rsidRPr="00007FF4">
        <w:rPr>
          <w:bCs/>
        </w:rPr>
        <w:t xml:space="preserve"> and</w:t>
      </w:r>
      <w:r w:rsidR="00844C7C" w:rsidRPr="00007FF4">
        <w:rPr>
          <w:bCs/>
        </w:rPr>
        <w:t xml:space="preserve"> was </w:t>
      </w:r>
      <w:r w:rsidR="007A6C17" w:rsidRPr="00007FF4">
        <w:rPr>
          <w:bCs/>
        </w:rPr>
        <w:t xml:space="preserve">poured in to </w:t>
      </w:r>
      <w:r w:rsidR="0079566E" w:rsidRPr="00007FF4">
        <w:rPr>
          <w:bCs/>
        </w:rPr>
        <w:t xml:space="preserve">the </w:t>
      </w:r>
      <w:r w:rsidR="007A6C17" w:rsidRPr="00007FF4">
        <w:rPr>
          <w:bCs/>
        </w:rPr>
        <w:t>aqueous phase</w:t>
      </w:r>
      <w:r w:rsidR="0088597E" w:rsidRPr="00007FF4">
        <w:rPr>
          <w:bCs/>
        </w:rPr>
        <w:t xml:space="preserve"> </w:t>
      </w:r>
      <w:r w:rsidR="007A6C17" w:rsidRPr="00007FF4">
        <w:rPr>
          <w:bCs/>
        </w:rPr>
        <w:t>for homogenisation</w:t>
      </w:r>
      <w:r w:rsidR="0088597E" w:rsidRPr="00007FF4">
        <w:rPr>
          <w:bCs/>
        </w:rPr>
        <w:t xml:space="preserve"> </w:t>
      </w:r>
      <w:r w:rsidR="0079566E" w:rsidRPr="00007FF4">
        <w:rPr>
          <w:bCs/>
        </w:rPr>
        <w:t>from 650</w:t>
      </w:r>
      <w:r w:rsidR="0088597E" w:rsidRPr="00007FF4">
        <w:rPr>
          <w:bCs/>
        </w:rPr>
        <w:t xml:space="preserve"> to </w:t>
      </w:r>
      <w:r w:rsidR="0079566E" w:rsidRPr="00007FF4">
        <w:rPr>
          <w:bCs/>
        </w:rPr>
        <w:t xml:space="preserve">850 </w:t>
      </w:r>
      <w:r w:rsidR="002707AD" w:rsidRPr="00007FF4">
        <w:rPr>
          <w:bCs/>
        </w:rPr>
        <w:t>bar</w:t>
      </w:r>
      <w:r w:rsidR="0088597E" w:rsidRPr="00007FF4">
        <w:rPr>
          <w:bCs/>
        </w:rPr>
        <w:t xml:space="preserve"> pressure for </w:t>
      </w:r>
      <w:r w:rsidR="000C498C" w:rsidRPr="00007FF4">
        <w:rPr>
          <w:bCs/>
        </w:rPr>
        <w:t>30-</w:t>
      </w:r>
      <w:r w:rsidR="00CE0B36" w:rsidRPr="00007FF4">
        <w:rPr>
          <w:bCs/>
        </w:rPr>
        <w:t>90 min</w:t>
      </w:r>
      <w:r w:rsidR="0088597E" w:rsidRPr="00007FF4">
        <w:rPr>
          <w:bCs/>
        </w:rPr>
        <w:t xml:space="preserve">. </w:t>
      </w:r>
    </w:p>
    <w:p w:rsidR="000F584A" w:rsidRPr="00007FF4" w:rsidRDefault="00772627" w:rsidP="00393E8A">
      <w:pPr>
        <w:spacing w:after="240" w:line="360" w:lineRule="auto"/>
        <w:rPr>
          <w:bCs/>
          <w:vertAlign w:val="superscript"/>
        </w:rPr>
      </w:pPr>
      <w:r w:rsidRPr="00007FF4">
        <w:rPr>
          <w:bCs/>
        </w:rPr>
        <w:t xml:space="preserve">Droplet size distributions </w:t>
      </w:r>
      <w:r w:rsidR="004C2FEC" w:rsidRPr="00007FF4">
        <w:rPr>
          <w:bCs/>
        </w:rPr>
        <w:t xml:space="preserve">and zeta potential </w:t>
      </w:r>
      <w:r w:rsidRPr="00007FF4">
        <w:rPr>
          <w:bCs/>
        </w:rPr>
        <w:t>of emulsion at each interval of time and pressure were</w:t>
      </w:r>
      <w:r w:rsidR="000F584A" w:rsidRPr="00007FF4">
        <w:rPr>
          <w:bCs/>
        </w:rPr>
        <w:t xml:space="preserve"> obtained using dynamic light scattering </w:t>
      </w:r>
      <w:r w:rsidR="00331A8A" w:rsidRPr="00007FF4">
        <w:rPr>
          <w:bCs/>
        </w:rPr>
        <w:t>(Malvern Nano-ZS, USA)</w:t>
      </w:r>
      <w:r w:rsidR="0062031D" w:rsidRPr="00007FF4">
        <w:rPr>
          <w:bCs/>
        </w:rPr>
        <w:t>.</w:t>
      </w:r>
      <w:r w:rsidR="00A376F2" w:rsidRPr="00007FF4">
        <w:rPr>
          <w:bCs/>
          <w:vertAlign w:val="superscript"/>
        </w:rPr>
        <w:t>31</w:t>
      </w:r>
    </w:p>
    <w:p w:rsidR="00A62941" w:rsidRPr="00BF0D24" w:rsidRDefault="00BF0D24" w:rsidP="00BF0D24">
      <w:pPr>
        <w:pStyle w:val="ListParagraph"/>
        <w:numPr>
          <w:ilvl w:val="1"/>
          <w:numId w:val="31"/>
        </w:numPr>
        <w:spacing w:line="360" w:lineRule="auto"/>
        <w:ind w:left="720" w:hanging="720"/>
        <w:rPr>
          <w:b/>
        </w:rPr>
      </w:pPr>
      <w:r w:rsidRPr="00BF0D24">
        <w:rPr>
          <w:b/>
        </w:rPr>
        <w:lastRenderedPageBreak/>
        <w:t xml:space="preserve"> </w:t>
      </w:r>
      <w:r w:rsidR="00A62941" w:rsidRPr="00BF0D24">
        <w:rPr>
          <w:b/>
        </w:rPr>
        <w:t>Statistical Design of Experiment</w:t>
      </w:r>
    </w:p>
    <w:p w:rsidR="00EB1889" w:rsidRPr="00007FF4" w:rsidRDefault="00A62941" w:rsidP="009871EB">
      <w:pPr>
        <w:spacing w:line="360" w:lineRule="auto"/>
        <w:rPr>
          <w:b/>
          <w:u w:val="single"/>
        </w:rPr>
      </w:pPr>
      <w:r w:rsidRPr="00007FF4">
        <w:t xml:space="preserve">Varieties of factorial designs of experiments can be used in drug development, where these different factors and their interactions should be evaluated to predict their effects on the final formulation and </w:t>
      </w:r>
      <w:r w:rsidR="00202EC0" w:rsidRPr="00007FF4">
        <w:t>its robustness.</w:t>
      </w:r>
      <w:r w:rsidR="00202EC0" w:rsidRPr="00007FF4">
        <w:rPr>
          <w:vertAlign w:val="superscript"/>
        </w:rPr>
        <w:t>30</w:t>
      </w:r>
      <w:r w:rsidR="00202EC0" w:rsidRPr="00007FF4">
        <w:t xml:space="preserve"> </w:t>
      </w:r>
      <w:r w:rsidRPr="00007FF4">
        <w:rPr>
          <w:lang w:val="en-IN"/>
        </w:rPr>
        <w:t xml:space="preserve">An appropriate mathematical model (experimental design) can give necessary information for the fabrication </w:t>
      </w:r>
      <w:r w:rsidR="005A1ACA" w:rsidRPr="00007FF4">
        <w:rPr>
          <w:lang w:val="en-IN"/>
        </w:rPr>
        <w:t>process and product development</w:t>
      </w:r>
      <w:r w:rsidR="005A1ACA" w:rsidRPr="00007FF4">
        <w:rPr>
          <w:bCs/>
        </w:rPr>
        <w:t>.</w:t>
      </w:r>
      <w:r w:rsidR="00FD56D0" w:rsidRPr="00007FF4">
        <w:rPr>
          <w:bCs/>
          <w:vertAlign w:val="superscript"/>
        </w:rPr>
        <w:t>31</w:t>
      </w:r>
    </w:p>
    <w:p w:rsidR="00A62941" w:rsidRPr="00007FF4" w:rsidRDefault="00A62941" w:rsidP="009871EB">
      <w:pPr>
        <w:spacing w:line="360" w:lineRule="auto"/>
      </w:pPr>
      <w:r w:rsidRPr="00007FF4">
        <w:t>A three-level factorial design was used for optimization of the homogenization process. In the present study, pressure during homogenization (X</w:t>
      </w:r>
      <w:r w:rsidRPr="00007FF4">
        <w:rPr>
          <w:vertAlign w:val="subscript"/>
        </w:rPr>
        <w:t>1</w:t>
      </w:r>
      <w:r w:rsidRPr="00007FF4">
        <w:t>) and duration (time) of homogenization (X</w:t>
      </w:r>
      <w:r w:rsidRPr="00007FF4">
        <w:rPr>
          <w:vertAlign w:val="subscript"/>
        </w:rPr>
        <w:t>2</w:t>
      </w:r>
      <w:r w:rsidRPr="00007FF4">
        <w:t>) were chosen as independent variables. The particle size (Z) following homogenization was estimate</w:t>
      </w:r>
      <w:r w:rsidR="00B61020" w:rsidRPr="00007FF4">
        <w:t>d as dependent</w:t>
      </w:r>
      <w:r w:rsidR="00DE626A" w:rsidRPr="00007FF4">
        <w:t xml:space="preserve"> response (Table 1</w:t>
      </w:r>
      <w:r w:rsidRPr="00007FF4">
        <w:t xml:space="preserve">). Homogenization pressure was evaluated at 650 </w:t>
      </w:r>
      <w:r w:rsidR="002707AD" w:rsidRPr="00007FF4">
        <w:t>bar</w:t>
      </w:r>
      <w:r w:rsidRPr="00007FF4">
        <w:t xml:space="preserve"> (−1), 750 </w:t>
      </w:r>
      <w:r w:rsidR="002707AD" w:rsidRPr="00007FF4">
        <w:t>bar</w:t>
      </w:r>
      <w:r w:rsidRPr="00007FF4">
        <w:t xml:space="preserve"> (0), and 850 </w:t>
      </w:r>
      <w:r w:rsidR="002707AD" w:rsidRPr="00007FF4">
        <w:t>bar</w:t>
      </w:r>
      <w:r w:rsidRPr="00007FF4">
        <w:t xml:space="preserve"> (+1), while duration of homogenization was evaluated at 30 min (−1), 60 min (0), and 90 min (+1). From the preliminary trials, the levels for these two parameters were finalized. To evaluate the responses incorporating interactive and polynomial terms in a statistical model was explained.</w:t>
      </w:r>
    </w:p>
    <w:p w:rsidR="00A62941" w:rsidRPr="00007FF4" w:rsidRDefault="00A62941" w:rsidP="009871EB">
      <w:pPr>
        <w:spacing w:line="360" w:lineRule="auto"/>
      </w:pPr>
      <w:r w:rsidRPr="00007FF4">
        <w:t>Y=b</w:t>
      </w:r>
      <w:r w:rsidRPr="00007FF4">
        <w:rPr>
          <w:vertAlign w:val="subscript"/>
        </w:rPr>
        <w:t>0</w:t>
      </w:r>
      <w:r w:rsidRPr="00007FF4">
        <w:t xml:space="preserve"> + b</w:t>
      </w:r>
      <w:r w:rsidRPr="00007FF4">
        <w:rPr>
          <w:vertAlign w:val="subscript"/>
        </w:rPr>
        <w:t>1</w:t>
      </w:r>
      <w:r w:rsidRPr="00007FF4">
        <w:t>X</w:t>
      </w:r>
      <w:r w:rsidRPr="00007FF4">
        <w:rPr>
          <w:vertAlign w:val="subscript"/>
        </w:rPr>
        <w:t>1</w:t>
      </w:r>
      <w:r w:rsidRPr="00007FF4">
        <w:t xml:space="preserve"> + b</w:t>
      </w:r>
      <w:r w:rsidRPr="00007FF4">
        <w:rPr>
          <w:vertAlign w:val="subscript"/>
        </w:rPr>
        <w:t>2</w:t>
      </w:r>
      <w:r w:rsidRPr="00007FF4">
        <w:t>X</w:t>
      </w:r>
      <w:r w:rsidRPr="00007FF4">
        <w:rPr>
          <w:vertAlign w:val="subscript"/>
        </w:rPr>
        <w:t>2</w:t>
      </w:r>
      <w:r w:rsidRPr="00007FF4">
        <w:t xml:space="preserve"> + b</w:t>
      </w:r>
      <w:r w:rsidRPr="00007FF4">
        <w:rPr>
          <w:vertAlign w:val="subscript"/>
        </w:rPr>
        <w:t>12</w:t>
      </w:r>
      <w:r w:rsidRPr="00007FF4">
        <w:t>X</w:t>
      </w:r>
      <w:r w:rsidRPr="00007FF4">
        <w:rPr>
          <w:vertAlign w:val="subscript"/>
        </w:rPr>
        <w:t>1</w:t>
      </w:r>
      <w:r w:rsidRPr="00007FF4">
        <w:t>X</w:t>
      </w:r>
      <w:r w:rsidRPr="00007FF4">
        <w:rPr>
          <w:vertAlign w:val="subscript"/>
        </w:rPr>
        <w:t>2</w:t>
      </w:r>
      <w:r w:rsidRPr="00007FF4">
        <w:t xml:space="preserve"> + b</w:t>
      </w:r>
      <w:r w:rsidRPr="00007FF4">
        <w:rPr>
          <w:vertAlign w:val="subscript"/>
        </w:rPr>
        <w:t>11</w:t>
      </w:r>
      <w:r w:rsidRPr="00007FF4">
        <w:t>X</w:t>
      </w:r>
      <w:r w:rsidRPr="00007FF4">
        <w:rPr>
          <w:vertAlign w:val="subscript"/>
        </w:rPr>
        <w:t>1</w:t>
      </w:r>
      <w:r w:rsidRPr="00007FF4">
        <w:t>X</w:t>
      </w:r>
      <w:r w:rsidRPr="00007FF4">
        <w:rPr>
          <w:vertAlign w:val="subscript"/>
        </w:rPr>
        <w:t>2</w:t>
      </w:r>
      <w:r w:rsidRPr="00007FF4">
        <w:t xml:space="preserve"> + b</w:t>
      </w:r>
      <w:r w:rsidRPr="00007FF4">
        <w:rPr>
          <w:vertAlign w:val="subscript"/>
        </w:rPr>
        <w:t>22</w:t>
      </w:r>
      <w:r w:rsidRPr="00007FF4">
        <w:t>X</w:t>
      </w:r>
      <w:r w:rsidRPr="00007FF4">
        <w:rPr>
          <w:vertAlign w:val="subscript"/>
        </w:rPr>
        <w:t>2</w:t>
      </w:r>
      <w:r w:rsidRPr="00007FF4">
        <w:t>X</w:t>
      </w:r>
      <w:r w:rsidRPr="00007FF4">
        <w:rPr>
          <w:vertAlign w:val="subscript"/>
        </w:rPr>
        <w:t>2</w:t>
      </w:r>
      <w:r w:rsidRPr="00007FF4">
        <w:t xml:space="preserve"> (1)</w:t>
      </w:r>
    </w:p>
    <w:p w:rsidR="00D50205" w:rsidRDefault="00A62941" w:rsidP="009871EB">
      <w:pPr>
        <w:spacing w:line="360" w:lineRule="auto"/>
        <w:rPr>
          <w:vertAlign w:val="superscript"/>
        </w:rPr>
      </w:pPr>
      <w:r w:rsidRPr="00007FF4">
        <w:t>where, Y is the dependent variable, b0 is the arithmetic mean response of the nine runs, and b</w:t>
      </w:r>
      <w:r w:rsidRPr="00007FF4">
        <w:rPr>
          <w:vertAlign w:val="subscript"/>
        </w:rPr>
        <w:t>i</w:t>
      </w:r>
      <w:r w:rsidRPr="00007FF4">
        <w:t xml:space="preserve"> (b</w:t>
      </w:r>
      <w:r w:rsidRPr="00007FF4">
        <w:rPr>
          <w:vertAlign w:val="subscript"/>
        </w:rPr>
        <w:t>1</w:t>
      </w:r>
      <w:r w:rsidRPr="00007FF4">
        <w:t>, b</w:t>
      </w:r>
      <w:r w:rsidRPr="00007FF4">
        <w:rPr>
          <w:vertAlign w:val="subscript"/>
        </w:rPr>
        <w:t>2</w:t>
      </w:r>
      <w:r w:rsidRPr="00007FF4">
        <w:t>, b</w:t>
      </w:r>
      <w:r w:rsidRPr="00007FF4">
        <w:rPr>
          <w:vertAlign w:val="subscript"/>
        </w:rPr>
        <w:t>12</w:t>
      </w:r>
      <w:r w:rsidRPr="00007FF4">
        <w:t>, b</w:t>
      </w:r>
      <w:r w:rsidRPr="00007FF4">
        <w:rPr>
          <w:vertAlign w:val="subscript"/>
        </w:rPr>
        <w:t>11</w:t>
      </w:r>
      <w:r w:rsidRPr="00007FF4">
        <w:t xml:space="preserve"> and b</w:t>
      </w:r>
      <w:r w:rsidRPr="00007FF4">
        <w:rPr>
          <w:vertAlign w:val="subscript"/>
        </w:rPr>
        <w:t>22</w:t>
      </w:r>
      <w:r w:rsidRPr="00007FF4">
        <w:t>) are the estimated coefficient for the corresponding factor X</w:t>
      </w:r>
      <w:r w:rsidRPr="00007FF4">
        <w:rPr>
          <w:vertAlign w:val="subscript"/>
        </w:rPr>
        <w:t>i</w:t>
      </w:r>
      <w:r w:rsidRPr="00007FF4">
        <w:t>(X</w:t>
      </w:r>
      <w:r w:rsidRPr="00007FF4">
        <w:rPr>
          <w:vertAlign w:val="subscript"/>
        </w:rPr>
        <w:t>1</w:t>
      </w:r>
      <w:r w:rsidRPr="00007FF4">
        <w:t>, X</w:t>
      </w:r>
      <w:r w:rsidRPr="00007FF4">
        <w:rPr>
          <w:vertAlign w:val="subscript"/>
        </w:rPr>
        <w:t>2</w:t>
      </w:r>
      <w:r w:rsidRPr="00007FF4">
        <w:t>, X</w:t>
      </w:r>
      <w:r w:rsidRPr="00007FF4">
        <w:rPr>
          <w:vertAlign w:val="subscript"/>
        </w:rPr>
        <w:t>1</w:t>
      </w:r>
      <w:r w:rsidRPr="00007FF4">
        <w:t>X</w:t>
      </w:r>
      <w:r w:rsidRPr="00007FF4">
        <w:rPr>
          <w:vertAlign w:val="subscript"/>
        </w:rPr>
        <w:t>2</w:t>
      </w:r>
      <w:r w:rsidRPr="00007FF4">
        <w:t>, X</w:t>
      </w:r>
      <w:r w:rsidRPr="00007FF4">
        <w:rPr>
          <w:vertAlign w:val="subscript"/>
        </w:rPr>
        <w:t>1</w:t>
      </w:r>
      <w:r w:rsidRPr="00007FF4">
        <w:t>X</w:t>
      </w:r>
      <w:r w:rsidRPr="00007FF4">
        <w:rPr>
          <w:vertAlign w:val="subscript"/>
        </w:rPr>
        <w:t>1</w:t>
      </w:r>
      <w:r w:rsidRPr="00007FF4">
        <w:t xml:space="preserve"> and X</w:t>
      </w:r>
      <w:r w:rsidRPr="00007FF4">
        <w:rPr>
          <w:vertAlign w:val="subscript"/>
        </w:rPr>
        <w:t>2</w:t>
      </w:r>
      <w:r w:rsidRPr="00007FF4">
        <w:t>X</w:t>
      </w:r>
      <w:r w:rsidRPr="00007FF4">
        <w:rPr>
          <w:vertAlign w:val="subscript"/>
        </w:rPr>
        <w:t>2</w:t>
      </w:r>
      <w:r w:rsidRPr="00007FF4">
        <w:t>), in which the average result of changing one factor at a time from its low to high value is represented. The change in response when two factors are changed simultaneously is shown by the interaction term (X</w:t>
      </w:r>
      <w:r w:rsidRPr="00007FF4">
        <w:rPr>
          <w:vertAlign w:val="subscript"/>
        </w:rPr>
        <w:t>1</w:t>
      </w:r>
      <w:r w:rsidRPr="00007FF4">
        <w:t>X</w:t>
      </w:r>
      <w:r w:rsidRPr="00007FF4">
        <w:rPr>
          <w:vertAlign w:val="subscript"/>
        </w:rPr>
        <w:t>2</w:t>
      </w:r>
      <w:r w:rsidRPr="00007FF4">
        <w:t>). To investigate nonlinearity the polynomial terms (X</w:t>
      </w:r>
      <w:r w:rsidRPr="00007FF4">
        <w:rPr>
          <w:vertAlign w:val="subscript"/>
        </w:rPr>
        <w:t>1</w:t>
      </w:r>
      <w:r w:rsidRPr="00007FF4">
        <w:t>X</w:t>
      </w:r>
      <w:r w:rsidRPr="00007FF4">
        <w:rPr>
          <w:vertAlign w:val="subscript"/>
        </w:rPr>
        <w:t>1</w:t>
      </w:r>
      <w:r w:rsidRPr="00007FF4">
        <w:t>, X</w:t>
      </w:r>
      <w:r w:rsidRPr="00007FF4">
        <w:rPr>
          <w:vertAlign w:val="subscript"/>
        </w:rPr>
        <w:t>2</w:t>
      </w:r>
      <w:r w:rsidRPr="00007FF4">
        <w:t>X</w:t>
      </w:r>
      <w:r w:rsidRPr="00007FF4">
        <w:rPr>
          <w:vertAlign w:val="subscript"/>
        </w:rPr>
        <w:t>2</w:t>
      </w:r>
      <w:r w:rsidRPr="00007FF4">
        <w:t>) are included. For the generation and evaluation of the statistical experimental design Design-Expert software (Version. 10.0.1, Stat-Ease Inc., Minneapolis, USA) was used.</w:t>
      </w:r>
      <w:r w:rsidR="00684CBA" w:rsidRPr="00007FF4">
        <w:rPr>
          <w:vertAlign w:val="superscript"/>
        </w:rPr>
        <w:t>32</w:t>
      </w:r>
    </w:p>
    <w:p w:rsidR="00393E8A" w:rsidRDefault="00393E8A" w:rsidP="009871EB">
      <w:pPr>
        <w:spacing w:line="360" w:lineRule="auto"/>
        <w:rPr>
          <w:vertAlign w:val="superscript"/>
        </w:rPr>
      </w:pPr>
    </w:p>
    <w:p w:rsidR="00393E8A" w:rsidRDefault="00393E8A" w:rsidP="009871EB">
      <w:pPr>
        <w:spacing w:line="360" w:lineRule="auto"/>
        <w:rPr>
          <w:vertAlign w:val="superscript"/>
        </w:rPr>
      </w:pPr>
    </w:p>
    <w:p w:rsidR="00393E8A" w:rsidRDefault="00393E8A" w:rsidP="009871EB">
      <w:pPr>
        <w:spacing w:line="360" w:lineRule="auto"/>
        <w:rPr>
          <w:vertAlign w:val="superscript"/>
        </w:rPr>
      </w:pPr>
    </w:p>
    <w:p w:rsidR="001258D2" w:rsidRDefault="001258D2" w:rsidP="009871EB">
      <w:pPr>
        <w:spacing w:line="360" w:lineRule="auto"/>
        <w:rPr>
          <w:vertAlign w:val="superscript"/>
        </w:rPr>
      </w:pPr>
    </w:p>
    <w:p w:rsidR="001258D2" w:rsidRDefault="001258D2" w:rsidP="009871EB">
      <w:pPr>
        <w:spacing w:line="360" w:lineRule="auto"/>
        <w:rPr>
          <w:vertAlign w:val="superscript"/>
        </w:rPr>
      </w:pPr>
    </w:p>
    <w:p w:rsidR="001258D2" w:rsidRDefault="001258D2" w:rsidP="009871EB">
      <w:pPr>
        <w:spacing w:line="360" w:lineRule="auto"/>
        <w:rPr>
          <w:vertAlign w:val="superscript"/>
        </w:rPr>
      </w:pPr>
    </w:p>
    <w:p w:rsidR="001258D2" w:rsidRDefault="001258D2" w:rsidP="009871EB">
      <w:pPr>
        <w:spacing w:line="360" w:lineRule="auto"/>
        <w:rPr>
          <w:vertAlign w:val="superscript"/>
        </w:rPr>
      </w:pPr>
    </w:p>
    <w:p w:rsidR="00393E8A" w:rsidRDefault="00393E8A" w:rsidP="009871EB">
      <w:pPr>
        <w:spacing w:line="360" w:lineRule="auto"/>
        <w:rPr>
          <w:vertAlign w:val="superscript"/>
        </w:rPr>
      </w:pPr>
    </w:p>
    <w:p w:rsidR="00393E8A" w:rsidRDefault="00393E8A" w:rsidP="009871EB">
      <w:pPr>
        <w:spacing w:line="360" w:lineRule="auto"/>
        <w:rPr>
          <w:vertAlign w:val="superscript"/>
        </w:rPr>
      </w:pPr>
    </w:p>
    <w:p w:rsidR="00393E8A" w:rsidRPr="00007FF4" w:rsidRDefault="00393E8A" w:rsidP="009871EB">
      <w:pPr>
        <w:spacing w:line="360" w:lineRule="auto"/>
        <w:rPr>
          <w:vertAlign w:val="superscript"/>
        </w:rPr>
      </w:pPr>
    </w:p>
    <w:p w:rsidR="00E653E3" w:rsidRPr="00007FF4" w:rsidRDefault="00DE626A" w:rsidP="009871EB">
      <w:pPr>
        <w:spacing w:line="360" w:lineRule="auto"/>
        <w:rPr>
          <w:b/>
        </w:rPr>
      </w:pPr>
      <w:r w:rsidRPr="00007FF4">
        <w:rPr>
          <w:b/>
        </w:rPr>
        <w:t>T</w:t>
      </w:r>
      <w:r w:rsidR="006F1A40" w:rsidRPr="00007FF4">
        <w:rPr>
          <w:b/>
        </w:rPr>
        <w:t>able</w:t>
      </w:r>
      <w:r w:rsidRPr="00007FF4">
        <w:rPr>
          <w:b/>
        </w:rPr>
        <w:t xml:space="preserve"> 1</w:t>
      </w:r>
      <w:r w:rsidR="006F1A40">
        <w:rPr>
          <w:b/>
        </w:rPr>
        <w:t xml:space="preserve">: </w:t>
      </w:r>
      <w:r w:rsidR="00E653E3" w:rsidRPr="00007FF4">
        <w:rPr>
          <w:b/>
        </w:rPr>
        <w:t>Process varia</w:t>
      </w:r>
      <w:r w:rsidR="007E0137" w:rsidRPr="00007FF4">
        <w:rPr>
          <w:b/>
        </w:rPr>
        <w:t>bles and the observed response u</w:t>
      </w:r>
      <w:r w:rsidR="00E653E3" w:rsidRPr="00007FF4">
        <w:rPr>
          <w:b/>
        </w:rPr>
        <w:t>sing 3</w:t>
      </w:r>
      <w:r w:rsidR="00E653E3" w:rsidRPr="00007FF4">
        <w:rPr>
          <w:b/>
          <w:vertAlign w:val="superscript"/>
        </w:rPr>
        <w:t>2</w:t>
      </w:r>
      <w:r w:rsidR="007E0137" w:rsidRPr="00007FF4">
        <w:rPr>
          <w:b/>
        </w:rPr>
        <w:t xml:space="preserve"> factorial design</w:t>
      </w:r>
    </w:p>
    <w:tbl>
      <w:tblPr>
        <w:tblStyle w:val="TableGrid"/>
        <w:tblW w:w="0" w:type="auto"/>
        <w:tblLook w:val="04A0" w:firstRow="1" w:lastRow="0" w:firstColumn="1" w:lastColumn="0" w:noHBand="0" w:noVBand="1"/>
      </w:tblPr>
      <w:tblGrid>
        <w:gridCol w:w="617"/>
        <w:gridCol w:w="1574"/>
        <w:gridCol w:w="1623"/>
        <w:gridCol w:w="2433"/>
      </w:tblGrid>
      <w:tr w:rsidR="009B729C" w:rsidRPr="00187E00" w:rsidTr="008F73E7">
        <w:trPr>
          <w:trHeight w:val="150"/>
        </w:trPr>
        <w:tc>
          <w:tcPr>
            <w:tcW w:w="0" w:type="auto"/>
            <w:vMerge w:val="restart"/>
            <w:vAlign w:val="center"/>
          </w:tcPr>
          <w:p w:rsidR="009B729C" w:rsidRPr="00187E00" w:rsidRDefault="009B729C" w:rsidP="003D22F2">
            <w:pPr>
              <w:spacing w:line="276" w:lineRule="auto"/>
              <w:jc w:val="center"/>
            </w:pPr>
          </w:p>
          <w:p w:rsidR="009B729C" w:rsidRPr="00187E00" w:rsidRDefault="009B729C" w:rsidP="003D22F2">
            <w:pPr>
              <w:spacing w:line="276" w:lineRule="auto"/>
              <w:jc w:val="center"/>
            </w:pPr>
            <w:r w:rsidRPr="00187E00">
              <w:t>Run</w:t>
            </w:r>
          </w:p>
        </w:tc>
        <w:tc>
          <w:tcPr>
            <w:tcW w:w="0" w:type="auto"/>
            <w:gridSpan w:val="2"/>
            <w:vAlign w:val="center"/>
          </w:tcPr>
          <w:p w:rsidR="009B729C" w:rsidRPr="00187E00" w:rsidRDefault="009B729C" w:rsidP="003D22F2">
            <w:pPr>
              <w:spacing w:line="276" w:lineRule="auto"/>
              <w:jc w:val="center"/>
            </w:pPr>
            <w:r w:rsidRPr="00187E00">
              <w:t>Process factors</w:t>
            </w:r>
          </w:p>
        </w:tc>
        <w:tc>
          <w:tcPr>
            <w:tcW w:w="0" w:type="auto"/>
            <w:vAlign w:val="center"/>
          </w:tcPr>
          <w:p w:rsidR="009B729C" w:rsidRPr="00187E00" w:rsidRDefault="009B729C" w:rsidP="003D22F2">
            <w:pPr>
              <w:spacing w:line="276" w:lineRule="auto"/>
              <w:jc w:val="center"/>
            </w:pPr>
            <w:r w:rsidRPr="00187E00">
              <w:t>Observed response</w:t>
            </w:r>
          </w:p>
        </w:tc>
      </w:tr>
      <w:tr w:rsidR="009B729C" w:rsidRPr="00187E00" w:rsidTr="008F73E7">
        <w:trPr>
          <w:trHeight w:val="144"/>
        </w:trPr>
        <w:tc>
          <w:tcPr>
            <w:tcW w:w="0" w:type="auto"/>
            <w:vMerge/>
            <w:vAlign w:val="center"/>
          </w:tcPr>
          <w:p w:rsidR="009B729C" w:rsidRPr="00187E00" w:rsidRDefault="009B729C" w:rsidP="003D22F2">
            <w:pPr>
              <w:spacing w:line="276" w:lineRule="auto"/>
              <w:jc w:val="center"/>
            </w:pPr>
          </w:p>
        </w:tc>
        <w:tc>
          <w:tcPr>
            <w:tcW w:w="0" w:type="auto"/>
            <w:vAlign w:val="center"/>
          </w:tcPr>
          <w:p w:rsidR="009B729C" w:rsidRPr="00187E00" w:rsidRDefault="009B729C" w:rsidP="003D22F2">
            <w:pPr>
              <w:spacing w:line="276" w:lineRule="auto"/>
              <w:jc w:val="center"/>
            </w:pPr>
            <w:r w:rsidRPr="00187E00">
              <w:t>Pressure (X</w:t>
            </w:r>
            <w:r w:rsidRPr="00187E00">
              <w:rPr>
                <w:vertAlign w:val="subscript"/>
              </w:rPr>
              <w:t>1</w:t>
            </w:r>
            <w:r w:rsidRPr="00187E00">
              <w:t>)</w:t>
            </w:r>
            <w:r w:rsidRPr="00187E00">
              <w:rPr>
                <w:vertAlign w:val="superscript"/>
              </w:rPr>
              <w:t>a</w:t>
            </w:r>
          </w:p>
        </w:tc>
        <w:tc>
          <w:tcPr>
            <w:tcW w:w="0" w:type="auto"/>
            <w:vAlign w:val="center"/>
          </w:tcPr>
          <w:p w:rsidR="009B729C" w:rsidRPr="00187E00" w:rsidRDefault="009B729C" w:rsidP="003D22F2">
            <w:pPr>
              <w:spacing w:line="276" w:lineRule="auto"/>
              <w:jc w:val="center"/>
            </w:pPr>
            <w:r w:rsidRPr="00187E00">
              <w:t>Duration (X</w:t>
            </w:r>
            <w:r w:rsidRPr="00187E00">
              <w:rPr>
                <w:vertAlign w:val="subscript"/>
              </w:rPr>
              <w:t>2</w:t>
            </w:r>
            <w:r w:rsidRPr="00187E00">
              <w:t>)</w:t>
            </w:r>
            <w:r w:rsidRPr="00187E00">
              <w:rPr>
                <w:vertAlign w:val="superscript"/>
              </w:rPr>
              <w:t>b</w:t>
            </w:r>
          </w:p>
        </w:tc>
        <w:tc>
          <w:tcPr>
            <w:tcW w:w="0" w:type="auto"/>
            <w:vAlign w:val="center"/>
          </w:tcPr>
          <w:p w:rsidR="009B729C" w:rsidRPr="00187E00" w:rsidRDefault="009B729C" w:rsidP="003D22F2">
            <w:pPr>
              <w:spacing w:line="276" w:lineRule="auto"/>
              <w:jc w:val="center"/>
            </w:pPr>
            <w:r w:rsidRPr="00187E00">
              <w:t>Particle size</w:t>
            </w:r>
            <w:r w:rsidRPr="00187E00">
              <w:rPr>
                <w:vertAlign w:val="superscript"/>
              </w:rPr>
              <w:t>c</w:t>
            </w:r>
            <w:r w:rsidRPr="00187E00">
              <w:t xml:space="preserve"> (Z) in nm</w:t>
            </w:r>
          </w:p>
        </w:tc>
      </w:tr>
      <w:tr w:rsidR="009B729C" w:rsidRPr="00187E00" w:rsidTr="008F73E7">
        <w:trPr>
          <w:trHeight w:val="408"/>
        </w:trPr>
        <w:tc>
          <w:tcPr>
            <w:tcW w:w="0" w:type="auto"/>
            <w:vAlign w:val="center"/>
          </w:tcPr>
          <w:p w:rsidR="009B729C" w:rsidRPr="00187E00" w:rsidRDefault="009B729C" w:rsidP="003D22F2">
            <w:pPr>
              <w:spacing w:line="276" w:lineRule="auto"/>
              <w:jc w:val="center"/>
            </w:pPr>
            <w:r w:rsidRPr="00187E00">
              <w:t>1</w:t>
            </w:r>
          </w:p>
        </w:tc>
        <w:tc>
          <w:tcPr>
            <w:tcW w:w="0" w:type="auto"/>
            <w:vAlign w:val="center"/>
          </w:tcPr>
          <w:p w:rsidR="009B729C" w:rsidRPr="00187E00" w:rsidRDefault="009B729C" w:rsidP="003D22F2">
            <w:pPr>
              <w:spacing w:line="276" w:lineRule="auto"/>
              <w:jc w:val="center"/>
            </w:pPr>
            <w:r w:rsidRPr="00187E00">
              <w:t>1.00</w:t>
            </w:r>
          </w:p>
        </w:tc>
        <w:tc>
          <w:tcPr>
            <w:tcW w:w="0" w:type="auto"/>
            <w:vAlign w:val="center"/>
          </w:tcPr>
          <w:p w:rsidR="009B729C" w:rsidRPr="00187E00" w:rsidRDefault="009B729C" w:rsidP="003D22F2">
            <w:pPr>
              <w:spacing w:line="276" w:lineRule="auto"/>
              <w:jc w:val="center"/>
            </w:pPr>
            <w:r w:rsidRPr="00187E00">
              <w:t>0.00</w:t>
            </w:r>
          </w:p>
        </w:tc>
        <w:tc>
          <w:tcPr>
            <w:tcW w:w="0" w:type="auto"/>
            <w:vAlign w:val="center"/>
          </w:tcPr>
          <w:p w:rsidR="009B729C" w:rsidRPr="00187E00" w:rsidRDefault="009B729C" w:rsidP="003D22F2">
            <w:pPr>
              <w:spacing w:line="276" w:lineRule="auto"/>
              <w:jc w:val="center"/>
            </w:pPr>
            <w:r w:rsidRPr="00187E00">
              <w:t>182 (± 8.1)</w:t>
            </w:r>
          </w:p>
        </w:tc>
      </w:tr>
      <w:tr w:rsidR="009B729C" w:rsidRPr="00187E00" w:rsidTr="008F73E7">
        <w:trPr>
          <w:trHeight w:val="408"/>
        </w:trPr>
        <w:tc>
          <w:tcPr>
            <w:tcW w:w="0" w:type="auto"/>
            <w:vAlign w:val="center"/>
          </w:tcPr>
          <w:p w:rsidR="009B729C" w:rsidRPr="00187E00" w:rsidRDefault="009B729C" w:rsidP="003D22F2">
            <w:pPr>
              <w:spacing w:line="276" w:lineRule="auto"/>
              <w:jc w:val="center"/>
            </w:pPr>
            <w:r w:rsidRPr="00187E00">
              <w:t>2</w:t>
            </w:r>
          </w:p>
        </w:tc>
        <w:tc>
          <w:tcPr>
            <w:tcW w:w="0" w:type="auto"/>
            <w:vAlign w:val="center"/>
          </w:tcPr>
          <w:p w:rsidR="009B729C" w:rsidRPr="00187E00" w:rsidRDefault="009B729C" w:rsidP="003D22F2">
            <w:pPr>
              <w:spacing w:line="276" w:lineRule="auto"/>
              <w:jc w:val="center"/>
            </w:pPr>
            <w:r w:rsidRPr="00187E00">
              <w:t>-1.00</w:t>
            </w:r>
          </w:p>
        </w:tc>
        <w:tc>
          <w:tcPr>
            <w:tcW w:w="0" w:type="auto"/>
            <w:vAlign w:val="center"/>
          </w:tcPr>
          <w:p w:rsidR="009B729C" w:rsidRPr="00187E00" w:rsidRDefault="009B729C" w:rsidP="003D22F2">
            <w:pPr>
              <w:spacing w:line="276" w:lineRule="auto"/>
              <w:jc w:val="center"/>
            </w:pPr>
            <w:r w:rsidRPr="00187E00">
              <w:t>-1.00</w:t>
            </w:r>
          </w:p>
        </w:tc>
        <w:tc>
          <w:tcPr>
            <w:tcW w:w="0" w:type="auto"/>
            <w:vAlign w:val="center"/>
          </w:tcPr>
          <w:p w:rsidR="009B729C" w:rsidRPr="00187E00" w:rsidRDefault="009B729C" w:rsidP="003D22F2">
            <w:pPr>
              <w:spacing w:line="276" w:lineRule="auto"/>
              <w:jc w:val="center"/>
            </w:pPr>
            <w:r w:rsidRPr="00187E00">
              <w:t>328(± 4.8)</w:t>
            </w:r>
          </w:p>
        </w:tc>
      </w:tr>
      <w:tr w:rsidR="009B729C" w:rsidRPr="00187E00" w:rsidTr="008F73E7">
        <w:trPr>
          <w:trHeight w:val="419"/>
        </w:trPr>
        <w:tc>
          <w:tcPr>
            <w:tcW w:w="0" w:type="auto"/>
            <w:vAlign w:val="center"/>
          </w:tcPr>
          <w:p w:rsidR="009B729C" w:rsidRPr="00187E00" w:rsidRDefault="009B729C" w:rsidP="003D22F2">
            <w:pPr>
              <w:spacing w:line="276" w:lineRule="auto"/>
              <w:jc w:val="center"/>
            </w:pPr>
            <w:r w:rsidRPr="00187E00">
              <w:t>3</w:t>
            </w:r>
          </w:p>
        </w:tc>
        <w:tc>
          <w:tcPr>
            <w:tcW w:w="0" w:type="auto"/>
            <w:vAlign w:val="center"/>
          </w:tcPr>
          <w:p w:rsidR="009B729C" w:rsidRPr="00187E00" w:rsidRDefault="009B729C" w:rsidP="003D22F2">
            <w:pPr>
              <w:spacing w:line="276" w:lineRule="auto"/>
              <w:jc w:val="center"/>
            </w:pPr>
            <w:r w:rsidRPr="00187E00">
              <w:t>-1.00</w:t>
            </w:r>
          </w:p>
        </w:tc>
        <w:tc>
          <w:tcPr>
            <w:tcW w:w="0" w:type="auto"/>
            <w:vAlign w:val="center"/>
          </w:tcPr>
          <w:p w:rsidR="009B729C" w:rsidRPr="00187E00" w:rsidRDefault="009B729C" w:rsidP="003D22F2">
            <w:pPr>
              <w:spacing w:line="276" w:lineRule="auto"/>
              <w:jc w:val="center"/>
            </w:pPr>
            <w:r w:rsidRPr="00187E00">
              <w:t>1.00</w:t>
            </w:r>
          </w:p>
        </w:tc>
        <w:tc>
          <w:tcPr>
            <w:tcW w:w="0" w:type="auto"/>
            <w:vAlign w:val="center"/>
          </w:tcPr>
          <w:p w:rsidR="009B729C" w:rsidRPr="00187E00" w:rsidRDefault="009B729C" w:rsidP="003D22F2">
            <w:pPr>
              <w:spacing w:line="276" w:lineRule="auto"/>
              <w:jc w:val="center"/>
            </w:pPr>
            <w:r w:rsidRPr="00187E00">
              <w:t>302(± 6.2)</w:t>
            </w:r>
          </w:p>
        </w:tc>
      </w:tr>
      <w:tr w:rsidR="009B729C" w:rsidRPr="00187E00" w:rsidTr="008F73E7">
        <w:trPr>
          <w:trHeight w:val="419"/>
        </w:trPr>
        <w:tc>
          <w:tcPr>
            <w:tcW w:w="0" w:type="auto"/>
            <w:vAlign w:val="center"/>
          </w:tcPr>
          <w:p w:rsidR="009B729C" w:rsidRPr="00187E00" w:rsidRDefault="009B729C" w:rsidP="003D22F2">
            <w:pPr>
              <w:spacing w:line="276" w:lineRule="auto"/>
              <w:jc w:val="center"/>
            </w:pPr>
            <w:r w:rsidRPr="00187E00">
              <w:t>4</w:t>
            </w:r>
          </w:p>
        </w:tc>
        <w:tc>
          <w:tcPr>
            <w:tcW w:w="0" w:type="auto"/>
            <w:vAlign w:val="center"/>
          </w:tcPr>
          <w:p w:rsidR="009B729C" w:rsidRPr="00187E00" w:rsidRDefault="009B729C" w:rsidP="003D22F2">
            <w:pPr>
              <w:spacing w:line="276" w:lineRule="auto"/>
              <w:jc w:val="center"/>
            </w:pPr>
            <w:r w:rsidRPr="00187E00">
              <w:t>0.00</w:t>
            </w:r>
          </w:p>
        </w:tc>
        <w:tc>
          <w:tcPr>
            <w:tcW w:w="0" w:type="auto"/>
            <w:vAlign w:val="center"/>
          </w:tcPr>
          <w:p w:rsidR="009B729C" w:rsidRPr="00187E00" w:rsidRDefault="009B729C" w:rsidP="003D22F2">
            <w:pPr>
              <w:spacing w:line="276" w:lineRule="auto"/>
              <w:jc w:val="center"/>
            </w:pPr>
            <w:r w:rsidRPr="00187E00">
              <w:t>0.00</w:t>
            </w:r>
          </w:p>
        </w:tc>
        <w:tc>
          <w:tcPr>
            <w:tcW w:w="0" w:type="auto"/>
            <w:vAlign w:val="center"/>
          </w:tcPr>
          <w:p w:rsidR="009B729C" w:rsidRPr="00187E00" w:rsidRDefault="009B729C" w:rsidP="003D22F2">
            <w:pPr>
              <w:spacing w:line="276" w:lineRule="auto"/>
              <w:jc w:val="center"/>
            </w:pPr>
            <w:r w:rsidRPr="00187E00">
              <w:t>206(± 5.1)</w:t>
            </w:r>
          </w:p>
        </w:tc>
      </w:tr>
      <w:tr w:rsidR="009B729C" w:rsidRPr="00187E00" w:rsidTr="008F73E7">
        <w:trPr>
          <w:trHeight w:val="419"/>
        </w:trPr>
        <w:tc>
          <w:tcPr>
            <w:tcW w:w="0" w:type="auto"/>
            <w:vAlign w:val="center"/>
          </w:tcPr>
          <w:p w:rsidR="009B729C" w:rsidRPr="00187E00" w:rsidRDefault="009B729C" w:rsidP="003D22F2">
            <w:pPr>
              <w:spacing w:line="276" w:lineRule="auto"/>
              <w:jc w:val="center"/>
            </w:pPr>
            <w:r w:rsidRPr="00187E00">
              <w:t>5</w:t>
            </w:r>
          </w:p>
        </w:tc>
        <w:tc>
          <w:tcPr>
            <w:tcW w:w="0" w:type="auto"/>
            <w:vAlign w:val="center"/>
          </w:tcPr>
          <w:p w:rsidR="009B729C" w:rsidRPr="00187E00" w:rsidRDefault="009B729C" w:rsidP="003D22F2">
            <w:pPr>
              <w:spacing w:line="276" w:lineRule="auto"/>
              <w:jc w:val="center"/>
            </w:pPr>
            <w:r w:rsidRPr="00187E00">
              <w:t>-1.00</w:t>
            </w:r>
          </w:p>
        </w:tc>
        <w:tc>
          <w:tcPr>
            <w:tcW w:w="0" w:type="auto"/>
            <w:vAlign w:val="center"/>
          </w:tcPr>
          <w:p w:rsidR="009B729C" w:rsidRPr="00187E00" w:rsidRDefault="009B729C" w:rsidP="003D22F2">
            <w:pPr>
              <w:spacing w:line="276" w:lineRule="auto"/>
              <w:jc w:val="center"/>
            </w:pPr>
            <w:r w:rsidRPr="00187E00">
              <w:t>0.00</w:t>
            </w:r>
          </w:p>
        </w:tc>
        <w:tc>
          <w:tcPr>
            <w:tcW w:w="0" w:type="auto"/>
            <w:vAlign w:val="center"/>
          </w:tcPr>
          <w:p w:rsidR="009B729C" w:rsidRPr="00187E00" w:rsidRDefault="009B729C" w:rsidP="003D22F2">
            <w:pPr>
              <w:spacing w:line="276" w:lineRule="auto"/>
              <w:jc w:val="center"/>
            </w:pPr>
            <w:r w:rsidRPr="00187E00">
              <w:t>302(± 4.9)</w:t>
            </w:r>
          </w:p>
        </w:tc>
      </w:tr>
      <w:tr w:rsidR="009B729C" w:rsidRPr="00187E00" w:rsidTr="008F73E7">
        <w:trPr>
          <w:trHeight w:val="419"/>
        </w:trPr>
        <w:tc>
          <w:tcPr>
            <w:tcW w:w="0" w:type="auto"/>
            <w:vAlign w:val="center"/>
          </w:tcPr>
          <w:p w:rsidR="009B729C" w:rsidRPr="00187E00" w:rsidRDefault="009B729C" w:rsidP="003D22F2">
            <w:pPr>
              <w:spacing w:line="276" w:lineRule="auto"/>
              <w:jc w:val="center"/>
            </w:pPr>
            <w:r w:rsidRPr="00187E00">
              <w:t>6</w:t>
            </w:r>
          </w:p>
        </w:tc>
        <w:tc>
          <w:tcPr>
            <w:tcW w:w="0" w:type="auto"/>
            <w:vAlign w:val="center"/>
          </w:tcPr>
          <w:p w:rsidR="009B729C" w:rsidRPr="00187E00" w:rsidRDefault="009B729C" w:rsidP="003D22F2">
            <w:pPr>
              <w:spacing w:line="276" w:lineRule="auto"/>
              <w:jc w:val="center"/>
            </w:pPr>
            <w:r w:rsidRPr="00187E00">
              <w:t>0.00</w:t>
            </w:r>
          </w:p>
        </w:tc>
        <w:tc>
          <w:tcPr>
            <w:tcW w:w="0" w:type="auto"/>
            <w:vAlign w:val="center"/>
          </w:tcPr>
          <w:p w:rsidR="009B729C" w:rsidRPr="00187E00" w:rsidRDefault="009B729C" w:rsidP="003D22F2">
            <w:pPr>
              <w:spacing w:line="276" w:lineRule="auto"/>
              <w:jc w:val="center"/>
            </w:pPr>
            <w:r w:rsidRPr="00187E00">
              <w:t>0.00</w:t>
            </w:r>
          </w:p>
        </w:tc>
        <w:tc>
          <w:tcPr>
            <w:tcW w:w="0" w:type="auto"/>
            <w:vAlign w:val="center"/>
          </w:tcPr>
          <w:p w:rsidR="009B729C" w:rsidRPr="00187E00" w:rsidRDefault="009B729C" w:rsidP="003D22F2">
            <w:pPr>
              <w:spacing w:line="276" w:lineRule="auto"/>
              <w:jc w:val="center"/>
            </w:pPr>
            <w:r w:rsidRPr="00187E00">
              <w:t>210(± 3.2)</w:t>
            </w:r>
          </w:p>
        </w:tc>
      </w:tr>
      <w:tr w:rsidR="009B729C" w:rsidRPr="00187E00" w:rsidTr="008F73E7">
        <w:trPr>
          <w:trHeight w:val="419"/>
        </w:trPr>
        <w:tc>
          <w:tcPr>
            <w:tcW w:w="0" w:type="auto"/>
            <w:vAlign w:val="center"/>
          </w:tcPr>
          <w:p w:rsidR="009B729C" w:rsidRPr="00187E00" w:rsidRDefault="009B729C" w:rsidP="003D22F2">
            <w:pPr>
              <w:spacing w:line="276" w:lineRule="auto"/>
              <w:jc w:val="center"/>
            </w:pPr>
            <w:r w:rsidRPr="00187E00">
              <w:t>7</w:t>
            </w:r>
          </w:p>
        </w:tc>
        <w:tc>
          <w:tcPr>
            <w:tcW w:w="0" w:type="auto"/>
            <w:vAlign w:val="center"/>
          </w:tcPr>
          <w:p w:rsidR="009B729C" w:rsidRPr="00187E00" w:rsidRDefault="009B729C" w:rsidP="003D22F2">
            <w:pPr>
              <w:spacing w:line="276" w:lineRule="auto"/>
              <w:jc w:val="center"/>
            </w:pPr>
            <w:r w:rsidRPr="00187E00">
              <w:t>1.00</w:t>
            </w:r>
          </w:p>
        </w:tc>
        <w:tc>
          <w:tcPr>
            <w:tcW w:w="0" w:type="auto"/>
            <w:vAlign w:val="center"/>
          </w:tcPr>
          <w:p w:rsidR="009B729C" w:rsidRPr="00187E00" w:rsidRDefault="009B729C" w:rsidP="003D22F2">
            <w:pPr>
              <w:spacing w:line="276" w:lineRule="auto"/>
              <w:jc w:val="center"/>
            </w:pPr>
            <w:r w:rsidRPr="00187E00">
              <w:t>-1.00</w:t>
            </w:r>
          </w:p>
        </w:tc>
        <w:tc>
          <w:tcPr>
            <w:tcW w:w="0" w:type="auto"/>
            <w:vAlign w:val="center"/>
          </w:tcPr>
          <w:p w:rsidR="009B729C" w:rsidRPr="00187E00" w:rsidRDefault="009B729C" w:rsidP="003D22F2">
            <w:pPr>
              <w:spacing w:line="276" w:lineRule="auto"/>
              <w:jc w:val="center"/>
            </w:pPr>
            <w:r w:rsidRPr="00187E00">
              <w:t>180(± 2.7)</w:t>
            </w:r>
          </w:p>
        </w:tc>
      </w:tr>
      <w:tr w:rsidR="009B729C" w:rsidRPr="00187E00" w:rsidTr="008F73E7">
        <w:trPr>
          <w:trHeight w:val="408"/>
        </w:trPr>
        <w:tc>
          <w:tcPr>
            <w:tcW w:w="0" w:type="auto"/>
            <w:vAlign w:val="center"/>
          </w:tcPr>
          <w:p w:rsidR="009B729C" w:rsidRPr="00187E00" w:rsidRDefault="009B729C" w:rsidP="003D22F2">
            <w:pPr>
              <w:spacing w:line="276" w:lineRule="auto"/>
              <w:jc w:val="center"/>
            </w:pPr>
            <w:r w:rsidRPr="00187E00">
              <w:t>8</w:t>
            </w:r>
          </w:p>
        </w:tc>
        <w:tc>
          <w:tcPr>
            <w:tcW w:w="0" w:type="auto"/>
            <w:vAlign w:val="center"/>
          </w:tcPr>
          <w:p w:rsidR="009B729C" w:rsidRPr="00187E00" w:rsidRDefault="009B729C" w:rsidP="003D22F2">
            <w:pPr>
              <w:spacing w:line="276" w:lineRule="auto"/>
              <w:jc w:val="center"/>
            </w:pPr>
            <w:r w:rsidRPr="00187E00">
              <w:t>0.00</w:t>
            </w:r>
          </w:p>
        </w:tc>
        <w:tc>
          <w:tcPr>
            <w:tcW w:w="0" w:type="auto"/>
            <w:vAlign w:val="center"/>
          </w:tcPr>
          <w:p w:rsidR="009B729C" w:rsidRPr="00187E00" w:rsidRDefault="009B729C" w:rsidP="003D22F2">
            <w:pPr>
              <w:spacing w:line="276" w:lineRule="auto"/>
              <w:jc w:val="center"/>
            </w:pPr>
            <w:r w:rsidRPr="00187E00">
              <w:t>0.00</w:t>
            </w:r>
          </w:p>
        </w:tc>
        <w:tc>
          <w:tcPr>
            <w:tcW w:w="0" w:type="auto"/>
            <w:vAlign w:val="center"/>
          </w:tcPr>
          <w:p w:rsidR="009B729C" w:rsidRPr="00187E00" w:rsidRDefault="009B729C" w:rsidP="003D22F2">
            <w:pPr>
              <w:spacing w:line="276" w:lineRule="auto"/>
              <w:jc w:val="center"/>
            </w:pPr>
            <w:r w:rsidRPr="00187E00">
              <w:t>203(± 3.3)</w:t>
            </w:r>
          </w:p>
        </w:tc>
      </w:tr>
      <w:tr w:rsidR="009B729C" w:rsidRPr="00187E00" w:rsidTr="008F73E7">
        <w:trPr>
          <w:trHeight w:val="419"/>
        </w:trPr>
        <w:tc>
          <w:tcPr>
            <w:tcW w:w="0" w:type="auto"/>
            <w:vAlign w:val="center"/>
          </w:tcPr>
          <w:p w:rsidR="009B729C" w:rsidRPr="00187E00" w:rsidRDefault="009B729C" w:rsidP="003D22F2">
            <w:pPr>
              <w:spacing w:line="276" w:lineRule="auto"/>
              <w:jc w:val="center"/>
            </w:pPr>
            <w:r w:rsidRPr="00187E00">
              <w:t>9</w:t>
            </w:r>
          </w:p>
        </w:tc>
        <w:tc>
          <w:tcPr>
            <w:tcW w:w="0" w:type="auto"/>
            <w:vAlign w:val="center"/>
          </w:tcPr>
          <w:p w:rsidR="009B729C" w:rsidRPr="00187E00" w:rsidRDefault="009B729C" w:rsidP="003D22F2">
            <w:pPr>
              <w:spacing w:line="276" w:lineRule="auto"/>
              <w:jc w:val="center"/>
            </w:pPr>
            <w:r w:rsidRPr="00187E00">
              <w:t>0.00</w:t>
            </w:r>
          </w:p>
        </w:tc>
        <w:tc>
          <w:tcPr>
            <w:tcW w:w="0" w:type="auto"/>
            <w:vAlign w:val="center"/>
          </w:tcPr>
          <w:p w:rsidR="009B729C" w:rsidRPr="00187E00" w:rsidRDefault="009B729C" w:rsidP="003D22F2">
            <w:pPr>
              <w:spacing w:line="276" w:lineRule="auto"/>
              <w:jc w:val="center"/>
            </w:pPr>
            <w:r w:rsidRPr="00187E00">
              <w:t>0.00</w:t>
            </w:r>
          </w:p>
        </w:tc>
        <w:tc>
          <w:tcPr>
            <w:tcW w:w="0" w:type="auto"/>
            <w:vAlign w:val="center"/>
          </w:tcPr>
          <w:p w:rsidR="009B729C" w:rsidRPr="00187E00" w:rsidRDefault="009B729C" w:rsidP="003D22F2">
            <w:pPr>
              <w:spacing w:line="276" w:lineRule="auto"/>
              <w:jc w:val="center"/>
            </w:pPr>
            <w:r w:rsidRPr="00187E00">
              <w:t>205(± 4.7)</w:t>
            </w:r>
          </w:p>
        </w:tc>
      </w:tr>
      <w:tr w:rsidR="009B729C" w:rsidRPr="00187E00" w:rsidTr="008F73E7">
        <w:trPr>
          <w:trHeight w:val="419"/>
        </w:trPr>
        <w:tc>
          <w:tcPr>
            <w:tcW w:w="0" w:type="auto"/>
            <w:vAlign w:val="center"/>
          </w:tcPr>
          <w:p w:rsidR="009B729C" w:rsidRPr="00187E00" w:rsidRDefault="009B729C" w:rsidP="003D22F2">
            <w:pPr>
              <w:spacing w:line="276" w:lineRule="auto"/>
              <w:jc w:val="center"/>
            </w:pPr>
            <w:r w:rsidRPr="00187E00">
              <w:t>10</w:t>
            </w:r>
          </w:p>
        </w:tc>
        <w:tc>
          <w:tcPr>
            <w:tcW w:w="0" w:type="auto"/>
            <w:vAlign w:val="center"/>
          </w:tcPr>
          <w:p w:rsidR="009B729C" w:rsidRPr="00187E00" w:rsidRDefault="009B729C" w:rsidP="003D22F2">
            <w:pPr>
              <w:spacing w:line="276" w:lineRule="auto"/>
              <w:jc w:val="center"/>
            </w:pPr>
            <w:r w:rsidRPr="00187E00">
              <w:t>0.00</w:t>
            </w:r>
          </w:p>
        </w:tc>
        <w:tc>
          <w:tcPr>
            <w:tcW w:w="0" w:type="auto"/>
            <w:vAlign w:val="center"/>
          </w:tcPr>
          <w:p w:rsidR="009B729C" w:rsidRPr="00187E00" w:rsidRDefault="009B729C" w:rsidP="003D22F2">
            <w:pPr>
              <w:spacing w:line="276" w:lineRule="auto"/>
              <w:jc w:val="center"/>
            </w:pPr>
            <w:r w:rsidRPr="00187E00">
              <w:t>0.00</w:t>
            </w:r>
          </w:p>
        </w:tc>
        <w:tc>
          <w:tcPr>
            <w:tcW w:w="0" w:type="auto"/>
            <w:vAlign w:val="center"/>
          </w:tcPr>
          <w:p w:rsidR="009B729C" w:rsidRPr="00187E00" w:rsidRDefault="009B729C" w:rsidP="003D22F2">
            <w:pPr>
              <w:spacing w:line="276" w:lineRule="auto"/>
              <w:jc w:val="center"/>
            </w:pPr>
            <w:r w:rsidRPr="00187E00">
              <w:t>209(± 3.5)</w:t>
            </w:r>
          </w:p>
        </w:tc>
      </w:tr>
      <w:tr w:rsidR="009B729C" w:rsidRPr="00187E00" w:rsidTr="008F73E7">
        <w:trPr>
          <w:trHeight w:val="419"/>
        </w:trPr>
        <w:tc>
          <w:tcPr>
            <w:tcW w:w="0" w:type="auto"/>
            <w:vAlign w:val="center"/>
          </w:tcPr>
          <w:p w:rsidR="009B729C" w:rsidRPr="00187E00" w:rsidRDefault="009B729C" w:rsidP="003D22F2">
            <w:pPr>
              <w:spacing w:line="276" w:lineRule="auto"/>
              <w:jc w:val="center"/>
            </w:pPr>
            <w:r w:rsidRPr="00187E00">
              <w:t>11</w:t>
            </w:r>
          </w:p>
        </w:tc>
        <w:tc>
          <w:tcPr>
            <w:tcW w:w="0" w:type="auto"/>
            <w:vAlign w:val="center"/>
          </w:tcPr>
          <w:p w:rsidR="009B729C" w:rsidRPr="00187E00" w:rsidRDefault="009B729C" w:rsidP="003D22F2">
            <w:pPr>
              <w:spacing w:line="276" w:lineRule="auto"/>
              <w:jc w:val="center"/>
            </w:pPr>
            <w:r w:rsidRPr="00187E00">
              <w:t>0.00</w:t>
            </w:r>
          </w:p>
        </w:tc>
        <w:tc>
          <w:tcPr>
            <w:tcW w:w="0" w:type="auto"/>
            <w:vAlign w:val="center"/>
          </w:tcPr>
          <w:p w:rsidR="009B729C" w:rsidRPr="00187E00" w:rsidRDefault="009B729C" w:rsidP="003D22F2">
            <w:pPr>
              <w:spacing w:line="276" w:lineRule="auto"/>
              <w:jc w:val="center"/>
            </w:pPr>
            <w:r w:rsidRPr="00187E00">
              <w:t>1.00</w:t>
            </w:r>
          </w:p>
        </w:tc>
        <w:tc>
          <w:tcPr>
            <w:tcW w:w="0" w:type="auto"/>
            <w:vAlign w:val="center"/>
          </w:tcPr>
          <w:p w:rsidR="009B729C" w:rsidRPr="00187E00" w:rsidRDefault="009B729C" w:rsidP="003D22F2">
            <w:pPr>
              <w:spacing w:line="276" w:lineRule="auto"/>
              <w:jc w:val="center"/>
            </w:pPr>
            <w:r w:rsidRPr="00187E00">
              <w:t>206(± 2.9)</w:t>
            </w:r>
          </w:p>
        </w:tc>
      </w:tr>
      <w:tr w:rsidR="009B729C" w:rsidRPr="00187E00" w:rsidTr="008F73E7">
        <w:trPr>
          <w:trHeight w:val="419"/>
        </w:trPr>
        <w:tc>
          <w:tcPr>
            <w:tcW w:w="0" w:type="auto"/>
            <w:vAlign w:val="center"/>
          </w:tcPr>
          <w:p w:rsidR="009B729C" w:rsidRPr="00187E00" w:rsidRDefault="009B729C" w:rsidP="003D22F2">
            <w:pPr>
              <w:spacing w:line="276" w:lineRule="auto"/>
              <w:jc w:val="center"/>
            </w:pPr>
            <w:r w:rsidRPr="00187E00">
              <w:t>12</w:t>
            </w:r>
          </w:p>
        </w:tc>
        <w:tc>
          <w:tcPr>
            <w:tcW w:w="0" w:type="auto"/>
            <w:vAlign w:val="center"/>
          </w:tcPr>
          <w:p w:rsidR="009B729C" w:rsidRPr="00187E00" w:rsidRDefault="009B729C" w:rsidP="003D22F2">
            <w:pPr>
              <w:spacing w:line="276" w:lineRule="auto"/>
              <w:jc w:val="center"/>
            </w:pPr>
            <w:r w:rsidRPr="00187E00">
              <w:t>1.00</w:t>
            </w:r>
          </w:p>
        </w:tc>
        <w:tc>
          <w:tcPr>
            <w:tcW w:w="0" w:type="auto"/>
            <w:vAlign w:val="center"/>
          </w:tcPr>
          <w:p w:rsidR="009B729C" w:rsidRPr="00187E00" w:rsidRDefault="009B729C" w:rsidP="003D22F2">
            <w:pPr>
              <w:spacing w:line="276" w:lineRule="auto"/>
              <w:jc w:val="center"/>
            </w:pPr>
            <w:r w:rsidRPr="00187E00">
              <w:t>1.00</w:t>
            </w:r>
          </w:p>
        </w:tc>
        <w:tc>
          <w:tcPr>
            <w:tcW w:w="0" w:type="auto"/>
            <w:vAlign w:val="center"/>
          </w:tcPr>
          <w:p w:rsidR="009B729C" w:rsidRPr="00187E00" w:rsidRDefault="009B729C" w:rsidP="003D22F2">
            <w:pPr>
              <w:spacing w:line="276" w:lineRule="auto"/>
              <w:jc w:val="center"/>
            </w:pPr>
            <w:r w:rsidRPr="00187E00">
              <w:t>207(± 4.5)</w:t>
            </w:r>
          </w:p>
        </w:tc>
      </w:tr>
      <w:tr w:rsidR="009B729C" w:rsidRPr="00187E00" w:rsidTr="008F73E7">
        <w:trPr>
          <w:trHeight w:val="430"/>
        </w:trPr>
        <w:tc>
          <w:tcPr>
            <w:tcW w:w="0" w:type="auto"/>
            <w:vAlign w:val="center"/>
          </w:tcPr>
          <w:p w:rsidR="009B729C" w:rsidRPr="00187E00" w:rsidRDefault="009B729C" w:rsidP="003D22F2">
            <w:pPr>
              <w:spacing w:line="276" w:lineRule="auto"/>
              <w:jc w:val="center"/>
            </w:pPr>
            <w:r w:rsidRPr="00187E00">
              <w:t>13</w:t>
            </w:r>
          </w:p>
        </w:tc>
        <w:tc>
          <w:tcPr>
            <w:tcW w:w="0" w:type="auto"/>
            <w:vAlign w:val="center"/>
          </w:tcPr>
          <w:p w:rsidR="009B729C" w:rsidRPr="00187E00" w:rsidRDefault="009B729C" w:rsidP="003D22F2">
            <w:pPr>
              <w:spacing w:line="276" w:lineRule="auto"/>
              <w:jc w:val="center"/>
            </w:pPr>
            <w:r w:rsidRPr="00187E00">
              <w:t>0.00</w:t>
            </w:r>
          </w:p>
        </w:tc>
        <w:tc>
          <w:tcPr>
            <w:tcW w:w="0" w:type="auto"/>
            <w:vAlign w:val="center"/>
          </w:tcPr>
          <w:p w:rsidR="009B729C" w:rsidRPr="00187E00" w:rsidRDefault="009B729C" w:rsidP="003D22F2">
            <w:pPr>
              <w:spacing w:line="276" w:lineRule="auto"/>
              <w:jc w:val="center"/>
            </w:pPr>
            <w:r w:rsidRPr="00187E00">
              <w:t>-1.00</w:t>
            </w:r>
          </w:p>
        </w:tc>
        <w:tc>
          <w:tcPr>
            <w:tcW w:w="0" w:type="auto"/>
            <w:vAlign w:val="center"/>
          </w:tcPr>
          <w:p w:rsidR="009B729C" w:rsidRPr="00187E00" w:rsidRDefault="009B729C" w:rsidP="003D22F2">
            <w:pPr>
              <w:spacing w:line="276" w:lineRule="auto"/>
              <w:jc w:val="center"/>
            </w:pPr>
            <w:r w:rsidRPr="00187E00">
              <w:t>222(± 2.8)</w:t>
            </w:r>
          </w:p>
        </w:tc>
      </w:tr>
    </w:tbl>
    <w:p w:rsidR="00C17333" w:rsidRDefault="00C17333" w:rsidP="009B729C">
      <w:pPr>
        <w:autoSpaceDE w:val="0"/>
        <w:autoSpaceDN w:val="0"/>
        <w:adjustRightInd w:val="0"/>
        <w:spacing w:line="240" w:lineRule="auto"/>
        <w:rPr>
          <w:vertAlign w:val="superscript"/>
        </w:rPr>
      </w:pPr>
    </w:p>
    <w:p w:rsidR="009B729C" w:rsidRPr="00187E00" w:rsidRDefault="009B729C" w:rsidP="009B729C">
      <w:pPr>
        <w:autoSpaceDE w:val="0"/>
        <w:autoSpaceDN w:val="0"/>
        <w:adjustRightInd w:val="0"/>
        <w:spacing w:line="240" w:lineRule="auto"/>
      </w:pPr>
      <w:r w:rsidRPr="00187E00">
        <w:rPr>
          <w:vertAlign w:val="superscript"/>
        </w:rPr>
        <w:t>a</w:t>
      </w:r>
      <w:r w:rsidRPr="00187E00">
        <w:t>Levels of homogenization pressure (X</w:t>
      </w:r>
      <w:r w:rsidRPr="00187E00">
        <w:rPr>
          <w:vertAlign w:val="subscript"/>
        </w:rPr>
        <w:t>1</w:t>
      </w:r>
      <w:r w:rsidRPr="00187E00">
        <w:t>)  as 650 bars (−1), 750 bars (0)and 850 bars (+1).</w:t>
      </w:r>
    </w:p>
    <w:p w:rsidR="009B729C" w:rsidRPr="00187E00" w:rsidRDefault="009B729C" w:rsidP="009B729C">
      <w:pPr>
        <w:autoSpaceDE w:val="0"/>
        <w:autoSpaceDN w:val="0"/>
        <w:adjustRightInd w:val="0"/>
        <w:spacing w:line="240" w:lineRule="auto"/>
      </w:pPr>
      <w:r w:rsidRPr="00187E00">
        <w:rPr>
          <w:vertAlign w:val="superscript"/>
        </w:rPr>
        <w:t>b</w:t>
      </w:r>
      <w:r w:rsidRPr="00187E00">
        <w:t>Levels of homogenization duration(X</w:t>
      </w:r>
      <w:r w:rsidRPr="00187E00">
        <w:rPr>
          <w:vertAlign w:val="subscript"/>
        </w:rPr>
        <w:t>2</w:t>
      </w:r>
      <w:r w:rsidRPr="00187E00">
        <w:t>)  as 30 min (−1), 60 min (0) and 90 min(+1).</w:t>
      </w:r>
    </w:p>
    <w:p w:rsidR="009B729C" w:rsidRPr="00187E00" w:rsidRDefault="009B729C" w:rsidP="009B729C">
      <w:pPr>
        <w:spacing w:line="240" w:lineRule="auto"/>
      </w:pPr>
      <w:r w:rsidRPr="00187E00">
        <w:rPr>
          <w:vertAlign w:val="superscript"/>
        </w:rPr>
        <w:t>c</w:t>
      </w:r>
      <w:r w:rsidRPr="00187E00">
        <w:t>Data shown are mean of three determinations and figure in the parentheses indicates standard error of the mean.</w:t>
      </w:r>
    </w:p>
    <w:p w:rsidR="00E653E3" w:rsidRDefault="00E653E3" w:rsidP="009871EB">
      <w:pPr>
        <w:spacing w:line="360" w:lineRule="auto"/>
        <w:rPr>
          <w:b/>
        </w:rPr>
      </w:pPr>
    </w:p>
    <w:p w:rsidR="00393E8A" w:rsidRDefault="00393E8A" w:rsidP="009871EB">
      <w:pPr>
        <w:spacing w:line="360" w:lineRule="auto"/>
        <w:rPr>
          <w:b/>
        </w:rPr>
      </w:pPr>
    </w:p>
    <w:p w:rsidR="00393E8A" w:rsidRDefault="00393E8A" w:rsidP="009871EB">
      <w:pPr>
        <w:spacing w:line="360" w:lineRule="auto"/>
        <w:rPr>
          <w:b/>
        </w:rPr>
      </w:pPr>
    </w:p>
    <w:p w:rsidR="00393E8A" w:rsidRDefault="00393E8A" w:rsidP="009871EB">
      <w:pPr>
        <w:spacing w:line="360" w:lineRule="auto"/>
        <w:rPr>
          <w:b/>
        </w:rPr>
      </w:pPr>
    </w:p>
    <w:p w:rsidR="00393E8A" w:rsidRDefault="00393E8A" w:rsidP="009871EB">
      <w:pPr>
        <w:spacing w:line="360" w:lineRule="auto"/>
        <w:rPr>
          <w:b/>
        </w:rPr>
      </w:pPr>
    </w:p>
    <w:p w:rsidR="00393E8A" w:rsidRDefault="00393E8A" w:rsidP="009871EB">
      <w:pPr>
        <w:spacing w:line="360" w:lineRule="auto"/>
        <w:rPr>
          <w:b/>
        </w:rPr>
      </w:pPr>
    </w:p>
    <w:p w:rsidR="00393E8A" w:rsidRDefault="00393E8A" w:rsidP="009871EB">
      <w:pPr>
        <w:spacing w:line="360" w:lineRule="auto"/>
        <w:rPr>
          <w:b/>
        </w:rPr>
      </w:pPr>
    </w:p>
    <w:p w:rsidR="00393E8A" w:rsidRDefault="00393E8A" w:rsidP="009871EB">
      <w:pPr>
        <w:spacing w:line="360" w:lineRule="auto"/>
        <w:rPr>
          <w:b/>
        </w:rPr>
      </w:pPr>
    </w:p>
    <w:p w:rsidR="00393E8A" w:rsidRDefault="00393E8A" w:rsidP="009871EB">
      <w:pPr>
        <w:spacing w:line="360" w:lineRule="auto"/>
        <w:rPr>
          <w:b/>
        </w:rPr>
      </w:pPr>
    </w:p>
    <w:p w:rsidR="00393E8A" w:rsidRPr="00007FF4" w:rsidRDefault="00393E8A" w:rsidP="009871EB">
      <w:pPr>
        <w:spacing w:line="360" w:lineRule="auto"/>
        <w:rPr>
          <w:b/>
        </w:rPr>
      </w:pPr>
    </w:p>
    <w:p w:rsidR="00EA58BA" w:rsidRPr="00BF0D24" w:rsidRDefault="00EA58BA" w:rsidP="00BF0D24">
      <w:pPr>
        <w:pStyle w:val="ListParagraph"/>
        <w:numPr>
          <w:ilvl w:val="1"/>
          <w:numId w:val="31"/>
        </w:numPr>
        <w:spacing w:line="360" w:lineRule="auto"/>
        <w:ind w:left="720" w:hanging="720"/>
        <w:rPr>
          <w:b/>
          <w:bCs/>
          <w:i/>
        </w:rPr>
      </w:pPr>
      <w:r w:rsidRPr="00BF0D24">
        <w:rPr>
          <w:b/>
          <w:bCs/>
        </w:rPr>
        <w:lastRenderedPageBreak/>
        <w:t>Polyvinylidene Fluoride (PVDF) Filter Integrity Test</w:t>
      </w:r>
      <w:r w:rsidRPr="00BF0D24">
        <w:rPr>
          <w:b/>
          <w:bCs/>
          <w:i/>
        </w:rPr>
        <w:t xml:space="preserve"> </w:t>
      </w:r>
    </w:p>
    <w:p w:rsidR="00EA58BA" w:rsidRPr="00007FF4" w:rsidRDefault="00EA58BA" w:rsidP="009871EB">
      <w:pPr>
        <w:spacing w:line="360" w:lineRule="auto"/>
        <w:rPr>
          <w:bCs/>
        </w:rPr>
      </w:pPr>
      <w:r w:rsidRPr="00007FF4">
        <w:rPr>
          <w:bCs/>
        </w:rPr>
        <w:t>Sterilizing-grade hydrophilic PVDF disposable filter (</w:t>
      </w:r>
      <w:r w:rsidRPr="00007FF4">
        <w:t>Durapore membrane disc, Millipore Corp.)</w:t>
      </w:r>
      <w:r w:rsidRPr="00007FF4">
        <w:rPr>
          <w:bCs/>
        </w:rPr>
        <w:t xml:space="preserve"> disc (0.45 and 0.22 µm) </w:t>
      </w:r>
      <w:r w:rsidRPr="00007FF4">
        <w:t xml:space="preserve">was used for product integrity test. </w:t>
      </w:r>
      <w:r w:rsidRPr="00007FF4">
        <w:rPr>
          <w:bCs/>
        </w:rPr>
        <w:t xml:space="preserve">The filter was incubated with the product in a closed vessel at 40 </w:t>
      </w:r>
      <w:r w:rsidRPr="00007FF4">
        <w:t>°</w:t>
      </w:r>
      <w:r w:rsidRPr="00007FF4">
        <w:rPr>
          <w:bCs/>
        </w:rPr>
        <w:t>C for a contact time of 4 hours. The filter was then investigated for change in the physical characteristics</w:t>
      </w:r>
      <w:r w:rsidRPr="00007FF4">
        <w:rPr>
          <w:bCs/>
          <w:iCs/>
        </w:rPr>
        <w:t xml:space="preserve"> such as bubble point,</w:t>
      </w:r>
      <w:r w:rsidRPr="00007FF4">
        <w:rPr>
          <w:bCs/>
        </w:rPr>
        <w:t xml:space="preserve"> </w:t>
      </w:r>
      <w:r w:rsidRPr="00007FF4">
        <w:rPr>
          <w:bCs/>
          <w:iCs/>
        </w:rPr>
        <w:t>membrane thickness and burst pressure</w:t>
      </w:r>
      <w:r w:rsidRPr="00007FF4">
        <w:rPr>
          <w:bCs/>
        </w:rPr>
        <w:t xml:space="preserve">. The integrity testing of the filter elements were wetted with the optimized formulation. </w:t>
      </w:r>
    </w:p>
    <w:p w:rsidR="00EA58BA" w:rsidRPr="00A9450A" w:rsidRDefault="00EA58BA" w:rsidP="00A9450A">
      <w:pPr>
        <w:pStyle w:val="ListParagraph"/>
        <w:numPr>
          <w:ilvl w:val="1"/>
          <w:numId w:val="31"/>
        </w:numPr>
        <w:spacing w:line="360" w:lineRule="auto"/>
        <w:ind w:left="720" w:hanging="720"/>
        <w:rPr>
          <w:b/>
          <w:bCs/>
        </w:rPr>
      </w:pPr>
      <w:r w:rsidRPr="00A9450A">
        <w:rPr>
          <w:b/>
          <w:bCs/>
        </w:rPr>
        <w:t xml:space="preserve">Leachable Extracts </w:t>
      </w:r>
    </w:p>
    <w:p w:rsidR="00EA58BA" w:rsidRPr="00007FF4" w:rsidRDefault="00EA58BA" w:rsidP="009871EB">
      <w:pPr>
        <w:spacing w:line="360" w:lineRule="auto"/>
        <w:rPr>
          <w:bCs/>
          <w:highlight w:val="yellow"/>
        </w:rPr>
      </w:pPr>
      <w:r w:rsidRPr="00007FF4">
        <w:rPr>
          <w:bCs/>
        </w:rPr>
        <w:t xml:space="preserve">Presence of any leachable extracts and the loss of components due to adsorption were estimated by soaking the </w:t>
      </w:r>
      <w:r w:rsidR="00232473">
        <w:rPr>
          <w:bCs/>
        </w:rPr>
        <w:t xml:space="preserve">filter </w:t>
      </w:r>
      <w:r w:rsidRPr="00007FF4">
        <w:rPr>
          <w:bCs/>
        </w:rPr>
        <w:t>membrane with the optimized formulation in relation to the fresh formulation.</w:t>
      </w:r>
    </w:p>
    <w:p w:rsidR="00EA58BA" w:rsidRPr="00A9450A" w:rsidRDefault="00EA58BA" w:rsidP="00A9450A">
      <w:pPr>
        <w:pStyle w:val="ListParagraph"/>
        <w:numPr>
          <w:ilvl w:val="1"/>
          <w:numId w:val="31"/>
        </w:numPr>
        <w:spacing w:line="360" w:lineRule="auto"/>
        <w:ind w:left="720" w:hanging="720"/>
        <w:rPr>
          <w:b/>
          <w:bCs/>
        </w:rPr>
      </w:pPr>
      <w:r w:rsidRPr="00A9450A">
        <w:rPr>
          <w:b/>
          <w:bCs/>
        </w:rPr>
        <w:t>Filling and Sealing</w:t>
      </w:r>
    </w:p>
    <w:p w:rsidR="00EA58BA" w:rsidRPr="00007FF4" w:rsidRDefault="00EA58BA" w:rsidP="009871EB">
      <w:pPr>
        <w:spacing w:line="360" w:lineRule="auto"/>
        <w:rPr>
          <w:bCs/>
        </w:rPr>
      </w:pPr>
      <w:r w:rsidRPr="00007FF4">
        <w:rPr>
          <w:bCs/>
        </w:rPr>
        <w:t>The product was then passed through a membrane filter holder with 2.0 &amp; 0.45 micron filters at 0.3 - 0.4 bar</w:t>
      </w:r>
      <w:r w:rsidR="00C4384B">
        <w:rPr>
          <w:bCs/>
        </w:rPr>
        <w:t xml:space="preserve"> pressure</w:t>
      </w:r>
      <w:r w:rsidRPr="00007FF4">
        <w:rPr>
          <w:bCs/>
        </w:rPr>
        <w:t xml:space="preserve">, filled in </w:t>
      </w:r>
      <w:r w:rsidR="000470D3" w:rsidRPr="00007FF4">
        <w:rPr>
          <w:bCs/>
        </w:rPr>
        <w:t xml:space="preserve">50 mL </w:t>
      </w:r>
      <w:r w:rsidRPr="00007FF4">
        <w:rPr>
          <w:bCs/>
        </w:rPr>
        <w:t>sterilized vials u</w:t>
      </w:r>
      <w:r w:rsidR="001979A0">
        <w:rPr>
          <w:bCs/>
        </w:rPr>
        <w:t>nder nitrogen and sealed.</w:t>
      </w:r>
    </w:p>
    <w:p w:rsidR="00E34D74" w:rsidRPr="00A9450A" w:rsidRDefault="004758C9" w:rsidP="00A9450A">
      <w:pPr>
        <w:pStyle w:val="ListParagraph"/>
        <w:numPr>
          <w:ilvl w:val="1"/>
          <w:numId w:val="31"/>
        </w:numPr>
        <w:spacing w:line="360" w:lineRule="auto"/>
        <w:ind w:left="720" w:hanging="720"/>
        <w:rPr>
          <w:b/>
          <w:bCs/>
        </w:rPr>
      </w:pPr>
      <w:r w:rsidRPr="00A9450A">
        <w:rPr>
          <w:b/>
          <w:bCs/>
        </w:rPr>
        <w:t>Color and Clarity</w:t>
      </w:r>
    </w:p>
    <w:p w:rsidR="00AF3470" w:rsidRPr="00007FF4" w:rsidRDefault="00CB0D5A" w:rsidP="009871EB">
      <w:pPr>
        <w:spacing w:line="360" w:lineRule="auto"/>
        <w:rPr>
          <w:bCs/>
          <w:vertAlign w:val="superscript"/>
          <w:lang w:val="en-GB"/>
        </w:rPr>
      </w:pPr>
      <w:r w:rsidRPr="00007FF4">
        <w:rPr>
          <w:bCs/>
        </w:rPr>
        <w:t xml:space="preserve">The color and clarity parameters were assessed by comparing the test solution with a standard reference suspension. </w:t>
      </w:r>
      <w:r w:rsidR="00D36797" w:rsidRPr="00007FF4">
        <w:rPr>
          <w:bCs/>
        </w:rPr>
        <w:t>Briefly as, s</w:t>
      </w:r>
      <w:r w:rsidR="007D3458" w:rsidRPr="00007FF4">
        <w:rPr>
          <w:bCs/>
        </w:rPr>
        <w:t xml:space="preserve">tandard stock opalescence </w:t>
      </w:r>
      <w:r w:rsidR="00D75056" w:rsidRPr="00007FF4">
        <w:rPr>
          <w:bCs/>
        </w:rPr>
        <w:t xml:space="preserve">was prepared by adding </w:t>
      </w:r>
      <w:r w:rsidR="007D3458" w:rsidRPr="00007FF4">
        <w:rPr>
          <w:bCs/>
        </w:rPr>
        <w:t xml:space="preserve">1% (w/v) hydrazine sulphate in </w:t>
      </w:r>
      <w:r w:rsidR="00355F1A" w:rsidRPr="00007FF4">
        <w:rPr>
          <w:bCs/>
        </w:rPr>
        <w:t>water</w:t>
      </w:r>
      <w:r w:rsidR="007D3458" w:rsidRPr="00007FF4">
        <w:rPr>
          <w:bCs/>
        </w:rPr>
        <w:t xml:space="preserve"> (25ml) </w:t>
      </w:r>
      <w:r w:rsidR="00AF3470" w:rsidRPr="00007FF4">
        <w:rPr>
          <w:bCs/>
        </w:rPr>
        <w:t xml:space="preserve">to a </w:t>
      </w:r>
      <w:r w:rsidR="007D3458" w:rsidRPr="00007FF4">
        <w:rPr>
          <w:bCs/>
        </w:rPr>
        <w:t xml:space="preserve">10% (w/v) </w:t>
      </w:r>
      <w:r w:rsidR="00AF3470" w:rsidRPr="00007FF4">
        <w:rPr>
          <w:bCs/>
        </w:rPr>
        <w:t xml:space="preserve">solution of Hexamine in </w:t>
      </w:r>
      <w:r w:rsidR="00355F1A" w:rsidRPr="00007FF4">
        <w:rPr>
          <w:bCs/>
        </w:rPr>
        <w:t>water</w:t>
      </w:r>
      <w:r w:rsidR="007D3458" w:rsidRPr="00007FF4">
        <w:rPr>
          <w:bCs/>
        </w:rPr>
        <w:t xml:space="preserve"> (25 ml)</w:t>
      </w:r>
      <w:r w:rsidR="00AF3470" w:rsidRPr="00007FF4">
        <w:rPr>
          <w:bCs/>
        </w:rPr>
        <w:t xml:space="preserve">; mixed well and allowed to stand for 24 hours. </w:t>
      </w:r>
      <w:r w:rsidRPr="00007FF4">
        <w:rPr>
          <w:bCs/>
        </w:rPr>
        <w:t>Standard opalescence</w:t>
      </w:r>
      <w:r w:rsidR="00D75056" w:rsidRPr="00007FF4">
        <w:rPr>
          <w:bCs/>
        </w:rPr>
        <w:t xml:space="preserve"> was prepared by </w:t>
      </w:r>
      <w:r w:rsidRPr="00007FF4">
        <w:rPr>
          <w:bCs/>
        </w:rPr>
        <w:t xml:space="preserve">diluting </w:t>
      </w:r>
      <w:r w:rsidR="00AF3470" w:rsidRPr="00007FF4">
        <w:rPr>
          <w:bCs/>
        </w:rPr>
        <w:t xml:space="preserve">15 ml of the standard stock opalescence </w:t>
      </w:r>
      <w:r w:rsidRPr="00007FF4">
        <w:rPr>
          <w:bCs/>
        </w:rPr>
        <w:t xml:space="preserve">solution to 1000 ml with </w:t>
      </w:r>
      <w:r w:rsidR="00355F1A" w:rsidRPr="00007FF4">
        <w:rPr>
          <w:bCs/>
        </w:rPr>
        <w:t>water</w:t>
      </w:r>
      <w:r w:rsidRPr="00007FF4">
        <w:rPr>
          <w:bCs/>
        </w:rPr>
        <w:t xml:space="preserve"> and further, the reference </w:t>
      </w:r>
      <w:r w:rsidR="00AF3470" w:rsidRPr="00007FF4">
        <w:rPr>
          <w:bCs/>
        </w:rPr>
        <w:t>suspension</w:t>
      </w:r>
      <w:r w:rsidRPr="00007FF4">
        <w:rPr>
          <w:bCs/>
        </w:rPr>
        <w:t xml:space="preserve"> was prepared by diluting 5ml </w:t>
      </w:r>
      <w:r w:rsidR="00AF3470" w:rsidRPr="00007FF4">
        <w:rPr>
          <w:bCs/>
        </w:rPr>
        <w:t xml:space="preserve">standard of opalescence </w:t>
      </w:r>
      <w:r w:rsidRPr="00007FF4">
        <w:rPr>
          <w:bCs/>
        </w:rPr>
        <w:t>with</w:t>
      </w:r>
      <w:r w:rsidR="00AF3470" w:rsidRPr="00007FF4">
        <w:rPr>
          <w:bCs/>
        </w:rPr>
        <w:t xml:space="preserve"> 95 ml of </w:t>
      </w:r>
      <w:r w:rsidR="00355F1A" w:rsidRPr="00007FF4">
        <w:rPr>
          <w:bCs/>
        </w:rPr>
        <w:t>water</w:t>
      </w:r>
      <w:r w:rsidR="00AF3470" w:rsidRPr="00007FF4">
        <w:rPr>
          <w:bCs/>
        </w:rPr>
        <w:t xml:space="preserve">. </w:t>
      </w:r>
      <w:r w:rsidR="00CA7E6C" w:rsidRPr="00007FF4">
        <w:rPr>
          <w:bCs/>
        </w:rPr>
        <w:t>Each of 20 ml of t</w:t>
      </w:r>
      <w:r w:rsidR="00AF3470" w:rsidRPr="00007FF4">
        <w:rPr>
          <w:bCs/>
        </w:rPr>
        <w:t xml:space="preserve">est </w:t>
      </w:r>
      <w:r w:rsidR="0020466A" w:rsidRPr="00007FF4">
        <w:rPr>
          <w:bCs/>
        </w:rPr>
        <w:t xml:space="preserve">solution </w:t>
      </w:r>
      <w:r w:rsidR="00C07F7B" w:rsidRPr="00007FF4">
        <w:rPr>
          <w:bCs/>
        </w:rPr>
        <w:t xml:space="preserve">and reference suspension </w:t>
      </w:r>
      <w:r w:rsidR="008062F2" w:rsidRPr="00007FF4">
        <w:rPr>
          <w:bCs/>
        </w:rPr>
        <w:t>was</w:t>
      </w:r>
      <w:r w:rsidR="00AF3470" w:rsidRPr="00007FF4">
        <w:rPr>
          <w:bCs/>
        </w:rPr>
        <w:t xml:space="preserve"> transfer</w:t>
      </w:r>
      <w:r w:rsidR="00804E16" w:rsidRPr="00007FF4">
        <w:rPr>
          <w:bCs/>
        </w:rPr>
        <w:t>red to a colorless, transparent and</w:t>
      </w:r>
      <w:r w:rsidR="00DC3A7A" w:rsidRPr="00007FF4">
        <w:rPr>
          <w:bCs/>
        </w:rPr>
        <w:t xml:space="preserve"> neutral glass tube, and t</w:t>
      </w:r>
      <w:r w:rsidR="00AF3470" w:rsidRPr="00007FF4">
        <w:rPr>
          <w:bCs/>
        </w:rPr>
        <w:t xml:space="preserve">he absorbance was </w:t>
      </w:r>
      <w:r w:rsidR="00AF3470" w:rsidRPr="00007FF4">
        <w:rPr>
          <w:bCs/>
          <w:lang w:val="en-GB"/>
        </w:rPr>
        <w:t>measured at 430 nm using a UV-visible spectrophot</w:t>
      </w:r>
      <w:r w:rsidR="00031130" w:rsidRPr="00007FF4">
        <w:rPr>
          <w:bCs/>
          <w:lang w:val="en-GB"/>
        </w:rPr>
        <w:t>ometer (Jasco V-630, USA). The c</w:t>
      </w:r>
      <w:r w:rsidR="00AF3470" w:rsidRPr="00007FF4">
        <w:rPr>
          <w:bCs/>
          <w:lang w:val="en-GB"/>
        </w:rPr>
        <w:t xml:space="preserve">larity of the solution was compared with standard opalescence produced </w:t>
      </w:r>
      <w:r w:rsidR="00AF3470" w:rsidRPr="00007FF4">
        <w:rPr>
          <w:bCs/>
        </w:rPr>
        <w:t>by hydrazine sulphate</w:t>
      </w:r>
      <w:r w:rsidR="0024320D" w:rsidRPr="00007FF4">
        <w:rPr>
          <w:bCs/>
        </w:rPr>
        <w:t xml:space="preserve"> </w:t>
      </w:r>
      <w:r w:rsidR="00AF3470" w:rsidRPr="00007FF4">
        <w:rPr>
          <w:bCs/>
        </w:rPr>
        <w:t xml:space="preserve">in a transparent, neutral glass tube against a black background by viewing in diffused </w:t>
      </w:r>
      <w:r w:rsidR="001D6FC8" w:rsidRPr="00007FF4">
        <w:rPr>
          <w:bCs/>
        </w:rPr>
        <w:t>daylight do</w:t>
      </w:r>
      <w:r w:rsidR="00553641" w:rsidRPr="00007FF4">
        <w:rPr>
          <w:bCs/>
        </w:rPr>
        <w:t>wn the vertical axis.</w:t>
      </w:r>
      <w:r w:rsidR="00553641" w:rsidRPr="00007FF4">
        <w:rPr>
          <w:bCs/>
          <w:vertAlign w:val="superscript"/>
        </w:rPr>
        <w:t>47</w:t>
      </w:r>
    </w:p>
    <w:p w:rsidR="00EA663F" w:rsidRPr="00A9450A" w:rsidRDefault="00E34D74" w:rsidP="00A9450A">
      <w:pPr>
        <w:pStyle w:val="ListParagraph"/>
        <w:numPr>
          <w:ilvl w:val="1"/>
          <w:numId w:val="31"/>
        </w:numPr>
        <w:spacing w:line="360" w:lineRule="auto"/>
        <w:ind w:left="720" w:hanging="720"/>
        <w:rPr>
          <w:b/>
          <w:bCs/>
        </w:rPr>
      </w:pPr>
      <w:r w:rsidRPr="00A9450A">
        <w:rPr>
          <w:b/>
          <w:bCs/>
        </w:rPr>
        <w:t>pH</w:t>
      </w:r>
      <w:r w:rsidR="00EA663F" w:rsidRPr="00A9450A">
        <w:rPr>
          <w:b/>
          <w:bCs/>
        </w:rPr>
        <w:t xml:space="preserve">, </w:t>
      </w:r>
      <w:r w:rsidRPr="00A9450A">
        <w:rPr>
          <w:b/>
          <w:bCs/>
        </w:rPr>
        <w:t>Osmolality</w:t>
      </w:r>
      <w:r w:rsidR="00EA663F" w:rsidRPr="00A9450A">
        <w:rPr>
          <w:b/>
          <w:bCs/>
        </w:rPr>
        <w:t xml:space="preserve">, </w:t>
      </w:r>
      <w:r w:rsidR="00EA663F" w:rsidRPr="00A9450A">
        <w:rPr>
          <w:b/>
        </w:rPr>
        <w:t xml:space="preserve">Particulate Matter </w:t>
      </w:r>
      <w:r w:rsidR="009D28E0" w:rsidRPr="00A9450A">
        <w:rPr>
          <w:b/>
          <w:bCs/>
        </w:rPr>
        <w:t>Density and Specific Gravity</w:t>
      </w:r>
    </w:p>
    <w:p w:rsidR="00E34D74" w:rsidRPr="00007FF4" w:rsidRDefault="008B75F3" w:rsidP="009871EB">
      <w:pPr>
        <w:spacing w:line="360" w:lineRule="auto"/>
        <w:rPr>
          <w:vertAlign w:val="superscript"/>
        </w:rPr>
      </w:pPr>
      <w:r w:rsidRPr="00007FF4">
        <w:t>Employing</w:t>
      </w:r>
      <w:r w:rsidR="00E34D74" w:rsidRPr="00007FF4">
        <w:t xml:space="preserve"> a pH meter (720A; Thermo Orion, USA) and Cryoscopic Osmometer (Osmomat 030; Gonotec GmbH, Germany), </w:t>
      </w:r>
      <w:r w:rsidRPr="00007FF4">
        <w:t xml:space="preserve">the pH and Osmolality </w:t>
      </w:r>
      <w:r w:rsidR="00217288" w:rsidRPr="00007FF4">
        <w:t xml:space="preserve">respectively </w:t>
      </w:r>
      <w:r w:rsidRPr="00007FF4">
        <w:t xml:space="preserve">of propofol </w:t>
      </w:r>
      <w:r w:rsidR="004032B9" w:rsidRPr="00007FF4">
        <w:t>nano</w:t>
      </w:r>
      <w:r w:rsidRPr="00007FF4">
        <w:t xml:space="preserve"> emulsion were measured</w:t>
      </w:r>
      <w:r w:rsidR="00E34D74" w:rsidRPr="00007FF4">
        <w:t>.</w:t>
      </w:r>
      <w:r w:rsidRPr="00007FF4">
        <w:t xml:space="preserve"> </w:t>
      </w:r>
      <w:r w:rsidR="00E34D74" w:rsidRPr="00007FF4">
        <w:rPr>
          <w:bCs/>
        </w:rPr>
        <w:t>Presence of any particulate matter was observed through the ligh</w:t>
      </w:r>
      <w:r w:rsidR="00460730" w:rsidRPr="00007FF4">
        <w:rPr>
          <w:bCs/>
        </w:rPr>
        <w:t xml:space="preserve">t obscuration counter sensor </w:t>
      </w:r>
      <w:r w:rsidR="00466DA8" w:rsidRPr="00007FF4">
        <w:rPr>
          <w:bCs/>
        </w:rPr>
        <w:t>(</w:t>
      </w:r>
      <w:r w:rsidR="00E34D74" w:rsidRPr="00007FF4">
        <w:t>APSS-2000 Liquid Particle Counter</w:t>
      </w:r>
      <w:r w:rsidR="00466DA8" w:rsidRPr="00007FF4">
        <w:t xml:space="preserve">, </w:t>
      </w:r>
      <w:r w:rsidR="000E7D34" w:rsidRPr="00007FF4">
        <w:t xml:space="preserve">Particle Measuring Systems, </w:t>
      </w:r>
      <w:r w:rsidR="00E34D74" w:rsidRPr="00007FF4">
        <w:t>USA)</w:t>
      </w:r>
      <w:r w:rsidR="00E34D74" w:rsidRPr="00007FF4">
        <w:rPr>
          <w:bCs/>
        </w:rPr>
        <w:t xml:space="preserve">. </w:t>
      </w:r>
      <w:r w:rsidR="00E34D74" w:rsidRPr="00007FF4">
        <w:t xml:space="preserve">Density and </w:t>
      </w:r>
      <w:r w:rsidR="00E34D74" w:rsidRPr="00007FF4">
        <w:lastRenderedPageBreak/>
        <w:t>spe</w:t>
      </w:r>
      <w:r w:rsidR="00EA6802" w:rsidRPr="00007FF4">
        <w:t>cific gravity of the emulsion were</w:t>
      </w:r>
      <w:r w:rsidR="00E34D74" w:rsidRPr="00007FF4">
        <w:t xml:space="preserve"> tested by using a density / specific gravity meter-DA</w:t>
      </w:r>
      <w:r w:rsidR="001D6FC8" w:rsidRPr="00007FF4">
        <w:t>-100 (Kyoto Electronics, Japan)</w:t>
      </w:r>
      <w:r w:rsidR="00553641" w:rsidRPr="00007FF4">
        <w:t>.</w:t>
      </w:r>
      <w:r w:rsidR="00A9450A">
        <w:rPr>
          <w:vertAlign w:val="superscript"/>
        </w:rPr>
        <w:t>47-</w:t>
      </w:r>
      <w:r w:rsidR="00553641" w:rsidRPr="00007FF4">
        <w:rPr>
          <w:vertAlign w:val="superscript"/>
        </w:rPr>
        <w:t>49</w:t>
      </w:r>
    </w:p>
    <w:p w:rsidR="00857A91" w:rsidRPr="00EA3A24" w:rsidRDefault="00E34D74" w:rsidP="00EA3A24">
      <w:pPr>
        <w:pStyle w:val="ListParagraph"/>
        <w:numPr>
          <w:ilvl w:val="1"/>
          <w:numId w:val="31"/>
        </w:numPr>
        <w:spacing w:line="360" w:lineRule="auto"/>
        <w:ind w:left="720" w:hanging="720"/>
        <w:rPr>
          <w:b/>
          <w:bCs/>
        </w:rPr>
      </w:pPr>
      <w:r w:rsidRPr="00EA3A24">
        <w:rPr>
          <w:b/>
          <w:bCs/>
        </w:rPr>
        <w:t>Assay</w:t>
      </w:r>
    </w:p>
    <w:p w:rsidR="00857A91" w:rsidRPr="00007FF4" w:rsidRDefault="00684442" w:rsidP="009871EB">
      <w:pPr>
        <w:tabs>
          <w:tab w:val="left" w:pos="1215"/>
        </w:tabs>
        <w:spacing w:line="360" w:lineRule="auto"/>
        <w:rPr>
          <w:bCs/>
        </w:rPr>
      </w:pPr>
      <w:r w:rsidRPr="00007FF4">
        <w:rPr>
          <w:bCs/>
        </w:rPr>
        <w:t>For all types of drug estimation t</w:t>
      </w:r>
      <w:r w:rsidR="00857A91" w:rsidRPr="00007FF4">
        <w:rPr>
          <w:bCs/>
        </w:rPr>
        <w:t>he chromatographic p</w:t>
      </w:r>
      <w:r w:rsidR="00DA6AC1" w:rsidRPr="00007FF4">
        <w:rPr>
          <w:bCs/>
        </w:rPr>
        <w:t>rocedure was carried out using h</w:t>
      </w:r>
      <w:r w:rsidR="00857A91" w:rsidRPr="00007FF4">
        <w:rPr>
          <w:bCs/>
        </w:rPr>
        <w:t xml:space="preserve">igh performance liquid chromatography (Jasco LC-Net II/ADC, USA). Stainless steel column of (15 cm x 4.6 mm long) 5 mm internal diameter, packed with octadecylsilyl silica gel for chromatography R (5 µm) (Nucleosil C18) with a </w:t>
      </w:r>
      <w:r w:rsidR="000E6B7F" w:rsidRPr="00007FF4">
        <w:rPr>
          <w:bCs/>
        </w:rPr>
        <w:t>solvent system of orthophosphoric acid, water and acetonitrile at a ratio of 7:200:300 (by volume) was used as mobile phase at a flow rate of 1.2 mL/min.</w:t>
      </w:r>
      <w:r w:rsidR="00017FD5" w:rsidRPr="00007FF4">
        <w:rPr>
          <w:bCs/>
        </w:rPr>
        <w:t xml:space="preserve"> </w:t>
      </w:r>
      <w:r w:rsidR="00857A91" w:rsidRPr="00007FF4">
        <w:rPr>
          <w:bCs/>
        </w:rPr>
        <w:t xml:space="preserve">Each solution of 25 µl was injected and the detector of the spectrophotometer was set at 210 nm.  For the impurities the same method was followed taking 10 µl of reference solution and continuing the chromatography for 15 min. </w:t>
      </w:r>
    </w:p>
    <w:p w:rsidR="00E34D74" w:rsidRPr="00EA3A24" w:rsidRDefault="00E34D74" w:rsidP="00EA3A24">
      <w:pPr>
        <w:pStyle w:val="ListParagraph"/>
        <w:numPr>
          <w:ilvl w:val="1"/>
          <w:numId w:val="31"/>
        </w:numPr>
        <w:spacing w:line="360" w:lineRule="auto"/>
        <w:ind w:left="720" w:hanging="720"/>
        <w:rPr>
          <w:b/>
          <w:bCs/>
        </w:rPr>
      </w:pPr>
      <w:r w:rsidRPr="00EA3A24">
        <w:rPr>
          <w:b/>
        </w:rPr>
        <w:t xml:space="preserve">Multiple </w:t>
      </w:r>
      <w:r w:rsidR="009D28E0" w:rsidRPr="00EA3A24">
        <w:rPr>
          <w:b/>
        </w:rPr>
        <w:t>Piercing Resistance Study</w:t>
      </w:r>
    </w:p>
    <w:p w:rsidR="00E34D74" w:rsidRPr="00007FF4" w:rsidRDefault="00E34D74" w:rsidP="009871EB">
      <w:pPr>
        <w:tabs>
          <w:tab w:val="left" w:pos="720"/>
          <w:tab w:val="left" w:pos="1440"/>
        </w:tabs>
        <w:spacing w:line="360" w:lineRule="auto"/>
        <w:ind w:right="-180"/>
      </w:pPr>
      <w:r w:rsidRPr="00007FF4">
        <w:t xml:space="preserve">The final sterile formulation was filled in a sterile </w:t>
      </w:r>
      <w:r w:rsidR="005C1C22" w:rsidRPr="00007FF4">
        <w:t xml:space="preserve">50 mL </w:t>
      </w:r>
      <w:r w:rsidR="002E6CD5" w:rsidRPr="00007FF4">
        <w:t xml:space="preserve">clear tubular glass </w:t>
      </w:r>
      <w:r w:rsidRPr="00007FF4">
        <w:t>vial capped with a sterile bromobutyl stopper. The stopper was punctured wit</w:t>
      </w:r>
      <w:r w:rsidR="00D32231" w:rsidRPr="00007FF4">
        <w:t xml:space="preserve">h a sterile 22 gauge needle at </w:t>
      </w:r>
      <w:r w:rsidR="00D32231" w:rsidRPr="00007FF4">
        <w:sym w:font="Symbol" w:char="F030"/>
      </w:r>
      <w:r w:rsidRPr="00007FF4">
        <w:rPr>
          <w:vertAlign w:val="superscript"/>
        </w:rPr>
        <w:t>t</w:t>
      </w:r>
      <w:r w:rsidR="00D32231" w:rsidRPr="00007FF4">
        <w:rPr>
          <w:vertAlign w:val="superscript"/>
        </w:rPr>
        <w:t>h</w:t>
      </w:r>
      <w:r w:rsidRPr="00007FF4">
        <w:t>, 8</w:t>
      </w:r>
      <w:r w:rsidRPr="00007FF4">
        <w:rPr>
          <w:vertAlign w:val="superscript"/>
        </w:rPr>
        <w:t>th</w:t>
      </w:r>
      <w:r w:rsidRPr="00007FF4">
        <w:t>, 24</w:t>
      </w:r>
      <w:r w:rsidRPr="00007FF4">
        <w:rPr>
          <w:vertAlign w:val="superscript"/>
        </w:rPr>
        <w:t>th</w:t>
      </w:r>
      <w:r w:rsidRPr="00007FF4">
        <w:t>, 32</w:t>
      </w:r>
      <w:r w:rsidRPr="00007FF4">
        <w:rPr>
          <w:vertAlign w:val="superscript"/>
        </w:rPr>
        <w:t>nd</w:t>
      </w:r>
      <w:r w:rsidRPr="00007FF4">
        <w:t>, 48</w:t>
      </w:r>
      <w:r w:rsidRPr="00007FF4">
        <w:rPr>
          <w:vertAlign w:val="superscript"/>
        </w:rPr>
        <w:t>th</w:t>
      </w:r>
      <w:r w:rsidRPr="00007FF4">
        <w:t xml:space="preserve"> hours with a storage condition of 2 – 8</w:t>
      </w:r>
      <w:r w:rsidR="00112F75" w:rsidRPr="00007FF4">
        <w:t xml:space="preserve"> </w:t>
      </w:r>
      <w:r w:rsidR="00A256E8" w:rsidRPr="00007FF4">
        <w:rPr>
          <w:bCs/>
          <w:vertAlign w:val="superscript"/>
        </w:rPr>
        <w:sym w:font="Symbol" w:char="F06F"/>
      </w:r>
      <w:r w:rsidR="00A256E8" w:rsidRPr="00007FF4">
        <w:rPr>
          <w:bCs/>
        </w:rPr>
        <w:t>C</w:t>
      </w:r>
      <w:r w:rsidR="00006168" w:rsidRPr="00007FF4">
        <w:rPr>
          <w:bCs/>
        </w:rPr>
        <w:t xml:space="preserve"> and </w:t>
      </w:r>
      <w:r w:rsidR="00CE746C" w:rsidRPr="00007FF4">
        <w:rPr>
          <w:bCs/>
        </w:rPr>
        <w:t>sample</w:t>
      </w:r>
      <w:r w:rsidR="00FF73BC" w:rsidRPr="00007FF4">
        <w:rPr>
          <w:bCs/>
        </w:rPr>
        <w:t xml:space="preserve"> (2 mL each)</w:t>
      </w:r>
      <w:r w:rsidR="00CE746C" w:rsidRPr="00007FF4">
        <w:rPr>
          <w:bCs/>
        </w:rPr>
        <w:t xml:space="preserve"> was</w:t>
      </w:r>
      <w:r w:rsidR="00006168" w:rsidRPr="00007FF4">
        <w:rPr>
          <w:bCs/>
        </w:rPr>
        <w:t xml:space="preserve"> withdrawn</w:t>
      </w:r>
      <w:r w:rsidR="006A5427" w:rsidRPr="00007FF4">
        <w:t xml:space="preserve"> for evaluation of s</w:t>
      </w:r>
      <w:r w:rsidRPr="00007FF4">
        <w:t xml:space="preserve">terility and bacterial endotoxin loads to ensure the </w:t>
      </w:r>
      <w:r w:rsidR="00A948B7" w:rsidRPr="00007FF4">
        <w:t>product</w:t>
      </w:r>
      <w:r w:rsidRPr="00007FF4">
        <w:t xml:space="preserve">s resistance </w:t>
      </w:r>
      <w:r w:rsidR="00AB5D07" w:rsidRPr="00007FF4">
        <w:t>to</w:t>
      </w:r>
      <w:r w:rsidRPr="00007FF4">
        <w:t xml:space="preserve"> multiple </w:t>
      </w:r>
      <w:r w:rsidR="00AB5D07" w:rsidRPr="00007FF4">
        <w:t>piercing</w:t>
      </w:r>
      <w:r w:rsidRPr="00007FF4">
        <w:t>.</w:t>
      </w:r>
    </w:p>
    <w:p w:rsidR="00031D7D" w:rsidRPr="00EA3A24" w:rsidRDefault="00031D7D" w:rsidP="00EA3A24">
      <w:pPr>
        <w:pStyle w:val="ListParagraph"/>
        <w:numPr>
          <w:ilvl w:val="1"/>
          <w:numId w:val="31"/>
        </w:numPr>
        <w:spacing w:line="360" w:lineRule="auto"/>
        <w:ind w:left="720" w:hanging="720"/>
        <w:rPr>
          <w:b/>
          <w:bCs/>
        </w:rPr>
      </w:pPr>
      <w:r w:rsidRPr="00EA3A24">
        <w:rPr>
          <w:b/>
          <w:bCs/>
        </w:rPr>
        <w:t>Bacterial Challenge Test</w:t>
      </w:r>
    </w:p>
    <w:p w:rsidR="002F58F7" w:rsidRPr="00007FF4" w:rsidRDefault="002F58F7" w:rsidP="009871EB">
      <w:pPr>
        <w:spacing w:line="360" w:lineRule="auto"/>
        <w:rPr>
          <w:bCs/>
        </w:rPr>
      </w:pPr>
      <w:r w:rsidRPr="00007FF4">
        <w:rPr>
          <w:bCs/>
        </w:rPr>
        <w:t xml:space="preserve">The product was collected from the sealed vials and filtered through </w:t>
      </w:r>
      <w:r w:rsidRPr="00007FF4">
        <w:t>a 0.45</w:t>
      </w:r>
      <w:r w:rsidRPr="00007FF4">
        <w:sym w:font="Symbol" w:char="F06D"/>
      </w:r>
      <w:r w:rsidRPr="00007FF4">
        <w:t xml:space="preserve"> membrane</w:t>
      </w:r>
      <w:r w:rsidR="0074415D" w:rsidRPr="00007FF4">
        <w:t>. T</w:t>
      </w:r>
      <w:r w:rsidR="00570E91" w:rsidRPr="00007FF4">
        <w:t>he membrane was</w:t>
      </w:r>
      <w:r w:rsidRPr="00007FF4">
        <w:t xml:space="preserve"> </w:t>
      </w:r>
      <w:r w:rsidR="00570E91" w:rsidRPr="00007FF4">
        <w:t>rinsed with 0.1% peptone water</w:t>
      </w:r>
      <w:r w:rsidR="00E00794" w:rsidRPr="00007FF4">
        <w:t xml:space="preserve"> and placed over the pre incubated tryptone soya agar plates. The agar plates were incubated at 20-25</w:t>
      </w:r>
      <w:r w:rsidR="00784492" w:rsidRPr="00007FF4">
        <w:t xml:space="preserve"> </w:t>
      </w:r>
      <w:r w:rsidR="00E00794" w:rsidRPr="00007FF4">
        <w:t>°C for 3 days followed by 30-35</w:t>
      </w:r>
      <w:r w:rsidR="008B161E" w:rsidRPr="00007FF4">
        <w:t xml:space="preserve"> </w:t>
      </w:r>
      <w:r w:rsidR="00E00794" w:rsidRPr="00007FF4">
        <w:t>°C for further 2 days</w:t>
      </w:r>
      <w:r w:rsidR="004D3D87" w:rsidRPr="00007FF4">
        <w:t xml:space="preserve"> </w:t>
      </w:r>
      <w:r w:rsidR="00C87149" w:rsidRPr="00007FF4">
        <w:t xml:space="preserve">and </w:t>
      </w:r>
      <w:r w:rsidR="004D3D87" w:rsidRPr="00007FF4">
        <w:t xml:space="preserve">the </w:t>
      </w:r>
      <w:r w:rsidR="005A2AFD" w:rsidRPr="00007FF4">
        <w:t>numbers of colonies forming units were</w:t>
      </w:r>
      <w:r w:rsidR="00D7618D" w:rsidRPr="00007FF4">
        <w:t xml:space="preserve"> counted</w:t>
      </w:r>
      <w:r w:rsidR="00CD5EF4" w:rsidRPr="00007FF4">
        <w:t>.</w:t>
      </w:r>
      <w:r w:rsidR="005751D7" w:rsidRPr="00007FF4">
        <w:t xml:space="preserve"> </w:t>
      </w:r>
      <w:r w:rsidR="00F25F4A" w:rsidRPr="00007FF4">
        <w:t xml:space="preserve">Aseptic techniques were followed throughout the process. </w:t>
      </w:r>
    </w:p>
    <w:p w:rsidR="007E5BB5" w:rsidRPr="00007FF4" w:rsidRDefault="007E5BB5" w:rsidP="009871EB">
      <w:pPr>
        <w:tabs>
          <w:tab w:val="left" w:pos="2160"/>
          <w:tab w:val="left" w:pos="2340"/>
        </w:tabs>
        <w:spacing w:line="360" w:lineRule="auto"/>
        <w:rPr>
          <w:vertAlign w:val="superscript"/>
        </w:rPr>
      </w:pPr>
      <w:r w:rsidRPr="00007FF4">
        <w:t xml:space="preserve">Limulus Amoebocyte Lysate (LAL) test was performed to detect the presence of any bacterial endotoxin. All the test tubes, micropipette tips and volumetric pipettes were depyrogenated by autoclaving (121 </w:t>
      </w:r>
      <w:r w:rsidRPr="00007FF4">
        <w:sym w:font="Symbol" w:char="F0B0"/>
      </w:r>
      <w:r w:rsidRPr="00007FF4">
        <w:t>C and 15 lb pressure for 30 min) before testing. Glasswares were rinsed with water and are made endotoxin free by dry heat sterilization at 250 °C for one hour. Both NaOH and HCl solution (each 0.1N) were prepared and autoclaved at 121</w:t>
      </w:r>
      <w:r w:rsidRPr="00007FF4">
        <w:rPr>
          <w:vertAlign w:val="superscript"/>
        </w:rPr>
        <w:t xml:space="preserve"> </w:t>
      </w:r>
      <w:r w:rsidRPr="00007FF4">
        <w:t>°C, 15lb pressure for 30 min</w:t>
      </w:r>
      <w:r w:rsidR="00553641" w:rsidRPr="00007FF4">
        <w:t>.</w:t>
      </w:r>
      <w:r w:rsidR="00553641" w:rsidRPr="00007FF4">
        <w:rPr>
          <w:vertAlign w:val="superscript"/>
        </w:rPr>
        <w:t>51</w:t>
      </w:r>
    </w:p>
    <w:p w:rsidR="00A346F0" w:rsidRPr="00EA3A24" w:rsidRDefault="00A346F0" w:rsidP="00EA3A24">
      <w:pPr>
        <w:pStyle w:val="ListParagraph"/>
        <w:numPr>
          <w:ilvl w:val="1"/>
          <w:numId w:val="31"/>
        </w:numPr>
        <w:spacing w:line="360" w:lineRule="auto"/>
        <w:ind w:left="720" w:hanging="720"/>
        <w:rPr>
          <w:b/>
          <w:bCs/>
        </w:rPr>
      </w:pPr>
      <w:r w:rsidRPr="00EA3A24">
        <w:rPr>
          <w:b/>
          <w:bCs/>
        </w:rPr>
        <w:t>Stability Studies</w:t>
      </w:r>
    </w:p>
    <w:p w:rsidR="00A346F0" w:rsidRPr="00007FF4" w:rsidRDefault="00A346F0" w:rsidP="009871EB">
      <w:pPr>
        <w:spacing w:line="360" w:lineRule="auto"/>
        <w:rPr>
          <w:bCs/>
        </w:rPr>
      </w:pPr>
      <w:r w:rsidRPr="00007FF4">
        <w:rPr>
          <w:bCs/>
        </w:rPr>
        <w:t>Droplet size distribution of the emulsion after 3 freeze–thaw cycles (16 hours at –5</w:t>
      </w:r>
      <w:r w:rsidRPr="00007FF4">
        <w:rPr>
          <w:bCs/>
          <w:vertAlign w:val="superscript"/>
        </w:rPr>
        <w:sym w:font="Symbol" w:char="F06F"/>
      </w:r>
      <w:r w:rsidRPr="00007FF4">
        <w:rPr>
          <w:bCs/>
        </w:rPr>
        <w:t>C, 8 hours at 25</w:t>
      </w:r>
      <w:r w:rsidRPr="00007FF4">
        <w:rPr>
          <w:bCs/>
          <w:vertAlign w:val="superscript"/>
        </w:rPr>
        <w:sym w:font="Symbol" w:char="F06F"/>
      </w:r>
      <w:r w:rsidRPr="00007FF4">
        <w:rPr>
          <w:bCs/>
        </w:rPr>
        <w:t xml:space="preserve">C) were examined using dynamic light scattering (Malvern Nano-ZS, USA). The zeta size and </w:t>
      </w:r>
      <w:r w:rsidRPr="00007FF4">
        <w:rPr>
          <w:bCs/>
        </w:rPr>
        <w:lastRenderedPageBreak/>
        <w:t xml:space="preserve">potential obtained were compared to that of the freshly prepared samples. Filled and sealed vials (50 mL) were stored </w:t>
      </w:r>
      <w:r w:rsidRPr="00007FF4">
        <w:t xml:space="preserve">at 40 °C ± 2 °C / 75% RH ± 5% RH for 6 months at upright and inverted positions and </w:t>
      </w:r>
      <w:r w:rsidRPr="00007FF4">
        <w:rPr>
          <w:bCs/>
        </w:rPr>
        <w:t xml:space="preserve">evaluated for stability. Emulsions were investigated visually </w:t>
      </w:r>
      <w:r w:rsidRPr="00007FF4">
        <w:t>at the end of the 3</w:t>
      </w:r>
      <w:r w:rsidRPr="00007FF4">
        <w:rPr>
          <w:vertAlign w:val="superscript"/>
        </w:rPr>
        <w:t>rd</w:t>
      </w:r>
      <w:r w:rsidRPr="00007FF4">
        <w:t xml:space="preserve"> and 6</w:t>
      </w:r>
      <w:r w:rsidRPr="00007FF4">
        <w:rPr>
          <w:vertAlign w:val="superscript"/>
        </w:rPr>
        <w:t>th</w:t>
      </w:r>
      <w:r w:rsidRPr="00007FF4">
        <w:t xml:space="preserve"> month for no phase separation and creaming and allowed for further testing</w:t>
      </w:r>
      <w:r w:rsidR="000360B3" w:rsidRPr="00007FF4">
        <w:t>.</w:t>
      </w:r>
      <w:r w:rsidR="000360B3" w:rsidRPr="00007FF4">
        <w:rPr>
          <w:vertAlign w:val="superscript"/>
        </w:rPr>
        <w:t>15</w:t>
      </w:r>
      <w:r w:rsidRPr="00007FF4">
        <w:t xml:space="preserve"> </w:t>
      </w:r>
    </w:p>
    <w:p w:rsidR="00EA3A24" w:rsidRDefault="00EA3A24" w:rsidP="009871EB">
      <w:pPr>
        <w:spacing w:line="360" w:lineRule="auto"/>
        <w:rPr>
          <w:b/>
          <w:bCs/>
        </w:rPr>
      </w:pPr>
    </w:p>
    <w:p w:rsidR="00C60610" w:rsidRPr="001979A0" w:rsidRDefault="007B478E" w:rsidP="001979A0">
      <w:pPr>
        <w:pStyle w:val="ListParagraph"/>
        <w:numPr>
          <w:ilvl w:val="0"/>
          <w:numId w:val="31"/>
        </w:numPr>
        <w:spacing w:line="360" w:lineRule="auto"/>
        <w:jc w:val="center"/>
        <w:rPr>
          <w:b/>
          <w:bCs/>
        </w:rPr>
      </w:pPr>
      <w:r w:rsidRPr="001979A0">
        <w:rPr>
          <w:b/>
          <w:bCs/>
        </w:rPr>
        <w:t>R</w:t>
      </w:r>
      <w:r w:rsidR="001979A0" w:rsidRPr="001979A0">
        <w:rPr>
          <w:b/>
          <w:bCs/>
        </w:rPr>
        <w:t xml:space="preserve">esults and </w:t>
      </w:r>
      <w:r w:rsidRPr="001979A0">
        <w:rPr>
          <w:b/>
          <w:bCs/>
        </w:rPr>
        <w:t>D</w:t>
      </w:r>
      <w:r w:rsidR="001979A0" w:rsidRPr="001979A0">
        <w:rPr>
          <w:b/>
          <w:bCs/>
        </w:rPr>
        <w:t>iscussion</w:t>
      </w:r>
    </w:p>
    <w:p w:rsidR="00C72F1C" w:rsidRPr="001979A0" w:rsidRDefault="001979A0" w:rsidP="001979A0">
      <w:pPr>
        <w:spacing w:line="360" w:lineRule="auto"/>
        <w:ind w:left="720" w:hanging="720"/>
        <w:rPr>
          <w:b/>
          <w:bCs/>
        </w:rPr>
      </w:pPr>
      <w:r>
        <w:rPr>
          <w:b/>
          <w:bCs/>
        </w:rPr>
        <w:t>3.1</w:t>
      </w:r>
      <w:r w:rsidR="00F342E1">
        <w:rPr>
          <w:b/>
          <w:bCs/>
        </w:rPr>
        <w:t>.</w:t>
      </w:r>
      <w:r>
        <w:rPr>
          <w:b/>
          <w:bCs/>
        </w:rPr>
        <w:t xml:space="preserve"> </w:t>
      </w:r>
      <w:r>
        <w:rPr>
          <w:b/>
          <w:bCs/>
        </w:rPr>
        <w:tab/>
      </w:r>
      <w:r w:rsidR="00C72F1C" w:rsidRPr="001979A0">
        <w:rPr>
          <w:b/>
          <w:bCs/>
        </w:rPr>
        <w:t>Formulation Development</w:t>
      </w:r>
    </w:p>
    <w:p w:rsidR="00FD0E6E" w:rsidRDefault="00F81275" w:rsidP="009871EB">
      <w:pPr>
        <w:spacing w:line="360" w:lineRule="auto"/>
        <w:rPr>
          <w:bCs/>
        </w:rPr>
      </w:pPr>
      <w:r w:rsidRPr="00007FF4">
        <w:rPr>
          <w:lang w:val="en-IN"/>
        </w:rPr>
        <w:t>The formulae of the current investigated formulations were selected in accordance with the innovator product and other similar</w:t>
      </w:r>
      <w:r w:rsidR="00923EF1" w:rsidRPr="00007FF4">
        <w:rPr>
          <w:lang w:val="en-IN"/>
        </w:rPr>
        <w:t xml:space="preserve"> research work recommendations.</w:t>
      </w:r>
      <w:r w:rsidR="00923EF1" w:rsidRPr="00007FF4">
        <w:rPr>
          <w:vertAlign w:val="superscript"/>
          <w:lang w:val="en-IN"/>
        </w:rPr>
        <w:t xml:space="preserve">5 </w:t>
      </w:r>
      <w:r w:rsidR="00AF4188" w:rsidRPr="00007FF4">
        <w:rPr>
          <w:bCs/>
        </w:rPr>
        <w:t xml:space="preserve">Three </w:t>
      </w:r>
      <w:r w:rsidR="00D86006" w:rsidRPr="00007FF4">
        <w:rPr>
          <w:bCs/>
        </w:rPr>
        <w:t xml:space="preserve">reproducible </w:t>
      </w:r>
      <w:r w:rsidR="00AF4188" w:rsidRPr="00007FF4">
        <w:rPr>
          <w:bCs/>
        </w:rPr>
        <w:t xml:space="preserve">batches of propofol </w:t>
      </w:r>
      <w:r w:rsidR="00121192" w:rsidRPr="00007FF4">
        <w:rPr>
          <w:bCs/>
        </w:rPr>
        <w:t>nano-emulsion</w:t>
      </w:r>
      <w:r w:rsidR="00AF4188" w:rsidRPr="00007FF4">
        <w:rPr>
          <w:bCs/>
        </w:rPr>
        <w:t xml:space="preserve">s were developed varying the formulation ingredients </w:t>
      </w:r>
      <w:r w:rsidR="00D86006" w:rsidRPr="00007FF4">
        <w:rPr>
          <w:bCs/>
        </w:rPr>
        <w:t>and ho</w:t>
      </w:r>
      <w:r w:rsidR="00E27958" w:rsidRPr="00007FF4">
        <w:rPr>
          <w:bCs/>
        </w:rPr>
        <w:t>mogenization parame</w:t>
      </w:r>
      <w:r w:rsidR="00DE626A" w:rsidRPr="00007FF4">
        <w:rPr>
          <w:bCs/>
        </w:rPr>
        <w:t>ters (Table 1</w:t>
      </w:r>
      <w:r w:rsidR="00D86006" w:rsidRPr="00007FF4">
        <w:rPr>
          <w:bCs/>
        </w:rPr>
        <w:t xml:space="preserve">) </w:t>
      </w:r>
      <w:r w:rsidR="00CD2171" w:rsidRPr="00007FF4">
        <w:rPr>
          <w:bCs/>
        </w:rPr>
        <w:t>to optimize the product</w:t>
      </w:r>
      <w:r w:rsidR="00AF4188" w:rsidRPr="00007FF4">
        <w:rPr>
          <w:bCs/>
        </w:rPr>
        <w:t xml:space="preserve">. </w:t>
      </w:r>
      <w:r w:rsidR="00606B8D" w:rsidRPr="00007FF4">
        <w:rPr>
          <w:bCs/>
        </w:rPr>
        <w:t>Taking the ingredients, p</w:t>
      </w:r>
      <w:r w:rsidR="00B23369" w:rsidRPr="00007FF4">
        <w:rPr>
          <w:bCs/>
        </w:rPr>
        <w:t>re m</w:t>
      </w:r>
      <w:r w:rsidR="00C14713" w:rsidRPr="00007FF4">
        <w:rPr>
          <w:bCs/>
        </w:rPr>
        <w:t xml:space="preserve">ixing </w:t>
      </w:r>
      <w:r w:rsidR="00B23369" w:rsidRPr="00007FF4">
        <w:rPr>
          <w:bCs/>
        </w:rPr>
        <w:t xml:space="preserve">of </w:t>
      </w:r>
      <w:r w:rsidR="00D82F19" w:rsidRPr="00007FF4">
        <w:rPr>
          <w:bCs/>
        </w:rPr>
        <w:t xml:space="preserve">oil and </w:t>
      </w:r>
      <w:r w:rsidR="00355F1A" w:rsidRPr="00007FF4">
        <w:rPr>
          <w:bCs/>
        </w:rPr>
        <w:t>water</w:t>
      </w:r>
      <w:r w:rsidR="00D82F19" w:rsidRPr="00007FF4">
        <w:rPr>
          <w:bCs/>
        </w:rPr>
        <w:t xml:space="preserve"> phases with an overhead shaft stirrer</w:t>
      </w:r>
      <w:r w:rsidR="00C14713" w:rsidRPr="00007FF4">
        <w:rPr>
          <w:bCs/>
        </w:rPr>
        <w:t xml:space="preserve"> resulted in foam formation which </w:t>
      </w:r>
      <w:r w:rsidR="00B23369" w:rsidRPr="00007FF4">
        <w:rPr>
          <w:bCs/>
        </w:rPr>
        <w:t>hindered a proper mixing of the ingredients</w:t>
      </w:r>
      <w:r w:rsidR="00C14713" w:rsidRPr="00007FF4">
        <w:rPr>
          <w:bCs/>
        </w:rPr>
        <w:t xml:space="preserve">. </w:t>
      </w:r>
      <w:r w:rsidR="00A0615B" w:rsidRPr="00007FF4">
        <w:rPr>
          <w:bCs/>
        </w:rPr>
        <w:t>Oil soluble ingredients were mixed and filtered using 0.45 micron filter and aqueous soluble ingredients were mixed separately and filtered through 2.0 micron filter as egg lecithin micelles cannot be filtered through 0.45 micron filter. Then both phases were mixed separately and then homog</w:t>
      </w:r>
      <w:r w:rsidR="008E0F60" w:rsidRPr="00007FF4">
        <w:rPr>
          <w:bCs/>
        </w:rPr>
        <w:t>enized at</w:t>
      </w:r>
      <w:r w:rsidR="00BB73C1" w:rsidRPr="00007FF4">
        <w:rPr>
          <w:bCs/>
        </w:rPr>
        <w:t xml:space="preserve"> up to 850 </w:t>
      </w:r>
      <w:r w:rsidR="006E3040" w:rsidRPr="00007FF4">
        <w:rPr>
          <w:bCs/>
        </w:rPr>
        <w:t>b</w:t>
      </w:r>
      <w:r w:rsidR="00BB73C1" w:rsidRPr="00007FF4">
        <w:rPr>
          <w:bCs/>
        </w:rPr>
        <w:t xml:space="preserve">ar </w:t>
      </w:r>
      <w:r w:rsidR="00A564D6" w:rsidRPr="00007FF4">
        <w:rPr>
          <w:bCs/>
        </w:rPr>
        <w:t>pressure</w:t>
      </w:r>
      <w:r w:rsidR="00C13C1B" w:rsidRPr="00007FF4">
        <w:rPr>
          <w:bCs/>
        </w:rPr>
        <w:t xml:space="preserve"> </w:t>
      </w:r>
      <w:r w:rsidR="00A564D6" w:rsidRPr="00007FF4">
        <w:rPr>
          <w:bCs/>
        </w:rPr>
        <w:t>for</w:t>
      </w:r>
      <w:r w:rsidR="00C13C1B" w:rsidRPr="00007FF4">
        <w:rPr>
          <w:bCs/>
        </w:rPr>
        <w:t xml:space="preserve"> </w:t>
      </w:r>
      <w:r w:rsidR="00C72F1C" w:rsidRPr="00007FF4">
        <w:rPr>
          <w:bCs/>
        </w:rPr>
        <w:t>up</w:t>
      </w:r>
      <w:r w:rsidR="00C13C1B" w:rsidRPr="00007FF4">
        <w:rPr>
          <w:bCs/>
        </w:rPr>
        <w:t xml:space="preserve"> </w:t>
      </w:r>
      <w:r w:rsidR="00C72F1C" w:rsidRPr="00007FF4">
        <w:rPr>
          <w:bCs/>
        </w:rPr>
        <w:t xml:space="preserve">to </w:t>
      </w:r>
      <w:r w:rsidR="00BB73C1" w:rsidRPr="00007FF4">
        <w:rPr>
          <w:bCs/>
        </w:rPr>
        <w:t xml:space="preserve">90 </w:t>
      </w:r>
      <w:r w:rsidR="009801F7" w:rsidRPr="00007FF4">
        <w:rPr>
          <w:bCs/>
        </w:rPr>
        <w:t>min</w:t>
      </w:r>
      <w:r w:rsidR="00CD2171" w:rsidRPr="00007FF4">
        <w:rPr>
          <w:bCs/>
        </w:rPr>
        <w:t xml:space="preserve"> as per </w:t>
      </w:r>
      <w:r w:rsidR="008E0F60" w:rsidRPr="00007FF4">
        <w:rPr>
          <w:bCs/>
        </w:rPr>
        <w:t>(</w:t>
      </w:r>
      <w:r w:rsidR="00DE626A" w:rsidRPr="00007FF4">
        <w:rPr>
          <w:bCs/>
        </w:rPr>
        <w:t>Table 1</w:t>
      </w:r>
      <w:r w:rsidR="008E0F60" w:rsidRPr="00007FF4">
        <w:rPr>
          <w:bCs/>
        </w:rPr>
        <w:t>)</w:t>
      </w:r>
      <w:r w:rsidR="00BB73C1" w:rsidRPr="00007FF4">
        <w:rPr>
          <w:bCs/>
        </w:rPr>
        <w:t xml:space="preserve">. </w:t>
      </w:r>
      <w:r w:rsidR="008E0F60" w:rsidRPr="00007FF4">
        <w:rPr>
          <w:bCs/>
        </w:rPr>
        <w:t xml:space="preserve">Formulations were fabricated with and without </w:t>
      </w:r>
      <w:r w:rsidR="00606B8D" w:rsidRPr="00007FF4">
        <w:rPr>
          <w:bCs/>
        </w:rPr>
        <w:t xml:space="preserve">sodium oleate to </w:t>
      </w:r>
      <w:r w:rsidR="008E0F60" w:rsidRPr="00007FF4">
        <w:rPr>
          <w:bCs/>
        </w:rPr>
        <w:t>interpret</w:t>
      </w:r>
      <w:r w:rsidR="00606B8D" w:rsidRPr="00007FF4">
        <w:rPr>
          <w:bCs/>
        </w:rPr>
        <w:t xml:space="preserve"> its interference in BET aggravation. </w:t>
      </w:r>
      <w:r w:rsidR="008E0F60" w:rsidRPr="00007FF4">
        <w:rPr>
          <w:bCs/>
        </w:rPr>
        <w:t>However, s</w:t>
      </w:r>
      <w:r w:rsidR="00606B8D" w:rsidRPr="00007FF4">
        <w:rPr>
          <w:bCs/>
        </w:rPr>
        <w:t>odium oleate was found to be a non-interfering substance.</w:t>
      </w:r>
      <w:r w:rsidR="0026623A" w:rsidRPr="00007FF4">
        <w:rPr>
          <w:bCs/>
        </w:rPr>
        <w:t xml:space="preserve"> </w:t>
      </w:r>
      <w:r w:rsidR="00610747" w:rsidRPr="00007FF4">
        <w:rPr>
          <w:bCs/>
        </w:rPr>
        <w:t xml:space="preserve">The </w:t>
      </w:r>
      <w:r w:rsidR="00520518" w:rsidRPr="00007FF4">
        <w:rPr>
          <w:bCs/>
        </w:rPr>
        <w:t xml:space="preserve">single dose </w:t>
      </w:r>
      <w:r w:rsidR="004758C9" w:rsidRPr="00007FF4">
        <w:rPr>
          <w:bCs/>
        </w:rPr>
        <w:t xml:space="preserve">commercial products </w:t>
      </w:r>
      <w:r w:rsidR="00467EB5" w:rsidRPr="00007FF4">
        <w:rPr>
          <w:bCs/>
        </w:rPr>
        <w:t xml:space="preserve">may not contain </w:t>
      </w:r>
      <w:r w:rsidR="00610747" w:rsidRPr="00007FF4">
        <w:rPr>
          <w:bCs/>
        </w:rPr>
        <w:t>anti-oxidant</w:t>
      </w:r>
      <w:r w:rsidR="004F031E" w:rsidRPr="00007FF4">
        <w:rPr>
          <w:bCs/>
        </w:rPr>
        <w:t>/</w:t>
      </w:r>
      <w:r w:rsidR="00A86FE9" w:rsidRPr="00007FF4">
        <w:rPr>
          <w:bCs/>
        </w:rPr>
        <w:t>preservative;</w:t>
      </w:r>
      <w:r w:rsidR="00610747" w:rsidRPr="00007FF4">
        <w:rPr>
          <w:bCs/>
        </w:rPr>
        <w:t xml:space="preserve"> </w:t>
      </w:r>
      <w:r w:rsidR="0026623A" w:rsidRPr="00007FF4">
        <w:rPr>
          <w:bCs/>
        </w:rPr>
        <w:t>even</w:t>
      </w:r>
      <w:r w:rsidR="00610747" w:rsidRPr="00007FF4">
        <w:rPr>
          <w:bCs/>
        </w:rPr>
        <w:t xml:space="preserve"> the ingredients are susceptible to oxidation and support microbial growth</w:t>
      </w:r>
      <w:r w:rsidR="00B909CD" w:rsidRPr="00007FF4">
        <w:rPr>
          <w:bCs/>
        </w:rPr>
        <w:t>.</w:t>
      </w:r>
      <w:r w:rsidR="00B909CD" w:rsidRPr="00007FF4">
        <w:rPr>
          <w:bCs/>
          <w:vertAlign w:val="superscript"/>
        </w:rPr>
        <w:t xml:space="preserve">33,34 </w:t>
      </w:r>
      <w:r w:rsidR="008E070E" w:rsidRPr="00007FF4">
        <w:rPr>
          <w:bCs/>
        </w:rPr>
        <w:t>Formulation trials were also executed incorporating an anti-oxidant and a preservative which are generally recognized as safe (GRAS) </w:t>
      </w:r>
      <w:r w:rsidR="00C81119" w:rsidRPr="00007FF4">
        <w:rPr>
          <w:bCs/>
        </w:rPr>
        <w:t>for parenteral use</w:t>
      </w:r>
      <w:r w:rsidR="008E070E" w:rsidRPr="00007FF4">
        <w:rPr>
          <w:bCs/>
        </w:rPr>
        <w:t>.</w:t>
      </w:r>
      <w:r w:rsidR="00C81119" w:rsidRPr="00007FF4">
        <w:rPr>
          <w:bCs/>
        </w:rPr>
        <w:t xml:space="preserve"> </w:t>
      </w:r>
      <w:r w:rsidR="00AF4188" w:rsidRPr="00007FF4">
        <w:rPr>
          <w:bCs/>
        </w:rPr>
        <w:t>The product characterization data are presented in Table</w:t>
      </w:r>
      <w:r w:rsidR="004758C9" w:rsidRPr="00007FF4">
        <w:rPr>
          <w:bCs/>
        </w:rPr>
        <w:t xml:space="preserve"> </w:t>
      </w:r>
      <w:r w:rsidR="00DE626A" w:rsidRPr="00007FF4">
        <w:rPr>
          <w:bCs/>
        </w:rPr>
        <w:t>2</w:t>
      </w:r>
      <w:r w:rsidR="00AF4188" w:rsidRPr="00007FF4">
        <w:rPr>
          <w:bCs/>
        </w:rPr>
        <w:t xml:space="preserve">. </w:t>
      </w: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Pr="00007FF4" w:rsidRDefault="001258D2" w:rsidP="009871EB">
      <w:pPr>
        <w:spacing w:line="360" w:lineRule="auto"/>
        <w:rPr>
          <w:bCs/>
        </w:rPr>
      </w:pPr>
    </w:p>
    <w:p w:rsidR="007E0137" w:rsidRPr="00007FF4" w:rsidRDefault="007E0137" w:rsidP="009871EB">
      <w:pPr>
        <w:spacing w:line="360" w:lineRule="auto"/>
        <w:rPr>
          <w:b/>
        </w:rPr>
      </w:pPr>
      <w:r w:rsidRPr="00007FF4">
        <w:rPr>
          <w:b/>
        </w:rPr>
        <w:t>T</w:t>
      </w:r>
      <w:r w:rsidR="00C17333" w:rsidRPr="00007FF4">
        <w:rPr>
          <w:b/>
        </w:rPr>
        <w:t>able</w:t>
      </w:r>
      <w:r w:rsidRPr="00007FF4">
        <w:rPr>
          <w:b/>
        </w:rPr>
        <w:t xml:space="preserve"> </w:t>
      </w:r>
      <w:r w:rsidR="00DE626A" w:rsidRPr="00007FF4">
        <w:rPr>
          <w:b/>
        </w:rPr>
        <w:t>2</w:t>
      </w:r>
      <w:r w:rsidR="00C17333">
        <w:rPr>
          <w:b/>
        </w:rPr>
        <w:t xml:space="preserve">: </w:t>
      </w:r>
      <w:r w:rsidRPr="00007FF4">
        <w:rPr>
          <w:b/>
        </w:rPr>
        <w:t>Stability analysis of the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90"/>
        <w:gridCol w:w="3222"/>
        <w:gridCol w:w="1170"/>
        <w:gridCol w:w="1170"/>
        <w:gridCol w:w="1170"/>
      </w:tblGrid>
      <w:tr w:rsidR="00C17333" w:rsidRPr="00187E00" w:rsidTr="008F73E7">
        <w:trPr>
          <w:trHeight w:val="329"/>
        </w:trPr>
        <w:tc>
          <w:tcPr>
            <w:tcW w:w="2466" w:type="dxa"/>
            <w:gridSpan w:val="2"/>
            <w:vMerge w:val="restart"/>
            <w:vAlign w:val="center"/>
          </w:tcPr>
          <w:p w:rsidR="00C17333" w:rsidRPr="00187E00" w:rsidRDefault="00C17333" w:rsidP="003D22F2">
            <w:pPr>
              <w:pStyle w:val="Heading6"/>
              <w:spacing w:before="0" w:after="0" w:line="276" w:lineRule="auto"/>
              <w:jc w:val="center"/>
              <w:rPr>
                <w:rFonts w:ascii="Times New Roman" w:hAnsi="Times New Roman"/>
                <w:sz w:val="24"/>
                <w:szCs w:val="24"/>
              </w:rPr>
            </w:pPr>
            <w:r w:rsidRPr="00187E00">
              <w:rPr>
                <w:rFonts w:ascii="Times New Roman" w:hAnsi="Times New Roman"/>
                <w:sz w:val="24"/>
                <w:szCs w:val="24"/>
              </w:rPr>
              <w:t>Test parameters</w:t>
            </w:r>
          </w:p>
        </w:tc>
        <w:tc>
          <w:tcPr>
            <w:tcW w:w="3222" w:type="dxa"/>
            <w:vMerge w:val="restart"/>
            <w:vAlign w:val="center"/>
          </w:tcPr>
          <w:p w:rsidR="00C17333" w:rsidRPr="00187E00" w:rsidRDefault="00C17333" w:rsidP="003D22F2">
            <w:pPr>
              <w:pStyle w:val="Heading3"/>
              <w:spacing w:before="0" w:after="0" w:line="276" w:lineRule="auto"/>
              <w:jc w:val="center"/>
              <w:rPr>
                <w:rFonts w:ascii="Times New Roman" w:hAnsi="Times New Roman"/>
                <w:sz w:val="24"/>
                <w:szCs w:val="24"/>
              </w:rPr>
            </w:pPr>
            <w:r w:rsidRPr="00187E00">
              <w:rPr>
                <w:rFonts w:ascii="Times New Roman" w:hAnsi="Times New Roman"/>
                <w:sz w:val="24"/>
                <w:szCs w:val="24"/>
              </w:rPr>
              <w:t>Specification</w:t>
            </w:r>
          </w:p>
        </w:tc>
        <w:tc>
          <w:tcPr>
            <w:tcW w:w="1170" w:type="dxa"/>
            <w:vMerge w:val="restart"/>
            <w:vAlign w:val="center"/>
          </w:tcPr>
          <w:p w:rsidR="00C17333" w:rsidRPr="00187E00" w:rsidRDefault="00C17333" w:rsidP="003D22F2">
            <w:pPr>
              <w:spacing w:line="276" w:lineRule="auto"/>
              <w:jc w:val="center"/>
              <w:rPr>
                <w:b/>
                <w:bCs/>
              </w:rPr>
            </w:pPr>
            <w:r w:rsidRPr="00187E00">
              <w:rPr>
                <w:b/>
                <w:bCs/>
              </w:rPr>
              <w:t>Initial sample</w:t>
            </w:r>
          </w:p>
        </w:tc>
        <w:tc>
          <w:tcPr>
            <w:tcW w:w="2340" w:type="dxa"/>
            <w:gridSpan w:val="2"/>
            <w:tcBorders>
              <w:bottom w:val="single" w:sz="4" w:space="0" w:color="auto"/>
            </w:tcBorders>
            <w:vAlign w:val="center"/>
          </w:tcPr>
          <w:p w:rsidR="00C17333" w:rsidRPr="00187E00" w:rsidRDefault="00C17333" w:rsidP="003D22F2">
            <w:pPr>
              <w:spacing w:line="276" w:lineRule="auto"/>
              <w:jc w:val="center"/>
              <w:rPr>
                <w:b/>
                <w:bCs/>
              </w:rPr>
            </w:pPr>
            <w:r w:rsidRPr="00187E00">
              <w:rPr>
                <w:b/>
                <w:bCs/>
              </w:rPr>
              <w:t>Stability sample</w:t>
            </w:r>
          </w:p>
        </w:tc>
      </w:tr>
      <w:tr w:rsidR="00C17333" w:rsidRPr="00187E00" w:rsidTr="008F73E7">
        <w:trPr>
          <w:trHeight w:val="444"/>
        </w:trPr>
        <w:tc>
          <w:tcPr>
            <w:tcW w:w="2466" w:type="dxa"/>
            <w:gridSpan w:val="2"/>
            <w:vMerge/>
            <w:vAlign w:val="center"/>
          </w:tcPr>
          <w:p w:rsidR="00C17333" w:rsidRPr="00187E00" w:rsidRDefault="00C17333" w:rsidP="003D22F2">
            <w:pPr>
              <w:pStyle w:val="Heading6"/>
              <w:spacing w:before="0" w:after="0" w:line="276" w:lineRule="auto"/>
              <w:jc w:val="center"/>
              <w:rPr>
                <w:rFonts w:ascii="Times New Roman" w:hAnsi="Times New Roman"/>
                <w:sz w:val="24"/>
                <w:szCs w:val="24"/>
              </w:rPr>
            </w:pPr>
          </w:p>
        </w:tc>
        <w:tc>
          <w:tcPr>
            <w:tcW w:w="3222" w:type="dxa"/>
            <w:vMerge/>
            <w:vAlign w:val="center"/>
          </w:tcPr>
          <w:p w:rsidR="00C17333" w:rsidRPr="00187E00" w:rsidRDefault="00C17333" w:rsidP="003D22F2">
            <w:pPr>
              <w:pStyle w:val="Heading3"/>
              <w:spacing w:before="0" w:after="0" w:line="276" w:lineRule="auto"/>
              <w:jc w:val="center"/>
              <w:rPr>
                <w:rFonts w:ascii="Times New Roman" w:hAnsi="Times New Roman"/>
                <w:sz w:val="24"/>
                <w:szCs w:val="24"/>
              </w:rPr>
            </w:pPr>
          </w:p>
        </w:tc>
        <w:tc>
          <w:tcPr>
            <w:tcW w:w="1170" w:type="dxa"/>
            <w:vMerge/>
            <w:vAlign w:val="center"/>
          </w:tcPr>
          <w:p w:rsidR="00C17333" w:rsidRPr="00187E00" w:rsidRDefault="00C17333" w:rsidP="003D22F2">
            <w:pPr>
              <w:spacing w:line="276" w:lineRule="auto"/>
              <w:jc w:val="center"/>
              <w:rPr>
                <w:b/>
                <w:bCs/>
              </w:rPr>
            </w:pPr>
          </w:p>
        </w:tc>
        <w:tc>
          <w:tcPr>
            <w:tcW w:w="1170" w:type="dxa"/>
            <w:tcBorders>
              <w:top w:val="single" w:sz="4" w:space="0" w:color="auto"/>
            </w:tcBorders>
            <w:vAlign w:val="center"/>
          </w:tcPr>
          <w:p w:rsidR="00C17333" w:rsidRPr="00187E00" w:rsidRDefault="00C17333" w:rsidP="003D22F2">
            <w:pPr>
              <w:spacing w:line="276" w:lineRule="auto"/>
              <w:jc w:val="center"/>
              <w:rPr>
                <w:b/>
                <w:bCs/>
              </w:rPr>
            </w:pPr>
            <w:r w:rsidRPr="00187E00">
              <w:rPr>
                <w:b/>
                <w:bCs/>
              </w:rPr>
              <w:t>3</w:t>
            </w:r>
            <w:r w:rsidRPr="00187E00">
              <w:rPr>
                <w:b/>
                <w:bCs/>
                <w:vertAlign w:val="superscript"/>
              </w:rPr>
              <w:t>rd</w:t>
            </w:r>
            <w:r w:rsidRPr="00187E00">
              <w:rPr>
                <w:b/>
                <w:bCs/>
              </w:rPr>
              <w:t xml:space="preserve"> Month</w:t>
            </w:r>
          </w:p>
        </w:tc>
        <w:tc>
          <w:tcPr>
            <w:tcW w:w="1170" w:type="dxa"/>
            <w:tcBorders>
              <w:top w:val="single" w:sz="4" w:space="0" w:color="auto"/>
            </w:tcBorders>
            <w:vAlign w:val="center"/>
          </w:tcPr>
          <w:p w:rsidR="00C17333" w:rsidRPr="00187E00" w:rsidRDefault="00C17333" w:rsidP="003D22F2">
            <w:pPr>
              <w:spacing w:line="276" w:lineRule="auto"/>
              <w:jc w:val="center"/>
              <w:rPr>
                <w:b/>
                <w:bCs/>
              </w:rPr>
            </w:pPr>
            <w:r w:rsidRPr="00187E00">
              <w:rPr>
                <w:b/>
                <w:bCs/>
              </w:rPr>
              <w:t>6</w:t>
            </w:r>
            <w:r w:rsidRPr="00187E00">
              <w:rPr>
                <w:b/>
                <w:bCs/>
                <w:vertAlign w:val="superscript"/>
              </w:rPr>
              <w:t>th</w:t>
            </w:r>
            <w:r w:rsidRPr="00187E00">
              <w:rPr>
                <w:b/>
                <w:bCs/>
              </w:rPr>
              <w:t xml:space="preserve"> Month</w:t>
            </w:r>
          </w:p>
        </w:tc>
      </w:tr>
      <w:tr w:rsidR="00C17333" w:rsidRPr="00187E00" w:rsidTr="00C17333">
        <w:trPr>
          <w:trHeight w:val="1142"/>
        </w:trPr>
        <w:tc>
          <w:tcPr>
            <w:tcW w:w="2466" w:type="dxa"/>
            <w:gridSpan w:val="2"/>
            <w:vAlign w:val="center"/>
          </w:tcPr>
          <w:p w:rsidR="00C17333" w:rsidRPr="00187E00" w:rsidRDefault="00C17333" w:rsidP="003D22F2">
            <w:pPr>
              <w:spacing w:line="276" w:lineRule="auto"/>
            </w:pPr>
            <w:r w:rsidRPr="00187E00">
              <w:t>Description</w:t>
            </w:r>
          </w:p>
        </w:tc>
        <w:tc>
          <w:tcPr>
            <w:tcW w:w="3222" w:type="dxa"/>
            <w:vAlign w:val="center"/>
          </w:tcPr>
          <w:p w:rsidR="00C17333" w:rsidRPr="00187E00" w:rsidRDefault="00C17333" w:rsidP="003D22F2">
            <w:pPr>
              <w:pStyle w:val="Header"/>
              <w:tabs>
                <w:tab w:val="clear" w:pos="4320"/>
                <w:tab w:val="clear" w:pos="8640"/>
              </w:tabs>
              <w:spacing w:line="276" w:lineRule="auto"/>
            </w:pPr>
            <w:r w:rsidRPr="00187E00">
              <w:t>Clear colorless solution free from visible extraneous particulate matter</w:t>
            </w:r>
          </w:p>
        </w:tc>
        <w:tc>
          <w:tcPr>
            <w:tcW w:w="1170" w:type="dxa"/>
            <w:vAlign w:val="center"/>
          </w:tcPr>
          <w:p w:rsidR="00C17333" w:rsidRPr="00187E00" w:rsidRDefault="00C17333" w:rsidP="003D22F2">
            <w:pPr>
              <w:spacing w:line="276" w:lineRule="auto"/>
              <w:jc w:val="center"/>
            </w:pPr>
            <w:r w:rsidRPr="00187E00">
              <w:t>Complies</w:t>
            </w:r>
          </w:p>
        </w:tc>
        <w:tc>
          <w:tcPr>
            <w:tcW w:w="1170" w:type="dxa"/>
            <w:vAlign w:val="center"/>
          </w:tcPr>
          <w:p w:rsidR="00C17333" w:rsidRPr="00187E00" w:rsidRDefault="00C17333" w:rsidP="003D22F2">
            <w:pPr>
              <w:spacing w:line="276" w:lineRule="auto"/>
              <w:jc w:val="center"/>
            </w:pPr>
            <w:r w:rsidRPr="00187E00">
              <w:t>Complies</w:t>
            </w:r>
          </w:p>
        </w:tc>
        <w:tc>
          <w:tcPr>
            <w:tcW w:w="1170" w:type="dxa"/>
            <w:vAlign w:val="center"/>
          </w:tcPr>
          <w:p w:rsidR="00C17333" w:rsidRPr="00187E00" w:rsidRDefault="00C17333" w:rsidP="003D22F2">
            <w:pPr>
              <w:spacing w:line="276" w:lineRule="auto"/>
              <w:jc w:val="center"/>
            </w:pPr>
            <w:r w:rsidRPr="00187E00">
              <w:t>Complies</w:t>
            </w:r>
          </w:p>
        </w:tc>
      </w:tr>
      <w:tr w:rsidR="00C17333" w:rsidRPr="00187E00" w:rsidTr="008F73E7">
        <w:trPr>
          <w:trHeight w:val="632"/>
        </w:trPr>
        <w:tc>
          <w:tcPr>
            <w:tcW w:w="2466" w:type="dxa"/>
            <w:gridSpan w:val="2"/>
            <w:vAlign w:val="center"/>
          </w:tcPr>
          <w:p w:rsidR="00C17333" w:rsidRPr="00187E00" w:rsidRDefault="00C17333" w:rsidP="003D22F2">
            <w:pPr>
              <w:spacing w:line="276" w:lineRule="auto"/>
            </w:pPr>
            <w:r w:rsidRPr="00187E00">
              <w:t>Absorbance at 430 nm</w:t>
            </w:r>
          </w:p>
          <w:p w:rsidR="00C17333" w:rsidRPr="00187E00" w:rsidRDefault="00C17333" w:rsidP="003D22F2">
            <w:pPr>
              <w:spacing w:line="276" w:lineRule="auto"/>
            </w:pPr>
            <w:r w:rsidRPr="00187E00">
              <w:t>(Color and clarity)</w:t>
            </w:r>
          </w:p>
        </w:tc>
        <w:tc>
          <w:tcPr>
            <w:tcW w:w="3222" w:type="dxa"/>
            <w:vAlign w:val="center"/>
          </w:tcPr>
          <w:p w:rsidR="00C17333" w:rsidRPr="00187E00" w:rsidRDefault="00C17333" w:rsidP="003D22F2">
            <w:pPr>
              <w:spacing w:line="276" w:lineRule="auto"/>
            </w:pPr>
            <w:r w:rsidRPr="00187E00">
              <w:t>Not more than 0.200</w:t>
            </w:r>
          </w:p>
        </w:tc>
        <w:tc>
          <w:tcPr>
            <w:tcW w:w="1170" w:type="dxa"/>
            <w:vAlign w:val="center"/>
          </w:tcPr>
          <w:p w:rsidR="00C17333" w:rsidRPr="00187E00" w:rsidRDefault="00C17333" w:rsidP="003D22F2">
            <w:pPr>
              <w:spacing w:line="276" w:lineRule="auto"/>
              <w:jc w:val="center"/>
            </w:pPr>
            <w:r w:rsidRPr="00187E00">
              <w:t>0.108</w:t>
            </w:r>
          </w:p>
        </w:tc>
        <w:tc>
          <w:tcPr>
            <w:tcW w:w="1170" w:type="dxa"/>
            <w:vAlign w:val="center"/>
          </w:tcPr>
          <w:p w:rsidR="00C17333" w:rsidRPr="00187E00" w:rsidRDefault="00C17333" w:rsidP="003D22F2">
            <w:pPr>
              <w:spacing w:line="276" w:lineRule="auto"/>
              <w:jc w:val="center"/>
            </w:pPr>
            <w:r w:rsidRPr="00187E00">
              <w:t>0.112</w:t>
            </w:r>
          </w:p>
        </w:tc>
        <w:tc>
          <w:tcPr>
            <w:tcW w:w="1170" w:type="dxa"/>
            <w:vAlign w:val="center"/>
          </w:tcPr>
          <w:p w:rsidR="00C17333" w:rsidRPr="00187E00" w:rsidRDefault="00C17333" w:rsidP="003D22F2">
            <w:pPr>
              <w:spacing w:line="276" w:lineRule="auto"/>
              <w:jc w:val="center"/>
            </w:pPr>
            <w:r w:rsidRPr="00187E00">
              <w:t>0.120</w:t>
            </w:r>
          </w:p>
        </w:tc>
      </w:tr>
      <w:tr w:rsidR="00C17333" w:rsidRPr="00187E00" w:rsidTr="008F73E7">
        <w:trPr>
          <w:trHeight w:val="953"/>
        </w:trPr>
        <w:tc>
          <w:tcPr>
            <w:tcW w:w="2466" w:type="dxa"/>
            <w:gridSpan w:val="2"/>
            <w:vAlign w:val="center"/>
          </w:tcPr>
          <w:p w:rsidR="00C17333" w:rsidRPr="00187E00" w:rsidRDefault="00C17333" w:rsidP="003D22F2">
            <w:pPr>
              <w:spacing w:line="276" w:lineRule="auto"/>
            </w:pPr>
          </w:p>
          <w:p w:rsidR="00C17333" w:rsidRPr="00187E00" w:rsidRDefault="00C17333" w:rsidP="003D22F2">
            <w:pPr>
              <w:spacing w:line="276" w:lineRule="auto"/>
            </w:pPr>
            <w:r w:rsidRPr="00187E00">
              <w:t>Clarity of the solution</w:t>
            </w:r>
          </w:p>
        </w:tc>
        <w:tc>
          <w:tcPr>
            <w:tcW w:w="3222" w:type="dxa"/>
            <w:vAlign w:val="center"/>
          </w:tcPr>
          <w:p w:rsidR="00C17333" w:rsidRPr="00187E00" w:rsidRDefault="00C17333" w:rsidP="003D22F2">
            <w:pPr>
              <w:spacing w:line="276" w:lineRule="auto"/>
              <w:ind w:right="-68"/>
            </w:pPr>
            <w:r w:rsidRPr="00187E00">
              <w:t>The opalescence of the sample shall not be more pronounced than the reference suspension</w:t>
            </w:r>
          </w:p>
        </w:tc>
        <w:tc>
          <w:tcPr>
            <w:tcW w:w="1170" w:type="dxa"/>
            <w:vAlign w:val="center"/>
          </w:tcPr>
          <w:p w:rsidR="00C17333" w:rsidRPr="00187E00" w:rsidRDefault="00C17333" w:rsidP="003D22F2">
            <w:pPr>
              <w:spacing w:line="276" w:lineRule="auto"/>
              <w:jc w:val="center"/>
            </w:pPr>
            <w:r w:rsidRPr="00187E00">
              <w:t>Complies</w:t>
            </w:r>
          </w:p>
        </w:tc>
        <w:tc>
          <w:tcPr>
            <w:tcW w:w="1170" w:type="dxa"/>
            <w:vAlign w:val="center"/>
          </w:tcPr>
          <w:p w:rsidR="00C17333" w:rsidRPr="00187E00" w:rsidRDefault="00C17333" w:rsidP="003D22F2">
            <w:pPr>
              <w:spacing w:line="276" w:lineRule="auto"/>
              <w:jc w:val="center"/>
            </w:pPr>
            <w:r w:rsidRPr="00187E00">
              <w:t>Complies</w:t>
            </w:r>
          </w:p>
        </w:tc>
        <w:tc>
          <w:tcPr>
            <w:tcW w:w="1170" w:type="dxa"/>
            <w:vAlign w:val="center"/>
          </w:tcPr>
          <w:p w:rsidR="00C17333" w:rsidRPr="00187E00" w:rsidRDefault="00C17333" w:rsidP="003D22F2">
            <w:pPr>
              <w:spacing w:line="276" w:lineRule="auto"/>
              <w:jc w:val="center"/>
            </w:pPr>
            <w:r w:rsidRPr="00187E00">
              <w:t>Complies</w:t>
            </w:r>
          </w:p>
        </w:tc>
      </w:tr>
      <w:tr w:rsidR="00C17333" w:rsidRPr="00187E00" w:rsidTr="008F73E7">
        <w:trPr>
          <w:trHeight w:val="309"/>
        </w:trPr>
        <w:tc>
          <w:tcPr>
            <w:tcW w:w="2466" w:type="dxa"/>
            <w:gridSpan w:val="2"/>
            <w:vAlign w:val="center"/>
          </w:tcPr>
          <w:p w:rsidR="00C17333" w:rsidRPr="00187E00" w:rsidRDefault="00C17333" w:rsidP="003D22F2">
            <w:pPr>
              <w:spacing w:line="276" w:lineRule="auto"/>
            </w:pPr>
            <w:r w:rsidRPr="00187E00">
              <w:t>pH</w:t>
            </w:r>
          </w:p>
        </w:tc>
        <w:tc>
          <w:tcPr>
            <w:tcW w:w="3222" w:type="dxa"/>
            <w:vAlign w:val="center"/>
          </w:tcPr>
          <w:p w:rsidR="00C17333" w:rsidRPr="00187E00" w:rsidRDefault="00C17333" w:rsidP="003D22F2">
            <w:pPr>
              <w:pStyle w:val="Footer"/>
              <w:tabs>
                <w:tab w:val="clear" w:pos="4320"/>
                <w:tab w:val="clear" w:pos="8640"/>
              </w:tabs>
              <w:spacing w:line="276" w:lineRule="auto"/>
            </w:pPr>
            <w:r w:rsidRPr="00187E00">
              <w:t>Between 6.0 and 8.5</w:t>
            </w:r>
          </w:p>
        </w:tc>
        <w:tc>
          <w:tcPr>
            <w:tcW w:w="1170" w:type="dxa"/>
            <w:vAlign w:val="center"/>
          </w:tcPr>
          <w:p w:rsidR="00C17333" w:rsidRPr="00187E00" w:rsidRDefault="00C17333" w:rsidP="003D22F2">
            <w:pPr>
              <w:spacing w:line="276" w:lineRule="auto"/>
              <w:jc w:val="center"/>
            </w:pPr>
            <w:r w:rsidRPr="00187E00">
              <w:t>6.4</w:t>
            </w:r>
          </w:p>
        </w:tc>
        <w:tc>
          <w:tcPr>
            <w:tcW w:w="1170" w:type="dxa"/>
            <w:vAlign w:val="center"/>
          </w:tcPr>
          <w:p w:rsidR="00C17333" w:rsidRPr="00187E00" w:rsidRDefault="00C17333" w:rsidP="003D22F2">
            <w:pPr>
              <w:spacing w:line="276" w:lineRule="auto"/>
              <w:jc w:val="center"/>
            </w:pPr>
            <w:r w:rsidRPr="00187E00">
              <w:t>6.5</w:t>
            </w:r>
          </w:p>
        </w:tc>
        <w:tc>
          <w:tcPr>
            <w:tcW w:w="1170" w:type="dxa"/>
            <w:vAlign w:val="center"/>
          </w:tcPr>
          <w:p w:rsidR="00C17333" w:rsidRPr="00187E00" w:rsidRDefault="00C17333" w:rsidP="003D22F2">
            <w:pPr>
              <w:spacing w:line="276" w:lineRule="auto"/>
              <w:jc w:val="center"/>
            </w:pPr>
            <w:r w:rsidRPr="00187E00">
              <w:t>6.8</w:t>
            </w:r>
          </w:p>
        </w:tc>
      </w:tr>
      <w:tr w:rsidR="00C17333" w:rsidRPr="00187E00" w:rsidTr="008F73E7">
        <w:trPr>
          <w:trHeight w:val="305"/>
        </w:trPr>
        <w:tc>
          <w:tcPr>
            <w:tcW w:w="2466" w:type="dxa"/>
            <w:gridSpan w:val="2"/>
            <w:vAlign w:val="center"/>
          </w:tcPr>
          <w:p w:rsidR="00C17333" w:rsidRPr="00187E00" w:rsidRDefault="00C17333" w:rsidP="003D22F2">
            <w:pPr>
              <w:spacing w:line="276" w:lineRule="auto"/>
            </w:pPr>
            <w:r w:rsidRPr="00187E00">
              <w:t>Osmolality</w:t>
            </w:r>
          </w:p>
        </w:tc>
        <w:tc>
          <w:tcPr>
            <w:tcW w:w="3222" w:type="dxa"/>
            <w:vAlign w:val="center"/>
          </w:tcPr>
          <w:p w:rsidR="00C17333" w:rsidRPr="00187E00" w:rsidRDefault="00C17333" w:rsidP="003D22F2">
            <w:pPr>
              <w:tabs>
                <w:tab w:val="left" w:pos="1215"/>
              </w:tabs>
              <w:spacing w:line="276" w:lineRule="auto"/>
            </w:pPr>
            <w:r w:rsidRPr="00187E00">
              <w:t>Between 260 – 320 mOsm/Kg</w:t>
            </w:r>
          </w:p>
        </w:tc>
        <w:tc>
          <w:tcPr>
            <w:tcW w:w="1170" w:type="dxa"/>
            <w:vAlign w:val="center"/>
          </w:tcPr>
          <w:p w:rsidR="00C17333" w:rsidRPr="00187E00" w:rsidRDefault="00C17333" w:rsidP="003D22F2">
            <w:pPr>
              <w:spacing w:line="276" w:lineRule="auto"/>
              <w:jc w:val="center"/>
            </w:pPr>
            <w:r w:rsidRPr="00187E00">
              <w:t>304</w:t>
            </w:r>
          </w:p>
        </w:tc>
        <w:tc>
          <w:tcPr>
            <w:tcW w:w="1170" w:type="dxa"/>
            <w:vAlign w:val="center"/>
          </w:tcPr>
          <w:p w:rsidR="00C17333" w:rsidRPr="00187E00" w:rsidRDefault="00C17333" w:rsidP="003D22F2">
            <w:pPr>
              <w:spacing w:line="276" w:lineRule="auto"/>
              <w:jc w:val="center"/>
            </w:pPr>
            <w:r w:rsidRPr="00187E00">
              <w:t>306</w:t>
            </w:r>
          </w:p>
        </w:tc>
        <w:tc>
          <w:tcPr>
            <w:tcW w:w="1170" w:type="dxa"/>
            <w:vAlign w:val="center"/>
          </w:tcPr>
          <w:p w:rsidR="00C17333" w:rsidRPr="00187E00" w:rsidRDefault="00C17333" w:rsidP="003D22F2">
            <w:pPr>
              <w:spacing w:line="276" w:lineRule="auto"/>
              <w:jc w:val="center"/>
            </w:pPr>
            <w:r w:rsidRPr="00187E00">
              <w:t>310</w:t>
            </w:r>
          </w:p>
        </w:tc>
      </w:tr>
      <w:tr w:rsidR="00C17333" w:rsidRPr="00187E00" w:rsidTr="008F73E7">
        <w:trPr>
          <w:trHeight w:val="619"/>
        </w:trPr>
        <w:tc>
          <w:tcPr>
            <w:tcW w:w="2466" w:type="dxa"/>
            <w:gridSpan w:val="2"/>
            <w:vAlign w:val="center"/>
          </w:tcPr>
          <w:p w:rsidR="00C17333" w:rsidRPr="00187E00" w:rsidRDefault="00C17333" w:rsidP="003D22F2">
            <w:pPr>
              <w:spacing w:line="276" w:lineRule="auto"/>
            </w:pPr>
            <w:r w:rsidRPr="00187E00">
              <w:t>Bacterial Endotoxins</w:t>
            </w:r>
          </w:p>
        </w:tc>
        <w:tc>
          <w:tcPr>
            <w:tcW w:w="3222" w:type="dxa"/>
            <w:vAlign w:val="center"/>
          </w:tcPr>
          <w:p w:rsidR="00C17333" w:rsidRPr="00187E00" w:rsidRDefault="00C17333" w:rsidP="003D22F2">
            <w:pPr>
              <w:spacing w:line="276" w:lineRule="auto"/>
            </w:pPr>
            <w:r w:rsidRPr="00187E00">
              <w:t>Not more than 0.5 EU/mg of Propofol</w:t>
            </w:r>
          </w:p>
        </w:tc>
        <w:tc>
          <w:tcPr>
            <w:tcW w:w="1170" w:type="dxa"/>
            <w:vAlign w:val="center"/>
          </w:tcPr>
          <w:p w:rsidR="00C17333" w:rsidRPr="00187E00" w:rsidRDefault="00C17333" w:rsidP="003D22F2">
            <w:pPr>
              <w:spacing w:line="276" w:lineRule="auto"/>
              <w:jc w:val="center"/>
            </w:pPr>
            <w:r w:rsidRPr="00187E00">
              <w:t>NIL</w:t>
            </w:r>
          </w:p>
        </w:tc>
        <w:tc>
          <w:tcPr>
            <w:tcW w:w="1170" w:type="dxa"/>
            <w:vAlign w:val="center"/>
          </w:tcPr>
          <w:p w:rsidR="00C17333" w:rsidRPr="00187E00" w:rsidRDefault="00C17333" w:rsidP="003D22F2">
            <w:pPr>
              <w:spacing w:line="276" w:lineRule="auto"/>
              <w:jc w:val="center"/>
            </w:pPr>
            <w:r w:rsidRPr="00187E00">
              <w:t>NIL</w:t>
            </w:r>
          </w:p>
        </w:tc>
        <w:tc>
          <w:tcPr>
            <w:tcW w:w="1170" w:type="dxa"/>
            <w:vAlign w:val="center"/>
          </w:tcPr>
          <w:p w:rsidR="00C17333" w:rsidRPr="00187E00" w:rsidRDefault="00C17333" w:rsidP="003D22F2">
            <w:pPr>
              <w:spacing w:line="276" w:lineRule="auto"/>
              <w:jc w:val="center"/>
            </w:pPr>
            <w:r w:rsidRPr="00187E00">
              <w:t>NIL</w:t>
            </w:r>
          </w:p>
        </w:tc>
      </w:tr>
      <w:tr w:rsidR="00C17333" w:rsidRPr="00187E00" w:rsidTr="008F73E7">
        <w:trPr>
          <w:trHeight w:val="319"/>
        </w:trPr>
        <w:tc>
          <w:tcPr>
            <w:tcW w:w="1276" w:type="dxa"/>
            <w:vMerge w:val="restart"/>
            <w:tcBorders>
              <w:right w:val="single" w:sz="4" w:space="0" w:color="auto"/>
            </w:tcBorders>
            <w:vAlign w:val="center"/>
          </w:tcPr>
          <w:p w:rsidR="00C17333" w:rsidRPr="00187E00" w:rsidRDefault="00C17333" w:rsidP="003D22F2">
            <w:pPr>
              <w:spacing w:line="276" w:lineRule="auto"/>
            </w:pPr>
            <w:r w:rsidRPr="00187E00">
              <w:t>Particulate matter per container</w:t>
            </w:r>
          </w:p>
        </w:tc>
        <w:tc>
          <w:tcPr>
            <w:tcW w:w="1190" w:type="dxa"/>
            <w:tcBorders>
              <w:left w:val="single" w:sz="4" w:space="0" w:color="auto"/>
              <w:bottom w:val="single" w:sz="4" w:space="0" w:color="auto"/>
            </w:tcBorders>
            <w:vAlign w:val="center"/>
          </w:tcPr>
          <w:p w:rsidR="00C17333" w:rsidRPr="00187E00" w:rsidRDefault="00C17333" w:rsidP="003D22F2">
            <w:pPr>
              <w:spacing w:line="276" w:lineRule="auto"/>
            </w:pPr>
            <w:r w:rsidRPr="00187E00">
              <w:t>i) ≥ 10 µ</w:t>
            </w:r>
          </w:p>
        </w:tc>
        <w:tc>
          <w:tcPr>
            <w:tcW w:w="3222" w:type="dxa"/>
            <w:tcBorders>
              <w:bottom w:val="single" w:sz="4" w:space="0" w:color="auto"/>
            </w:tcBorders>
            <w:vAlign w:val="center"/>
          </w:tcPr>
          <w:p w:rsidR="00C17333" w:rsidRPr="00187E00" w:rsidRDefault="00C17333" w:rsidP="003D22F2">
            <w:pPr>
              <w:spacing w:line="276" w:lineRule="auto"/>
            </w:pPr>
            <w:r w:rsidRPr="00187E00">
              <w:t>Not more than 6000</w:t>
            </w:r>
          </w:p>
        </w:tc>
        <w:tc>
          <w:tcPr>
            <w:tcW w:w="1170" w:type="dxa"/>
            <w:tcBorders>
              <w:bottom w:val="single" w:sz="4" w:space="0" w:color="auto"/>
            </w:tcBorders>
            <w:vAlign w:val="center"/>
          </w:tcPr>
          <w:p w:rsidR="00C17333" w:rsidRPr="00187E00" w:rsidRDefault="00C17333" w:rsidP="003D22F2">
            <w:pPr>
              <w:spacing w:line="276" w:lineRule="auto"/>
              <w:jc w:val="center"/>
            </w:pPr>
            <w:r w:rsidRPr="00187E00">
              <w:t>120</w:t>
            </w:r>
          </w:p>
        </w:tc>
        <w:tc>
          <w:tcPr>
            <w:tcW w:w="1170" w:type="dxa"/>
            <w:tcBorders>
              <w:bottom w:val="single" w:sz="4" w:space="0" w:color="auto"/>
            </w:tcBorders>
            <w:vAlign w:val="center"/>
          </w:tcPr>
          <w:p w:rsidR="00C17333" w:rsidRPr="00187E00" w:rsidRDefault="00C17333" w:rsidP="003D22F2">
            <w:pPr>
              <w:spacing w:line="276" w:lineRule="auto"/>
              <w:jc w:val="center"/>
            </w:pPr>
            <w:r w:rsidRPr="00187E00">
              <w:t>148</w:t>
            </w:r>
          </w:p>
        </w:tc>
        <w:tc>
          <w:tcPr>
            <w:tcW w:w="1170" w:type="dxa"/>
            <w:tcBorders>
              <w:bottom w:val="single" w:sz="4" w:space="0" w:color="auto"/>
            </w:tcBorders>
            <w:vAlign w:val="center"/>
          </w:tcPr>
          <w:p w:rsidR="00C17333" w:rsidRPr="00187E00" w:rsidRDefault="00C17333" w:rsidP="003D22F2">
            <w:pPr>
              <w:spacing w:line="276" w:lineRule="auto"/>
              <w:jc w:val="center"/>
            </w:pPr>
            <w:r w:rsidRPr="00187E00">
              <w:t>129</w:t>
            </w:r>
          </w:p>
        </w:tc>
      </w:tr>
      <w:tr w:rsidR="00C17333" w:rsidRPr="00187E00" w:rsidTr="008F73E7">
        <w:trPr>
          <w:trHeight w:val="594"/>
        </w:trPr>
        <w:tc>
          <w:tcPr>
            <w:tcW w:w="1276" w:type="dxa"/>
            <w:vMerge/>
            <w:tcBorders>
              <w:right w:val="single" w:sz="4" w:space="0" w:color="auto"/>
            </w:tcBorders>
            <w:vAlign w:val="center"/>
          </w:tcPr>
          <w:p w:rsidR="00C17333" w:rsidRPr="00187E00" w:rsidRDefault="00C17333" w:rsidP="003D22F2">
            <w:pPr>
              <w:spacing w:line="276" w:lineRule="auto"/>
            </w:pPr>
          </w:p>
        </w:tc>
        <w:tc>
          <w:tcPr>
            <w:tcW w:w="1190" w:type="dxa"/>
            <w:tcBorders>
              <w:top w:val="single" w:sz="4" w:space="0" w:color="auto"/>
              <w:left w:val="single" w:sz="4" w:space="0" w:color="auto"/>
            </w:tcBorders>
            <w:vAlign w:val="center"/>
          </w:tcPr>
          <w:p w:rsidR="00C17333" w:rsidRPr="00187E00" w:rsidRDefault="00C17333" w:rsidP="003D22F2">
            <w:pPr>
              <w:spacing w:line="276" w:lineRule="auto"/>
            </w:pPr>
            <w:r w:rsidRPr="00187E00">
              <w:t>ii) ≥ 25 µ</w:t>
            </w:r>
          </w:p>
        </w:tc>
        <w:tc>
          <w:tcPr>
            <w:tcW w:w="3222" w:type="dxa"/>
            <w:tcBorders>
              <w:top w:val="single" w:sz="4" w:space="0" w:color="auto"/>
            </w:tcBorders>
            <w:vAlign w:val="center"/>
          </w:tcPr>
          <w:p w:rsidR="00C17333" w:rsidRPr="00187E00" w:rsidRDefault="00C17333" w:rsidP="003D22F2">
            <w:pPr>
              <w:spacing w:line="276" w:lineRule="auto"/>
            </w:pPr>
            <w:r w:rsidRPr="00187E00">
              <w:t>Not more than 600</w:t>
            </w:r>
          </w:p>
        </w:tc>
        <w:tc>
          <w:tcPr>
            <w:tcW w:w="1170" w:type="dxa"/>
            <w:tcBorders>
              <w:top w:val="single" w:sz="4" w:space="0" w:color="auto"/>
            </w:tcBorders>
            <w:vAlign w:val="center"/>
          </w:tcPr>
          <w:p w:rsidR="00C17333" w:rsidRPr="00187E00" w:rsidRDefault="00C17333" w:rsidP="003D22F2">
            <w:pPr>
              <w:spacing w:line="276" w:lineRule="auto"/>
              <w:jc w:val="center"/>
            </w:pPr>
            <w:r w:rsidRPr="00187E00">
              <w:t>11</w:t>
            </w:r>
          </w:p>
        </w:tc>
        <w:tc>
          <w:tcPr>
            <w:tcW w:w="1170" w:type="dxa"/>
            <w:tcBorders>
              <w:top w:val="single" w:sz="4" w:space="0" w:color="auto"/>
            </w:tcBorders>
            <w:vAlign w:val="center"/>
          </w:tcPr>
          <w:p w:rsidR="00C17333" w:rsidRPr="00187E00" w:rsidRDefault="00C17333" w:rsidP="003D22F2">
            <w:pPr>
              <w:spacing w:line="276" w:lineRule="auto"/>
              <w:jc w:val="center"/>
            </w:pPr>
            <w:r w:rsidRPr="00187E00">
              <w:t>14</w:t>
            </w:r>
          </w:p>
        </w:tc>
        <w:tc>
          <w:tcPr>
            <w:tcW w:w="1170" w:type="dxa"/>
            <w:tcBorders>
              <w:top w:val="single" w:sz="4" w:space="0" w:color="auto"/>
            </w:tcBorders>
            <w:vAlign w:val="center"/>
          </w:tcPr>
          <w:p w:rsidR="00C17333" w:rsidRPr="00187E00" w:rsidRDefault="00C17333" w:rsidP="003D22F2">
            <w:pPr>
              <w:spacing w:line="276" w:lineRule="auto"/>
              <w:jc w:val="center"/>
            </w:pPr>
            <w:r w:rsidRPr="00187E00">
              <w:t>11</w:t>
            </w:r>
          </w:p>
        </w:tc>
      </w:tr>
      <w:tr w:rsidR="00C17333" w:rsidRPr="00187E00" w:rsidTr="008F73E7">
        <w:trPr>
          <w:trHeight w:val="755"/>
        </w:trPr>
        <w:tc>
          <w:tcPr>
            <w:tcW w:w="2466" w:type="dxa"/>
            <w:gridSpan w:val="2"/>
            <w:vAlign w:val="center"/>
          </w:tcPr>
          <w:p w:rsidR="00C17333" w:rsidRPr="00187E00" w:rsidRDefault="00C17333" w:rsidP="003D22F2">
            <w:pPr>
              <w:pStyle w:val="Header"/>
              <w:tabs>
                <w:tab w:val="clear" w:pos="4320"/>
                <w:tab w:val="clear" w:pos="8640"/>
              </w:tabs>
              <w:spacing w:line="276" w:lineRule="auto"/>
            </w:pPr>
            <w:r w:rsidRPr="00187E00">
              <w:t>Sterility</w:t>
            </w:r>
          </w:p>
        </w:tc>
        <w:tc>
          <w:tcPr>
            <w:tcW w:w="3222" w:type="dxa"/>
            <w:vAlign w:val="center"/>
          </w:tcPr>
          <w:p w:rsidR="00C17333" w:rsidRPr="00187E00" w:rsidRDefault="00C17333" w:rsidP="003D22F2">
            <w:pPr>
              <w:spacing w:line="276" w:lineRule="auto"/>
            </w:pPr>
            <w:r w:rsidRPr="00187E00">
              <w:t>No microbial growth should be observed in the test sample after 14 days of preparation</w:t>
            </w:r>
          </w:p>
        </w:tc>
        <w:tc>
          <w:tcPr>
            <w:tcW w:w="1170" w:type="dxa"/>
            <w:vAlign w:val="center"/>
          </w:tcPr>
          <w:p w:rsidR="00C17333" w:rsidRPr="00187E00" w:rsidRDefault="00C17333" w:rsidP="003D22F2">
            <w:pPr>
              <w:spacing w:line="276" w:lineRule="auto"/>
              <w:jc w:val="center"/>
            </w:pPr>
            <w:r w:rsidRPr="00187E00">
              <w:t>No growth</w:t>
            </w:r>
          </w:p>
        </w:tc>
        <w:tc>
          <w:tcPr>
            <w:tcW w:w="1170" w:type="dxa"/>
            <w:vAlign w:val="center"/>
          </w:tcPr>
          <w:p w:rsidR="00C17333" w:rsidRPr="00187E00" w:rsidRDefault="00C17333" w:rsidP="003D22F2">
            <w:pPr>
              <w:spacing w:line="276" w:lineRule="auto"/>
              <w:jc w:val="center"/>
            </w:pPr>
            <w:r w:rsidRPr="00187E00">
              <w:t>No growth</w:t>
            </w:r>
          </w:p>
        </w:tc>
        <w:tc>
          <w:tcPr>
            <w:tcW w:w="1170" w:type="dxa"/>
            <w:vAlign w:val="center"/>
          </w:tcPr>
          <w:p w:rsidR="00C17333" w:rsidRPr="00187E00" w:rsidRDefault="00C17333" w:rsidP="003D22F2">
            <w:pPr>
              <w:spacing w:line="276" w:lineRule="auto"/>
              <w:jc w:val="center"/>
            </w:pPr>
            <w:r w:rsidRPr="00187E00">
              <w:t>No growth</w:t>
            </w:r>
          </w:p>
        </w:tc>
      </w:tr>
      <w:tr w:rsidR="00C17333" w:rsidRPr="00187E00" w:rsidTr="008F73E7">
        <w:trPr>
          <w:trHeight w:val="619"/>
        </w:trPr>
        <w:tc>
          <w:tcPr>
            <w:tcW w:w="2466" w:type="dxa"/>
            <w:gridSpan w:val="2"/>
            <w:vAlign w:val="center"/>
          </w:tcPr>
          <w:p w:rsidR="00C17333" w:rsidRPr="00187E00" w:rsidRDefault="00C17333" w:rsidP="003D22F2">
            <w:pPr>
              <w:pStyle w:val="Header"/>
              <w:tabs>
                <w:tab w:val="clear" w:pos="4320"/>
                <w:tab w:val="clear" w:pos="8640"/>
              </w:tabs>
              <w:spacing w:line="276" w:lineRule="auto"/>
            </w:pPr>
            <w:r w:rsidRPr="00187E00">
              <w:t>Assay (%)</w:t>
            </w:r>
          </w:p>
        </w:tc>
        <w:tc>
          <w:tcPr>
            <w:tcW w:w="3222" w:type="dxa"/>
            <w:vAlign w:val="center"/>
          </w:tcPr>
          <w:p w:rsidR="00C17333" w:rsidRPr="00187E00" w:rsidRDefault="00C17333" w:rsidP="003D22F2">
            <w:pPr>
              <w:pStyle w:val="Header"/>
              <w:tabs>
                <w:tab w:val="clear" w:pos="4320"/>
                <w:tab w:val="clear" w:pos="8640"/>
              </w:tabs>
              <w:spacing w:line="276" w:lineRule="auto"/>
            </w:pPr>
            <w:r w:rsidRPr="00187E00">
              <w:t>Between 90 – 110</w:t>
            </w:r>
          </w:p>
        </w:tc>
        <w:tc>
          <w:tcPr>
            <w:tcW w:w="1170" w:type="dxa"/>
            <w:vAlign w:val="center"/>
          </w:tcPr>
          <w:p w:rsidR="00C17333" w:rsidRPr="00187E00" w:rsidRDefault="00C17333" w:rsidP="003D22F2">
            <w:pPr>
              <w:spacing w:line="276" w:lineRule="auto"/>
              <w:jc w:val="center"/>
            </w:pPr>
            <w:r w:rsidRPr="00187E00">
              <w:t>100.02</w:t>
            </w:r>
          </w:p>
        </w:tc>
        <w:tc>
          <w:tcPr>
            <w:tcW w:w="1170" w:type="dxa"/>
            <w:vAlign w:val="center"/>
          </w:tcPr>
          <w:p w:rsidR="00C17333" w:rsidRPr="00187E00" w:rsidRDefault="00C17333" w:rsidP="003D22F2">
            <w:pPr>
              <w:spacing w:line="276" w:lineRule="auto"/>
              <w:jc w:val="center"/>
            </w:pPr>
            <w:r w:rsidRPr="00187E00">
              <w:t>98.96</w:t>
            </w:r>
          </w:p>
        </w:tc>
        <w:tc>
          <w:tcPr>
            <w:tcW w:w="1170" w:type="dxa"/>
            <w:vAlign w:val="center"/>
          </w:tcPr>
          <w:p w:rsidR="00C17333" w:rsidRPr="00187E00" w:rsidRDefault="00C17333" w:rsidP="003D22F2">
            <w:pPr>
              <w:spacing w:line="276" w:lineRule="auto"/>
              <w:jc w:val="center"/>
            </w:pPr>
            <w:r w:rsidRPr="00187E00">
              <w:t>96.74</w:t>
            </w:r>
          </w:p>
        </w:tc>
      </w:tr>
      <w:tr w:rsidR="00C17333" w:rsidRPr="00187E00" w:rsidTr="008F73E7">
        <w:trPr>
          <w:trHeight w:val="708"/>
        </w:trPr>
        <w:tc>
          <w:tcPr>
            <w:tcW w:w="1276" w:type="dxa"/>
            <w:tcBorders>
              <w:right w:val="single" w:sz="4" w:space="0" w:color="auto"/>
            </w:tcBorders>
            <w:vAlign w:val="center"/>
          </w:tcPr>
          <w:p w:rsidR="00C17333" w:rsidRPr="00187E00" w:rsidRDefault="00C17333" w:rsidP="003D22F2">
            <w:pPr>
              <w:pStyle w:val="Header"/>
              <w:tabs>
                <w:tab w:val="clear" w:pos="4320"/>
                <w:tab w:val="clear" w:pos="8640"/>
              </w:tabs>
              <w:spacing w:line="276" w:lineRule="auto"/>
            </w:pPr>
            <w:r w:rsidRPr="00187E00">
              <w:t>Impurities</w:t>
            </w:r>
          </w:p>
          <w:p w:rsidR="00C17333" w:rsidRPr="00187E00" w:rsidRDefault="00C17333" w:rsidP="003D22F2">
            <w:pPr>
              <w:pStyle w:val="Header"/>
              <w:tabs>
                <w:tab w:val="clear" w:pos="4320"/>
                <w:tab w:val="clear" w:pos="8640"/>
              </w:tabs>
              <w:spacing w:line="276" w:lineRule="auto"/>
            </w:pPr>
            <w:r w:rsidRPr="00187E00">
              <w:t>(%)</w:t>
            </w:r>
          </w:p>
        </w:tc>
        <w:tc>
          <w:tcPr>
            <w:tcW w:w="1190" w:type="dxa"/>
            <w:tcBorders>
              <w:top w:val="single" w:sz="4" w:space="0" w:color="auto"/>
              <w:left w:val="single" w:sz="4" w:space="0" w:color="auto"/>
            </w:tcBorders>
            <w:vAlign w:val="center"/>
          </w:tcPr>
          <w:p w:rsidR="00C17333" w:rsidRPr="00187E00" w:rsidRDefault="00C17333" w:rsidP="003D22F2">
            <w:pPr>
              <w:pStyle w:val="Header"/>
              <w:spacing w:line="276" w:lineRule="auto"/>
            </w:pPr>
            <w:r w:rsidRPr="00187E00">
              <w:t>Total impurities</w:t>
            </w:r>
          </w:p>
        </w:tc>
        <w:tc>
          <w:tcPr>
            <w:tcW w:w="3222" w:type="dxa"/>
            <w:tcBorders>
              <w:top w:val="single" w:sz="4" w:space="0" w:color="auto"/>
            </w:tcBorders>
            <w:vAlign w:val="center"/>
          </w:tcPr>
          <w:p w:rsidR="00C17333" w:rsidRPr="00187E00" w:rsidRDefault="00C17333" w:rsidP="003D22F2">
            <w:pPr>
              <w:pStyle w:val="Header"/>
              <w:tabs>
                <w:tab w:val="clear" w:pos="4320"/>
                <w:tab w:val="clear" w:pos="8640"/>
              </w:tabs>
              <w:spacing w:line="276" w:lineRule="auto"/>
            </w:pPr>
            <w:r w:rsidRPr="00187E00">
              <w:t>Not more than 1.0</w:t>
            </w:r>
          </w:p>
          <w:p w:rsidR="00C17333" w:rsidRPr="00187E00" w:rsidRDefault="00C17333" w:rsidP="003D22F2">
            <w:pPr>
              <w:pStyle w:val="Header"/>
              <w:spacing w:line="276" w:lineRule="auto"/>
            </w:pPr>
          </w:p>
        </w:tc>
        <w:tc>
          <w:tcPr>
            <w:tcW w:w="1170" w:type="dxa"/>
            <w:tcBorders>
              <w:top w:val="single" w:sz="4" w:space="0" w:color="auto"/>
            </w:tcBorders>
            <w:vAlign w:val="center"/>
          </w:tcPr>
          <w:p w:rsidR="00C17333" w:rsidRPr="00187E00" w:rsidRDefault="00C17333" w:rsidP="003D22F2">
            <w:pPr>
              <w:spacing w:line="276" w:lineRule="auto"/>
              <w:jc w:val="center"/>
            </w:pPr>
            <w:r w:rsidRPr="00187E00">
              <w:t>0.56</w:t>
            </w:r>
          </w:p>
        </w:tc>
        <w:tc>
          <w:tcPr>
            <w:tcW w:w="1170" w:type="dxa"/>
            <w:tcBorders>
              <w:top w:val="single" w:sz="4" w:space="0" w:color="auto"/>
            </w:tcBorders>
            <w:vAlign w:val="center"/>
          </w:tcPr>
          <w:p w:rsidR="00C17333" w:rsidRPr="00187E00" w:rsidRDefault="00C17333" w:rsidP="003D22F2">
            <w:pPr>
              <w:spacing w:line="276" w:lineRule="auto"/>
              <w:jc w:val="center"/>
            </w:pPr>
            <w:r w:rsidRPr="00187E00">
              <w:t>0.7</w:t>
            </w:r>
          </w:p>
        </w:tc>
        <w:tc>
          <w:tcPr>
            <w:tcW w:w="1170" w:type="dxa"/>
            <w:tcBorders>
              <w:top w:val="single" w:sz="4" w:space="0" w:color="auto"/>
            </w:tcBorders>
            <w:vAlign w:val="center"/>
          </w:tcPr>
          <w:p w:rsidR="00C17333" w:rsidRPr="00187E00" w:rsidRDefault="00C17333" w:rsidP="003D22F2">
            <w:pPr>
              <w:spacing w:line="276" w:lineRule="auto"/>
              <w:jc w:val="center"/>
            </w:pPr>
            <w:r w:rsidRPr="00187E00">
              <w:t>0.71</w:t>
            </w:r>
          </w:p>
        </w:tc>
      </w:tr>
    </w:tbl>
    <w:p w:rsidR="00AB1D1D" w:rsidRPr="00007FF4" w:rsidRDefault="00AB1D1D" w:rsidP="009871EB">
      <w:pPr>
        <w:spacing w:line="360" w:lineRule="auto"/>
        <w:rPr>
          <w:b/>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C35F8C" w:rsidRPr="00007FF4" w:rsidRDefault="00B20A9C" w:rsidP="009871EB">
      <w:pPr>
        <w:spacing w:line="360" w:lineRule="auto"/>
        <w:rPr>
          <w:bCs/>
        </w:rPr>
      </w:pPr>
      <w:r w:rsidRPr="00007FF4">
        <w:rPr>
          <w:bCs/>
        </w:rPr>
        <w:lastRenderedPageBreak/>
        <w:t>In</w:t>
      </w:r>
      <w:r w:rsidR="006E3040" w:rsidRPr="00007FF4">
        <w:rPr>
          <w:bCs/>
        </w:rPr>
        <w:t xml:space="preserve"> the </w:t>
      </w:r>
      <w:r w:rsidRPr="00007FF4">
        <w:rPr>
          <w:bCs/>
        </w:rPr>
        <w:t xml:space="preserve">fabrication process </w:t>
      </w:r>
      <w:r w:rsidR="006E3040" w:rsidRPr="00007FF4">
        <w:rPr>
          <w:bCs/>
        </w:rPr>
        <w:t>addition of e</w:t>
      </w:r>
      <w:r w:rsidR="00A83701" w:rsidRPr="00007FF4">
        <w:rPr>
          <w:bCs/>
        </w:rPr>
        <w:t xml:space="preserve">gg lecithin to cooled water </w:t>
      </w:r>
      <w:r w:rsidR="00C35F8C" w:rsidRPr="00007FF4">
        <w:rPr>
          <w:bCs/>
        </w:rPr>
        <w:t xml:space="preserve">and stirring for 30 </w:t>
      </w:r>
      <w:r w:rsidR="009801F7" w:rsidRPr="00007FF4">
        <w:rPr>
          <w:bCs/>
        </w:rPr>
        <w:t>min</w:t>
      </w:r>
      <w:r w:rsidR="006E3040" w:rsidRPr="00007FF4">
        <w:rPr>
          <w:bCs/>
        </w:rPr>
        <w:t xml:space="preserve"> </w:t>
      </w:r>
      <w:r w:rsidR="005C0DB3" w:rsidRPr="00007FF4">
        <w:rPr>
          <w:bCs/>
        </w:rPr>
        <w:t xml:space="preserve">may </w:t>
      </w:r>
      <w:r w:rsidR="006E3040" w:rsidRPr="00007FF4">
        <w:rPr>
          <w:bCs/>
        </w:rPr>
        <w:t>promote</w:t>
      </w:r>
      <w:r w:rsidR="00C35F8C" w:rsidRPr="00007FF4">
        <w:rPr>
          <w:bCs/>
        </w:rPr>
        <w:t xml:space="preserve"> the growth of microorganisms as egg lecithin is a </w:t>
      </w:r>
      <w:r w:rsidR="006E3040" w:rsidRPr="00007FF4">
        <w:rPr>
          <w:bCs/>
        </w:rPr>
        <w:t>supportive</w:t>
      </w:r>
      <w:r w:rsidR="00C35F8C" w:rsidRPr="00007FF4">
        <w:rPr>
          <w:bCs/>
        </w:rPr>
        <w:t xml:space="preserve"> nutrient</w:t>
      </w:r>
      <w:r w:rsidR="00687957" w:rsidRPr="00007FF4">
        <w:rPr>
          <w:bCs/>
        </w:rPr>
        <w:t>.</w:t>
      </w:r>
      <w:r w:rsidR="00687957" w:rsidRPr="00007FF4">
        <w:rPr>
          <w:bCs/>
          <w:vertAlign w:val="superscript"/>
        </w:rPr>
        <w:t xml:space="preserve">35,36 </w:t>
      </w:r>
      <w:r w:rsidR="00FB725E" w:rsidRPr="00007FF4">
        <w:rPr>
          <w:bCs/>
          <w:vertAlign w:val="superscript"/>
        </w:rPr>
        <w:t xml:space="preserve"> </w:t>
      </w:r>
      <w:r w:rsidR="00C35F8C" w:rsidRPr="00007FF4">
        <w:rPr>
          <w:bCs/>
        </w:rPr>
        <w:t xml:space="preserve">This process </w:t>
      </w:r>
      <w:r w:rsidR="006E3040" w:rsidRPr="00007FF4">
        <w:rPr>
          <w:bCs/>
        </w:rPr>
        <w:t>was</w:t>
      </w:r>
      <w:r w:rsidR="000647ED" w:rsidRPr="00007FF4">
        <w:rPr>
          <w:bCs/>
        </w:rPr>
        <w:t xml:space="preserve"> revised by </w:t>
      </w:r>
      <w:r w:rsidR="009A506F" w:rsidRPr="00007FF4">
        <w:rPr>
          <w:bCs/>
        </w:rPr>
        <w:t xml:space="preserve">the </w:t>
      </w:r>
      <w:r w:rsidR="000647ED" w:rsidRPr="00007FF4">
        <w:rPr>
          <w:bCs/>
        </w:rPr>
        <w:t>addition</w:t>
      </w:r>
      <w:r w:rsidR="00C35F8C" w:rsidRPr="00007FF4">
        <w:rPr>
          <w:bCs/>
        </w:rPr>
        <w:t xml:space="preserve"> of preservatives first and then egg lecithin. This </w:t>
      </w:r>
      <w:r w:rsidR="006E3040" w:rsidRPr="00007FF4">
        <w:rPr>
          <w:bCs/>
        </w:rPr>
        <w:t>had</w:t>
      </w:r>
      <w:r w:rsidR="00C35F8C" w:rsidRPr="00007FF4">
        <w:rPr>
          <w:bCs/>
        </w:rPr>
        <w:t xml:space="preserve"> a bacteriostatic effect on the liquid and microbial growth </w:t>
      </w:r>
      <w:r w:rsidR="00415F73" w:rsidRPr="00007FF4">
        <w:rPr>
          <w:bCs/>
        </w:rPr>
        <w:t>was</w:t>
      </w:r>
      <w:r w:rsidR="00C35F8C" w:rsidRPr="00007FF4">
        <w:rPr>
          <w:bCs/>
        </w:rPr>
        <w:t xml:space="preserve"> arrested</w:t>
      </w:r>
      <w:r w:rsidR="00415F73" w:rsidRPr="00007FF4">
        <w:rPr>
          <w:bCs/>
        </w:rPr>
        <w:t xml:space="preserve"> leading to improvement in </w:t>
      </w:r>
      <w:r w:rsidR="00C35F8C" w:rsidRPr="00007FF4">
        <w:rPr>
          <w:bCs/>
        </w:rPr>
        <w:t xml:space="preserve">BET </w:t>
      </w:r>
      <w:r w:rsidR="00415F73" w:rsidRPr="00007FF4">
        <w:rPr>
          <w:bCs/>
        </w:rPr>
        <w:t>values</w:t>
      </w:r>
      <w:r w:rsidR="00AF4188" w:rsidRPr="00007FF4">
        <w:rPr>
          <w:bCs/>
        </w:rPr>
        <w:t xml:space="preserve"> (Table </w:t>
      </w:r>
      <w:r w:rsidR="00010977" w:rsidRPr="00007FF4">
        <w:rPr>
          <w:bCs/>
        </w:rPr>
        <w:t>3</w:t>
      </w:r>
      <w:r w:rsidR="00AF4188" w:rsidRPr="00007FF4">
        <w:rPr>
          <w:bCs/>
        </w:rPr>
        <w:t>)</w:t>
      </w:r>
      <w:r w:rsidR="00C35F8C" w:rsidRPr="00007FF4">
        <w:rPr>
          <w:bCs/>
        </w:rPr>
        <w:t>.</w:t>
      </w:r>
    </w:p>
    <w:p w:rsidR="00B34D13" w:rsidRPr="00007FF4" w:rsidRDefault="0028154F" w:rsidP="009871EB">
      <w:pPr>
        <w:spacing w:line="360" w:lineRule="auto"/>
        <w:rPr>
          <w:bCs/>
        </w:rPr>
      </w:pPr>
      <w:r w:rsidRPr="00007FF4">
        <w:rPr>
          <w:bCs/>
        </w:rPr>
        <w:t xml:space="preserve">With an </w:t>
      </w:r>
      <w:r w:rsidR="00B34D13" w:rsidRPr="00007FF4">
        <w:rPr>
          <w:bCs/>
        </w:rPr>
        <w:t xml:space="preserve">objective to </w:t>
      </w:r>
      <w:r w:rsidRPr="00007FF4">
        <w:rPr>
          <w:bCs/>
        </w:rPr>
        <w:t xml:space="preserve">select a sterilization filter, PVDF capsule and membrane filters were tested to </w:t>
      </w:r>
      <w:r w:rsidR="00B34D13" w:rsidRPr="00007FF4">
        <w:rPr>
          <w:bCs/>
        </w:rPr>
        <w:t>establish a product wetted bubble point value</w:t>
      </w:r>
      <w:r w:rsidR="00B73487" w:rsidRPr="00007FF4">
        <w:rPr>
          <w:bCs/>
        </w:rPr>
        <w:t>s in contrast to</w:t>
      </w:r>
      <w:r w:rsidR="00B34D13" w:rsidRPr="00007FF4">
        <w:rPr>
          <w:bCs/>
        </w:rPr>
        <w:t xml:space="preserve"> the water wetted values.</w:t>
      </w:r>
      <w:r w:rsidR="003E79E4" w:rsidRPr="00007FF4">
        <w:rPr>
          <w:bCs/>
        </w:rPr>
        <w:t xml:space="preserve"> </w:t>
      </w:r>
      <w:r w:rsidR="00B34D13" w:rsidRPr="00007FF4">
        <w:rPr>
          <w:bCs/>
        </w:rPr>
        <w:t xml:space="preserve">The </w:t>
      </w:r>
      <w:r w:rsidR="003E79E4" w:rsidRPr="00007FF4">
        <w:rPr>
          <w:bCs/>
        </w:rPr>
        <w:t>levels of leachable substances were examined at</w:t>
      </w:r>
      <w:r w:rsidR="00B34D13" w:rsidRPr="00007FF4">
        <w:rPr>
          <w:bCs/>
        </w:rPr>
        <w:t xml:space="preserve"> this part of the study that might be associated with the use of filters in contact with the product.</w:t>
      </w:r>
    </w:p>
    <w:p w:rsidR="004C678B" w:rsidRPr="00007FF4" w:rsidRDefault="00415F73" w:rsidP="009871EB">
      <w:pPr>
        <w:autoSpaceDE w:val="0"/>
        <w:autoSpaceDN w:val="0"/>
        <w:adjustRightInd w:val="0"/>
        <w:spacing w:line="360" w:lineRule="auto"/>
        <w:rPr>
          <w:b/>
          <w:u w:val="single"/>
        </w:rPr>
      </w:pPr>
      <w:r w:rsidRPr="00007FF4">
        <w:rPr>
          <w:bCs/>
        </w:rPr>
        <w:t>Initially, the</w:t>
      </w:r>
      <w:r w:rsidR="00C35F8C" w:rsidRPr="00007FF4">
        <w:rPr>
          <w:bCs/>
        </w:rPr>
        <w:t xml:space="preserve"> liquid bulk p</w:t>
      </w:r>
      <w:r w:rsidRPr="00007FF4">
        <w:rPr>
          <w:bCs/>
        </w:rPr>
        <w:t>roduct was tried for sterilization</w:t>
      </w:r>
      <w:r w:rsidR="00C35F8C" w:rsidRPr="00007FF4">
        <w:rPr>
          <w:bCs/>
        </w:rPr>
        <w:t xml:space="preserve"> by filtration using capsule filter. </w:t>
      </w:r>
      <w:r w:rsidRPr="00007FF4">
        <w:rPr>
          <w:bCs/>
        </w:rPr>
        <w:t>However, d</w:t>
      </w:r>
      <w:r w:rsidR="00C35F8C" w:rsidRPr="00007FF4">
        <w:rPr>
          <w:bCs/>
        </w:rPr>
        <w:t>ifficulties were observed in passing this product through the capsule filter.</w:t>
      </w:r>
      <w:r w:rsidR="008665DB" w:rsidRPr="00007FF4">
        <w:rPr>
          <w:bCs/>
        </w:rPr>
        <w:t xml:space="preserve"> </w:t>
      </w:r>
      <w:r w:rsidR="00C35F8C" w:rsidRPr="00007FF4">
        <w:rPr>
          <w:bCs/>
        </w:rPr>
        <w:t xml:space="preserve">The product was then passed through 2.0 &amp; 0.45 micron membrane filters using a membrane filter holder at low pressure (0.3 - 0.4 bar). The bubble point (filter integrity) value was found to be 1.5 </w:t>
      </w:r>
      <w:r w:rsidR="002707AD" w:rsidRPr="00007FF4">
        <w:rPr>
          <w:bCs/>
        </w:rPr>
        <w:t>bar</w:t>
      </w:r>
      <w:r w:rsidR="00C35F8C" w:rsidRPr="00007FF4">
        <w:rPr>
          <w:bCs/>
        </w:rPr>
        <w:t xml:space="preserve"> which </w:t>
      </w:r>
      <w:r w:rsidR="008665DB" w:rsidRPr="00007FF4">
        <w:rPr>
          <w:bCs/>
        </w:rPr>
        <w:t>are</w:t>
      </w:r>
      <w:r w:rsidR="00C35F8C" w:rsidRPr="00007FF4">
        <w:rPr>
          <w:bCs/>
        </w:rPr>
        <w:t xml:space="preserve"> in agreement with </w:t>
      </w:r>
      <w:r w:rsidR="00CD654B" w:rsidRPr="00007FF4">
        <w:rPr>
          <w:bCs/>
        </w:rPr>
        <w:t>its</w:t>
      </w:r>
      <w:r w:rsidRPr="00007FF4">
        <w:rPr>
          <w:bCs/>
        </w:rPr>
        <w:t xml:space="preserve"> </w:t>
      </w:r>
      <w:r w:rsidR="00C35F8C" w:rsidRPr="00007FF4">
        <w:rPr>
          <w:bCs/>
        </w:rPr>
        <w:t>viscosity</w:t>
      </w:r>
      <w:r w:rsidR="00FB725E" w:rsidRPr="00007FF4">
        <w:rPr>
          <w:bCs/>
        </w:rPr>
        <w:t>.</w:t>
      </w:r>
      <w:r w:rsidR="00FB725E" w:rsidRPr="00007FF4">
        <w:rPr>
          <w:bCs/>
          <w:vertAlign w:val="superscript"/>
        </w:rPr>
        <w:t>37,38</w:t>
      </w:r>
      <w:r w:rsidR="00942959" w:rsidRPr="00007FF4">
        <w:rPr>
          <w:bCs/>
          <w:vertAlign w:val="superscript"/>
        </w:rPr>
        <w:t>,46</w:t>
      </w:r>
      <w:r w:rsidR="00FB725E" w:rsidRPr="00007FF4">
        <w:rPr>
          <w:bCs/>
          <w:vertAlign w:val="superscript"/>
        </w:rPr>
        <w:t xml:space="preserve">  </w:t>
      </w:r>
      <w:r w:rsidR="00C35F8C" w:rsidRPr="00007FF4">
        <w:rPr>
          <w:bCs/>
        </w:rPr>
        <w:t>Based on this confidence levels, the filtered product was filled into vials</w:t>
      </w:r>
      <w:r w:rsidR="00166074" w:rsidRPr="00007FF4">
        <w:rPr>
          <w:bCs/>
        </w:rPr>
        <w:t>.</w:t>
      </w:r>
      <w:r w:rsidR="00C35F8C" w:rsidRPr="00007FF4">
        <w:rPr>
          <w:bCs/>
        </w:rPr>
        <w:t xml:space="preserve"> </w:t>
      </w:r>
      <w:r w:rsidR="00D916EB" w:rsidRPr="00007FF4">
        <w:rPr>
          <w:bCs/>
        </w:rPr>
        <w:t>P</w:t>
      </w:r>
      <w:r w:rsidR="00C35F8C" w:rsidRPr="00007FF4">
        <w:rPr>
          <w:bCs/>
        </w:rPr>
        <w:t xml:space="preserve">roduct </w:t>
      </w:r>
      <w:r w:rsidRPr="00007FF4">
        <w:rPr>
          <w:bCs/>
        </w:rPr>
        <w:t xml:space="preserve">failed </w:t>
      </w:r>
      <w:r w:rsidR="00C35F8C" w:rsidRPr="00007FF4">
        <w:rPr>
          <w:bCs/>
        </w:rPr>
        <w:t xml:space="preserve">sterility </w:t>
      </w:r>
      <w:r w:rsidR="00146F70" w:rsidRPr="00007FF4">
        <w:rPr>
          <w:bCs/>
        </w:rPr>
        <w:t>testing as t</w:t>
      </w:r>
      <w:r w:rsidR="00C35F8C" w:rsidRPr="00007FF4">
        <w:rPr>
          <w:bCs/>
        </w:rPr>
        <w:t xml:space="preserve">he filtration train with 2.0 &amp; 0.45 micron filter was not found sufficient </w:t>
      </w:r>
      <w:r w:rsidR="00E84FDE" w:rsidRPr="00007FF4">
        <w:rPr>
          <w:bCs/>
        </w:rPr>
        <w:t xml:space="preserve">necessitating usage of </w:t>
      </w:r>
      <w:r w:rsidR="00CE64B2" w:rsidRPr="00007FF4">
        <w:rPr>
          <w:bCs/>
        </w:rPr>
        <w:t>a series of filters</w:t>
      </w:r>
      <w:r w:rsidR="00C35F8C" w:rsidRPr="00007FF4">
        <w:rPr>
          <w:bCs/>
        </w:rPr>
        <w:t>.</w:t>
      </w:r>
      <w:r w:rsidR="008665DB" w:rsidRPr="00007FF4">
        <w:rPr>
          <w:bCs/>
        </w:rPr>
        <w:t xml:space="preserve"> </w:t>
      </w:r>
      <w:r w:rsidR="00610747" w:rsidRPr="00007FF4">
        <w:rPr>
          <w:bCs/>
        </w:rPr>
        <w:t>The microbiological studies</w:t>
      </w:r>
      <w:r w:rsidR="0052382A" w:rsidRPr="00007FF4">
        <w:rPr>
          <w:bCs/>
        </w:rPr>
        <w:t xml:space="preserve"> for sterility and endotoxin loads</w:t>
      </w:r>
      <w:r w:rsidR="00610747" w:rsidRPr="00007FF4">
        <w:rPr>
          <w:bCs/>
        </w:rPr>
        <w:t xml:space="preserve"> confirmed that</w:t>
      </w:r>
      <w:r w:rsidR="0052382A" w:rsidRPr="00007FF4">
        <w:rPr>
          <w:bCs/>
        </w:rPr>
        <w:t>,</w:t>
      </w:r>
      <w:r w:rsidR="00610747" w:rsidRPr="00007FF4">
        <w:rPr>
          <w:bCs/>
        </w:rPr>
        <w:t xml:space="preserve"> the product remain</w:t>
      </w:r>
      <w:r w:rsidR="0052382A" w:rsidRPr="00007FF4">
        <w:rPr>
          <w:bCs/>
        </w:rPr>
        <w:t>s</w:t>
      </w:r>
      <w:r w:rsidR="00610747" w:rsidRPr="00007FF4">
        <w:rPr>
          <w:bCs/>
        </w:rPr>
        <w:t xml:space="preserve"> intact </w:t>
      </w:r>
      <w:r w:rsidR="0052382A" w:rsidRPr="00007FF4">
        <w:rPr>
          <w:bCs/>
        </w:rPr>
        <w:t xml:space="preserve">as of its initial potency. </w:t>
      </w:r>
    </w:p>
    <w:p w:rsidR="0052382A" w:rsidRPr="00007FF4" w:rsidRDefault="004C678B" w:rsidP="009871EB">
      <w:pPr>
        <w:spacing w:line="360" w:lineRule="auto"/>
        <w:ind w:right="-180"/>
        <w:rPr>
          <w:bCs/>
        </w:rPr>
      </w:pPr>
      <w:r w:rsidRPr="00007FF4">
        <w:t xml:space="preserve">The sample meets the requirements of the test if the observation of the test is negative when tested at a dilution not exceeding </w:t>
      </w:r>
      <w:r w:rsidR="00E84FDE" w:rsidRPr="00007FF4">
        <w:t>Maximum Valid Dilution (</w:t>
      </w:r>
      <w:r w:rsidRPr="00007FF4">
        <w:t>MVD</w:t>
      </w:r>
      <w:r w:rsidR="00E84FDE" w:rsidRPr="00007FF4">
        <w:t>)</w:t>
      </w:r>
      <w:r w:rsidRPr="00007FF4">
        <w:t xml:space="preserve">. No microbial growth was observed in the test sample after 14 days of preparation. </w:t>
      </w:r>
      <w:r w:rsidRPr="00007FF4">
        <w:rPr>
          <w:bCs/>
        </w:rPr>
        <w:t>BET levels were found acceptable in the product i.e., less than the fixed limits of 0.5 EU/mg</w:t>
      </w:r>
      <w:r w:rsidR="00E27958" w:rsidRPr="00007FF4">
        <w:rPr>
          <w:bCs/>
        </w:rPr>
        <w:t xml:space="preserve"> (Table </w:t>
      </w:r>
      <w:r w:rsidR="00010977" w:rsidRPr="00007FF4">
        <w:rPr>
          <w:bCs/>
        </w:rPr>
        <w:t>2</w:t>
      </w:r>
      <w:r w:rsidR="00CE226E" w:rsidRPr="00007FF4">
        <w:rPr>
          <w:bCs/>
        </w:rPr>
        <w:t xml:space="preserve"> and Table</w:t>
      </w:r>
      <w:r w:rsidR="00010977" w:rsidRPr="00007FF4">
        <w:rPr>
          <w:bCs/>
        </w:rPr>
        <w:t xml:space="preserve"> 3</w:t>
      </w:r>
      <w:r w:rsidR="00AF4188" w:rsidRPr="00007FF4">
        <w:rPr>
          <w:bCs/>
        </w:rPr>
        <w:t>)</w:t>
      </w:r>
      <w:r w:rsidRPr="00007FF4">
        <w:rPr>
          <w:bCs/>
        </w:rPr>
        <w:t>.</w:t>
      </w:r>
      <w:r w:rsidR="0093175F" w:rsidRPr="00007FF4">
        <w:rPr>
          <w:bCs/>
        </w:rPr>
        <w:t xml:space="preserve"> </w:t>
      </w:r>
      <w:r w:rsidR="008B642D" w:rsidRPr="00007FF4">
        <w:rPr>
          <w:bCs/>
        </w:rPr>
        <w:t xml:space="preserve">The </w:t>
      </w:r>
      <w:r w:rsidR="0077172B" w:rsidRPr="00007FF4">
        <w:rPr>
          <w:bCs/>
        </w:rPr>
        <w:t>addition of the preservative</w:t>
      </w:r>
      <w:r w:rsidR="00D3575C" w:rsidRPr="00007FF4">
        <w:rPr>
          <w:bCs/>
        </w:rPr>
        <w:t xml:space="preserve"> and the method of separate filtration pr</w:t>
      </w:r>
      <w:r w:rsidR="00977061" w:rsidRPr="00007FF4">
        <w:rPr>
          <w:bCs/>
        </w:rPr>
        <w:t>ocess of the different phases were</w:t>
      </w:r>
      <w:r w:rsidR="00D3575C" w:rsidRPr="00007FF4">
        <w:rPr>
          <w:bCs/>
        </w:rPr>
        <w:t xml:space="preserve"> able to reduce the </w:t>
      </w:r>
      <w:r w:rsidR="00456F41" w:rsidRPr="00007FF4">
        <w:rPr>
          <w:bCs/>
        </w:rPr>
        <w:t>microbial load of s</w:t>
      </w:r>
      <w:r w:rsidR="008B642D" w:rsidRPr="00007FF4">
        <w:rPr>
          <w:bCs/>
        </w:rPr>
        <w:t xml:space="preserve">oyabean oil </w:t>
      </w:r>
      <w:r w:rsidR="00D3575C" w:rsidRPr="00007FF4">
        <w:rPr>
          <w:bCs/>
        </w:rPr>
        <w:t>(</w:t>
      </w:r>
      <w:r w:rsidR="008B642D" w:rsidRPr="00007FF4">
        <w:rPr>
          <w:bCs/>
        </w:rPr>
        <w:t>12 CFU/gm</w:t>
      </w:r>
      <w:r w:rsidR="00D3575C" w:rsidRPr="00007FF4">
        <w:rPr>
          <w:bCs/>
        </w:rPr>
        <w:t>)</w:t>
      </w:r>
      <w:r w:rsidR="0077172B" w:rsidRPr="00007FF4">
        <w:rPr>
          <w:bCs/>
        </w:rPr>
        <w:t xml:space="preserve"> and e</w:t>
      </w:r>
      <w:r w:rsidR="008B642D" w:rsidRPr="00007FF4">
        <w:rPr>
          <w:bCs/>
        </w:rPr>
        <w:t xml:space="preserve">gg lecithin </w:t>
      </w:r>
      <w:r w:rsidR="00D3575C" w:rsidRPr="00007FF4">
        <w:rPr>
          <w:bCs/>
        </w:rPr>
        <w:t>(</w:t>
      </w:r>
      <w:r w:rsidR="008B642D" w:rsidRPr="00007FF4">
        <w:rPr>
          <w:bCs/>
        </w:rPr>
        <w:t>40 CFU/gm</w:t>
      </w:r>
      <w:r w:rsidR="00D3575C" w:rsidRPr="00007FF4">
        <w:rPr>
          <w:bCs/>
        </w:rPr>
        <w:t>)</w:t>
      </w:r>
      <w:r w:rsidR="008B642D" w:rsidRPr="00007FF4">
        <w:rPr>
          <w:bCs/>
        </w:rPr>
        <w:t xml:space="preserve">. This </w:t>
      </w:r>
      <w:r w:rsidR="00D3575C" w:rsidRPr="00007FF4">
        <w:rPr>
          <w:bCs/>
        </w:rPr>
        <w:t xml:space="preserve">enabled the product </w:t>
      </w:r>
      <w:r w:rsidR="0052382A" w:rsidRPr="00007FF4">
        <w:rPr>
          <w:bCs/>
        </w:rPr>
        <w:t>to resist multiple piercing for up to 48 hours. This confirms the content integrity of the product for multiple dosing for over a period of 48 hours in a controlled environment.</w:t>
      </w:r>
    </w:p>
    <w:p w:rsidR="005156A1" w:rsidRDefault="005156A1"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654A8D" w:rsidRPr="00007FF4" w:rsidRDefault="00654A8D" w:rsidP="009871EB">
      <w:pPr>
        <w:spacing w:line="360" w:lineRule="auto"/>
        <w:rPr>
          <w:b/>
        </w:rPr>
      </w:pPr>
      <w:r w:rsidRPr="00007FF4">
        <w:rPr>
          <w:b/>
        </w:rPr>
        <w:t>T</w:t>
      </w:r>
      <w:r w:rsidR="002252DA" w:rsidRPr="00007FF4">
        <w:rPr>
          <w:b/>
        </w:rPr>
        <w:t>able</w:t>
      </w:r>
      <w:r w:rsidRPr="00007FF4">
        <w:rPr>
          <w:b/>
        </w:rPr>
        <w:t xml:space="preserve"> </w:t>
      </w:r>
      <w:r w:rsidR="00010977" w:rsidRPr="00007FF4">
        <w:rPr>
          <w:b/>
        </w:rPr>
        <w:t>3</w:t>
      </w:r>
      <w:r w:rsidR="002252DA">
        <w:rPr>
          <w:b/>
        </w:rPr>
        <w:t xml:space="preserve">: </w:t>
      </w:r>
      <w:r w:rsidRPr="00007FF4">
        <w:rPr>
          <w:b/>
        </w:rPr>
        <w:t>Bacterial endotoxin testing after multiple piercing of the same vial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08"/>
        <w:gridCol w:w="1311"/>
        <w:gridCol w:w="1311"/>
        <w:gridCol w:w="1487"/>
        <w:gridCol w:w="1570"/>
        <w:gridCol w:w="1170"/>
        <w:gridCol w:w="987"/>
      </w:tblGrid>
      <w:tr w:rsidR="00707966" w:rsidRPr="00B53730" w:rsidTr="008F73E7">
        <w:trPr>
          <w:jc w:val="center"/>
        </w:trPr>
        <w:tc>
          <w:tcPr>
            <w:tcW w:w="1548" w:type="dxa"/>
            <w:vMerge w:val="restart"/>
          </w:tcPr>
          <w:p w:rsidR="00707966" w:rsidRPr="00B53730" w:rsidRDefault="00707966" w:rsidP="008F73E7">
            <w:pPr>
              <w:spacing w:line="240" w:lineRule="auto"/>
            </w:pPr>
            <w:r w:rsidRPr="00B53730">
              <w:t xml:space="preserve">Time point of piercing the  vial (h) </w:t>
            </w:r>
          </w:p>
        </w:tc>
        <w:tc>
          <w:tcPr>
            <w:tcW w:w="5850" w:type="dxa"/>
            <w:gridSpan w:val="4"/>
          </w:tcPr>
          <w:p w:rsidR="00707966" w:rsidRPr="00B53730" w:rsidRDefault="00707966" w:rsidP="008F73E7">
            <w:pPr>
              <w:spacing w:line="240" w:lineRule="auto"/>
              <w:jc w:val="center"/>
            </w:pPr>
            <w:r w:rsidRPr="00B53730">
              <w:t>Endotoxin dilution (EU/mL)</w:t>
            </w:r>
          </w:p>
        </w:tc>
        <w:tc>
          <w:tcPr>
            <w:tcW w:w="1170" w:type="dxa"/>
            <w:vMerge w:val="restart"/>
          </w:tcPr>
          <w:p w:rsidR="00707966" w:rsidRPr="00B53730" w:rsidRDefault="00707966" w:rsidP="008F73E7">
            <w:pPr>
              <w:spacing w:line="240" w:lineRule="auto"/>
            </w:pPr>
            <w:r w:rsidRPr="00B53730">
              <w:t xml:space="preserve">LRW </w:t>
            </w:r>
          </w:p>
          <w:p w:rsidR="00707966" w:rsidRPr="00B53730" w:rsidRDefault="00707966" w:rsidP="008F73E7">
            <w:pPr>
              <w:spacing w:line="240" w:lineRule="auto"/>
            </w:pPr>
            <w:r>
              <w:t>(</w:t>
            </w:r>
            <w:r w:rsidRPr="00B53730">
              <w:t>Negative</w:t>
            </w:r>
          </w:p>
          <w:p w:rsidR="00707966" w:rsidRPr="00B53730" w:rsidRDefault="00707966" w:rsidP="008F73E7">
            <w:pPr>
              <w:spacing w:line="240" w:lineRule="auto"/>
            </w:pPr>
            <w:r>
              <w:t>Control)</w:t>
            </w:r>
            <w:r w:rsidRPr="00B53730">
              <w:t xml:space="preserve"> </w:t>
            </w:r>
          </w:p>
        </w:tc>
        <w:tc>
          <w:tcPr>
            <w:tcW w:w="1008" w:type="dxa"/>
            <w:vMerge w:val="restart"/>
          </w:tcPr>
          <w:p w:rsidR="00707966" w:rsidRPr="00B53730" w:rsidRDefault="00707966" w:rsidP="008F73E7">
            <w:pPr>
              <w:spacing w:line="240" w:lineRule="auto"/>
            </w:pPr>
            <w:r w:rsidRPr="00B53730">
              <w:t>End point</w:t>
            </w:r>
          </w:p>
        </w:tc>
      </w:tr>
      <w:tr w:rsidR="00707966" w:rsidRPr="00B53730" w:rsidTr="008F73E7">
        <w:trPr>
          <w:trHeight w:val="579"/>
          <w:jc w:val="center"/>
        </w:trPr>
        <w:tc>
          <w:tcPr>
            <w:tcW w:w="1548" w:type="dxa"/>
            <w:vMerge/>
            <w:tcBorders>
              <w:bottom w:val="nil"/>
            </w:tcBorders>
          </w:tcPr>
          <w:p w:rsidR="00707966" w:rsidRPr="00B53730" w:rsidRDefault="00707966" w:rsidP="008F73E7">
            <w:pPr>
              <w:spacing w:line="240" w:lineRule="auto"/>
            </w:pPr>
          </w:p>
        </w:tc>
        <w:tc>
          <w:tcPr>
            <w:tcW w:w="1350" w:type="dxa"/>
          </w:tcPr>
          <w:p w:rsidR="00707966" w:rsidRPr="00B53730" w:rsidRDefault="00707966" w:rsidP="008F73E7">
            <w:pPr>
              <w:spacing w:line="240" w:lineRule="auto"/>
            </w:pPr>
            <w:r w:rsidRPr="00B53730">
              <w:t xml:space="preserve">2.0 </w:t>
            </w:r>
            <w:r w:rsidRPr="00B53730">
              <w:sym w:font="Symbol" w:char="F06C"/>
            </w:r>
            <w:r w:rsidRPr="00B53730">
              <w:t xml:space="preserve"> (0.06)</w:t>
            </w:r>
          </w:p>
        </w:tc>
        <w:tc>
          <w:tcPr>
            <w:tcW w:w="1350" w:type="dxa"/>
          </w:tcPr>
          <w:p w:rsidR="00707966" w:rsidRPr="00B53730" w:rsidRDefault="00707966" w:rsidP="008F73E7">
            <w:pPr>
              <w:spacing w:line="240" w:lineRule="auto"/>
            </w:pPr>
            <w:r w:rsidRPr="00B53730">
              <w:t>1.0</w:t>
            </w:r>
            <w:r w:rsidRPr="00B53730">
              <w:sym w:font="Symbol" w:char="F06C"/>
            </w:r>
            <w:r w:rsidRPr="00B53730">
              <w:t xml:space="preserve">  (0.03)</w:t>
            </w:r>
          </w:p>
        </w:tc>
        <w:tc>
          <w:tcPr>
            <w:tcW w:w="1530" w:type="dxa"/>
          </w:tcPr>
          <w:p w:rsidR="00707966" w:rsidRPr="00B53730" w:rsidRDefault="00707966" w:rsidP="008F73E7">
            <w:pPr>
              <w:spacing w:line="240" w:lineRule="auto"/>
            </w:pPr>
            <w:r w:rsidRPr="00B53730">
              <w:t xml:space="preserve">0.5 </w:t>
            </w:r>
            <w:r w:rsidRPr="00B53730">
              <w:sym w:font="Symbol" w:char="F06C"/>
            </w:r>
            <w:r w:rsidRPr="00B53730">
              <w:t xml:space="preserve"> (0.015)</w:t>
            </w:r>
          </w:p>
        </w:tc>
        <w:tc>
          <w:tcPr>
            <w:tcW w:w="1620" w:type="dxa"/>
          </w:tcPr>
          <w:p w:rsidR="00707966" w:rsidRPr="00B53730" w:rsidRDefault="00707966" w:rsidP="008F73E7">
            <w:pPr>
              <w:spacing w:line="240" w:lineRule="auto"/>
            </w:pPr>
            <w:r w:rsidRPr="00B53730">
              <w:t xml:space="preserve">0.25 </w:t>
            </w:r>
            <w:r w:rsidRPr="00B53730">
              <w:sym w:font="Symbol" w:char="F06C"/>
            </w:r>
            <w:r w:rsidRPr="00B53730">
              <w:t xml:space="preserve"> (0.007)</w:t>
            </w:r>
          </w:p>
        </w:tc>
        <w:tc>
          <w:tcPr>
            <w:tcW w:w="1170" w:type="dxa"/>
            <w:vMerge/>
            <w:tcBorders>
              <w:bottom w:val="nil"/>
            </w:tcBorders>
          </w:tcPr>
          <w:p w:rsidR="00707966" w:rsidRPr="00B53730" w:rsidRDefault="00707966" w:rsidP="008F73E7">
            <w:pPr>
              <w:spacing w:line="240" w:lineRule="auto"/>
            </w:pPr>
          </w:p>
        </w:tc>
        <w:tc>
          <w:tcPr>
            <w:tcW w:w="1008" w:type="dxa"/>
            <w:vMerge/>
            <w:tcBorders>
              <w:bottom w:val="nil"/>
            </w:tcBorders>
          </w:tcPr>
          <w:p w:rsidR="00707966" w:rsidRPr="00B53730" w:rsidRDefault="00707966" w:rsidP="008F73E7">
            <w:pPr>
              <w:spacing w:line="240" w:lineRule="auto"/>
            </w:pPr>
          </w:p>
        </w:tc>
      </w:tr>
      <w:tr w:rsidR="00707966" w:rsidRPr="00B53730" w:rsidTr="008F73E7">
        <w:trPr>
          <w:jc w:val="center"/>
        </w:trPr>
        <w:tc>
          <w:tcPr>
            <w:tcW w:w="1548" w:type="dxa"/>
            <w:tcBorders>
              <w:bottom w:val="nil"/>
            </w:tcBorders>
            <w:vAlign w:val="center"/>
          </w:tcPr>
          <w:p w:rsidR="00707966" w:rsidRPr="00B53730" w:rsidRDefault="00707966" w:rsidP="008F73E7">
            <w:pPr>
              <w:spacing w:line="240" w:lineRule="auto"/>
              <w:jc w:val="center"/>
            </w:pPr>
            <w:r w:rsidRPr="00B53730">
              <w:sym w:font="Symbol" w:char="F030"/>
            </w:r>
          </w:p>
        </w:tc>
        <w:tc>
          <w:tcPr>
            <w:tcW w:w="1350" w:type="dxa"/>
            <w:vAlign w:val="center"/>
          </w:tcPr>
          <w:p w:rsidR="00707966" w:rsidRPr="00B53730" w:rsidRDefault="00707966" w:rsidP="008F73E7">
            <w:pPr>
              <w:spacing w:line="240" w:lineRule="auto"/>
              <w:jc w:val="center"/>
            </w:pPr>
            <w:r w:rsidRPr="00B53730">
              <w:t>+</w:t>
            </w:r>
          </w:p>
        </w:tc>
        <w:tc>
          <w:tcPr>
            <w:tcW w:w="1350" w:type="dxa"/>
            <w:vAlign w:val="center"/>
          </w:tcPr>
          <w:p w:rsidR="00707966" w:rsidRPr="00B53730" w:rsidRDefault="00707966" w:rsidP="008F73E7">
            <w:pPr>
              <w:spacing w:line="240" w:lineRule="auto"/>
              <w:jc w:val="center"/>
            </w:pPr>
            <w:r w:rsidRPr="00B53730">
              <w:t>+</w:t>
            </w:r>
          </w:p>
        </w:tc>
        <w:tc>
          <w:tcPr>
            <w:tcW w:w="1530" w:type="dxa"/>
            <w:vAlign w:val="center"/>
          </w:tcPr>
          <w:p w:rsidR="00707966" w:rsidRPr="00B53730" w:rsidRDefault="00707966" w:rsidP="008F73E7">
            <w:pPr>
              <w:spacing w:line="240" w:lineRule="auto"/>
              <w:jc w:val="center"/>
            </w:pPr>
            <w:r w:rsidRPr="00B53730">
              <w:t>-</w:t>
            </w:r>
          </w:p>
        </w:tc>
        <w:tc>
          <w:tcPr>
            <w:tcW w:w="1620" w:type="dxa"/>
            <w:vAlign w:val="center"/>
          </w:tcPr>
          <w:p w:rsidR="00707966" w:rsidRPr="00B53730" w:rsidRDefault="00707966" w:rsidP="008F73E7">
            <w:pPr>
              <w:spacing w:line="240" w:lineRule="auto"/>
              <w:jc w:val="center"/>
            </w:pPr>
            <w:r w:rsidRPr="00B53730">
              <w:t>-</w:t>
            </w:r>
          </w:p>
        </w:tc>
        <w:tc>
          <w:tcPr>
            <w:tcW w:w="1170" w:type="dxa"/>
            <w:tcBorders>
              <w:bottom w:val="nil"/>
            </w:tcBorders>
            <w:vAlign w:val="center"/>
          </w:tcPr>
          <w:p w:rsidR="00707966" w:rsidRPr="00B53730" w:rsidRDefault="00707966" w:rsidP="008F73E7">
            <w:pPr>
              <w:spacing w:line="240" w:lineRule="auto"/>
              <w:jc w:val="center"/>
            </w:pPr>
            <w:r w:rsidRPr="00B53730">
              <w:t>-</w:t>
            </w:r>
          </w:p>
        </w:tc>
        <w:tc>
          <w:tcPr>
            <w:tcW w:w="1008" w:type="dxa"/>
            <w:tcBorders>
              <w:bottom w:val="nil"/>
            </w:tcBorders>
            <w:vAlign w:val="center"/>
          </w:tcPr>
          <w:p w:rsidR="00707966" w:rsidRPr="00B53730" w:rsidRDefault="00707966" w:rsidP="008F73E7">
            <w:pPr>
              <w:spacing w:line="240" w:lineRule="auto"/>
              <w:jc w:val="center"/>
            </w:pPr>
            <w:r w:rsidRPr="00B53730">
              <w:t>0.12</w:t>
            </w:r>
          </w:p>
        </w:tc>
      </w:tr>
      <w:tr w:rsidR="00707966" w:rsidRPr="00B53730" w:rsidTr="008F73E7">
        <w:trPr>
          <w:jc w:val="center"/>
        </w:trPr>
        <w:tc>
          <w:tcPr>
            <w:tcW w:w="1548" w:type="dxa"/>
            <w:tcBorders>
              <w:top w:val="single" w:sz="6" w:space="0" w:color="auto"/>
              <w:bottom w:val="single" w:sz="6" w:space="0" w:color="auto"/>
            </w:tcBorders>
            <w:vAlign w:val="center"/>
          </w:tcPr>
          <w:p w:rsidR="00707966" w:rsidRPr="00B53730" w:rsidRDefault="00707966" w:rsidP="008F73E7">
            <w:pPr>
              <w:spacing w:line="240" w:lineRule="auto"/>
              <w:jc w:val="center"/>
            </w:pPr>
            <w:r w:rsidRPr="00B53730">
              <w:t>8</w:t>
            </w:r>
          </w:p>
        </w:tc>
        <w:tc>
          <w:tcPr>
            <w:tcW w:w="1350" w:type="dxa"/>
            <w:vAlign w:val="center"/>
          </w:tcPr>
          <w:p w:rsidR="00707966" w:rsidRPr="00B53730" w:rsidRDefault="00707966" w:rsidP="008F73E7">
            <w:pPr>
              <w:spacing w:line="240" w:lineRule="auto"/>
              <w:jc w:val="center"/>
            </w:pPr>
            <w:r w:rsidRPr="00B53730">
              <w:t>+</w:t>
            </w:r>
          </w:p>
        </w:tc>
        <w:tc>
          <w:tcPr>
            <w:tcW w:w="1350" w:type="dxa"/>
            <w:vAlign w:val="center"/>
          </w:tcPr>
          <w:p w:rsidR="00707966" w:rsidRPr="00B53730" w:rsidRDefault="00707966" w:rsidP="008F73E7">
            <w:pPr>
              <w:spacing w:line="240" w:lineRule="auto"/>
              <w:jc w:val="center"/>
            </w:pPr>
            <w:r w:rsidRPr="00B53730">
              <w:t>+</w:t>
            </w:r>
          </w:p>
        </w:tc>
        <w:tc>
          <w:tcPr>
            <w:tcW w:w="1530" w:type="dxa"/>
            <w:vAlign w:val="center"/>
          </w:tcPr>
          <w:p w:rsidR="00707966" w:rsidRPr="00B53730" w:rsidRDefault="00707966" w:rsidP="008F73E7">
            <w:pPr>
              <w:spacing w:line="240" w:lineRule="auto"/>
              <w:jc w:val="center"/>
            </w:pPr>
            <w:r w:rsidRPr="00B53730">
              <w:t>-</w:t>
            </w:r>
          </w:p>
        </w:tc>
        <w:tc>
          <w:tcPr>
            <w:tcW w:w="1620" w:type="dxa"/>
            <w:vAlign w:val="center"/>
          </w:tcPr>
          <w:p w:rsidR="00707966" w:rsidRPr="00B53730" w:rsidRDefault="00707966" w:rsidP="008F73E7">
            <w:pPr>
              <w:spacing w:line="240" w:lineRule="auto"/>
              <w:jc w:val="center"/>
            </w:pPr>
            <w:r w:rsidRPr="00B53730">
              <w:t>-</w:t>
            </w:r>
          </w:p>
        </w:tc>
        <w:tc>
          <w:tcPr>
            <w:tcW w:w="1170" w:type="dxa"/>
            <w:tcBorders>
              <w:top w:val="single" w:sz="6" w:space="0" w:color="auto"/>
              <w:bottom w:val="single" w:sz="6" w:space="0" w:color="auto"/>
            </w:tcBorders>
            <w:vAlign w:val="center"/>
          </w:tcPr>
          <w:p w:rsidR="00707966" w:rsidRPr="00B53730" w:rsidRDefault="00707966" w:rsidP="008F73E7">
            <w:pPr>
              <w:spacing w:line="240" w:lineRule="auto"/>
              <w:jc w:val="center"/>
            </w:pPr>
            <w:r w:rsidRPr="00B53730">
              <w:t>-</w:t>
            </w:r>
          </w:p>
        </w:tc>
        <w:tc>
          <w:tcPr>
            <w:tcW w:w="1008" w:type="dxa"/>
            <w:tcBorders>
              <w:top w:val="single" w:sz="6" w:space="0" w:color="auto"/>
              <w:bottom w:val="single" w:sz="6" w:space="0" w:color="auto"/>
            </w:tcBorders>
            <w:vAlign w:val="center"/>
          </w:tcPr>
          <w:p w:rsidR="00707966" w:rsidRPr="00B53730" w:rsidRDefault="00707966" w:rsidP="008F73E7">
            <w:pPr>
              <w:spacing w:line="240" w:lineRule="auto"/>
              <w:jc w:val="center"/>
            </w:pPr>
            <w:r w:rsidRPr="00B53730">
              <w:t>0.12</w:t>
            </w:r>
          </w:p>
        </w:tc>
      </w:tr>
      <w:tr w:rsidR="00707966" w:rsidRPr="00B53730" w:rsidTr="008F73E7">
        <w:trPr>
          <w:jc w:val="center"/>
        </w:trPr>
        <w:tc>
          <w:tcPr>
            <w:tcW w:w="1548" w:type="dxa"/>
            <w:tcBorders>
              <w:top w:val="single" w:sz="6" w:space="0" w:color="auto"/>
              <w:bottom w:val="single" w:sz="6" w:space="0" w:color="auto"/>
            </w:tcBorders>
            <w:vAlign w:val="center"/>
          </w:tcPr>
          <w:p w:rsidR="00707966" w:rsidRPr="00B53730" w:rsidRDefault="00707966" w:rsidP="008F73E7">
            <w:pPr>
              <w:spacing w:line="240" w:lineRule="auto"/>
              <w:jc w:val="center"/>
            </w:pPr>
            <w:r w:rsidRPr="00B53730">
              <w:t>24</w:t>
            </w:r>
          </w:p>
        </w:tc>
        <w:tc>
          <w:tcPr>
            <w:tcW w:w="1350" w:type="dxa"/>
            <w:vAlign w:val="center"/>
          </w:tcPr>
          <w:p w:rsidR="00707966" w:rsidRPr="00B53730" w:rsidRDefault="00707966" w:rsidP="008F73E7">
            <w:pPr>
              <w:spacing w:line="240" w:lineRule="auto"/>
              <w:jc w:val="center"/>
            </w:pPr>
            <w:r w:rsidRPr="00B53730">
              <w:t>+</w:t>
            </w:r>
          </w:p>
        </w:tc>
        <w:tc>
          <w:tcPr>
            <w:tcW w:w="1350" w:type="dxa"/>
            <w:vAlign w:val="center"/>
          </w:tcPr>
          <w:p w:rsidR="00707966" w:rsidRPr="00B53730" w:rsidRDefault="00707966" w:rsidP="008F73E7">
            <w:pPr>
              <w:spacing w:line="240" w:lineRule="auto"/>
              <w:jc w:val="center"/>
            </w:pPr>
            <w:r w:rsidRPr="00B53730">
              <w:t>+</w:t>
            </w:r>
          </w:p>
        </w:tc>
        <w:tc>
          <w:tcPr>
            <w:tcW w:w="1530" w:type="dxa"/>
            <w:vAlign w:val="center"/>
          </w:tcPr>
          <w:p w:rsidR="00707966" w:rsidRPr="00B53730" w:rsidRDefault="00707966" w:rsidP="008F73E7">
            <w:pPr>
              <w:spacing w:line="240" w:lineRule="auto"/>
              <w:jc w:val="center"/>
            </w:pPr>
            <w:r w:rsidRPr="00B53730">
              <w:t>+</w:t>
            </w:r>
          </w:p>
        </w:tc>
        <w:tc>
          <w:tcPr>
            <w:tcW w:w="1620" w:type="dxa"/>
            <w:vAlign w:val="center"/>
          </w:tcPr>
          <w:p w:rsidR="00707966" w:rsidRPr="00B53730" w:rsidRDefault="00707966" w:rsidP="008F73E7">
            <w:pPr>
              <w:spacing w:line="240" w:lineRule="auto"/>
              <w:jc w:val="center"/>
            </w:pPr>
            <w:r w:rsidRPr="00B53730">
              <w:t>-</w:t>
            </w:r>
          </w:p>
        </w:tc>
        <w:tc>
          <w:tcPr>
            <w:tcW w:w="1170" w:type="dxa"/>
            <w:tcBorders>
              <w:top w:val="single" w:sz="6" w:space="0" w:color="auto"/>
              <w:bottom w:val="single" w:sz="6" w:space="0" w:color="auto"/>
            </w:tcBorders>
            <w:vAlign w:val="center"/>
          </w:tcPr>
          <w:p w:rsidR="00707966" w:rsidRPr="00B53730" w:rsidRDefault="00707966" w:rsidP="008F73E7">
            <w:pPr>
              <w:spacing w:line="240" w:lineRule="auto"/>
              <w:jc w:val="center"/>
            </w:pPr>
            <w:r w:rsidRPr="00B53730">
              <w:t>-</w:t>
            </w:r>
          </w:p>
        </w:tc>
        <w:tc>
          <w:tcPr>
            <w:tcW w:w="1008" w:type="dxa"/>
            <w:tcBorders>
              <w:top w:val="single" w:sz="6" w:space="0" w:color="auto"/>
              <w:bottom w:val="single" w:sz="6" w:space="0" w:color="auto"/>
            </w:tcBorders>
            <w:vAlign w:val="center"/>
          </w:tcPr>
          <w:p w:rsidR="00707966" w:rsidRPr="00B53730" w:rsidRDefault="00707966" w:rsidP="008F73E7">
            <w:pPr>
              <w:spacing w:line="240" w:lineRule="auto"/>
              <w:jc w:val="center"/>
            </w:pPr>
            <w:r w:rsidRPr="00B53730">
              <w:t>0.06</w:t>
            </w:r>
          </w:p>
        </w:tc>
      </w:tr>
      <w:tr w:rsidR="00707966" w:rsidRPr="00B53730" w:rsidTr="008F73E7">
        <w:trPr>
          <w:jc w:val="center"/>
        </w:trPr>
        <w:tc>
          <w:tcPr>
            <w:tcW w:w="1548" w:type="dxa"/>
            <w:tcBorders>
              <w:top w:val="single" w:sz="6" w:space="0" w:color="auto"/>
              <w:bottom w:val="single" w:sz="6" w:space="0" w:color="auto"/>
            </w:tcBorders>
            <w:vAlign w:val="center"/>
          </w:tcPr>
          <w:p w:rsidR="00707966" w:rsidRPr="00B53730" w:rsidRDefault="00707966" w:rsidP="008F73E7">
            <w:pPr>
              <w:spacing w:line="240" w:lineRule="auto"/>
              <w:jc w:val="center"/>
            </w:pPr>
            <w:r w:rsidRPr="00B53730">
              <w:t>32</w:t>
            </w:r>
          </w:p>
        </w:tc>
        <w:tc>
          <w:tcPr>
            <w:tcW w:w="1350" w:type="dxa"/>
            <w:vAlign w:val="center"/>
          </w:tcPr>
          <w:p w:rsidR="00707966" w:rsidRPr="00B53730" w:rsidRDefault="00707966" w:rsidP="008F73E7">
            <w:pPr>
              <w:spacing w:line="240" w:lineRule="auto"/>
              <w:jc w:val="center"/>
            </w:pPr>
            <w:r w:rsidRPr="00B53730">
              <w:t>+</w:t>
            </w:r>
          </w:p>
        </w:tc>
        <w:tc>
          <w:tcPr>
            <w:tcW w:w="1350" w:type="dxa"/>
            <w:vAlign w:val="center"/>
          </w:tcPr>
          <w:p w:rsidR="00707966" w:rsidRPr="00B53730" w:rsidRDefault="00707966" w:rsidP="008F73E7">
            <w:pPr>
              <w:spacing w:line="240" w:lineRule="auto"/>
              <w:jc w:val="center"/>
            </w:pPr>
            <w:r w:rsidRPr="00B53730">
              <w:t>+</w:t>
            </w:r>
          </w:p>
        </w:tc>
        <w:tc>
          <w:tcPr>
            <w:tcW w:w="1530" w:type="dxa"/>
            <w:vAlign w:val="center"/>
          </w:tcPr>
          <w:p w:rsidR="00707966" w:rsidRPr="00B53730" w:rsidRDefault="00707966" w:rsidP="008F73E7">
            <w:pPr>
              <w:spacing w:line="240" w:lineRule="auto"/>
              <w:jc w:val="center"/>
            </w:pPr>
            <w:r w:rsidRPr="00B53730">
              <w:t>+</w:t>
            </w:r>
          </w:p>
        </w:tc>
        <w:tc>
          <w:tcPr>
            <w:tcW w:w="1620" w:type="dxa"/>
            <w:vAlign w:val="center"/>
          </w:tcPr>
          <w:p w:rsidR="00707966" w:rsidRPr="00B53730" w:rsidRDefault="00707966" w:rsidP="008F73E7">
            <w:pPr>
              <w:spacing w:line="240" w:lineRule="auto"/>
              <w:jc w:val="center"/>
            </w:pPr>
            <w:r w:rsidRPr="00B53730">
              <w:t>-</w:t>
            </w:r>
          </w:p>
        </w:tc>
        <w:tc>
          <w:tcPr>
            <w:tcW w:w="1170" w:type="dxa"/>
            <w:tcBorders>
              <w:top w:val="single" w:sz="6" w:space="0" w:color="auto"/>
              <w:bottom w:val="single" w:sz="6" w:space="0" w:color="auto"/>
            </w:tcBorders>
            <w:vAlign w:val="center"/>
          </w:tcPr>
          <w:p w:rsidR="00707966" w:rsidRPr="00B53730" w:rsidRDefault="00707966" w:rsidP="008F73E7">
            <w:pPr>
              <w:spacing w:line="240" w:lineRule="auto"/>
              <w:jc w:val="center"/>
            </w:pPr>
            <w:r w:rsidRPr="00B53730">
              <w:t>-</w:t>
            </w:r>
          </w:p>
        </w:tc>
        <w:tc>
          <w:tcPr>
            <w:tcW w:w="1008" w:type="dxa"/>
            <w:tcBorders>
              <w:top w:val="single" w:sz="6" w:space="0" w:color="auto"/>
              <w:bottom w:val="single" w:sz="6" w:space="0" w:color="auto"/>
            </w:tcBorders>
            <w:vAlign w:val="center"/>
          </w:tcPr>
          <w:p w:rsidR="00707966" w:rsidRPr="00B53730" w:rsidRDefault="00707966" w:rsidP="008F73E7">
            <w:pPr>
              <w:spacing w:line="240" w:lineRule="auto"/>
              <w:jc w:val="center"/>
            </w:pPr>
            <w:r w:rsidRPr="00B53730">
              <w:t>0.06</w:t>
            </w:r>
          </w:p>
        </w:tc>
      </w:tr>
      <w:tr w:rsidR="00707966" w:rsidRPr="00B53730" w:rsidTr="008F73E7">
        <w:trPr>
          <w:jc w:val="center"/>
        </w:trPr>
        <w:tc>
          <w:tcPr>
            <w:tcW w:w="1548" w:type="dxa"/>
            <w:tcBorders>
              <w:top w:val="single" w:sz="6" w:space="0" w:color="auto"/>
            </w:tcBorders>
            <w:vAlign w:val="center"/>
          </w:tcPr>
          <w:p w:rsidR="00707966" w:rsidRPr="00B53730" w:rsidRDefault="00707966" w:rsidP="008F73E7">
            <w:pPr>
              <w:spacing w:line="240" w:lineRule="auto"/>
              <w:jc w:val="center"/>
            </w:pPr>
            <w:r w:rsidRPr="00B53730">
              <w:t>48</w:t>
            </w:r>
          </w:p>
        </w:tc>
        <w:tc>
          <w:tcPr>
            <w:tcW w:w="1350" w:type="dxa"/>
            <w:vAlign w:val="center"/>
          </w:tcPr>
          <w:p w:rsidR="00707966" w:rsidRPr="00B53730" w:rsidRDefault="00707966" w:rsidP="008F73E7">
            <w:pPr>
              <w:spacing w:line="240" w:lineRule="auto"/>
              <w:jc w:val="center"/>
            </w:pPr>
            <w:r w:rsidRPr="00B53730">
              <w:t>+</w:t>
            </w:r>
          </w:p>
        </w:tc>
        <w:tc>
          <w:tcPr>
            <w:tcW w:w="1350" w:type="dxa"/>
            <w:vAlign w:val="center"/>
          </w:tcPr>
          <w:p w:rsidR="00707966" w:rsidRPr="00B53730" w:rsidRDefault="00707966" w:rsidP="008F73E7">
            <w:pPr>
              <w:spacing w:line="240" w:lineRule="auto"/>
              <w:jc w:val="center"/>
            </w:pPr>
            <w:r w:rsidRPr="00B53730">
              <w:t>+</w:t>
            </w:r>
          </w:p>
        </w:tc>
        <w:tc>
          <w:tcPr>
            <w:tcW w:w="1530" w:type="dxa"/>
            <w:vAlign w:val="center"/>
          </w:tcPr>
          <w:p w:rsidR="00707966" w:rsidRPr="00B53730" w:rsidRDefault="00707966" w:rsidP="008F73E7">
            <w:pPr>
              <w:spacing w:line="240" w:lineRule="auto"/>
              <w:jc w:val="center"/>
            </w:pPr>
            <w:r w:rsidRPr="00B53730">
              <w:t>+</w:t>
            </w:r>
          </w:p>
        </w:tc>
        <w:tc>
          <w:tcPr>
            <w:tcW w:w="1620" w:type="dxa"/>
            <w:vAlign w:val="center"/>
          </w:tcPr>
          <w:p w:rsidR="00707966" w:rsidRPr="00B53730" w:rsidRDefault="00707966" w:rsidP="008F73E7">
            <w:pPr>
              <w:spacing w:line="240" w:lineRule="auto"/>
              <w:jc w:val="center"/>
            </w:pPr>
            <w:r w:rsidRPr="00B53730">
              <w:t>-</w:t>
            </w:r>
          </w:p>
        </w:tc>
        <w:tc>
          <w:tcPr>
            <w:tcW w:w="1170" w:type="dxa"/>
            <w:tcBorders>
              <w:top w:val="single" w:sz="6" w:space="0" w:color="auto"/>
              <w:bottom w:val="single" w:sz="6" w:space="0" w:color="auto"/>
            </w:tcBorders>
            <w:vAlign w:val="center"/>
          </w:tcPr>
          <w:p w:rsidR="00707966" w:rsidRPr="00B53730" w:rsidRDefault="00707966" w:rsidP="008F73E7">
            <w:pPr>
              <w:spacing w:line="240" w:lineRule="auto"/>
              <w:jc w:val="center"/>
            </w:pPr>
            <w:r w:rsidRPr="00B53730">
              <w:t>-</w:t>
            </w:r>
          </w:p>
        </w:tc>
        <w:tc>
          <w:tcPr>
            <w:tcW w:w="1008" w:type="dxa"/>
            <w:tcBorders>
              <w:top w:val="single" w:sz="6" w:space="0" w:color="auto"/>
            </w:tcBorders>
            <w:vAlign w:val="center"/>
          </w:tcPr>
          <w:p w:rsidR="00707966" w:rsidRPr="00B53730" w:rsidRDefault="00707966" w:rsidP="008F73E7">
            <w:pPr>
              <w:spacing w:line="240" w:lineRule="auto"/>
              <w:jc w:val="center"/>
            </w:pPr>
            <w:r w:rsidRPr="00B53730">
              <w:t>0.06</w:t>
            </w:r>
          </w:p>
        </w:tc>
      </w:tr>
    </w:tbl>
    <w:p w:rsidR="005156A1" w:rsidRDefault="005156A1" w:rsidP="00707966">
      <w:pPr>
        <w:spacing w:line="240" w:lineRule="auto"/>
      </w:pPr>
    </w:p>
    <w:p w:rsidR="00707966" w:rsidRPr="00B53730" w:rsidRDefault="00707966" w:rsidP="00707966">
      <w:pPr>
        <w:spacing w:line="240" w:lineRule="auto"/>
      </w:pPr>
      <w:r>
        <w:t>W</w:t>
      </w:r>
      <w:r w:rsidRPr="00B53730">
        <w:t>here</w:t>
      </w:r>
      <w:r>
        <w:t xml:space="preserve">, </w:t>
      </w:r>
      <w:r w:rsidRPr="00B53730">
        <w:sym w:font="Symbol" w:char="F06C"/>
      </w:r>
      <w:r w:rsidRPr="00B53730">
        <w:t xml:space="preserve"> = labelled sensitivity of LAL Reagent (EU per mL)</w:t>
      </w:r>
    </w:p>
    <w:p w:rsidR="00707966" w:rsidRPr="00B53730" w:rsidRDefault="00707966" w:rsidP="00707966">
      <w:r w:rsidRPr="00B53730">
        <w:t>LRW = LAL (Limulus Amoebocyte Lysate)</w:t>
      </w:r>
      <w:r>
        <w:t xml:space="preserve"> reagent water</w:t>
      </w:r>
    </w:p>
    <w:p w:rsidR="00707966" w:rsidRPr="00B53730" w:rsidRDefault="00707966" w:rsidP="00707966">
      <m:oMathPara>
        <m:oMathParaPr>
          <m:jc m:val="left"/>
        </m:oMathParaPr>
        <m:oMath>
          <m:r>
            <w:rPr>
              <w:rFonts w:ascii="Cambria Math" w:hAnsi="Cambria Math"/>
            </w:rPr>
            <m:t>MVD</m:t>
          </m:r>
          <m:r>
            <w:rPr>
              <w:rFonts w:ascii="Cambria Math"/>
            </w:rPr>
            <m:t>=</m:t>
          </m:r>
          <m:f>
            <m:fPr>
              <m:ctrlPr>
                <w:rPr>
                  <w:rFonts w:ascii="Cambria Math" w:hAnsi="Cambria Math"/>
                  <w:i/>
                </w:rPr>
              </m:ctrlPr>
            </m:fPr>
            <m:num>
              <m:r>
                <m:rPr>
                  <m:sty m:val="p"/>
                </m:rPr>
                <w:rPr>
                  <w:rFonts w:ascii="Cambria Math"/>
                </w:rPr>
                <m:t>Endotoxin limit</m:t>
              </m:r>
              <m:r>
                <w:rPr>
                  <w:rFonts w:ascii="Cambria Math" w:hAnsi="Cambria Math"/>
                </w:rPr>
                <m:t>*</m:t>
              </m:r>
              <m:r>
                <m:rPr>
                  <m:sty m:val="p"/>
                </m:rPr>
                <w:rPr>
                  <w:rFonts w:ascii="Cambria Math"/>
                </w:rPr>
                <m:t xml:space="preserve">concentration of product  </m:t>
              </m:r>
              <m:d>
                <m:dPr>
                  <m:ctrlPr>
                    <w:rPr>
                      <w:rFonts w:ascii="Cambria Math" w:hAnsi="Cambria Math"/>
                    </w:rPr>
                  </m:ctrlPr>
                </m:dPr>
                <m:e>
                  <m:f>
                    <m:fPr>
                      <m:type m:val="skw"/>
                      <m:ctrlPr>
                        <w:rPr>
                          <w:rFonts w:ascii="Cambria Math" w:hAnsi="Cambria Math"/>
                        </w:rPr>
                      </m:ctrlPr>
                    </m:fPr>
                    <m:num>
                      <m:r>
                        <m:rPr>
                          <m:sty m:val="p"/>
                        </m:rPr>
                        <w:rPr>
                          <w:rFonts w:ascii="Cambria Math"/>
                        </w:rPr>
                        <m:t>mg</m:t>
                      </m:r>
                    </m:num>
                    <m:den>
                      <m:r>
                        <m:rPr>
                          <m:sty m:val="p"/>
                        </m:rPr>
                        <w:rPr>
                          <w:rFonts w:ascii="Cambria Math"/>
                        </w:rPr>
                        <m:t>mL</m:t>
                      </m:r>
                    </m:den>
                  </m:f>
                </m:e>
              </m:d>
            </m:num>
            <m:den>
              <m:r>
                <m:rPr>
                  <m:sty m:val="p"/>
                </m:rPr>
                <w:rPr>
                  <w:rFonts w:ascii="Cambria Math"/>
                </w:rPr>
                <m:t xml:space="preserve">Lysate sensitivity </m:t>
              </m:r>
              <m:d>
                <m:dPr>
                  <m:ctrlPr>
                    <w:rPr>
                      <w:rFonts w:ascii="Cambria Math" w:hAnsi="Cambria Math"/>
                    </w:rPr>
                  </m:ctrlPr>
                </m:dPr>
                <m:e>
                  <m:r>
                    <m:rPr>
                      <m:sty m:val="p"/>
                    </m:rPr>
                    <w:rPr>
                      <w:rFonts w:ascii="Cambria Math"/>
                    </w:rPr>
                    <w:sym w:font="Symbol" w:char="F06C"/>
                  </m:r>
                </m:e>
              </m:d>
            </m:den>
          </m:f>
        </m:oMath>
      </m:oMathPara>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7B3672" w:rsidRPr="00007FF4" w:rsidRDefault="00604FB2" w:rsidP="009871EB">
      <w:pPr>
        <w:spacing w:line="360" w:lineRule="auto"/>
        <w:rPr>
          <w:bCs/>
        </w:rPr>
      </w:pPr>
      <w:r w:rsidRPr="00007FF4">
        <w:rPr>
          <w:bCs/>
        </w:rPr>
        <w:lastRenderedPageBreak/>
        <w:t>The level</w:t>
      </w:r>
      <w:r w:rsidR="00032361" w:rsidRPr="00007FF4">
        <w:rPr>
          <w:bCs/>
        </w:rPr>
        <w:t>s</w:t>
      </w:r>
      <w:r w:rsidRPr="00007FF4">
        <w:rPr>
          <w:bCs/>
        </w:rPr>
        <w:t xml:space="preserve"> of pH and Osmolality </w:t>
      </w:r>
      <w:r w:rsidR="00032361" w:rsidRPr="00007FF4">
        <w:rPr>
          <w:bCs/>
        </w:rPr>
        <w:t xml:space="preserve">were well in their specific limits and </w:t>
      </w:r>
      <w:r w:rsidR="003B405F" w:rsidRPr="00007FF4">
        <w:rPr>
          <w:bCs/>
        </w:rPr>
        <w:t>have n</w:t>
      </w:r>
      <w:r w:rsidRPr="00007FF4">
        <w:rPr>
          <w:bCs/>
        </w:rPr>
        <w:t>o</w:t>
      </w:r>
      <w:r w:rsidR="003B405F" w:rsidRPr="00007FF4">
        <w:rPr>
          <w:bCs/>
        </w:rPr>
        <w:t>t changed</w:t>
      </w:r>
      <w:r w:rsidRPr="00007FF4">
        <w:rPr>
          <w:bCs/>
        </w:rPr>
        <w:t xml:space="preserve"> significant</w:t>
      </w:r>
      <w:r w:rsidR="003B405F" w:rsidRPr="00007FF4">
        <w:rPr>
          <w:bCs/>
        </w:rPr>
        <w:t>ly</w:t>
      </w:r>
      <w:r w:rsidRPr="00007FF4">
        <w:rPr>
          <w:bCs/>
        </w:rPr>
        <w:t xml:space="preserve"> in accelerated stability condition, </w:t>
      </w:r>
      <w:r w:rsidR="002358C6" w:rsidRPr="00007FF4">
        <w:rPr>
          <w:bCs/>
        </w:rPr>
        <w:t>and supposed to be in the tolerable level</w:t>
      </w:r>
      <w:r w:rsidR="00480DF9" w:rsidRPr="00007FF4">
        <w:rPr>
          <w:bCs/>
        </w:rPr>
        <w:t>.</w:t>
      </w:r>
      <w:r w:rsidR="00480DF9" w:rsidRPr="00007FF4">
        <w:rPr>
          <w:bCs/>
          <w:vertAlign w:val="superscript"/>
        </w:rPr>
        <w:t>39</w:t>
      </w:r>
      <w:r w:rsidR="00480DF9" w:rsidRPr="00007FF4">
        <w:rPr>
          <w:bCs/>
        </w:rPr>
        <w:t xml:space="preserve"> </w:t>
      </w:r>
      <w:r w:rsidR="00680958" w:rsidRPr="00007FF4">
        <w:rPr>
          <w:bCs/>
        </w:rPr>
        <w:t xml:space="preserve">Non appearances of creaming in the product till 1 month were </w:t>
      </w:r>
      <w:r w:rsidR="004F6AC3" w:rsidRPr="00007FF4">
        <w:rPr>
          <w:bCs/>
        </w:rPr>
        <w:t xml:space="preserve">further </w:t>
      </w:r>
      <w:r w:rsidR="00680958" w:rsidRPr="00007FF4">
        <w:rPr>
          <w:bCs/>
        </w:rPr>
        <w:t>exposed</w:t>
      </w:r>
      <w:r w:rsidR="004F6AC3" w:rsidRPr="00007FF4">
        <w:rPr>
          <w:bCs/>
        </w:rPr>
        <w:t xml:space="preserve"> of</w:t>
      </w:r>
      <w:r w:rsidR="004F3A68" w:rsidRPr="00007FF4">
        <w:rPr>
          <w:bCs/>
        </w:rPr>
        <w:t xml:space="preserve"> freeze thaw cycles and accelerated conditions</w:t>
      </w:r>
      <w:r w:rsidR="0001097F" w:rsidRPr="00007FF4">
        <w:rPr>
          <w:bCs/>
        </w:rPr>
        <w:t>.</w:t>
      </w:r>
      <w:r w:rsidR="004F3A68" w:rsidRPr="00007FF4">
        <w:rPr>
          <w:bCs/>
        </w:rPr>
        <w:t xml:space="preserve"> </w:t>
      </w:r>
      <w:r w:rsidR="006E76F6" w:rsidRPr="00007FF4">
        <w:rPr>
          <w:bCs/>
        </w:rPr>
        <w:t xml:space="preserve">A continuous homogenization with cooling jackets for </w:t>
      </w:r>
      <w:r w:rsidR="00494653" w:rsidRPr="00007FF4">
        <w:t xml:space="preserve">90 minutes at 800 </w:t>
      </w:r>
      <w:r w:rsidR="002707AD" w:rsidRPr="00007FF4">
        <w:t>bar</w:t>
      </w:r>
      <w:r w:rsidR="00494653" w:rsidRPr="00007FF4">
        <w:t xml:space="preserve"> pressure</w:t>
      </w:r>
      <w:r w:rsidR="007B3672" w:rsidRPr="00007FF4">
        <w:t xml:space="preserve"> </w:t>
      </w:r>
      <w:r w:rsidR="006E76F6" w:rsidRPr="00007FF4">
        <w:t>generated globules of 174 nm mean diameter</w:t>
      </w:r>
      <w:r w:rsidR="007B3672" w:rsidRPr="00007FF4">
        <w:t xml:space="preserve"> </w:t>
      </w:r>
      <w:r w:rsidR="00786980" w:rsidRPr="00007FF4">
        <w:t xml:space="preserve">and –53.6 mv zeta potential. Under the stressed conditions of freezing and thawing </w:t>
      </w:r>
      <w:r w:rsidR="00EE2A31" w:rsidRPr="00007FF4">
        <w:rPr>
          <w:bCs/>
        </w:rPr>
        <w:t xml:space="preserve">the droplet size distribution of </w:t>
      </w:r>
      <w:r w:rsidR="00EE2A31" w:rsidRPr="00007FF4">
        <w:t xml:space="preserve">the product </w:t>
      </w:r>
      <w:r w:rsidR="00EE2A31" w:rsidRPr="00007FF4">
        <w:rPr>
          <w:bCs/>
        </w:rPr>
        <w:t xml:space="preserve">remained </w:t>
      </w:r>
      <w:r w:rsidR="00C02611" w:rsidRPr="00007FF4">
        <w:rPr>
          <w:bCs/>
        </w:rPr>
        <w:t xml:space="preserve">almost </w:t>
      </w:r>
      <w:r w:rsidR="00EE2A31" w:rsidRPr="00007FF4">
        <w:rPr>
          <w:bCs/>
        </w:rPr>
        <w:t>unchanged</w:t>
      </w:r>
      <w:r w:rsidR="00C33714" w:rsidRPr="00007FF4">
        <w:rPr>
          <w:bCs/>
        </w:rPr>
        <w:t xml:space="preserve">, and exhibited </w:t>
      </w:r>
      <w:r w:rsidR="007B3672" w:rsidRPr="00007FF4">
        <w:t>a size of 175 nm and –47.5 mv zeta potential.</w:t>
      </w:r>
      <w:r w:rsidR="0001097F" w:rsidRPr="00007FF4">
        <w:t xml:space="preserve"> </w:t>
      </w:r>
    </w:p>
    <w:p w:rsidR="00446D4D" w:rsidRPr="00007FF4" w:rsidRDefault="00446D4D" w:rsidP="009871EB">
      <w:pPr>
        <w:spacing w:line="360" w:lineRule="auto"/>
        <w:rPr>
          <w:bCs/>
        </w:rPr>
      </w:pPr>
      <w:r w:rsidRPr="00007FF4">
        <w:rPr>
          <w:bCs/>
        </w:rPr>
        <w:t>Prior to Bacterial Challeng</w:t>
      </w:r>
      <w:r w:rsidR="00D82327" w:rsidRPr="00007FF4">
        <w:rPr>
          <w:bCs/>
        </w:rPr>
        <w:t>e Test (BCT), a viability test wa</w:t>
      </w:r>
      <w:r w:rsidRPr="00007FF4">
        <w:rPr>
          <w:bCs/>
        </w:rPr>
        <w:t>s performed in order to establish the bactericidal effect of the product</w:t>
      </w:r>
      <w:r w:rsidR="00D82327" w:rsidRPr="00007FF4">
        <w:rPr>
          <w:bCs/>
        </w:rPr>
        <w:t>.</w:t>
      </w:r>
      <w:r w:rsidRPr="00007FF4">
        <w:rPr>
          <w:bCs/>
        </w:rPr>
        <w:t xml:space="preserve"> The viability test help</w:t>
      </w:r>
      <w:r w:rsidR="00D82327" w:rsidRPr="00007FF4">
        <w:rPr>
          <w:bCs/>
        </w:rPr>
        <w:t>s</w:t>
      </w:r>
      <w:r w:rsidRPr="00007FF4">
        <w:rPr>
          <w:bCs/>
        </w:rPr>
        <w:t xml:space="preserve"> determine the most appropriate BCT methodology.</w:t>
      </w:r>
      <w:r w:rsidR="00D82327" w:rsidRPr="00007FF4">
        <w:rPr>
          <w:bCs/>
        </w:rPr>
        <w:t xml:space="preserve"> </w:t>
      </w:r>
      <w:r w:rsidRPr="00007FF4">
        <w:rPr>
          <w:bCs/>
        </w:rPr>
        <w:t xml:space="preserve">After the total exposure time, no more than 1 log reduction of the initial bacterial concentration was observed; </w:t>
      </w:r>
      <w:r w:rsidR="00D82327" w:rsidRPr="00007FF4">
        <w:rPr>
          <w:bCs/>
        </w:rPr>
        <w:t xml:space="preserve">hence </w:t>
      </w:r>
      <w:r w:rsidRPr="00007FF4">
        <w:rPr>
          <w:bCs/>
        </w:rPr>
        <w:t xml:space="preserve">the product </w:t>
      </w:r>
      <w:r w:rsidR="00D82327" w:rsidRPr="00007FF4">
        <w:rPr>
          <w:bCs/>
        </w:rPr>
        <w:t>was</w:t>
      </w:r>
      <w:r w:rsidRPr="00007FF4">
        <w:rPr>
          <w:bCs/>
        </w:rPr>
        <w:t xml:space="preserve"> considered non</w:t>
      </w:r>
      <w:r w:rsidR="00432F82" w:rsidRPr="00007FF4">
        <w:rPr>
          <w:bCs/>
        </w:rPr>
        <w:t>-bactericidal.</w:t>
      </w:r>
    </w:p>
    <w:p w:rsidR="00C72F1C" w:rsidRPr="00F342E1" w:rsidRDefault="00C72F1C" w:rsidP="00F342E1">
      <w:pPr>
        <w:pStyle w:val="ListParagraph"/>
        <w:numPr>
          <w:ilvl w:val="1"/>
          <w:numId w:val="2"/>
        </w:numPr>
        <w:spacing w:line="360" w:lineRule="auto"/>
        <w:ind w:hanging="720"/>
        <w:rPr>
          <w:b/>
          <w:bCs/>
        </w:rPr>
      </w:pPr>
      <w:r w:rsidRPr="00F342E1">
        <w:rPr>
          <w:b/>
          <w:bCs/>
        </w:rPr>
        <w:t>Homogenization process optimization using DoE</w:t>
      </w:r>
    </w:p>
    <w:p w:rsidR="00577A52" w:rsidRPr="00007FF4" w:rsidRDefault="004758C9" w:rsidP="009871EB">
      <w:pPr>
        <w:spacing w:line="360" w:lineRule="auto"/>
        <w:rPr>
          <w:bCs/>
        </w:rPr>
      </w:pPr>
      <w:r w:rsidRPr="00007FF4">
        <w:rPr>
          <w:bCs/>
        </w:rPr>
        <w:t>Statistically designed experiments have</w:t>
      </w:r>
      <w:r w:rsidR="003831B9" w:rsidRPr="00007FF4">
        <w:rPr>
          <w:bCs/>
        </w:rPr>
        <w:t xml:space="preserve"> been exploited widely for pharmaceutical process optimization including formulation parameter screening activities</w:t>
      </w:r>
      <w:r w:rsidR="00D83089" w:rsidRPr="00007FF4">
        <w:rPr>
          <w:bCs/>
        </w:rPr>
        <w:t>.</w:t>
      </w:r>
      <w:r w:rsidR="00404EE6">
        <w:rPr>
          <w:bCs/>
          <w:vertAlign w:val="superscript"/>
        </w:rPr>
        <w:t>40-</w:t>
      </w:r>
      <w:r w:rsidR="00981E2C" w:rsidRPr="00007FF4">
        <w:rPr>
          <w:bCs/>
          <w:vertAlign w:val="superscript"/>
        </w:rPr>
        <w:t>42</w:t>
      </w:r>
      <w:r w:rsidR="005D77E3" w:rsidRPr="00007FF4">
        <w:rPr>
          <w:bCs/>
        </w:rPr>
        <w:t xml:space="preserve"> </w:t>
      </w:r>
      <w:r w:rsidR="00253BD1" w:rsidRPr="00007FF4">
        <w:rPr>
          <w:bCs/>
        </w:rPr>
        <w:t>In the present research a 3</w:t>
      </w:r>
      <w:r w:rsidR="00253BD1" w:rsidRPr="00007FF4">
        <w:rPr>
          <w:bCs/>
          <w:vertAlign w:val="superscript"/>
        </w:rPr>
        <w:t>2</w:t>
      </w:r>
      <w:r w:rsidR="00253BD1" w:rsidRPr="00007FF4">
        <w:rPr>
          <w:bCs/>
        </w:rPr>
        <w:t xml:space="preserve"> full factorial design was used to </w:t>
      </w:r>
      <w:r w:rsidR="00347383" w:rsidRPr="00007FF4">
        <w:rPr>
          <w:bCs/>
        </w:rPr>
        <w:t>optimize the homogenization process parameters</w:t>
      </w:r>
      <w:r w:rsidR="00B7571C" w:rsidRPr="00007FF4">
        <w:rPr>
          <w:bCs/>
        </w:rPr>
        <w:t>.</w:t>
      </w:r>
      <w:r w:rsidR="00B7571C" w:rsidRPr="00007FF4">
        <w:rPr>
          <w:bCs/>
          <w:vertAlign w:val="superscript"/>
        </w:rPr>
        <w:t>4</w:t>
      </w:r>
      <w:r w:rsidR="00B620F7" w:rsidRPr="00007FF4">
        <w:rPr>
          <w:bCs/>
          <w:vertAlign w:val="superscript"/>
        </w:rPr>
        <w:t>3</w:t>
      </w:r>
      <w:r w:rsidR="00851638" w:rsidRPr="00007FF4">
        <w:rPr>
          <w:bCs/>
        </w:rPr>
        <w:t xml:space="preserve"> </w:t>
      </w:r>
      <w:r w:rsidR="00347383" w:rsidRPr="00007FF4">
        <w:rPr>
          <w:bCs/>
        </w:rPr>
        <w:t xml:space="preserve">The homogenization process is very crucial in development of a stable </w:t>
      </w:r>
      <w:r w:rsidR="00121192" w:rsidRPr="00007FF4">
        <w:rPr>
          <w:bCs/>
        </w:rPr>
        <w:t>nano-emulsion</w:t>
      </w:r>
      <w:r w:rsidR="00347383" w:rsidRPr="00007FF4">
        <w:rPr>
          <w:bCs/>
        </w:rPr>
        <w:t xml:space="preserve"> and the key process variables are homogenization duration and pressure.</w:t>
      </w:r>
      <w:r w:rsidR="008B3739" w:rsidRPr="00007FF4">
        <w:rPr>
          <w:bCs/>
        </w:rPr>
        <w:t xml:space="preserve"> The DoE software suggested 13 runs </w:t>
      </w:r>
      <w:r w:rsidR="00CF076C" w:rsidRPr="00007FF4">
        <w:rPr>
          <w:bCs/>
        </w:rPr>
        <w:t xml:space="preserve">were taken </w:t>
      </w:r>
      <w:r w:rsidR="008B3739" w:rsidRPr="00007FF4">
        <w:rPr>
          <w:bCs/>
        </w:rPr>
        <w:t>with the selected two numeric continuous process variables. The response variable chosen was the particle size of propofol post homogenization.</w:t>
      </w:r>
      <w:r w:rsidR="00A564D6" w:rsidRPr="00007FF4">
        <w:rPr>
          <w:bCs/>
        </w:rPr>
        <w:t xml:space="preserve"> Since, no aliases were found for quadratic model, response surface quadratic model can be safely used for </w:t>
      </w:r>
      <w:r w:rsidR="00200FAB" w:rsidRPr="00007FF4">
        <w:rPr>
          <w:bCs/>
        </w:rPr>
        <w:t>navigation through the model</w:t>
      </w:r>
      <w:r w:rsidR="00593FB3" w:rsidRPr="00007FF4">
        <w:rPr>
          <w:bCs/>
        </w:rPr>
        <w:t>.</w:t>
      </w:r>
      <w:r w:rsidR="00593FB3" w:rsidRPr="00007FF4">
        <w:rPr>
          <w:bCs/>
          <w:vertAlign w:val="superscript"/>
        </w:rPr>
        <w:t>4</w:t>
      </w:r>
      <w:r w:rsidR="00B620F7" w:rsidRPr="00007FF4">
        <w:rPr>
          <w:bCs/>
          <w:vertAlign w:val="superscript"/>
        </w:rPr>
        <w:t>4</w:t>
      </w:r>
      <w:r w:rsidR="00593FB3" w:rsidRPr="00007FF4">
        <w:rPr>
          <w:bCs/>
        </w:rPr>
        <w:t xml:space="preserve"> </w:t>
      </w:r>
      <w:r w:rsidR="00484712" w:rsidRPr="00007FF4">
        <w:rPr>
          <w:bCs/>
        </w:rPr>
        <w:t>The highest order polynomial was selected as the s</w:t>
      </w:r>
      <w:r w:rsidR="00E63730" w:rsidRPr="00007FF4">
        <w:rPr>
          <w:bCs/>
        </w:rPr>
        <w:t>equential model sum of squares (Type 1) where the additional terms were significant (p&lt;0.05) and the model was not aliased.</w:t>
      </w:r>
      <w:r w:rsidR="00610F15" w:rsidRPr="00007FF4">
        <w:rPr>
          <w:bCs/>
        </w:rPr>
        <w:t xml:space="preserve"> </w:t>
      </w:r>
      <w:r w:rsidR="00491131" w:rsidRPr="00007FF4">
        <w:rPr>
          <w:bCs/>
        </w:rPr>
        <w:t xml:space="preserve">The cubic model was found to be aliased and hence the model was not selected (Table </w:t>
      </w:r>
      <w:r w:rsidR="00010977" w:rsidRPr="00007FF4">
        <w:rPr>
          <w:bCs/>
        </w:rPr>
        <w:t>4</w:t>
      </w:r>
      <w:r w:rsidR="00491131" w:rsidRPr="00007FF4">
        <w:rPr>
          <w:bCs/>
        </w:rPr>
        <w:t xml:space="preserve">). </w:t>
      </w:r>
      <w:r w:rsidR="00577A52" w:rsidRPr="00007FF4">
        <w:rPr>
          <w:bCs/>
        </w:rPr>
        <w:t>Q</w:t>
      </w:r>
      <w:r w:rsidR="002C0039" w:rsidRPr="00007FF4">
        <w:rPr>
          <w:bCs/>
        </w:rPr>
        <w:t>uadratic model was fitted to the data (P&lt;0.05) for interpretation of the homogenization process response, particle size (Z) based on model summary statistics including the adjusted R</w:t>
      </w:r>
      <w:r w:rsidR="002C0039" w:rsidRPr="00007FF4">
        <w:rPr>
          <w:bCs/>
          <w:vertAlign w:val="superscript"/>
        </w:rPr>
        <w:t>2</w:t>
      </w:r>
      <w:r w:rsidR="002C0039" w:rsidRPr="00007FF4">
        <w:rPr>
          <w:bCs/>
        </w:rPr>
        <w:t xml:space="preserve"> and predicted R</w:t>
      </w:r>
      <w:r w:rsidR="002C0039" w:rsidRPr="00007FF4">
        <w:rPr>
          <w:bCs/>
          <w:vertAlign w:val="superscript"/>
        </w:rPr>
        <w:t>2</w:t>
      </w:r>
      <w:r w:rsidR="00A544DB" w:rsidRPr="00007FF4">
        <w:rPr>
          <w:bCs/>
          <w:vertAlign w:val="superscript"/>
        </w:rPr>
        <w:t xml:space="preserve"> </w:t>
      </w:r>
      <w:r w:rsidR="00010977" w:rsidRPr="00007FF4">
        <w:rPr>
          <w:bCs/>
        </w:rPr>
        <w:t>(Table 4</w:t>
      </w:r>
      <w:r w:rsidR="00A544DB" w:rsidRPr="00007FF4">
        <w:rPr>
          <w:bCs/>
        </w:rPr>
        <w:t>)</w:t>
      </w:r>
      <w:r w:rsidR="002C0039" w:rsidRPr="00007FF4">
        <w:rPr>
          <w:bCs/>
        </w:rPr>
        <w:t xml:space="preserve">. </w:t>
      </w: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397C16" w:rsidRPr="00007FF4" w:rsidRDefault="00397C16" w:rsidP="009871EB">
      <w:pPr>
        <w:spacing w:line="360" w:lineRule="auto"/>
        <w:rPr>
          <w:b/>
        </w:rPr>
      </w:pPr>
      <w:r w:rsidRPr="00007FF4">
        <w:rPr>
          <w:b/>
        </w:rPr>
        <w:t>T</w:t>
      </w:r>
      <w:r w:rsidR="00707966" w:rsidRPr="00007FF4">
        <w:rPr>
          <w:b/>
        </w:rPr>
        <w:t>able</w:t>
      </w:r>
      <w:r w:rsidRPr="00007FF4">
        <w:rPr>
          <w:b/>
        </w:rPr>
        <w:t xml:space="preserve"> </w:t>
      </w:r>
      <w:r w:rsidR="00010977" w:rsidRPr="00007FF4">
        <w:rPr>
          <w:b/>
        </w:rPr>
        <w:t>4</w:t>
      </w:r>
      <w:r w:rsidR="00707966">
        <w:rPr>
          <w:b/>
        </w:rPr>
        <w:t xml:space="preserve">: </w:t>
      </w:r>
      <w:r w:rsidRPr="00007FF4">
        <w:rPr>
          <w:b/>
        </w:rPr>
        <w:t>Statistical model analysis</w:t>
      </w:r>
    </w:p>
    <w:tbl>
      <w:tblPr>
        <w:tblStyle w:val="TableGrid"/>
        <w:tblW w:w="0" w:type="auto"/>
        <w:tblLayout w:type="fixed"/>
        <w:tblLook w:val="04A0" w:firstRow="1" w:lastRow="0" w:firstColumn="1" w:lastColumn="0" w:noHBand="0" w:noVBand="1"/>
      </w:tblPr>
      <w:tblGrid>
        <w:gridCol w:w="2268"/>
        <w:gridCol w:w="1710"/>
        <w:gridCol w:w="990"/>
        <w:gridCol w:w="1170"/>
        <w:gridCol w:w="1170"/>
      </w:tblGrid>
      <w:tr w:rsidR="00707966" w:rsidRPr="00187E00" w:rsidTr="008F73E7">
        <w:tc>
          <w:tcPr>
            <w:tcW w:w="7308" w:type="dxa"/>
            <w:gridSpan w:val="5"/>
            <w:vAlign w:val="center"/>
          </w:tcPr>
          <w:p w:rsidR="00707966" w:rsidRPr="00187E00" w:rsidRDefault="00707966" w:rsidP="003D22F2">
            <w:pPr>
              <w:spacing w:line="276" w:lineRule="auto"/>
            </w:pPr>
            <w:r w:rsidRPr="00187E00">
              <w:t>Sequential model sum of squares</w:t>
            </w:r>
          </w:p>
        </w:tc>
      </w:tr>
      <w:tr w:rsidR="00707966" w:rsidRPr="00187E00" w:rsidTr="003D22F2">
        <w:trPr>
          <w:trHeight w:val="287"/>
        </w:trPr>
        <w:tc>
          <w:tcPr>
            <w:tcW w:w="2268" w:type="dxa"/>
            <w:vMerge w:val="restart"/>
            <w:vAlign w:val="center"/>
          </w:tcPr>
          <w:p w:rsidR="00707966" w:rsidRPr="00187E00" w:rsidRDefault="00707966" w:rsidP="003D22F2">
            <w:pPr>
              <w:spacing w:line="276" w:lineRule="auto"/>
            </w:pPr>
            <w:r w:rsidRPr="00187E00">
              <w:t>Source</w:t>
            </w:r>
          </w:p>
        </w:tc>
        <w:tc>
          <w:tcPr>
            <w:tcW w:w="5040" w:type="dxa"/>
            <w:gridSpan w:val="4"/>
            <w:vAlign w:val="center"/>
          </w:tcPr>
          <w:p w:rsidR="00707966" w:rsidRPr="00187E00" w:rsidRDefault="00707966" w:rsidP="003D22F2">
            <w:pPr>
              <w:spacing w:line="276" w:lineRule="auto"/>
              <w:jc w:val="center"/>
            </w:pPr>
            <w:r w:rsidRPr="00187E00">
              <w:t>Particle size (Z)</w:t>
            </w:r>
          </w:p>
        </w:tc>
      </w:tr>
      <w:tr w:rsidR="00707966" w:rsidRPr="00187E00" w:rsidTr="008F73E7">
        <w:trPr>
          <w:trHeight w:val="150"/>
        </w:trPr>
        <w:tc>
          <w:tcPr>
            <w:tcW w:w="2268" w:type="dxa"/>
            <w:vMerge/>
            <w:vAlign w:val="center"/>
          </w:tcPr>
          <w:p w:rsidR="00707966" w:rsidRPr="00187E00" w:rsidRDefault="00707966" w:rsidP="003D22F2">
            <w:pPr>
              <w:spacing w:line="276" w:lineRule="auto"/>
            </w:pPr>
          </w:p>
        </w:tc>
        <w:tc>
          <w:tcPr>
            <w:tcW w:w="1710" w:type="dxa"/>
            <w:vAlign w:val="center"/>
          </w:tcPr>
          <w:p w:rsidR="00707966" w:rsidRPr="00187E00" w:rsidRDefault="00707966" w:rsidP="003D22F2">
            <w:pPr>
              <w:spacing w:line="276" w:lineRule="auto"/>
              <w:jc w:val="center"/>
              <w:rPr>
                <w:bCs/>
              </w:rPr>
            </w:pPr>
            <w:r w:rsidRPr="00187E00">
              <w:rPr>
                <w:bCs/>
              </w:rPr>
              <w:t>Sum of Squares</w:t>
            </w:r>
          </w:p>
        </w:tc>
        <w:tc>
          <w:tcPr>
            <w:tcW w:w="990" w:type="dxa"/>
            <w:vAlign w:val="center"/>
          </w:tcPr>
          <w:p w:rsidR="00707966" w:rsidRPr="00187E00" w:rsidRDefault="0099311A" w:rsidP="003D22F2">
            <w:pPr>
              <w:spacing w:line="276" w:lineRule="auto"/>
              <w:jc w:val="center"/>
            </w:pPr>
            <w:r w:rsidRPr="00187E00">
              <w:t>D</w:t>
            </w:r>
            <w:r w:rsidR="00707966" w:rsidRPr="00187E00">
              <w:t>f</w:t>
            </w:r>
          </w:p>
        </w:tc>
        <w:tc>
          <w:tcPr>
            <w:tcW w:w="1170" w:type="dxa"/>
            <w:vAlign w:val="center"/>
          </w:tcPr>
          <w:p w:rsidR="00707966" w:rsidRPr="00187E00" w:rsidRDefault="00707966" w:rsidP="003D22F2">
            <w:pPr>
              <w:spacing w:line="276" w:lineRule="auto"/>
              <w:jc w:val="center"/>
            </w:pPr>
            <w:r w:rsidRPr="00187E00">
              <w:t>F-Value</w:t>
            </w:r>
          </w:p>
        </w:tc>
        <w:tc>
          <w:tcPr>
            <w:tcW w:w="1170" w:type="dxa"/>
            <w:vAlign w:val="center"/>
          </w:tcPr>
          <w:p w:rsidR="00707966" w:rsidRPr="00187E00" w:rsidRDefault="00707966" w:rsidP="003D22F2">
            <w:pPr>
              <w:spacing w:line="276" w:lineRule="auto"/>
              <w:jc w:val="center"/>
            </w:pPr>
            <w:r w:rsidRPr="00187E00">
              <w:t>p-Value</w:t>
            </w:r>
          </w:p>
        </w:tc>
      </w:tr>
      <w:tr w:rsidR="00707966" w:rsidRPr="00187E00" w:rsidTr="008F73E7">
        <w:tc>
          <w:tcPr>
            <w:tcW w:w="2268" w:type="dxa"/>
            <w:vAlign w:val="center"/>
          </w:tcPr>
          <w:p w:rsidR="00707966" w:rsidRPr="00187E00" w:rsidRDefault="00707966" w:rsidP="003D22F2">
            <w:pPr>
              <w:spacing w:line="276" w:lineRule="auto"/>
            </w:pPr>
            <w:r w:rsidRPr="00187E00">
              <w:t>Mean vs Total</w:t>
            </w:r>
          </w:p>
        </w:tc>
        <w:tc>
          <w:tcPr>
            <w:tcW w:w="1710" w:type="dxa"/>
            <w:vAlign w:val="center"/>
          </w:tcPr>
          <w:p w:rsidR="00707966" w:rsidRPr="00187E00" w:rsidRDefault="00707966" w:rsidP="003D22F2">
            <w:pPr>
              <w:spacing w:line="276" w:lineRule="auto"/>
              <w:jc w:val="center"/>
            </w:pPr>
            <w:r w:rsidRPr="00187E00">
              <w:t>6.749E+005</w:t>
            </w:r>
          </w:p>
        </w:tc>
        <w:tc>
          <w:tcPr>
            <w:tcW w:w="990" w:type="dxa"/>
            <w:vAlign w:val="center"/>
          </w:tcPr>
          <w:p w:rsidR="00707966" w:rsidRPr="00187E00" w:rsidRDefault="00707966" w:rsidP="003D22F2">
            <w:pPr>
              <w:spacing w:line="276" w:lineRule="auto"/>
              <w:jc w:val="center"/>
            </w:pPr>
            <w:r w:rsidRPr="00187E00">
              <w:t>1</w:t>
            </w:r>
          </w:p>
        </w:tc>
        <w:tc>
          <w:tcPr>
            <w:tcW w:w="1170" w:type="dxa"/>
            <w:vAlign w:val="center"/>
          </w:tcPr>
          <w:p w:rsidR="00707966" w:rsidRPr="00187E00" w:rsidRDefault="00707966" w:rsidP="003D22F2">
            <w:pPr>
              <w:spacing w:line="276" w:lineRule="auto"/>
              <w:jc w:val="center"/>
            </w:pPr>
          </w:p>
        </w:tc>
        <w:tc>
          <w:tcPr>
            <w:tcW w:w="1170" w:type="dxa"/>
            <w:vAlign w:val="center"/>
          </w:tcPr>
          <w:p w:rsidR="00707966" w:rsidRPr="00187E00" w:rsidRDefault="00707966" w:rsidP="003D22F2">
            <w:pPr>
              <w:spacing w:line="276" w:lineRule="auto"/>
              <w:jc w:val="center"/>
            </w:pPr>
          </w:p>
        </w:tc>
      </w:tr>
      <w:tr w:rsidR="00707966" w:rsidRPr="00187E00" w:rsidTr="008F73E7">
        <w:tc>
          <w:tcPr>
            <w:tcW w:w="2268" w:type="dxa"/>
            <w:vAlign w:val="center"/>
          </w:tcPr>
          <w:p w:rsidR="00707966" w:rsidRPr="00187E00" w:rsidRDefault="00707966" w:rsidP="003D22F2">
            <w:pPr>
              <w:spacing w:line="276" w:lineRule="auto"/>
            </w:pPr>
            <w:r w:rsidRPr="00187E00">
              <w:t>Linear vs Mean</w:t>
            </w:r>
          </w:p>
        </w:tc>
        <w:tc>
          <w:tcPr>
            <w:tcW w:w="1710" w:type="dxa"/>
            <w:vAlign w:val="center"/>
          </w:tcPr>
          <w:p w:rsidR="00707966" w:rsidRPr="00187E00" w:rsidRDefault="00707966" w:rsidP="003D22F2">
            <w:pPr>
              <w:spacing w:line="276" w:lineRule="auto"/>
              <w:jc w:val="center"/>
            </w:pPr>
            <w:r w:rsidRPr="00187E00">
              <w:t>21999.00</w:t>
            </w:r>
          </w:p>
        </w:tc>
        <w:tc>
          <w:tcPr>
            <w:tcW w:w="990" w:type="dxa"/>
            <w:vAlign w:val="center"/>
          </w:tcPr>
          <w:p w:rsidR="00707966" w:rsidRPr="00187E00" w:rsidRDefault="00707966" w:rsidP="003D22F2">
            <w:pPr>
              <w:spacing w:line="276" w:lineRule="auto"/>
              <w:jc w:val="center"/>
            </w:pPr>
            <w:r w:rsidRPr="00187E00">
              <w:t>2</w:t>
            </w:r>
          </w:p>
        </w:tc>
        <w:tc>
          <w:tcPr>
            <w:tcW w:w="1170" w:type="dxa"/>
            <w:vAlign w:val="center"/>
          </w:tcPr>
          <w:p w:rsidR="00707966" w:rsidRPr="00187E00" w:rsidRDefault="00707966" w:rsidP="003D22F2">
            <w:pPr>
              <w:spacing w:line="276" w:lineRule="auto"/>
              <w:jc w:val="center"/>
            </w:pPr>
            <w:r w:rsidRPr="00187E00">
              <w:t>16.52</w:t>
            </w:r>
          </w:p>
        </w:tc>
        <w:tc>
          <w:tcPr>
            <w:tcW w:w="1170" w:type="dxa"/>
            <w:vAlign w:val="center"/>
          </w:tcPr>
          <w:p w:rsidR="00707966" w:rsidRPr="00187E00" w:rsidRDefault="00707966" w:rsidP="003D22F2">
            <w:pPr>
              <w:spacing w:line="276" w:lineRule="auto"/>
              <w:jc w:val="center"/>
            </w:pPr>
            <w:r w:rsidRPr="00187E00">
              <w:t>0.0007</w:t>
            </w:r>
          </w:p>
        </w:tc>
      </w:tr>
      <w:tr w:rsidR="00707966" w:rsidRPr="00187E00" w:rsidTr="008F73E7">
        <w:tc>
          <w:tcPr>
            <w:tcW w:w="2268" w:type="dxa"/>
            <w:vAlign w:val="center"/>
          </w:tcPr>
          <w:p w:rsidR="00707966" w:rsidRPr="00187E00" w:rsidRDefault="00707966" w:rsidP="003D22F2">
            <w:pPr>
              <w:spacing w:line="276" w:lineRule="auto"/>
            </w:pPr>
            <w:r w:rsidRPr="00187E00">
              <w:t>2FI vs Linear</w:t>
            </w:r>
          </w:p>
        </w:tc>
        <w:tc>
          <w:tcPr>
            <w:tcW w:w="1710" w:type="dxa"/>
            <w:vAlign w:val="center"/>
          </w:tcPr>
          <w:p w:rsidR="00707966" w:rsidRPr="00187E00" w:rsidRDefault="00707966" w:rsidP="003D22F2">
            <w:pPr>
              <w:spacing w:line="276" w:lineRule="auto"/>
              <w:jc w:val="center"/>
            </w:pPr>
            <w:r w:rsidRPr="00187E00">
              <w:t>702.25</w:t>
            </w:r>
          </w:p>
        </w:tc>
        <w:tc>
          <w:tcPr>
            <w:tcW w:w="990" w:type="dxa"/>
            <w:vAlign w:val="center"/>
          </w:tcPr>
          <w:p w:rsidR="00707966" w:rsidRPr="00187E00" w:rsidRDefault="00707966" w:rsidP="003D22F2">
            <w:pPr>
              <w:spacing w:line="276" w:lineRule="auto"/>
              <w:jc w:val="center"/>
            </w:pPr>
            <w:r w:rsidRPr="00187E00">
              <w:t>1</w:t>
            </w:r>
          </w:p>
        </w:tc>
        <w:tc>
          <w:tcPr>
            <w:tcW w:w="1170" w:type="dxa"/>
            <w:vAlign w:val="center"/>
          </w:tcPr>
          <w:p w:rsidR="00707966" w:rsidRPr="00187E00" w:rsidRDefault="00707966" w:rsidP="003D22F2">
            <w:pPr>
              <w:spacing w:line="276" w:lineRule="auto"/>
              <w:jc w:val="center"/>
            </w:pPr>
            <w:r w:rsidRPr="00187E00">
              <w:t>1.06</w:t>
            </w:r>
          </w:p>
        </w:tc>
        <w:tc>
          <w:tcPr>
            <w:tcW w:w="1170" w:type="dxa"/>
            <w:vAlign w:val="center"/>
          </w:tcPr>
          <w:p w:rsidR="00707966" w:rsidRPr="00187E00" w:rsidRDefault="00707966" w:rsidP="003D22F2">
            <w:pPr>
              <w:spacing w:line="276" w:lineRule="auto"/>
              <w:jc w:val="center"/>
            </w:pPr>
            <w:r w:rsidRPr="00187E00">
              <w:t>0.3298</w:t>
            </w:r>
          </w:p>
        </w:tc>
      </w:tr>
      <w:tr w:rsidR="00707966" w:rsidRPr="00187E00" w:rsidTr="008F73E7">
        <w:tc>
          <w:tcPr>
            <w:tcW w:w="2268" w:type="dxa"/>
            <w:vAlign w:val="center"/>
          </w:tcPr>
          <w:p w:rsidR="00707966" w:rsidRPr="00187E00" w:rsidRDefault="00707966" w:rsidP="003D22F2">
            <w:pPr>
              <w:spacing w:line="276" w:lineRule="auto"/>
              <w:rPr>
                <w:b/>
              </w:rPr>
            </w:pPr>
            <w:r w:rsidRPr="00187E00">
              <w:rPr>
                <w:b/>
              </w:rPr>
              <w:t>Quadratic vs 2FI</w:t>
            </w:r>
          </w:p>
        </w:tc>
        <w:tc>
          <w:tcPr>
            <w:tcW w:w="1710" w:type="dxa"/>
            <w:vAlign w:val="center"/>
          </w:tcPr>
          <w:p w:rsidR="00707966" w:rsidRPr="00187E00" w:rsidRDefault="00707966" w:rsidP="003D22F2">
            <w:pPr>
              <w:spacing w:line="276" w:lineRule="auto"/>
              <w:jc w:val="center"/>
              <w:rPr>
                <w:b/>
              </w:rPr>
            </w:pPr>
            <w:r w:rsidRPr="00187E00">
              <w:rPr>
                <w:b/>
              </w:rPr>
              <w:t>5813.52</w:t>
            </w:r>
          </w:p>
        </w:tc>
        <w:tc>
          <w:tcPr>
            <w:tcW w:w="990" w:type="dxa"/>
            <w:vAlign w:val="center"/>
          </w:tcPr>
          <w:p w:rsidR="00707966" w:rsidRPr="00187E00" w:rsidRDefault="00707966" w:rsidP="003D22F2">
            <w:pPr>
              <w:spacing w:line="276" w:lineRule="auto"/>
              <w:jc w:val="center"/>
              <w:rPr>
                <w:b/>
              </w:rPr>
            </w:pPr>
            <w:r w:rsidRPr="00187E00">
              <w:rPr>
                <w:b/>
              </w:rPr>
              <w:t>2</w:t>
            </w:r>
          </w:p>
        </w:tc>
        <w:tc>
          <w:tcPr>
            <w:tcW w:w="1170" w:type="dxa"/>
            <w:vAlign w:val="center"/>
          </w:tcPr>
          <w:p w:rsidR="00707966" w:rsidRPr="00187E00" w:rsidRDefault="00707966" w:rsidP="003D22F2">
            <w:pPr>
              <w:spacing w:line="276" w:lineRule="auto"/>
              <w:jc w:val="center"/>
              <w:rPr>
                <w:b/>
              </w:rPr>
            </w:pPr>
            <w:r w:rsidRPr="00187E00">
              <w:rPr>
                <w:b/>
              </w:rPr>
              <w:t>144.39</w:t>
            </w:r>
          </w:p>
        </w:tc>
        <w:tc>
          <w:tcPr>
            <w:tcW w:w="1170" w:type="dxa"/>
            <w:vAlign w:val="center"/>
          </w:tcPr>
          <w:p w:rsidR="00707966" w:rsidRPr="00187E00" w:rsidRDefault="00707966" w:rsidP="003D22F2">
            <w:pPr>
              <w:spacing w:line="276" w:lineRule="auto"/>
              <w:jc w:val="center"/>
              <w:rPr>
                <w:b/>
              </w:rPr>
            </w:pPr>
            <w:r w:rsidRPr="00187E00">
              <w:rPr>
                <w:b/>
              </w:rPr>
              <w:t>&lt; 0.0001</w:t>
            </w:r>
          </w:p>
        </w:tc>
      </w:tr>
      <w:tr w:rsidR="00707966" w:rsidRPr="00187E00" w:rsidTr="008F73E7">
        <w:tc>
          <w:tcPr>
            <w:tcW w:w="2268" w:type="dxa"/>
            <w:vAlign w:val="center"/>
          </w:tcPr>
          <w:p w:rsidR="00707966" w:rsidRPr="00187E00" w:rsidRDefault="00707966" w:rsidP="003D22F2">
            <w:pPr>
              <w:spacing w:line="276" w:lineRule="auto"/>
            </w:pPr>
            <w:r w:rsidRPr="00187E00">
              <w:t>Cubic</w:t>
            </w:r>
            <w:r w:rsidRPr="00187E00">
              <w:rPr>
                <w:b/>
                <w:vertAlign w:val="superscript"/>
              </w:rPr>
              <w:t xml:space="preserve">a </w:t>
            </w:r>
            <w:r w:rsidRPr="00187E00">
              <w:t>vs Quadratic</w:t>
            </w:r>
          </w:p>
        </w:tc>
        <w:tc>
          <w:tcPr>
            <w:tcW w:w="1710" w:type="dxa"/>
            <w:vAlign w:val="center"/>
          </w:tcPr>
          <w:p w:rsidR="00707966" w:rsidRPr="00187E00" w:rsidRDefault="00707966" w:rsidP="003D22F2">
            <w:pPr>
              <w:spacing w:line="276" w:lineRule="auto"/>
              <w:jc w:val="center"/>
            </w:pPr>
            <w:r w:rsidRPr="00187E00">
              <w:t>91.50</w:t>
            </w:r>
          </w:p>
        </w:tc>
        <w:tc>
          <w:tcPr>
            <w:tcW w:w="990" w:type="dxa"/>
            <w:vAlign w:val="center"/>
          </w:tcPr>
          <w:p w:rsidR="00707966" w:rsidRPr="00187E00" w:rsidRDefault="00707966" w:rsidP="003D22F2">
            <w:pPr>
              <w:spacing w:line="276" w:lineRule="auto"/>
              <w:jc w:val="center"/>
            </w:pPr>
            <w:r w:rsidRPr="00187E00">
              <w:t>2</w:t>
            </w:r>
          </w:p>
        </w:tc>
        <w:tc>
          <w:tcPr>
            <w:tcW w:w="1170" w:type="dxa"/>
            <w:vAlign w:val="center"/>
          </w:tcPr>
          <w:p w:rsidR="00707966" w:rsidRPr="00187E00" w:rsidRDefault="00707966" w:rsidP="003D22F2">
            <w:pPr>
              <w:spacing w:line="276" w:lineRule="auto"/>
              <w:jc w:val="center"/>
            </w:pPr>
            <w:r w:rsidRPr="00187E00">
              <w:t>4.63</w:t>
            </w:r>
          </w:p>
        </w:tc>
        <w:tc>
          <w:tcPr>
            <w:tcW w:w="1170" w:type="dxa"/>
            <w:vAlign w:val="center"/>
          </w:tcPr>
          <w:p w:rsidR="00707966" w:rsidRPr="00187E00" w:rsidRDefault="00707966" w:rsidP="003D22F2">
            <w:pPr>
              <w:spacing w:line="276" w:lineRule="auto"/>
              <w:jc w:val="center"/>
            </w:pPr>
            <w:r w:rsidRPr="00187E00">
              <w:t>0.0728</w:t>
            </w:r>
          </w:p>
        </w:tc>
      </w:tr>
      <w:tr w:rsidR="00707966" w:rsidRPr="00187E00" w:rsidTr="008F73E7">
        <w:tc>
          <w:tcPr>
            <w:tcW w:w="2268" w:type="dxa"/>
            <w:vAlign w:val="center"/>
          </w:tcPr>
          <w:p w:rsidR="00707966" w:rsidRPr="00187E00" w:rsidRDefault="00707966" w:rsidP="003D22F2">
            <w:pPr>
              <w:spacing w:line="276" w:lineRule="auto"/>
            </w:pPr>
            <w:r w:rsidRPr="00187E00">
              <w:t>Residual</w:t>
            </w:r>
          </w:p>
        </w:tc>
        <w:tc>
          <w:tcPr>
            <w:tcW w:w="1710" w:type="dxa"/>
            <w:vAlign w:val="center"/>
          </w:tcPr>
          <w:p w:rsidR="00707966" w:rsidRPr="00187E00" w:rsidRDefault="00707966" w:rsidP="003D22F2">
            <w:pPr>
              <w:spacing w:line="276" w:lineRule="auto"/>
              <w:jc w:val="center"/>
            </w:pPr>
            <w:r w:rsidRPr="00187E00">
              <w:t>49.42</w:t>
            </w:r>
          </w:p>
        </w:tc>
        <w:tc>
          <w:tcPr>
            <w:tcW w:w="990" w:type="dxa"/>
            <w:vAlign w:val="center"/>
          </w:tcPr>
          <w:p w:rsidR="00707966" w:rsidRPr="00187E00" w:rsidRDefault="00707966" w:rsidP="003D22F2">
            <w:pPr>
              <w:spacing w:line="276" w:lineRule="auto"/>
              <w:jc w:val="center"/>
            </w:pPr>
            <w:r w:rsidRPr="00187E00">
              <w:t>5</w:t>
            </w:r>
          </w:p>
        </w:tc>
        <w:tc>
          <w:tcPr>
            <w:tcW w:w="1170" w:type="dxa"/>
            <w:vAlign w:val="center"/>
          </w:tcPr>
          <w:p w:rsidR="00707966" w:rsidRPr="00187E00" w:rsidRDefault="00707966" w:rsidP="003D22F2">
            <w:pPr>
              <w:spacing w:line="276" w:lineRule="auto"/>
              <w:jc w:val="center"/>
            </w:pPr>
          </w:p>
        </w:tc>
        <w:tc>
          <w:tcPr>
            <w:tcW w:w="1170" w:type="dxa"/>
            <w:vAlign w:val="center"/>
          </w:tcPr>
          <w:p w:rsidR="00707966" w:rsidRPr="00187E00" w:rsidRDefault="00707966" w:rsidP="003D22F2">
            <w:pPr>
              <w:spacing w:line="276" w:lineRule="auto"/>
              <w:jc w:val="center"/>
            </w:pPr>
          </w:p>
        </w:tc>
      </w:tr>
      <w:tr w:rsidR="00707966" w:rsidRPr="00187E00" w:rsidTr="008F73E7">
        <w:trPr>
          <w:trHeight w:val="404"/>
        </w:trPr>
        <w:tc>
          <w:tcPr>
            <w:tcW w:w="2268" w:type="dxa"/>
            <w:vAlign w:val="center"/>
          </w:tcPr>
          <w:p w:rsidR="00707966" w:rsidRPr="00187E00" w:rsidRDefault="00707966" w:rsidP="003D22F2">
            <w:pPr>
              <w:spacing w:line="276" w:lineRule="auto"/>
            </w:pPr>
            <w:r w:rsidRPr="00187E00">
              <w:t>Total</w:t>
            </w:r>
          </w:p>
        </w:tc>
        <w:tc>
          <w:tcPr>
            <w:tcW w:w="1710" w:type="dxa"/>
            <w:vAlign w:val="center"/>
          </w:tcPr>
          <w:p w:rsidR="00707966" w:rsidRPr="00187E00" w:rsidRDefault="00707966" w:rsidP="003D22F2">
            <w:pPr>
              <w:spacing w:line="276" w:lineRule="auto"/>
              <w:jc w:val="center"/>
            </w:pPr>
            <w:r w:rsidRPr="00187E00">
              <w:t>7.035E+005</w:t>
            </w:r>
          </w:p>
        </w:tc>
        <w:tc>
          <w:tcPr>
            <w:tcW w:w="990" w:type="dxa"/>
            <w:vAlign w:val="center"/>
          </w:tcPr>
          <w:p w:rsidR="00707966" w:rsidRPr="00187E00" w:rsidRDefault="00707966" w:rsidP="003D22F2">
            <w:pPr>
              <w:spacing w:line="276" w:lineRule="auto"/>
              <w:jc w:val="center"/>
            </w:pPr>
            <w:r w:rsidRPr="00187E00">
              <w:t>13</w:t>
            </w:r>
          </w:p>
        </w:tc>
        <w:tc>
          <w:tcPr>
            <w:tcW w:w="1170" w:type="dxa"/>
            <w:vAlign w:val="center"/>
          </w:tcPr>
          <w:p w:rsidR="00707966" w:rsidRPr="00187E00" w:rsidRDefault="00707966" w:rsidP="003D22F2">
            <w:pPr>
              <w:spacing w:line="276" w:lineRule="auto"/>
              <w:jc w:val="center"/>
            </w:pPr>
          </w:p>
        </w:tc>
        <w:tc>
          <w:tcPr>
            <w:tcW w:w="1170" w:type="dxa"/>
            <w:vAlign w:val="center"/>
          </w:tcPr>
          <w:p w:rsidR="00707966" w:rsidRPr="00187E00" w:rsidRDefault="00707966" w:rsidP="003D22F2">
            <w:pPr>
              <w:spacing w:line="276" w:lineRule="auto"/>
              <w:jc w:val="center"/>
            </w:pPr>
          </w:p>
        </w:tc>
      </w:tr>
      <w:tr w:rsidR="00707966" w:rsidRPr="00187E00" w:rsidTr="00F11C26">
        <w:trPr>
          <w:trHeight w:val="494"/>
        </w:trPr>
        <w:tc>
          <w:tcPr>
            <w:tcW w:w="7308" w:type="dxa"/>
            <w:gridSpan w:val="5"/>
            <w:vAlign w:val="center"/>
          </w:tcPr>
          <w:p w:rsidR="00707966" w:rsidRPr="00187E00" w:rsidRDefault="00707966" w:rsidP="003D22F2">
            <w:pPr>
              <w:spacing w:line="276" w:lineRule="auto"/>
              <w:jc w:val="left"/>
            </w:pPr>
            <w:r w:rsidRPr="00187E00">
              <w:t>Design model summary statistics</w:t>
            </w:r>
          </w:p>
        </w:tc>
      </w:tr>
      <w:tr w:rsidR="00707966" w:rsidRPr="00187E00" w:rsidTr="008F73E7">
        <w:trPr>
          <w:trHeight w:val="120"/>
        </w:trPr>
        <w:tc>
          <w:tcPr>
            <w:tcW w:w="2268" w:type="dxa"/>
            <w:vMerge w:val="restart"/>
            <w:vAlign w:val="center"/>
          </w:tcPr>
          <w:p w:rsidR="00707966" w:rsidRPr="00187E00" w:rsidRDefault="00707966" w:rsidP="003D22F2">
            <w:pPr>
              <w:spacing w:line="276" w:lineRule="auto"/>
            </w:pPr>
            <w:r w:rsidRPr="00187E00">
              <w:t>Source</w:t>
            </w:r>
          </w:p>
        </w:tc>
        <w:tc>
          <w:tcPr>
            <w:tcW w:w="5040" w:type="dxa"/>
            <w:gridSpan w:val="4"/>
            <w:vAlign w:val="center"/>
          </w:tcPr>
          <w:p w:rsidR="00707966" w:rsidRPr="00187E00" w:rsidRDefault="00707966" w:rsidP="003D22F2">
            <w:pPr>
              <w:spacing w:line="276" w:lineRule="auto"/>
              <w:jc w:val="center"/>
            </w:pPr>
            <w:r w:rsidRPr="00187E00">
              <w:t>Particle size (Z)</w:t>
            </w:r>
          </w:p>
        </w:tc>
      </w:tr>
      <w:tr w:rsidR="00707966" w:rsidRPr="00187E00" w:rsidTr="008F73E7">
        <w:trPr>
          <w:trHeight w:val="150"/>
        </w:trPr>
        <w:tc>
          <w:tcPr>
            <w:tcW w:w="2268" w:type="dxa"/>
            <w:vMerge/>
            <w:vAlign w:val="center"/>
          </w:tcPr>
          <w:p w:rsidR="00707966" w:rsidRPr="00187E00" w:rsidRDefault="00707966" w:rsidP="003D22F2">
            <w:pPr>
              <w:spacing w:line="276" w:lineRule="auto"/>
            </w:pPr>
          </w:p>
        </w:tc>
        <w:tc>
          <w:tcPr>
            <w:tcW w:w="2700" w:type="dxa"/>
            <w:gridSpan w:val="2"/>
            <w:vAlign w:val="center"/>
          </w:tcPr>
          <w:p w:rsidR="00707966" w:rsidRPr="00187E00" w:rsidRDefault="00707966" w:rsidP="003D22F2">
            <w:pPr>
              <w:spacing w:line="276" w:lineRule="auto"/>
              <w:jc w:val="center"/>
              <w:rPr>
                <w:bCs/>
              </w:rPr>
            </w:pPr>
            <w:r w:rsidRPr="00187E00">
              <w:rPr>
                <w:bCs/>
              </w:rPr>
              <w:t>Adjusted R</w:t>
            </w:r>
            <w:r w:rsidRPr="00187E00">
              <w:rPr>
                <w:bCs/>
                <w:vertAlign w:val="superscript"/>
              </w:rPr>
              <w:t>2</w:t>
            </w:r>
          </w:p>
        </w:tc>
        <w:tc>
          <w:tcPr>
            <w:tcW w:w="2340" w:type="dxa"/>
            <w:gridSpan w:val="2"/>
            <w:vAlign w:val="center"/>
          </w:tcPr>
          <w:p w:rsidR="00707966" w:rsidRPr="00187E00" w:rsidRDefault="00707966" w:rsidP="003D22F2">
            <w:pPr>
              <w:spacing w:line="276" w:lineRule="auto"/>
              <w:jc w:val="center"/>
            </w:pPr>
            <w:r w:rsidRPr="00187E00">
              <w:t>Predicted R</w:t>
            </w:r>
            <w:r w:rsidRPr="00187E00">
              <w:rPr>
                <w:vertAlign w:val="superscript"/>
              </w:rPr>
              <w:t>2</w:t>
            </w:r>
          </w:p>
        </w:tc>
      </w:tr>
      <w:tr w:rsidR="00707966" w:rsidRPr="00187E00" w:rsidTr="008F73E7">
        <w:tc>
          <w:tcPr>
            <w:tcW w:w="2268" w:type="dxa"/>
            <w:vAlign w:val="center"/>
          </w:tcPr>
          <w:p w:rsidR="00707966" w:rsidRPr="00187E00" w:rsidRDefault="00707966" w:rsidP="003D22F2">
            <w:pPr>
              <w:spacing w:line="276" w:lineRule="auto"/>
            </w:pPr>
            <w:r w:rsidRPr="00187E00">
              <w:t>Linear</w:t>
            </w:r>
          </w:p>
        </w:tc>
        <w:tc>
          <w:tcPr>
            <w:tcW w:w="2700" w:type="dxa"/>
            <w:gridSpan w:val="2"/>
            <w:vAlign w:val="center"/>
          </w:tcPr>
          <w:p w:rsidR="00707966" w:rsidRPr="00187E00" w:rsidRDefault="00707966" w:rsidP="003D22F2">
            <w:pPr>
              <w:spacing w:line="276" w:lineRule="auto"/>
              <w:jc w:val="center"/>
            </w:pPr>
            <w:r w:rsidRPr="00187E00">
              <w:t>0.7212</w:t>
            </w:r>
          </w:p>
        </w:tc>
        <w:tc>
          <w:tcPr>
            <w:tcW w:w="2340" w:type="dxa"/>
            <w:gridSpan w:val="2"/>
            <w:vAlign w:val="center"/>
          </w:tcPr>
          <w:p w:rsidR="00707966" w:rsidRPr="00187E00" w:rsidRDefault="00707966" w:rsidP="003D22F2">
            <w:pPr>
              <w:spacing w:line="276" w:lineRule="auto"/>
              <w:jc w:val="center"/>
            </w:pPr>
            <w:r w:rsidRPr="00187E00">
              <w:t>0.5013</w:t>
            </w:r>
          </w:p>
        </w:tc>
      </w:tr>
      <w:tr w:rsidR="00707966" w:rsidRPr="00187E00" w:rsidTr="008F73E7">
        <w:tc>
          <w:tcPr>
            <w:tcW w:w="2268" w:type="dxa"/>
            <w:vAlign w:val="center"/>
          </w:tcPr>
          <w:p w:rsidR="00707966" w:rsidRPr="00187E00" w:rsidRDefault="00707966" w:rsidP="003D22F2">
            <w:pPr>
              <w:spacing w:line="276" w:lineRule="auto"/>
            </w:pPr>
            <w:r w:rsidRPr="00187E00">
              <w:t>2FI</w:t>
            </w:r>
          </w:p>
        </w:tc>
        <w:tc>
          <w:tcPr>
            <w:tcW w:w="2700" w:type="dxa"/>
            <w:gridSpan w:val="2"/>
            <w:vAlign w:val="center"/>
          </w:tcPr>
          <w:p w:rsidR="00707966" w:rsidRPr="00187E00" w:rsidRDefault="00707966" w:rsidP="003D22F2">
            <w:pPr>
              <w:spacing w:line="276" w:lineRule="auto"/>
              <w:jc w:val="center"/>
            </w:pPr>
            <w:r w:rsidRPr="00187E00">
              <w:t>0.7229</w:t>
            </w:r>
          </w:p>
        </w:tc>
        <w:tc>
          <w:tcPr>
            <w:tcW w:w="2340" w:type="dxa"/>
            <w:gridSpan w:val="2"/>
            <w:vAlign w:val="center"/>
          </w:tcPr>
          <w:p w:rsidR="00707966" w:rsidRPr="00187E00" w:rsidRDefault="00707966" w:rsidP="003D22F2">
            <w:pPr>
              <w:spacing w:line="276" w:lineRule="auto"/>
              <w:jc w:val="center"/>
            </w:pPr>
            <w:r w:rsidRPr="00187E00">
              <w:t>0.0023</w:t>
            </w:r>
          </w:p>
        </w:tc>
      </w:tr>
      <w:tr w:rsidR="00707966" w:rsidRPr="00187E00" w:rsidTr="008F73E7">
        <w:tc>
          <w:tcPr>
            <w:tcW w:w="2268" w:type="dxa"/>
            <w:vAlign w:val="center"/>
          </w:tcPr>
          <w:p w:rsidR="00707966" w:rsidRPr="00187E00" w:rsidRDefault="00707966" w:rsidP="003D22F2">
            <w:pPr>
              <w:spacing w:line="276" w:lineRule="auto"/>
              <w:rPr>
                <w:b/>
              </w:rPr>
            </w:pPr>
            <w:r w:rsidRPr="00187E00">
              <w:rPr>
                <w:b/>
              </w:rPr>
              <w:t>Quadratic</w:t>
            </w:r>
          </w:p>
        </w:tc>
        <w:tc>
          <w:tcPr>
            <w:tcW w:w="2700" w:type="dxa"/>
            <w:gridSpan w:val="2"/>
            <w:vAlign w:val="center"/>
          </w:tcPr>
          <w:p w:rsidR="00707966" w:rsidRPr="00187E00" w:rsidRDefault="00707966" w:rsidP="003D22F2">
            <w:pPr>
              <w:spacing w:line="276" w:lineRule="auto"/>
              <w:jc w:val="center"/>
              <w:rPr>
                <w:b/>
              </w:rPr>
            </w:pPr>
            <w:r w:rsidRPr="00187E00">
              <w:rPr>
                <w:b/>
              </w:rPr>
              <w:t>0.9916</w:t>
            </w:r>
          </w:p>
        </w:tc>
        <w:tc>
          <w:tcPr>
            <w:tcW w:w="2340" w:type="dxa"/>
            <w:gridSpan w:val="2"/>
            <w:vAlign w:val="center"/>
          </w:tcPr>
          <w:p w:rsidR="00707966" w:rsidRPr="00187E00" w:rsidRDefault="00707966" w:rsidP="003D22F2">
            <w:pPr>
              <w:spacing w:line="276" w:lineRule="auto"/>
              <w:jc w:val="center"/>
              <w:rPr>
                <w:b/>
              </w:rPr>
            </w:pPr>
            <w:r w:rsidRPr="00187E00">
              <w:rPr>
                <w:b/>
              </w:rPr>
              <w:t>0.9619</w:t>
            </w:r>
          </w:p>
        </w:tc>
      </w:tr>
      <w:tr w:rsidR="00707966" w:rsidRPr="00187E00" w:rsidTr="008F73E7">
        <w:tc>
          <w:tcPr>
            <w:tcW w:w="2268" w:type="dxa"/>
            <w:vAlign w:val="center"/>
          </w:tcPr>
          <w:p w:rsidR="00707966" w:rsidRPr="00187E00" w:rsidRDefault="00707966" w:rsidP="003D22F2">
            <w:pPr>
              <w:spacing w:line="276" w:lineRule="auto"/>
            </w:pPr>
            <w:r w:rsidRPr="00187E00">
              <w:t>Cubic</w:t>
            </w:r>
          </w:p>
        </w:tc>
        <w:tc>
          <w:tcPr>
            <w:tcW w:w="2700" w:type="dxa"/>
            <w:gridSpan w:val="2"/>
            <w:vAlign w:val="center"/>
          </w:tcPr>
          <w:p w:rsidR="00707966" w:rsidRPr="00187E00" w:rsidRDefault="00707966" w:rsidP="003D22F2">
            <w:pPr>
              <w:spacing w:line="276" w:lineRule="auto"/>
              <w:jc w:val="center"/>
            </w:pPr>
            <w:r w:rsidRPr="00187E00">
              <w:t>0.9959</w:t>
            </w:r>
          </w:p>
        </w:tc>
        <w:tc>
          <w:tcPr>
            <w:tcW w:w="2340" w:type="dxa"/>
            <w:gridSpan w:val="2"/>
            <w:vAlign w:val="center"/>
          </w:tcPr>
          <w:p w:rsidR="00707966" w:rsidRPr="00187E00" w:rsidRDefault="00707966" w:rsidP="003D22F2">
            <w:pPr>
              <w:spacing w:line="276" w:lineRule="auto"/>
              <w:jc w:val="center"/>
            </w:pPr>
            <w:r w:rsidRPr="00187E00">
              <w:t>0.9325</w:t>
            </w:r>
          </w:p>
        </w:tc>
      </w:tr>
    </w:tbl>
    <w:p w:rsidR="00707966" w:rsidRPr="00053BAC" w:rsidRDefault="00707966" w:rsidP="00707966">
      <w:r w:rsidRPr="00187E00">
        <w:rPr>
          <w:b/>
          <w:vertAlign w:val="superscript"/>
        </w:rPr>
        <w:t>a</w:t>
      </w:r>
      <w:r w:rsidRPr="00187E00">
        <w:t>Cubic model is aliased and hence is not selected</w:t>
      </w:r>
      <w:r>
        <w:t>.</w:t>
      </w: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1258D2" w:rsidRDefault="001258D2" w:rsidP="009871EB">
      <w:pPr>
        <w:spacing w:line="360" w:lineRule="auto"/>
        <w:rPr>
          <w:bCs/>
        </w:rPr>
      </w:pPr>
    </w:p>
    <w:p w:rsidR="00C72F1C" w:rsidRPr="00007FF4" w:rsidRDefault="002F64CE" w:rsidP="009871EB">
      <w:pPr>
        <w:spacing w:line="360" w:lineRule="auto"/>
        <w:rPr>
          <w:bCs/>
        </w:rPr>
      </w:pPr>
      <w:r w:rsidRPr="00007FF4">
        <w:rPr>
          <w:bCs/>
        </w:rPr>
        <w:lastRenderedPageBreak/>
        <w:t>The model and the model terms like X</w:t>
      </w:r>
      <w:r w:rsidRPr="00007FF4">
        <w:rPr>
          <w:bCs/>
          <w:vertAlign w:val="subscript"/>
        </w:rPr>
        <w:t>1</w:t>
      </w:r>
      <w:r w:rsidRPr="00007FF4">
        <w:rPr>
          <w:bCs/>
        </w:rPr>
        <w:t>, X</w:t>
      </w:r>
      <w:r w:rsidRPr="00007FF4">
        <w:rPr>
          <w:bCs/>
          <w:vertAlign w:val="subscript"/>
        </w:rPr>
        <w:t>1</w:t>
      </w:r>
      <w:r w:rsidRPr="00007FF4">
        <w:rPr>
          <w:bCs/>
        </w:rPr>
        <w:t>X</w:t>
      </w:r>
      <w:r w:rsidRPr="00007FF4">
        <w:rPr>
          <w:bCs/>
          <w:vertAlign w:val="subscript"/>
        </w:rPr>
        <w:t>2</w:t>
      </w:r>
      <w:r w:rsidRPr="00007FF4">
        <w:rPr>
          <w:bCs/>
        </w:rPr>
        <w:t>, X</w:t>
      </w:r>
      <w:r w:rsidRPr="00007FF4">
        <w:rPr>
          <w:bCs/>
          <w:vertAlign w:val="subscript"/>
        </w:rPr>
        <w:t>1</w:t>
      </w:r>
      <w:r w:rsidRPr="00007FF4">
        <w:rPr>
          <w:bCs/>
          <w:vertAlign w:val="superscript"/>
        </w:rPr>
        <w:t xml:space="preserve">2 </w:t>
      </w:r>
      <w:r w:rsidRPr="00007FF4">
        <w:rPr>
          <w:bCs/>
        </w:rPr>
        <w:t>and X</w:t>
      </w:r>
      <w:r w:rsidRPr="00007FF4">
        <w:rPr>
          <w:bCs/>
          <w:vertAlign w:val="subscript"/>
        </w:rPr>
        <w:t>2</w:t>
      </w:r>
      <w:r w:rsidRPr="00007FF4">
        <w:rPr>
          <w:bCs/>
          <w:vertAlign w:val="superscript"/>
        </w:rPr>
        <w:t xml:space="preserve">2 </w:t>
      </w:r>
      <w:r w:rsidRPr="00007FF4">
        <w:rPr>
          <w:bCs/>
        </w:rPr>
        <w:t>are significant as understood by the analysis of variance (ANOVA) for the response su</w:t>
      </w:r>
      <w:r w:rsidR="00010977" w:rsidRPr="00007FF4">
        <w:rPr>
          <w:bCs/>
        </w:rPr>
        <w:t>rface quadratic model (Table 5</w:t>
      </w:r>
      <w:r w:rsidRPr="00007FF4">
        <w:rPr>
          <w:bCs/>
        </w:rPr>
        <w:t>).</w:t>
      </w:r>
      <w:r w:rsidR="0026269F" w:rsidRPr="00007FF4">
        <w:rPr>
          <w:bCs/>
        </w:rPr>
        <w:t xml:space="preserve"> </w:t>
      </w:r>
      <w:r w:rsidR="007163E2" w:rsidRPr="00007FF4">
        <w:rPr>
          <w:bCs/>
        </w:rPr>
        <w:t>The fitted polynomial equations relating the responses were generated u</w:t>
      </w:r>
      <w:r w:rsidR="007B35AA" w:rsidRPr="00007FF4">
        <w:rPr>
          <w:bCs/>
        </w:rPr>
        <w:t xml:space="preserve">sing </w:t>
      </w:r>
      <w:r w:rsidR="00A564D6" w:rsidRPr="00007FF4">
        <w:rPr>
          <w:bCs/>
        </w:rPr>
        <w:t>Design Expert</w:t>
      </w:r>
      <w:r w:rsidR="007B35AA" w:rsidRPr="00007FF4">
        <w:rPr>
          <w:bCs/>
        </w:rPr>
        <w:t xml:space="preserve"> </w:t>
      </w:r>
      <w:r w:rsidR="00A564D6" w:rsidRPr="00007FF4">
        <w:rPr>
          <w:bCs/>
        </w:rPr>
        <w:t>software and are given below.</w:t>
      </w:r>
    </w:p>
    <w:p w:rsidR="008F7731" w:rsidRPr="00007FF4" w:rsidRDefault="008F7731" w:rsidP="009871EB">
      <w:pPr>
        <w:spacing w:line="360" w:lineRule="auto"/>
        <w:rPr>
          <w:bCs/>
          <w:vertAlign w:val="superscript"/>
        </w:rPr>
      </w:pPr>
      <w:r w:rsidRPr="00007FF4">
        <w:rPr>
          <w:bCs/>
        </w:rPr>
        <w:t xml:space="preserve">Particle Size = +205.93 -60.49 * </w:t>
      </w:r>
      <w:r w:rsidR="009B742A" w:rsidRPr="00007FF4">
        <w:rPr>
          <w:bCs/>
        </w:rPr>
        <w:t>X</w:t>
      </w:r>
      <w:r w:rsidR="009B742A" w:rsidRPr="00007FF4">
        <w:rPr>
          <w:bCs/>
          <w:vertAlign w:val="subscript"/>
        </w:rPr>
        <w:t>1</w:t>
      </w:r>
      <w:r w:rsidRPr="00007FF4">
        <w:rPr>
          <w:bCs/>
        </w:rPr>
        <w:t xml:space="preserve"> -2.49 * </w:t>
      </w:r>
      <w:r w:rsidR="009B742A" w:rsidRPr="00007FF4">
        <w:rPr>
          <w:bCs/>
        </w:rPr>
        <w:t>X</w:t>
      </w:r>
      <w:r w:rsidR="009B742A" w:rsidRPr="00007FF4">
        <w:rPr>
          <w:bCs/>
          <w:vertAlign w:val="subscript"/>
        </w:rPr>
        <w:t>2</w:t>
      </w:r>
      <w:r w:rsidRPr="00007FF4">
        <w:rPr>
          <w:bCs/>
        </w:rPr>
        <w:t xml:space="preserve"> +13.24 * </w:t>
      </w:r>
      <w:r w:rsidR="009B742A" w:rsidRPr="00007FF4">
        <w:rPr>
          <w:bCs/>
        </w:rPr>
        <w:t>X</w:t>
      </w:r>
      <w:r w:rsidR="009B742A" w:rsidRPr="00007FF4">
        <w:rPr>
          <w:bCs/>
          <w:vertAlign w:val="subscript"/>
        </w:rPr>
        <w:t>1</w:t>
      </w:r>
      <w:r w:rsidR="009B742A" w:rsidRPr="00007FF4">
        <w:rPr>
          <w:bCs/>
        </w:rPr>
        <w:t>X</w:t>
      </w:r>
      <w:r w:rsidR="009B742A" w:rsidRPr="00007FF4">
        <w:rPr>
          <w:bCs/>
          <w:vertAlign w:val="subscript"/>
        </w:rPr>
        <w:t>2</w:t>
      </w:r>
      <w:r w:rsidRPr="00007FF4">
        <w:rPr>
          <w:bCs/>
        </w:rPr>
        <w:t xml:space="preserve">+37.74 * </w:t>
      </w:r>
      <w:r w:rsidR="009B742A" w:rsidRPr="00007FF4">
        <w:rPr>
          <w:bCs/>
        </w:rPr>
        <w:t>X</w:t>
      </w:r>
      <w:r w:rsidR="009B742A" w:rsidRPr="00007FF4">
        <w:rPr>
          <w:bCs/>
          <w:vertAlign w:val="subscript"/>
        </w:rPr>
        <w:t>1</w:t>
      </w:r>
      <w:r w:rsidR="009B742A" w:rsidRPr="00007FF4">
        <w:rPr>
          <w:bCs/>
          <w:vertAlign w:val="superscript"/>
        </w:rPr>
        <w:t>2</w:t>
      </w:r>
      <w:r w:rsidRPr="00007FF4">
        <w:rPr>
          <w:bCs/>
        </w:rPr>
        <w:t xml:space="preserve"> +9.74 * </w:t>
      </w:r>
      <w:r w:rsidR="009B742A" w:rsidRPr="00007FF4">
        <w:rPr>
          <w:bCs/>
        </w:rPr>
        <w:t>X</w:t>
      </w:r>
      <w:r w:rsidR="009B742A" w:rsidRPr="00007FF4">
        <w:rPr>
          <w:bCs/>
          <w:vertAlign w:val="subscript"/>
        </w:rPr>
        <w:t>2</w:t>
      </w:r>
      <w:r w:rsidR="009B742A" w:rsidRPr="00007FF4">
        <w:rPr>
          <w:bCs/>
          <w:vertAlign w:val="superscript"/>
        </w:rPr>
        <w:t>2</w:t>
      </w: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1258D2" w:rsidRDefault="001258D2" w:rsidP="009871EB">
      <w:pPr>
        <w:spacing w:line="360" w:lineRule="auto"/>
        <w:rPr>
          <w:b/>
        </w:rPr>
      </w:pPr>
    </w:p>
    <w:p w:rsidR="00397C16" w:rsidRPr="00007FF4" w:rsidRDefault="00010977" w:rsidP="009871EB">
      <w:pPr>
        <w:spacing w:line="360" w:lineRule="auto"/>
        <w:rPr>
          <w:b/>
        </w:rPr>
      </w:pPr>
      <w:r w:rsidRPr="00007FF4">
        <w:rPr>
          <w:b/>
        </w:rPr>
        <w:t>T</w:t>
      </w:r>
      <w:r w:rsidR="00F11C26" w:rsidRPr="00007FF4">
        <w:rPr>
          <w:b/>
        </w:rPr>
        <w:t>able</w:t>
      </w:r>
      <w:r w:rsidRPr="00007FF4">
        <w:rPr>
          <w:b/>
        </w:rPr>
        <w:t xml:space="preserve"> 5</w:t>
      </w:r>
      <w:r w:rsidR="00F11C26">
        <w:rPr>
          <w:b/>
        </w:rPr>
        <w:t xml:space="preserve">: </w:t>
      </w:r>
      <w:r w:rsidR="00397C16" w:rsidRPr="00007FF4">
        <w:rPr>
          <w:b/>
        </w:rPr>
        <w:t>Analysis of variance</w:t>
      </w:r>
    </w:p>
    <w:tbl>
      <w:tblPr>
        <w:tblStyle w:val="TableGrid"/>
        <w:tblW w:w="4625" w:type="pct"/>
        <w:tblLayout w:type="fixed"/>
        <w:tblLook w:val="04A0" w:firstRow="1" w:lastRow="0" w:firstColumn="1" w:lastColumn="0" w:noHBand="0" w:noVBand="1"/>
      </w:tblPr>
      <w:tblGrid>
        <w:gridCol w:w="957"/>
        <w:gridCol w:w="1171"/>
        <w:gridCol w:w="1142"/>
        <w:gridCol w:w="1143"/>
        <w:gridCol w:w="1316"/>
        <w:gridCol w:w="1228"/>
        <w:gridCol w:w="1692"/>
      </w:tblGrid>
      <w:tr w:rsidR="00F11C26" w:rsidRPr="00187E00" w:rsidTr="005156A1">
        <w:trPr>
          <w:trHeight w:val="458"/>
        </w:trPr>
        <w:tc>
          <w:tcPr>
            <w:tcW w:w="2551" w:type="pct"/>
            <w:gridSpan w:val="4"/>
            <w:vAlign w:val="center"/>
          </w:tcPr>
          <w:p w:rsidR="00F11C26" w:rsidRPr="00187E00" w:rsidRDefault="00F11C26" w:rsidP="005156A1">
            <w:pPr>
              <w:spacing w:line="240" w:lineRule="auto"/>
              <w:jc w:val="center"/>
              <w:rPr>
                <w:b/>
              </w:rPr>
            </w:pPr>
            <w:r w:rsidRPr="00187E00">
              <w:t>Response Surface Quadratic model</w:t>
            </w:r>
          </w:p>
        </w:tc>
        <w:tc>
          <w:tcPr>
            <w:tcW w:w="2449" w:type="pct"/>
            <w:gridSpan w:val="3"/>
            <w:vAlign w:val="center"/>
          </w:tcPr>
          <w:p w:rsidR="00F11C26" w:rsidRPr="00187E00" w:rsidRDefault="00F11C26" w:rsidP="005156A1">
            <w:pPr>
              <w:spacing w:line="240" w:lineRule="auto"/>
              <w:jc w:val="center"/>
            </w:pPr>
            <w:r w:rsidRPr="00187E00">
              <w:t xml:space="preserve">Standardized mean effect </w:t>
            </w:r>
          </w:p>
        </w:tc>
      </w:tr>
      <w:tr w:rsidR="00F11C26" w:rsidRPr="00187E00" w:rsidTr="008F73E7">
        <w:trPr>
          <w:trHeight w:val="746"/>
        </w:trPr>
        <w:tc>
          <w:tcPr>
            <w:tcW w:w="553" w:type="pct"/>
          </w:tcPr>
          <w:p w:rsidR="00F11C26" w:rsidRPr="00A34E12" w:rsidRDefault="00F11C26" w:rsidP="005156A1">
            <w:pPr>
              <w:spacing w:line="276" w:lineRule="auto"/>
              <w:rPr>
                <w:bCs/>
              </w:rPr>
            </w:pPr>
            <w:r w:rsidRPr="00A34E12">
              <w:rPr>
                <w:bCs/>
              </w:rPr>
              <w:t>Source</w:t>
            </w:r>
          </w:p>
        </w:tc>
        <w:tc>
          <w:tcPr>
            <w:tcW w:w="677" w:type="pct"/>
          </w:tcPr>
          <w:p w:rsidR="00F11C26" w:rsidRPr="00A34E12" w:rsidRDefault="00F11C26" w:rsidP="005156A1">
            <w:pPr>
              <w:spacing w:line="276" w:lineRule="auto"/>
              <w:rPr>
                <w:vertAlign w:val="superscript"/>
              </w:rPr>
            </w:pPr>
            <w:r w:rsidRPr="00A34E12">
              <w:rPr>
                <w:bCs/>
              </w:rPr>
              <w:t>Sum of Squares</w:t>
            </w:r>
          </w:p>
        </w:tc>
        <w:tc>
          <w:tcPr>
            <w:tcW w:w="660" w:type="pct"/>
          </w:tcPr>
          <w:p w:rsidR="00F11C26" w:rsidRPr="00A34E12" w:rsidRDefault="00F11C26" w:rsidP="005156A1">
            <w:pPr>
              <w:spacing w:line="276" w:lineRule="auto"/>
              <w:rPr>
                <w:bCs/>
              </w:rPr>
            </w:pPr>
            <w:r w:rsidRPr="00A34E12">
              <w:rPr>
                <w:bCs/>
              </w:rPr>
              <w:t>F-Value</w:t>
            </w:r>
          </w:p>
        </w:tc>
        <w:tc>
          <w:tcPr>
            <w:tcW w:w="661" w:type="pct"/>
          </w:tcPr>
          <w:p w:rsidR="00F11C26" w:rsidRPr="00A34E12" w:rsidRDefault="00F11C26" w:rsidP="005156A1">
            <w:pPr>
              <w:spacing w:line="276" w:lineRule="auto"/>
            </w:pPr>
            <w:r w:rsidRPr="00A34E12">
              <w:t>p-Value*</w:t>
            </w:r>
          </w:p>
        </w:tc>
        <w:tc>
          <w:tcPr>
            <w:tcW w:w="761" w:type="pct"/>
            <w:vAlign w:val="center"/>
          </w:tcPr>
          <w:p w:rsidR="00F11C26" w:rsidRPr="00A34E12" w:rsidRDefault="00F11C26" w:rsidP="005156A1">
            <w:pPr>
              <w:spacing w:line="276" w:lineRule="auto"/>
              <w:rPr>
                <w:bCs/>
              </w:rPr>
            </w:pPr>
            <w:r w:rsidRPr="00A34E12">
              <w:rPr>
                <w:bCs/>
              </w:rPr>
              <w:t>Coefficient Estimate</w:t>
            </w:r>
          </w:p>
        </w:tc>
        <w:tc>
          <w:tcPr>
            <w:tcW w:w="710" w:type="pct"/>
            <w:vAlign w:val="center"/>
          </w:tcPr>
          <w:p w:rsidR="00F11C26" w:rsidRPr="00A34E12" w:rsidRDefault="00F11C26" w:rsidP="005156A1">
            <w:pPr>
              <w:spacing w:line="276" w:lineRule="auto"/>
              <w:rPr>
                <w:bCs/>
              </w:rPr>
            </w:pPr>
            <w:r w:rsidRPr="00A34E12">
              <w:rPr>
                <w:bCs/>
              </w:rPr>
              <w:t>Standard Error</w:t>
            </w:r>
          </w:p>
        </w:tc>
        <w:tc>
          <w:tcPr>
            <w:tcW w:w="978" w:type="pct"/>
            <w:vAlign w:val="center"/>
          </w:tcPr>
          <w:p w:rsidR="00F11C26" w:rsidRPr="00A34E12" w:rsidRDefault="00F11C26" w:rsidP="005156A1">
            <w:pPr>
              <w:spacing w:line="276" w:lineRule="auto"/>
            </w:pPr>
            <w:r w:rsidRPr="00A34E12">
              <w:t xml:space="preserve">Standardized mean effect </w:t>
            </w:r>
          </w:p>
        </w:tc>
      </w:tr>
      <w:tr w:rsidR="00F11C26" w:rsidRPr="00187E00" w:rsidTr="008F73E7">
        <w:trPr>
          <w:trHeight w:val="471"/>
        </w:trPr>
        <w:tc>
          <w:tcPr>
            <w:tcW w:w="553" w:type="pct"/>
            <w:vAlign w:val="center"/>
          </w:tcPr>
          <w:p w:rsidR="00F11C26" w:rsidRPr="00187E00" w:rsidRDefault="00F11C26" w:rsidP="005156A1">
            <w:pPr>
              <w:spacing w:line="276" w:lineRule="auto"/>
            </w:pPr>
            <w:r w:rsidRPr="00187E00">
              <w:t>Model</w:t>
            </w:r>
          </w:p>
        </w:tc>
        <w:tc>
          <w:tcPr>
            <w:tcW w:w="677" w:type="pct"/>
            <w:vAlign w:val="center"/>
          </w:tcPr>
          <w:p w:rsidR="00F11C26" w:rsidRPr="00187E00" w:rsidRDefault="00F11C26" w:rsidP="005156A1">
            <w:pPr>
              <w:spacing w:line="276" w:lineRule="auto"/>
            </w:pPr>
            <w:r w:rsidRPr="00187E00">
              <w:t>28514.77</w:t>
            </w:r>
          </w:p>
        </w:tc>
        <w:tc>
          <w:tcPr>
            <w:tcW w:w="660" w:type="pct"/>
            <w:vAlign w:val="center"/>
          </w:tcPr>
          <w:p w:rsidR="00F11C26" w:rsidRPr="00187E00" w:rsidRDefault="00F11C26" w:rsidP="005156A1">
            <w:pPr>
              <w:spacing w:line="276" w:lineRule="auto"/>
            </w:pPr>
            <w:r w:rsidRPr="00187E00">
              <w:t>283.28</w:t>
            </w:r>
          </w:p>
        </w:tc>
        <w:tc>
          <w:tcPr>
            <w:tcW w:w="661" w:type="pct"/>
            <w:vAlign w:val="center"/>
          </w:tcPr>
          <w:p w:rsidR="00F11C26" w:rsidRPr="00187E00" w:rsidRDefault="00F11C26" w:rsidP="005156A1">
            <w:pPr>
              <w:spacing w:line="276" w:lineRule="auto"/>
            </w:pPr>
            <w:r w:rsidRPr="00187E00">
              <w:t>&lt; 0.0001</w:t>
            </w:r>
          </w:p>
        </w:tc>
        <w:tc>
          <w:tcPr>
            <w:tcW w:w="761" w:type="pct"/>
            <w:vAlign w:val="center"/>
          </w:tcPr>
          <w:p w:rsidR="00F11C26" w:rsidRPr="00187E00" w:rsidRDefault="00F11C26" w:rsidP="005156A1">
            <w:pPr>
              <w:spacing w:line="276" w:lineRule="auto"/>
              <w:jc w:val="center"/>
            </w:pPr>
            <w:r w:rsidRPr="00187E00">
              <w:t>205.93</w:t>
            </w:r>
          </w:p>
        </w:tc>
        <w:tc>
          <w:tcPr>
            <w:tcW w:w="710" w:type="pct"/>
            <w:vAlign w:val="center"/>
          </w:tcPr>
          <w:p w:rsidR="00F11C26" w:rsidRPr="00187E00" w:rsidRDefault="00F11C26" w:rsidP="005156A1">
            <w:pPr>
              <w:spacing w:line="276" w:lineRule="auto"/>
              <w:jc w:val="center"/>
            </w:pPr>
            <w:r w:rsidRPr="00187E00">
              <w:t>1.86</w:t>
            </w:r>
          </w:p>
        </w:tc>
        <w:tc>
          <w:tcPr>
            <w:tcW w:w="978" w:type="pct"/>
            <w:vAlign w:val="center"/>
          </w:tcPr>
          <w:p w:rsidR="00F11C26" w:rsidRPr="00187E00" w:rsidRDefault="00F11C26" w:rsidP="005156A1">
            <w:pPr>
              <w:spacing w:line="276" w:lineRule="auto"/>
              <w:jc w:val="center"/>
            </w:pPr>
            <w:r w:rsidRPr="00187E00">
              <w:t>110.71</w:t>
            </w:r>
          </w:p>
        </w:tc>
      </w:tr>
      <w:tr w:rsidR="00F11C26" w:rsidRPr="00187E00" w:rsidTr="008F73E7">
        <w:trPr>
          <w:trHeight w:val="452"/>
        </w:trPr>
        <w:tc>
          <w:tcPr>
            <w:tcW w:w="553" w:type="pct"/>
            <w:vAlign w:val="center"/>
          </w:tcPr>
          <w:p w:rsidR="00F11C26" w:rsidRPr="00187E00" w:rsidRDefault="00F11C26" w:rsidP="005156A1">
            <w:pPr>
              <w:spacing w:line="276" w:lineRule="auto"/>
              <w:rPr>
                <w:iCs/>
              </w:rPr>
            </w:pPr>
            <w:r w:rsidRPr="00187E00">
              <w:rPr>
                <w:iCs/>
              </w:rPr>
              <w:t>A</w:t>
            </w:r>
          </w:p>
        </w:tc>
        <w:tc>
          <w:tcPr>
            <w:tcW w:w="677" w:type="pct"/>
            <w:vAlign w:val="center"/>
          </w:tcPr>
          <w:p w:rsidR="00F11C26" w:rsidRPr="00187E00" w:rsidRDefault="00F11C26" w:rsidP="005156A1">
            <w:pPr>
              <w:spacing w:line="276" w:lineRule="auto"/>
              <w:rPr>
                <w:iCs/>
              </w:rPr>
            </w:pPr>
            <w:r w:rsidRPr="00187E00">
              <w:rPr>
                <w:iCs/>
              </w:rPr>
              <w:t>21961.50</w:t>
            </w:r>
          </w:p>
        </w:tc>
        <w:tc>
          <w:tcPr>
            <w:tcW w:w="660" w:type="pct"/>
            <w:vAlign w:val="center"/>
          </w:tcPr>
          <w:p w:rsidR="00F11C26" w:rsidRPr="00187E00" w:rsidRDefault="00F11C26" w:rsidP="005156A1">
            <w:pPr>
              <w:spacing w:line="276" w:lineRule="auto"/>
              <w:rPr>
                <w:iCs/>
              </w:rPr>
            </w:pPr>
            <w:r w:rsidRPr="00187E00">
              <w:rPr>
                <w:iCs/>
              </w:rPr>
              <w:t>1090.89</w:t>
            </w:r>
          </w:p>
        </w:tc>
        <w:tc>
          <w:tcPr>
            <w:tcW w:w="661" w:type="pct"/>
            <w:vAlign w:val="center"/>
          </w:tcPr>
          <w:p w:rsidR="00F11C26" w:rsidRPr="00187E00" w:rsidRDefault="00F11C26" w:rsidP="005156A1">
            <w:pPr>
              <w:spacing w:line="276" w:lineRule="auto"/>
              <w:rPr>
                <w:iCs/>
              </w:rPr>
            </w:pPr>
            <w:r w:rsidRPr="00187E00">
              <w:rPr>
                <w:iCs/>
              </w:rPr>
              <w:t>&lt; 0.0001</w:t>
            </w:r>
          </w:p>
        </w:tc>
        <w:tc>
          <w:tcPr>
            <w:tcW w:w="761" w:type="pct"/>
            <w:vAlign w:val="center"/>
          </w:tcPr>
          <w:p w:rsidR="00F11C26" w:rsidRPr="00187E00" w:rsidRDefault="00F11C26" w:rsidP="005156A1">
            <w:pPr>
              <w:spacing w:line="276" w:lineRule="auto"/>
              <w:jc w:val="center"/>
            </w:pPr>
            <w:r w:rsidRPr="00187E00">
              <w:t>-60.50</w:t>
            </w:r>
          </w:p>
        </w:tc>
        <w:tc>
          <w:tcPr>
            <w:tcW w:w="710" w:type="pct"/>
            <w:vAlign w:val="center"/>
          </w:tcPr>
          <w:p w:rsidR="00F11C26" w:rsidRPr="00187E00" w:rsidRDefault="00F11C26" w:rsidP="005156A1">
            <w:pPr>
              <w:spacing w:line="276" w:lineRule="auto"/>
              <w:jc w:val="center"/>
            </w:pPr>
            <w:r w:rsidRPr="00187E00">
              <w:t>1.83</w:t>
            </w:r>
          </w:p>
        </w:tc>
        <w:tc>
          <w:tcPr>
            <w:tcW w:w="978" w:type="pct"/>
            <w:vAlign w:val="center"/>
          </w:tcPr>
          <w:p w:rsidR="00F11C26" w:rsidRPr="00187E00" w:rsidRDefault="00F11C26" w:rsidP="005156A1">
            <w:pPr>
              <w:spacing w:line="276" w:lineRule="auto"/>
              <w:jc w:val="center"/>
            </w:pPr>
            <w:r w:rsidRPr="00187E00">
              <w:rPr>
                <w:iCs/>
              </w:rPr>
              <w:t>-33.06</w:t>
            </w:r>
          </w:p>
        </w:tc>
      </w:tr>
      <w:tr w:rsidR="00F11C26" w:rsidRPr="00187E00" w:rsidTr="008F73E7">
        <w:trPr>
          <w:trHeight w:val="452"/>
        </w:trPr>
        <w:tc>
          <w:tcPr>
            <w:tcW w:w="553" w:type="pct"/>
            <w:vAlign w:val="center"/>
          </w:tcPr>
          <w:p w:rsidR="00F11C26" w:rsidRPr="00187E00" w:rsidRDefault="00F11C26" w:rsidP="005156A1">
            <w:pPr>
              <w:spacing w:line="276" w:lineRule="auto"/>
              <w:rPr>
                <w:iCs/>
              </w:rPr>
            </w:pPr>
            <w:r w:rsidRPr="00187E00">
              <w:rPr>
                <w:iCs/>
              </w:rPr>
              <w:t>B</w:t>
            </w:r>
          </w:p>
        </w:tc>
        <w:tc>
          <w:tcPr>
            <w:tcW w:w="677" w:type="pct"/>
            <w:vAlign w:val="center"/>
          </w:tcPr>
          <w:p w:rsidR="00F11C26" w:rsidRPr="00187E00" w:rsidRDefault="00F11C26" w:rsidP="005156A1">
            <w:pPr>
              <w:spacing w:line="276" w:lineRule="auto"/>
              <w:rPr>
                <w:iCs/>
              </w:rPr>
            </w:pPr>
            <w:r w:rsidRPr="00187E00">
              <w:rPr>
                <w:iCs/>
              </w:rPr>
              <w:t>37.50</w:t>
            </w:r>
          </w:p>
        </w:tc>
        <w:tc>
          <w:tcPr>
            <w:tcW w:w="660" w:type="pct"/>
            <w:vAlign w:val="center"/>
          </w:tcPr>
          <w:p w:rsidR="00F11C26" w:rsidRPr="00187E00" w:rsidRDefault="00F11C26" w:rsidP="005156A1">
            <w:pPr>
              <w:spacing w:line="276" w:lineRule="auto"/>
              <w:rPr>
                <w:iCs/>
              </w:rPr>
            </w:pPr>
            <w:r w:rsidRPr="00187E00">
              <w:rPr>
                <w:iCs/>
              </w:rPr>
              <w:t>1.86</w:t>
            </w:r>
          </w:p>
        </w:tc>
        <w:tc>
          <w:tcPr>
            <w:tcW w:w="661" w:type="pct"/>
            <w:vAlign w:val="center"/>
          </w:tcPr>
          <w:p w:rsidR="00F11C26" w:rsidRPr="00187E00" w:rsidRDefault="00F11C26" w:rsidP="005156A1">
            <w:pPr>
              <w:spacing w:line="276" w:lineRule="auto"/>
              <w:rPr>
                <w:iCs/>
              </w:rPr>
            </w:pPr>
            <w:r w:rsidRPr="00187E00">
              <w:rPr>
                <w:iCs/>
              </w:rPr>
              <w:t>0.2146</w:t>
            </w:r>
          </w:p>
        </w:tc>
        <w:tc>
          <w:tcPr>
            <w:tcW w:w="761" w:type="pct"/>
            <w:vAlign w:val="center"/>
          </w:tcPr>
          <w:p w:rsidR="00F11C26" w:rsidRPr="00187E00" w:rsidRDefault="00F11C26" w:rsidP="005156A1">
            <w:pPr>
              <w:spacing w:line="276" w:lineRule="auto"/>
              <w:jc w:val="center"/>
            </w:pPr>
            <w:r w:rsidRPr="00187E00">
              <w:t>-2.50</w:t>
            </w:r>
          </w:p>
        </w:tc>
        <w:tc>
          <w:tcPr>
            <w:tcW w:w="710" w:type="pct"/>
            <w:vAlign w:val="center"/>
          </w:tcPr>
          <w:p w:rsidR="00F11C26" w:rsidRPr="00187E00" w:rsidRDefault="00F11C26" w:rsidP="005156A1">
            <w:pPr>
              <w:spacing w:line="276" w:lineRule="auto"/>
              <w:jc w:val="center"/>
            </w:pPr>
            <w:r w:rsidRPr="00187E00">
              <w:t>1.83</w:t>
            </w:r>
          </w:p>
        </w:tc>
        <w:tc>
          <w:tcPr>
            <w:tcW w:w="978" w:type="pct"/>
            <w:vAlign w:val="center"/>
          </w:tcPr>
          <w:p w:rsidR="00F11C26" w:rsidRPr="00187E00" w:rsidRDefault="00F11C26" w:rsidP="005156A1">
            <w:pPr>
              <w:spacing w:line="276" w:lineRule="auto"/>
              <w:jc w:val="center"/>
            </w:pPr>
            <w:r w:rsidRPr="00187E00">
              <w:rPr>
                <w:iCs/>
              </w:rPr>
              <w:t>-1.36</w:t>
            </w:r>
          </w:p>
        </w:tc>
      </w:tr>
      <w:tr w:rsidR="00F11C26" w:rsidRPr="00187E00" w:rsidTr="008F73E7">
        <w:trPr>
          <w:trHeight w:val="452"/>
        </w:trPr>
        <w:tc>
          <w:tcPr>
            <w:tcW w:w="553" w:type="pct"/>
            <w:vAlign w:val="center"/>
          </w:tcPr>
          <w:p w:rsidR="00F11C26" w:rsidRPr="00187E00" w:rsidRDefault="00F11C26" w:rsidP="005156A1">
            <w:pPr>
              <w:spacing w:line="276" w:lineRule="auto"/>
              <w:rPr>
                <w:iCs/>
              </w:rPr>
            </w:pPr>
            <w:r w:rsidRPr="00187E00">
              <w:rPr>
                <w:iCs/>
              </w:rPr>
              <w:t>AB</w:t>
            </w:r>
          </w:p>
        </w:tc>
        <w:tc>
          <w:tcPr>
            <w:tcW w:w="677" w:type="pct"/>
            <w:vAlign w:val="center"/>
          </w:tcPr>
          <w:p w:rsidR="00F11C26" w:rsidRPr="00187E00" w:rsidRDefault="00F11C26" w:rsidP="005156A1">
            <w:pPr>
              <w:spacing w:line="276" w:lineRule="auto"/>
              <w:rPr>
                <w:iCs/>
              </w:rPr>
            </w:pPr>
            <w:r w:rsidRPr="00187E00">
              <w:rPr>
                <w:iCs/>
              </w:rPr>
              <w:t>702.25</w:t>
            </w:r>
          </w:p>
        </w:tc>
        <w:tc>
          <w:tcPr>
            <w:tcW w:w="660" w:type="pct"/>
            <w:vAlign w:val="center"/>
          </w:tcPr>
          <w:p w:rsidR="00F11C26" w:rsidRPr="00187E00" w:rsidRDefault="00F11C26" w:rsidP="005156A1">
            <w:pPr>
              <w:spacing w:line="276" w:lineRule="auto"/>
              <w:rPr>
                <w:iCs/>
              </w:rPr>
            </w:pPr>
            <w:r w:rsidRPr="00187E00">
              <w:rPr>
                <w:iCs/>
              </w:rPr>
              <w:t>34.88</w:t>
            </w:r>
          </w:p>
        </w:tc>
        <w:tc>
          <w:tcPr>
            <w:tcW w:w="661" w:type="pct"/>
            <w:vAlign w:val="center"/>
          </w:tcPr>
          <w:p w:rsidR="00F11C26" w:rsidRPr="00187E00" w:rsidRDefault="00F11C26" w:rsidP="005156A1">
            <w:pPr>
              <w:spacing w:line="276" w:lineRule="auto"/>
              <w:rPr>
                <w:iCs/>
              </w:rPr>
            </w:pPr>
            <w:r w:rsidRPr="00187E00">
              <w:rPr>
                <w:iCs/>
              </w:rPr>
              <w:t>0.0006</w:t>
            </w:r>
          </w:p>
        </w:tc>
        <w:tc>
          <w:tcPr>
            <w:tcW w:w="761" w:type="pct"/>
            <w:vAlign w:val="center"/>
          </w:tcPr>
          <w:p w:rsidR="00F11C26" w:rsidRPr="00187E00" w:rsidRDefault="00F11C26" w:rsidP="005156A1">
            <w:pPr>
              <w:spacing w:line="276" w:lineRule="auto"/>
              <w:jc w:val="center"/>
            </w:pPr>
            <w:r w:rsidRPr="00187E00">
              <w:t>13.25</w:t>
            </w:r>
          </w:p>
        </w:tc>
        <w:tc>
          <w:tcPr>
            <w:tcW w:w="710" w:type="pct"/>
            <w:vAlign w:val="center"/>
          </w:tcPr>
          <w:p w:rsidR="00F11C26" w:rsidRPr="00187E00" w:rsidRDefault="00F11C26" w:rsidP="005156A1">
            <w:pPr>
              <w:spacing w:line="276" w:lineRule="auto"/>
              <w:jc w:val="center"/>
            </w:pPr>
            <w:r w:rsidRPr="00187E00">
              <w:t>2.24</w:t>
            </w:r>
          </w:p>
        </w:tc>
        <w:tc>
          <w:tcPr>
            <w:tcW w:w="978" w:type="pct"/>
            <w:vAlign w:val="center"/>
          </w:tcPr>
          <w:p w:rsidR="00F11C26" w:rsidRPr="00187E00" w:rsidRDefault="00F11C26" w:rsidP="005156A1">
            <w:pPr>
              <w:spacing w:line="276" w:lineRule="auto"/>
              <w:jc w:val="center"/>
            </w:pPr>
            <w:r w:rsidRPr="00187E00">
              <w:rPr>
                <w:iCs/>
              </w:rPr>
              <w:t>5.91</w:t>
            </w:r>
          </w:p>
        </w:tc>
      </w:tr>
      <w:tr w:rsidR="00F11C26" w:rsidRPr="00187E00" w:rsidTr="008F73E7">
        <w:trPr>
          <w:trHeight w:val="452"/>
        </w:trPr>
        <w:tc>
          <w:tcPr>
            <w:tcW w:w="553" w:type="pct"/>
            <w:vAlign w:val="center"/>
          </w:tcPr>
          <w:p w:rsidR="00F11C26" w:rsidRPr="00187E00" w:rsidRDefault="00F11C26" w:rsidP="005156A1">
            <w:pPr>
              <w:spacing w:line="276" w:lineRule="auto"/>
              <w:rPr>
                <w:iCs/>
              </w:rPr>
            </w:pPr>
            <w:r w:rsidRPr="00187E00">
              <w:rPr>
                <w:iCs/>
              </w:rPr>
              <w:t>A</w:t>
            </w:r>
            <w:r w:rsidRPr="00187E00">
              <w:rPr>
                <w:iCs/>
                <w:vertAlign w:val="superscript"/>
              </w:rPr>
              <w:t>2</w:t>
            </w:r>
          </w:p>
        </w:tc>
        <w:tc>
          <w:tcPr>
            <w:tcW w:w="677" w:type="pct"/>
            <w:vAlign w:val="center"/>
          </w:tcPr>
          <w:p w:rsidR="00F11C26" w:rsidRPr="00187E00" w:rsidRDefault="00F11C26" w:rsidP="005156A1">
            <w:pPr>
              <w:spacing w:line="276" w:lineRule="auto"/>
              <w:rPr>
                <w:iCs/>
              </w:rPr>
            </w:pPr>
            <w:r w:rsidRPr="00187E00">
              <w:rPr>
                <w:iCs/>
              </w:rPr>
              <w:t>3934.09</w:t>
            </w:r>
          </w:p>
        </w:tc>
        <w:tc>
          <w:tcPr>
            <w:tcW w:w="660" w:type="pct"/>
            <w:vAlign w:val="center"/>
          </w:tcPr>
          <w:p w:rsidR="00F11C26" w:rsidRPr="00187E00" w:rsidRDefault="00F11C26" w:rsidP="005156A1">
            <w:pPr>
              <w:spacing w:line="276" w:lineRule="auto"/>
              <w:rPr>
                <w:iCs/>
              </w:rPr>
            </w:pPr>
            <w:r w:rsidRPr="00187E00">
              <w:rPr>
                <w:iCs/>
              </w:rPr>
              <w:t>195.42</w:t>
            </w:r>
          </w:p>
        </w:tc>
        <w:tc>
          <w:tcPr>
            <w:tcW w:w="661" w:type="pct"/>
            <w:vAlign w:val="center"/>
          </w:tcPr>
          <w:p w:rsidR="00F11C26" w:rsidRPr="00187E00" w:rsidRDefault="00F11C26" w:rsidP="005156A1">
            <w:pPr>
              <w:spacing w:line="276" w:lineRule="auto"/>
              <w:rPr>
                <w:iCs/>
              </w:rPr>
            </w:pPr>
            <w:r w:rsidRPr="00187E00">
              <w:rPr>
                <w:iCs/>
              </w:rPr>
              <w:t>&lt; 0.0001</w:t>
            </w:r>
          </w:p>
        </w:tc>
        <w:tc>
          <w:tcPr>
            <w:tcW w:w="761" w:type="pct"/>
            <w:vAlign w:val="center"/>
          </w:tcPr>
          <w:p w:rsidR="00F11C26" w:rsidRPr="00187E00" w:rsidRDefault="00F11C26" w:rsidP="005156A1">
            <w:pPr>
              <w:spacing w:line="276" w:lineRule="auto"/>
              <w:jc w:val="center"/>
            </w:pPr>
            <w:r w:rsidRPr="00187E00">
              <w:t>37.74</w:t>
            </w:r>
          </w:p>
        </w:tc>
        <w:tc>
          <w:tcPr>
            <w:tcW w:w="710" w:type="pct"/>
            <w:vAlign w:val="center"/>
          </w:tcPr>
          <w:p w:rsidR="00F11C26" w:rsidRPr="00187E00" w:rsidRDefault="00F11C26" w:rsidP="005156A1">
            <w:pPr>
              <w:spacing w:line="276" w:lineRule="auto"/>
              <w:jc w:val="center"/>
            </w:pPr>
            <w:r w:rsidRPr="00187E00">
              <w:t>2.70</w:t>
            </w:r>
          </w:p>
        </w:tc>
        <w:tc>
          <w:tcPr>
            <w:tcW w:w="978" w:type="pct"/>
            <w:vAlign w:val="center"/>
          </w:tcPr>
          <w:p w:rsidR="00F11C26" w:rsidRPr="00187E00" w:rsidRDefault="00F11C26" w:rsidP="005156A1">
            <w:pPr>
              <w:spacing w:line="276" w:lineRule="auto"/>
              <w:jc w:val="center"/>
            </w:pPr>
            <w:r w:rsidRPr="00187E00">
              <w:rPr>
                <w:iCs/>
              </w:rPr>
              <w:t>13.97</w:t>
            </w:r>
          </w:p>
        </w:tc>
      </w:tr>
      <w:tr w:rsidR="00F11C26" w:rsidRPr="00187E00" w:rsidTr="008F73E7">
        <w:trPr>
          <w:trHeight w:val="471"/>
        </w:trPr>
        <w:tc>
          <w:tcPr>
            <w:tcW w:w="553" w:type="pct"/>
            <w:vAlign w:val="center"/>
          </w:tcPr>
          <w:p w:rsidR="00F11C26" w:rsidRPr="00187E00" w:rsidRDefault="00F11C26" w:rsidP="005156A1">
            <w:pPr>
              <w:spacing w:line="276" w:lineRule="auto"/>
              <w:rPr>
                <w:iCs/>
              </w:rPr>
            </w:pPr>
            <w:r w:rsidRPr="00187E00">
              <w:rPr>
                <w:iCs/>
              </w:rPr>
              <w:t>B</w:t>
            </w:r>
            <w:r w:rsidRPr="00187E00">
              <w:rPr>
                <w:iCs/>
                <w:vertAlign w:val="superscript"/>
              </w:rPr>
              <w:t>2</w:t>
            </w:r>
          </w:p>
        </w:tc>
        <w:tc>
          <w:tcPr>
            <w:tcW w:w="677" w:type="pct"/>
            <w:vAlign w:val="center"/>
          </w:tcPr>
          <w:p w:rsidR="00F11C26" w:rsidRPr="00187E00" w:rsidRDefault="00F11C26" w:rsidP="005156A1">
            <w:pPr>
              <w:spacing w:line="276" w:lineRule="auto"/>
              <w:rPr>
                <w:iCs/>
              </w:rPr>
            </w:pPr>
            <w:r w:rsidRPr="00187E00">
              <w:rPr>
                <w:iCs/>
              </w:rPr>
              <w:t>262.09</w:t>
            </w:r>
          </w:p>
        </w:tc>
        <w:tc>
          <w:tcPr>
            <w:tcW w:w="660" w:type="pct"/>
            <w:vAlign w:val="center"/>
          </w:tcPr>
          <w:p w:rsidR="00F11C26" w:rsidRPr="00187E00" w:rsidRDefault="00F11C26" w:rsidP="005156A1">
            <w:pPr>
              <w:spacing w:line="276" w:lineRule="auto"/>
              <w:rPr>
                <w:iCs/>
              </w:rPr>
            </w:pPr>
            <w:r w:rsidRPr="00187E00">
              <w:rPr>
                <w:iCs/>
              </w:rPr>
              <w:t>13.02</w:t>
            </w:r>
          </w:p>
        </w:tc>
        <w:tc>
          <w:tcPr>
            <w:tcW w:w="661" w:type="pct"/>
            <w:vAlign w:val="center"/>
          </w:tcPr>
          <w:p w:rsidR="00F11C26" w:rsidRPr="00187E00" w:rsidRDefault="00F11C26" w:rsidP="005156A1">
            <w:pPr>
              <w:spacing w:line="276" w:lineRule="auto"/>
              <w:rPr>
                <w:iCs/>
              </w:rPr>
            </w:pPr>
            <w:r w:rsidRPr="00187E00">
              <w:rPr>
                <w:iCs/>
              </w:rPr>
              <w:t>0.0086</w:t>
            </w:r>
          </w:p>
        </w:tc>
        <w:tc>
          <w:tcPr>
            <w:tcW w:w="761" w:type="pct"/>
            <w:vAlign w:val="center"/>
          </w:tcPr>
          <w:p w:rsidR="00F11C26" w:rsidRPr="00187E00" w:rsidRDefault="00F11C26" w:rsidP="005156A1">
            <w:pPr>
              <w:spacing w:line="276" w:lineRule="auto"/>
              <w:jc w:val="center"/>
            </w:pPr>
            <w:r w:rsidRPr="00187E00">
              <w:t>9.74</w:t>
            </w:r>
          </w:p>
        </w:tc>
        <w:tc>
          <w:tcPr>
            <w:tcW w:w="710" w:type="pct"/>
            <w:vAlign w:val="center"/>
          </w:tcPr>
          <w:p w:rsidR="00F11C26" w:rsidRPr="00187E00" w:rsidRDefault="00F11C26" w:rsidP="005156A1">
            <w:pPr>
              <w:spacing w:line="276" w:lineRule="auto"/>
              <w:jc w:val="center"/>
            </w:pPr>
            <w:r w:rsidRPr="00187E00">
              <w:t>2.70</w:t>
            </w:r>
          </w:p>
        </w:tc>
        <w:tc>
          <w:tcPr>
            <w:tcW w:w="978" w:type="pct"/>
          </w:tcPr>
          <w:p w:rsidR="00F11C26" w:rsidRPr="00187E00" w:rsidRDefault="00F11C26" w:rsidP="005156A1">
            <w:pPr>
              <w:spacing w:line="276" w:lineRule="auto"/>
              <w:jc w:val="center"/>
            </w:pPr>
            <w:r w:rsidRPr="00187E00">
              <w:rPr>
                <w:iCs/>
              </w:rPr>
              <w:t>3.60</w:t>
            </w:r>
          </w:p>
        </w:tc>
      </w:tr>
    </w:tbl>
    <w:p w:rsidR="00F11C26" w:rsidRPr="00A34E12" w:rsidRDefault="00F11C26" w:rsidP="00F11C26">
      <w:pPr>
        <w:spacing w:line="240" w:lineRule="auto"/>
      </w:pPr>
      <w:r w:rsidRPr="00A34E12">
        <w:t>*p-Values &lt;0</w:t>
      </w:r>
      <w:r>
        <w:t>.05 indicates significant terms</w:t>
      </w: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686B36" w:rsidRPr="00007FF4" w:rsidRDefault="00965446" w:rsidP="009871EB">
      <w:pPr>
        <w:spacing w:line="360" w:lineRule="auto"/>
        <w:rPr>
          <w:vertAlign w:val="superscript"/>
        </w:rPr>
      </w:pPr>
      <w:r w:rsidRPr="00007FF4">
        <w:rPr>
          <w:bCs/>
        </w:rPr>
        <w:lastRenderedPageBreak/>
        <w:t>The coefficient estimate and standardized m</w:t>
      </w:r>
      <w:r w:rsidR="00A717F5" w:rsidRPr="00007FF4">
        <w:rPr>
          <w:bCs/>
        </w:rPr>
        <w:t>a</w:t>
      </w:r>
      <w:r w:rsidR="009D28E0" w:rsidRPr="00007FF4">
        <w:rPr>
          <w:bCs/>
        </w:rPr>
        <w:t>i</w:t>
      </w:r>
      <w:r w:rsidR="00A717F5" w:rsidRPr="00007FF4">
        <w:rPr>
          <w:bCs/>
        </w:rPr>
        <w:t>n</w:t>
      </w:r>
      <w:r w:rsidRPr="00007FF4">
        <w:rPr>
          <w:bCs/>
        </w:rPr>
        <w:t xml:space="preserve"> effects</w:t>
      </w:r>
      <w:r w:rsidR="0046292B" w:rsidRPr="00007FF4">
        <w:rPr>
          <w:bCs/>
        </w:rPr>
        <w:t xml:space="preserve"> </w:t>
      </w:r>
      <w:r w:rsidRPr="00007FF4">
        <w:rPr>
          <w:bCs/>
        </w:rPr>
        <w:t>(SMEs) for the dependent</w:t>
      </w:r>
      <w:r w:rsidR="00E27958" w:rsidRPr="00007FF4">
        <w:rPr>
          <w:bCs/>
        </w:rPr>
        <w:t xml:space="preserve"> </w:t>
      </w:r>
      <w:r w:rsidR="00010977" w:rsidRPr="00007FF4">
        <w:rPr>
          <w:bCs/>
        </w:rPr>
        <w:t>responses are listed in Table 6</w:t>
      </w:r>
      <w:r w:rsidRPr="00007FF4">
        <w:rPr>
          <w:bCs/>
        </w:rPr>
        <w:t>. SME</w:t>
      </w:r>
      <w:r w:rsidR="0046292B" w:rsidRPr="00007FF4">
        <w:rPr>
          <w:bCs/>
        </w:rPr>
        <w:t xml:space="preserve"> </w:t>
      </w:r>
      <w:r w:rsidRPr="00007FF4">
        <w:rPr>
          <w:bCs/>
        </w:rPr>
        <w:t>values were calculated by dividing the main effects by</w:t>
      </w:r>
      <w:r w:rsidR="0046292B" w:rsidRPr="00007FF4">
        <w:rPr>
          <w:bCs/>
        </w:rPr>
        <w:t xml:space="preserve"> </w:t>
      </w:r>
      <w:r w:rsidRPr="00007FF4">
        <w:rPr>
          <w:bCs/>
        </w:rPr>
        <w:t>the standard error of the main effects. In addition, three</w:t>
      </w:r>
      <w:r w:rsidR="0046292B" w:rsidRPr="00007FF4">
        <w:rPr>
          <w:bCs/>
        </w:rPr>
        <w:t xml:space="preserve"> </w:t>
      </w:r>
      <w:r w:rsidRPr="00007FF4">
        <w:rPr>
          <w:bCs/>
        </w:rPr>
        <w:t>dimensional</w:t>
      </w:r>
      <w:r w:rsidR="0046292B" w:rsidRPr="00007FF4">
        <w:rPr>
          <w:bCs/>
        </w:rPr>
        <w:t xml:space="preserve"> </w:t>
      </w:r>
      <w:r w:rsidRPr="00007FF4">
        <w:rPr>
          <w:bCs/>
        </w:rPr>
        <w:t>response surface plots were presented to</w:t>
      </w:r>
      <w:r w:rsidR="0046292B" w:rsidRPr="00007FF4">
        <w:rPr>
          <w:bCs/>
        </w:rPr>
        <w:t xml:space="preserve"> </w:t>
      </w:r>
      <w:r w:rsidRPr="00007FF4">
        <w:rPr>
          <w:bCs/>
        </w:rPr>
        <w:t>estimate the effects of the mixture components on each</w:t>
      </w:r>
      <w:r w:rsidR="0046292B" w:rsidRPr="00007FF4">
        <w:rPr>
          <w:bCs/>
        </w:rPr>
        <w:t xml:space="preserve"> </w:t>
      </w:r>
      <w:r w:rsidRPr="00007FF4">
        <w:rPr>
          <w:bCs/>
        </w:rPr>
        <w:t>response. Results of multiple regression analysis and</w:t>
      </w:r>
      <w:r w:rsidR="0046292B" w:rsidRPr="00007FF4">
        <w:rPr>
          <w:bCs/>
        </w:rPr>
        <w:t xml:space="preserve"> </w:t>
      </w:r>
      <w:r w:rsidRPr="00007FF4">
        <w:rPr>
          <w:bCs/>
        </w:rPr>
        <w:t>SMEs revealed that the process variables had statistically</w:t>
      </w:r>
      <w:r w:rsidR="0046292B" w:rsidRPr="00007FF4">
        <w:rPr>
          <w:bCs/>
        </w:rPr>
        <w:t xml:space="preserve"> </w:t>
      </w:r>
      <w:r w:rsidRPr="00007FF4">
        <w:rPr>
          <w:bCs/>
        </w:rPr>
        <w:t>significant influence on the dependent variables (p &lt; 0.05,</w:t>
      </w:r>
      <w:r w:rsidR="002C4634" w:rsidRPr="00007FF4">
        <w:rPr>
          <w:bCs/>
        </w:rPr>
        <w:t xml:space="preserve"> </w:t>
      </w:r>
      <w:r w:rsidR="00010977" w:rsidRPr="00007FF4">
        <w:rPr>
          <w:bCs/>
        </w:rPr>
        <w:t>Table 5</w:t>
      </w:r>
      <w:r w:rsidRPr="00007FF4">
        <w:rPr>
          <w:bCs/>
        </w:rPr>
        <w:t>).</w:t>
      </w:r>
      <w:r w:rsidR="009B742A" w:rsidRPr="00007FF4">
        <w:rPr>
          <w:bCs/>
        </w:rPr>
        <w:t xml:space="preserve"> The SME values clearly indicated that the homogenization pressure (X</w:t>
      </w:r>
      <w:r w:rsidR="009B742A" w:rsidRPr="00007FF4">
        <w:rPr>
          <w:bCs/>
          <w:vertAlign w:val="subscript"/>
        </w:rPr>
        <w:t>1</w:t>
      </w:r>
      <w:r w:rsidR="009B742A" w:rsidRPr="00007FF4">
        <w:rPr>
          <w:bCs/>
        </w:rPr>
        <w:t>) is the most influential factor compared to the duration of homogenization (X</w:t>
      </w:r>
      <w:r w:rsidR="009B742A" w:rsidRPr="00007FF4">
        <w:rPr>
          <w:bCs/>
          <w:vertAlign w:val="subscript"/>
        </w:rPr>
        <w:t>2</w:t>
      </w:r>
      <w:r w:rsidR="009B742A" w:rsidRPr="00007FF4">
        <w:rPr>
          <w:bCs/>
        </w:rPr>
        <w:t xml:space="preserve">) </w:t>
      </w:r>
      <w:r w:rsidR="00941F51" w:rsidRPr="00007FF4">
        <w:rPr>
          <w:bCs/>
        </w:rPr>
        <w:t xml:space="preserve">on average particle size yield </w:t>
      </w:r>
      <w:r w:rsidR="009B742A" w:rsidRPr="00007FF4">
        <w:rPr>
          <w:bCs/>
        </w:rPr>
        <w:t>which is also confirmed and can be visualized from the 3D surface plots (Fig</w:t>
      </w:r>
      <w:r w:rsidR="00E66F07" w:rsidRPr="00007FF4">
        <w:rPr>
          <w:bCs/>
        </w:rPr>
        <w:t>ure</w:t>
      </w:r>
      <w:r w:rsidR="009B742A" w:rsidRPr="00007FF4">
        <w:rPr>
          <w:bCs/>
        </w:rPr>
        <w:t xml:space="preserve"> 1) and contour plot (Fig</w:t>
      </w:r>
      <w:r w:rsidR="00E66F07" w:rsidRPr="00007FF4">
        <w:rPr>
          <w:bCs/>
        </w:rPr>
        <w:t>ure</w:t>
      </w:r>
      <w:r w:rsidR="009B742A" w:rsidRPr="00007FF4">
        <w:rPr>
          <w:bCs/>
        </w:rPr>
        <w:t xml:space="preserve"> 2).</w:t>
      </w:r>
      <w:r w:rsidR="00A65629" w:rsidRPr="00007FF4">
        <w:rPr>
          <w:bCs/>
        </w:rPr>
        <w:t xml:space="preserve"> </w:t>
      </w:r>
      <w:r w:rsidR="00C83FF1" w:rsidRPr="00007FF4">
        <w:rPr>
          <w:bCs/>
        </w:rPr>
        <w:t>Average</w:t>
      </w:r>
      <w:r w:rsidR="00686B36" w:rsidRPr="00007FF4">
        <w:rPr>
          <w:bCs/>
        </w:rPr>
        <w:t xml:space="preserve"> particle size </w:t>
      </w:r>
      <w:r w:rsidR="00170694" w:rsidRPr="00007FF4">
        <w:rPr>
          <w:bCs/>
        </w:rPr>
        <w:t>yield was</w:t>
      </w:r>
      <w:r w:rsidR="00BB4A14" w:rsidRPr="00007FF4">
        <w:rPr>
          <w:bCs/>
        </w:rPr>
        <w:t xml:space="preserve"> </w:t>
      </w:r>
      <w:r w:rsidR="00BB4A14" w:rsidRPr="00007FF4">
        <w:t>174 nm</w:t>
      </w:r>
      <w:r w:rsidR="00611831" w:rsidRPr="00007FF4">
        <w:t xml:space="preserve"> (Figure 3)</w:t>
      </w:r>
      <w:r w:rsidR="00BB4A14" w:rsidRPr="00007FF4">
        <w:rPr>
          <w:bCs/>
        </w:rPr>
        <w:t xml:space="preserve"> with </w:t>
      </w:r>
      <w:r w:rsidR="00BB4A14" w:rsidRPr="00007FF4">
        <w:t xml:space="preserve">90 </w:t>
      </w:r>
      <w:r w:rsidR="009801F7" w:rsidRPr="00007FF4">
        <w:t>min</w:t>
      </w:r>
      <w:r w:rsidR="00BB4A14" w:rsidRPr="00007FF4">
        <w:t xml:space="preserve"> of homo</w:t>
      </w:r>
      <w:r w:rsidR="00313115" w:rsidRPr="00007FF4">
        <w:t xml:space="preserve">genization at 800 </w:t>
      </w:r>
      <w:r w:rsidR="002707AD" w:rsidRPr="00007FF4">
        <w:t>bar</w:t>
      </w:r>
      <w:r w:rsidR="00313115" w:rsidRPr="00007FF4">
        <w:t xml:space="preserve"> pressure.</w:t>
      </w:r>
      <w:r w:rsidR="00BB4A14" w:rsidRPr="00007FF4">
        <w:t xml:space="preserve"> </w:t>
      </w:r>
      <w:r w:rsidR="00521B39" w:rsidRPr="00007FF4">
        <w:t xml:space="preserve">As per literature report similar marketed formulations are having much larger particles </w:t>
      </w:r>
      <w:r w:rsidR="00A41910" w:rsidRPr="00007FF4">
        <w:t>of around 300 nm</w:t>
      </w:r>
      <w:r w:rsidR="00BB2217" w:rsidRPr="00007FF4">
        <w:t xml:space="preserve"> </w:t>
      </w:r>
      <w:r w:rsidR="00BB2217" w:rsidRPr="00007FF4">
        <w:rPr>
          <w:vertAlign w:val="superscript"/>
        </w:rPr>
        <w:t>5</w:t>
      </w:r>
      <w:r w:rsidR="00BB2217" w:rsidRPr="00007FF4">
        <w:t xml:space="preserve"> </w:t>
      </w:r>
      <w:r w:rsidR="000C7397" w:rsidRPr="00007FF4">
        <w:t xml:space="preserve">compared to the </w:t>
      </w:r>
      <w:r w:rsidR="00DA405A" w:rsidRPr="00007FF4">
        <w:t xml:space="preserve">present formulation and </w:t>
      </w:r>
      <w:r w:rsidR="00686B36" w:rsidRPr="00007FF4">
        <w:rPr>
          <w:bCs/>
        </w:rPr>
        <w:t xml:space="preserve">hence </w:t>
      </w:r>
      <w:r w:rsidR="00E84FDE" w:rsidRPr="00007FF4">
        <w:rPr>
          <w:bCs/>
        </w:rPr>
        <w:t xml:space="preserve">it is presumed that </w:t>
      </w:r>
      <w:r w:rsidR="00DA405A" w:rsidRPr="00007FF4">
        <w:rPr>
          <w:bCs/>
        </w:rPr>
        <w:t xml:space="preserve">it </w:t>
      </w:r>
      <w:r w:rsidR="00686B36" w:rsidRPr="00007FF4">
        <w:rPr>
          <w:bCs/>
        </w:rPr>
        <w:t>will cause less pain whi</w:t>
      </w:r>
      <w:r w:rsidR="00BB2217" w:rsidRPr="00007FF4">
        <w:rPr>
          <w:bCs/>
        </w:rPr>
        <w:t>le passing through the arteries.</w:t>
      </w:r>
      <w:r w:rsidR="00BB2217" w:rsidRPr="00007FF4">
        <w:rPr>
          <w:bCs/>
          <w:vertAlign w:val="superscript"/>
        </w:rPr>
        <w:t>23</w:t>
      </w:r>
    </w:p>
    <w:p w:rsidR="00124B7B" w:rsidRDefault="00124B7B"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3D22F2" w:rsidRPr="00007FF4" w:rsidRDefault="00FE6F41" w:rsidP="009871EB">
      <w:pPr>
        <w:spacing w:line="360" w:lineRule="auto"/>
        <w:rPr>
          <w:b/>
        </w:rPr>
      </w:pPr>
      <w:r>
        <w:rPr>
          <w:b/>
          <w:noProof/>
        </w:rPr>
        <w:lastRenderedPageBreak/>
        <w:drawing>
          <wp:inline distT="0" distB="0" distL="0" distR="0">
            <wp:extent cx="3560912" cy="3191261"/>
            <wp:effectExtent l="19050" t="0" r="1438" b="0"/>
            <wp:docPr id="1" name="Picture 1" descr="C:\Users\USER\Desktop\Figures\Figure_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igures\Figure_1.tif"/>
                    <pic:cNvPicPr>
                      <a:picLocks noChangeAspect="1" noChangeArrowheads="1"/>
                    </pic:cNvPicPr>
                  </pic:nvPicPr>
                  <pic:blipFill>
                    <a:blip r:embed="rId8"/>
                    <a:srcRect/>
                    <a:stretch>
                      <a:fillRect/>
                    </a:stretch>
                  </pic:blipFill>
                  <pic:spPr bwMode="auto">
                    <a:xfrm>
                      <a:off x="0" y="0"/>
                      <a:ext cx="3560821" cy="3191179"/>
                    </a:xfrm>
                    <a:prstGeom prst="rect">
                      <a:avLst/>
                    </a:prstGeom>
                    <a:noFill/>
                    <a:ln w="9525">
                      <a:noFill/>
                      <a:miter lim="800000"/>
                      <a:headEnd/>
                      <a:tailEnd/>
                    </a:ln>
                  </pic:spPr>
                </pic:pic>
              </a:graphicData>
            </a:graphic>
          </wp:inline>
        </w:drawing>
      </w:r>
    </w:p>
    <w:p w:rsidR="00124B7B" w:rsidRPr="00007FF4" w:rsidRDefault="00124B7B" w:rsidP="009871EB">
      <w:pPr>
        <w:spacing w:line="360" w:lineRule="auto"/>
        <w:rPr>
          <w:b/>
        </w:rPr>
      </w:pPr>
      <w:r w:rsidRPr="00007FF4">
        <w:rPr>
          <w:b/>
        </w:rPr>
        <w:t xml:space="preserve">Figure 1: 3D Surface response plot </w:t>
      </w:r>
      <w:r w:rsidRPr="00007FF4">
        <w:rPr>
          <w:b/>
          <w:bCs/>
        </w:rPr>
        <w:t>indicates the effect of homogenization pressure (X</w:t>
      </w:r>
      <w:r w:rsidRPr="00007FF4">
        <w:rPr>
          <w:b/>
          <w:bCs/>
          <w:vertAlign w:val="subscript"/>
        </w:rPr>
        <w:t>1</w:t>
      </w:r>
      <w:r w:rsidRPr="00007FF4">
        <w:rPr>
          <w:b/>
          <w:bCs/>
        </w:rPr>
        <w:t>) and the duration of homogenization (X</w:t>
      </w:r>
      <w:r w:rsidRPr="00007FF4">
        <w:rPr>
          <w:b/>
          <w:bCs/>
          <w:vertAlign w:val="subscript"/>
        </w:rPr>
        <w:t>2</w:t>
      </w:r>
      <w:r w:rsidRPr="00007FF4">
        <w:rPr>
          <w:b/>
          <w:bCs/>
        </w:rPr>
        <w:t>) on average particle size.</w:t>
      </w:r>
    </w:p>
    <w:p w:rsidR="00124B7B" w:rsidRDefault="00124B7B" w:rsidP="009871EB">
      <w:pPr>
        <w:spacing w:line="360" w:lineRule="auto"/>
        <w:rPr>
          <w:b/>
        </w:rPr>
      </w:pPr>
    </w:p>
    <w:p w:rsidR="003D22F2" w:rsidRPr="00007FF4" w:rsidRDefault="00FE6F41" w:rsidP="009871EB">
      <w:pPr>
        <w:spacing w:line="360" w:lineRule="auto"/>
        <w:rPr>
          <w:b/>
        </w:rPr>
      </w:pPr>
      <w:r>
        <w:rPr>
          <w:b/>
          <w:noProof/>
        </w:rPr>
        <w:lastRenderedPageBreak/>
        <w:drawing>
          <wp:inline distT="0" distB="0" distL="0" distR="0">
            <wp:extent cx="3802452" cy="4071524"/>
            <wp:effectExtent l="19050" t="0" r="7548" b="0"/>
            <wp:docPr id="7" name="Picture 2" descr="C:\Users\USER\Desktop\Figures\Figure_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Figures\Figure_2.tif"/>
                    <pic:cNvPicPr>
                      <a:picLocks noChangeAspect="1" noChangeArrowheads="1"/>
                    </pic:cNvPicPr>
                  </pic:nvPicPr>
                  <pic:blipFill>
                    <a:blip r:embed="rId9"/>
                    <a:srcRect/>
                    <a:stretch>
                      <a:fillRect/>
                    </a:stretch>
                  </pic:blipFill>
                  <pic:spPr bwMode="auto">
                    <a:xfrm>
                      <a:off x="0" y="0"/>
                      <a:ext cx="3804414" cy="4073625"/>
                    </a:xfrm>
                    <a:prstGeom prst="rect">
                      <a:avLst/>
                    </a:prstGeom>
                    <a:noFill/>
                    <a:ln w="9525">
                      <a:noFill/>
                      <a:miter lim="800000"/>
                      <a:headEnd/>
                      <a:tailEnd/>
                    </a:ln>
                  </pic:spPr>
                </pic:pic>
              </a:graphicData>
            </a:graphic>
          </wp:inline>
        </w:drawing>
      </w:r>
    </w:p>
    <w:p w:rsidR="00124B7B" w:rsidRPr="00007FF4" w:rsidRDefault="00124B7B" w:rsidP="009871EB">
      <w:pPr>
        <w:spacing w:line="360" w:lineRule="auto"/>
        <w:rPr>
          <w:b/>
          <w:bCs/>
        </w:rPr>
      </w:pPr>
      <w:r w:rsidRPr="00007FF4">
        <w:rPr>
          <w:b/>
        </w:rPr>
        <w:t xml:space="preserve">Figure 2: Contour plot </w:t>
      </w:r>
      <w:r w:rsidRPr="00007FF4">
        <w:rPr>
          <w:b/>
          <w:bCs/>
        </w:rPr>
        <w:t>indicating that the homogenization pressure (X</w:t>
      </w:r>
      <w:r w:rsidRPr="00007FF4">
        <w:rPr>
          <w:b/>
          <w:bCs/>
          <w:vertAlign w:val="subscript"/>
        </w:rPr>
        <w:t>1</w:t>
      </w:r>
      <w:r w:rsidRPr="00007FF4">
        <w:rPr>
          <w:b/>
          <w:bCs/>
        </w:rPr>
        <w:t>) is the most influential factor compared to the duration of homogenization (X</w:t>
      </w:r>
      <w:r w:rsidRPr="00007FF4">
        <w:rPr>
          <w:b/>
          <w:bCs/>
          <w:vertAlign w:val="subscript"/>
        </w:rPr>
        <w:t>2</w:t>
      </w:r>
      <w:r w:rsidRPr="00007FF4">
        <w:rPr>
          <w:b/>
          <w:bCs/>
        </w:rPr>
        <w:t xml:space="preserve">) on average particle size. </w:t>
      </w:r>
    </w:p>
    <w:p w:rsidR="00124B7B" w:rsidRPr="00007FF4" w:rsidRDefault="00124B7B" w:rsidP="009871EB">
      <w:pPr>
        <w:spacing w:line="360" w:lineRule="auto"/>
      </w:pPr>
    </w:p>
    <w:p w:rsidR="00E10782" w:rsidRDefault="00E10782" w:rsidP="009871EB">
      <w:pPr>
        <w:spacing w:line="360" w:lineRule="auto"/>
      </w:pPr>
    </w:p>
    <w:p w:rsidR="00E10782" w:rsidRDefault="00E10782" w:rsidP="009871EB">
      <w:pPr>
        <w:spacing w:line="360" w:lineRule="auto"/>
      </w:pPr>
    </w:p>
    <w:p w:rsidR="00E10782" w:rsidRDefault="00E10782" w:rsidP="009871EB">
      <w:pPr>
        <w:spacing w:line="360" w:lineRule="auto"/>
      </w:pPr>
    </w:p>
    <w:p w:rsidR="00E10782" w:rsidRDefault="00E10782" w:rsidP="009871EB">
      <w:pPr>
        <w:spacing w:line="360" w:lineRule="auto"/>
      </w:pPr>
    </w:p>
    <w:p w:rsidR="00E10782" w:rsidRDefault="00E10782" w:rsidP="009871EB">
      <w:pPr>
        <w:spacing w:line="360" w:lineRule="auto"/>
      </w:pPr>
    </w:p>
    <w:p w:rsidR="00E10782" w:rsidRDefault="00E10782" w:rsidP="009871EB">
      <w:pPr>
        <w:spacing w:line="360" w:lineRule="auto"/>
      </w:pPr>
    </w:p>
    <w:p w:rsidR="00E10782" w:rsidRDefault="00E10782" w:rsidP="009871EB">
      <w:pPr>
        <w:spacing w:line="360" w:lineRule="auto"/>
      </w:pPr>
    </w:p>
    <w:p w:rsidR="00E10782" w:rsidRDefault="00E10782" w:rsidP="009871EB">
      <w:pPr>
        <w:spacing w:line="360" w:lineRule="auto"/>
      </w:pPr>
    </w:p>
    <w:p w:rsidR="00E10782" w:rsidRDefault="00E10782" w:rsidP="009871EB">
      <w:pPr>
        <w:spacing w:line="360" w:lineRule="auto"/>
      </w:pPr>
    </w:p>
    <w:p w:rsidR="00E10782" w:rsidRDefault="00E10782" w:rsidP="009871EB">
      <w:pPr>
        <w:spacing w:line="360" w:lineRule="auto"/>
      </w:pPr>
    </w:p>
    <w:p w:rsidR="00255DD9" w:rsidRDefault="00D307E8" w:rsidP="009871EB">
      <w:pPr>
        <w:spacing w:line="360" w:lineRule="auto"/>
        <w:rPr>
          <w:bCs/>
        </w:rPr>
      </w:pPr>
      <w:r w:rsidRPr="00007FF4">
        <w:lastRenderedPageBreak/>
        <w:t xml:space="preserve">For parenteral emulsions, droplet size and polydispersity index (PI) are vital physicochemical parameters as large particle sizes are clinically unacceptable. The formulation exhibited PI </w:t>
      </w:r>
      <w:r w:rsidR="009225F3" w:rsidRPr="00007FF4">
        <w:t>0.096</w:t>
      </w:r>
      <w:r w:rsidRPr="00007FF4">
        <w:t xml:space="preserve"> (Figure 3) which is </w:t>
      </w:r>
      <w:r w:rsidR="007F3BEA" w:rsidRPr="00007FF4">
        <w:t xml:space="preserve">well below the </w:t>
      </w:r>
      <w:r w:rsidRPr="00007FF4">
        <w:t xml:space="preserve">acceptable </w:t>
      </w:r>
      <w:r w:rsidR="007F3BEA" w:rsidRPr="00007FF4">
        <w:t xml:space="preserve">limit </w:t>
      </w:r>
      <w:r w:rsidR="00EF58D7" w:rsidRPr="00007FF4">
        <w:t>for</w:t>
      </w:r>
      <w:r w:rsidRPr="00007FF4">
        <w:t xml:space="preserve"> parenteral emulsions</w:t>
      </w:r>
      <w:r w:rsidR="00F815EF" w:rsidRPr="00007FF4">
        <w:t xml:space="preserve"> </w:t>
      </w:r>
      <w:r w:rsidR="00A2709C" w:rsidRPr="00007FF4">
        <w:rPr>
          <w:vertAlign w:val="superscript"/>
        </w:rPr>
        <w:t>44</w:t>
      </w:r>
      <w:r w:rsidR="00B620F7" w:rsidRPr="00007FF4">
        <w:rPr>
          <w:vertAlign w:val="superscript"/>
        </w:rPr>
        <w:t>,45</w:t>
      </w:r>
      <w:r w:rsidR="00A6786A" w:rsidRPr="00007FF4">
        <w:t xml:space="preserve"> </w:t>
      </w:r>
      <w:r w:rsidR="00486911" w:rsidRPr="00007FF4">
        <w:rPr>
          <w:rFonts w:eastAsia="GulliverRM"/>
        </w:rPr>
        <w:t xml:space="preserve"> indicating</w:t>
      </w:r>
      <w:r w:rsidR="00125C96" w:rsidRPr="00007FF4">
        <w:rPr>
          <w:rFonts w:eastAsia="GulliverRM"/>
        </w:rPr>
        <w:t xml:space="preserve"> high stability</w:t>
      </w:r>
      <w:r w:rsidR="00A6786A" w:rsidRPr="00007FF4">
        <w:rPr>
          <w:rFonts w:eastAsia="GulliverRM"/>
        </w:rPr>
        <w:t>.</w:t>
      </w:r>
      <w:r w:rsidR="001677BE" w:rsidRPr="00007FF4">
        <w:rPr>
          <w:rFonts w:eastAsia="GulliverRM"/>
        </w:rPr>
        <w:t xml:space="preserve"> </w:t>
      </w:r>
      <w:r w:rsidR="00686B36" w:rsidRPr="00007FF4">
        <w:rPr>
          <w:bCs/>
        </w:rPr>
        <w:t xml:space="preserve">The </w:t>
      </w:r>
      <w:r w:rsidR="00611831" w:rsidRPr="00007FF4">
        <w:rPr>
          <w:bCs/>
        </w:rPr>
        <w:t xml:space="preserve">initial </w:t>
      </w:r>
      <w:r w:rsidR="00686B36" w:rsidRPr="00007FF4">
        <w:rPr>
          <w:bCs/>
        </w:rPr>
        <w:t xml:space="preserve">zeta potential </w:t>
      </w:r>
      <w:r w:rsidR="00611831" w:rsidRPr="00007FF4">
        <w:rPr>
          <w:bCs/>
        </w:rPr>
        <w:t xml:space="preserve">(-53.6 mv, Figure 4) </w:t>
      </w:r>
      <w:r w:rsidR="00686B36" w:rsidRPr="00007FF4">
        <w:rPr>
          <w:bCs/>
        </w:rPr>
        <w:t xml:space="preserve">of the product </w:t>
      </w:r>
      <w:r w:rsidR="00611831" w:rsidRPr="00007FF4">
        <w:rPr>
          <w:bCs/>
        </w:rPr>
        <w:t xml:space="preserve">was found above –40 mv </w:t>
      </w:r>
      <w:r w:rsidR="00686B36" w:rsidRPr="00007FF4">
        <w:rPr>
          <w:bCs/>
        </w:rPr>
        <w:t xml:space="preserve">in accelerated stability condition of 6 months, which </w:t>
      </w:r>
      <w:r w:rsidR="00342D06" w:rsidRPr="00007FF4">
        <w:rPr>
          <w:bCs/>
        </w:rPr>
        <w:t xml:space="preserve">also </w:t>
      </w:r>
      <w:r w:rsidR="00686B36" w:rsidRPr="00007FF4">
        <w:rPr>
          <w:bCs/>
        </w:rPr>
        <w:t>implies its better stability. The stability indicating factors of the accelerated conditioned samples confirm</w:t>
      </w:r>
      <w:r w:rsidR="00374228" w:rsidRPr="00007FF4">
        <w:rPr>
          <w:bCs/>
        </w:rPr>
        <w:t>ed</w:t>
      </w:r>
      <w:r w:rsidR="00686B36" w:rsidRPr="00007FF4">
        <w:rPr>
          <w:bCs/>
        </w:rPr>
        <w:t xml:space="preserve"> with those of the initial strategic values</w:t>
      </w:r>
      <w:r w:rsidR="00D06C63" w:rsidRPr="00007FF4">
        <w:rPr>
          <w:bCs/>
        </w:rPr>
        <w:t>, h</w:t>
      </w:r>
      <w:r w:rsidR="00686B36" w:rsidRPr="00007FF4">
        <w:rPr>
          <w:bCs/>
        </w:rPr>
        <w:t xml:space="preserve">ence can </w:t>
      </w:r>
      <w:r w:rsidR="0022156C" w:rsidRPr="00007FF4">
        <w:rPr>
          <w:bCs/>
        </w:rPr>
        <w:t xml:space="preserve">have a better shelf life </w:t>
      </w:r>
      <w:r w:rsidR="00D06C63" w:rsidRPr="00007FF4">
        <w:rPr>
          <w:bCs/>
        </w:rPr>
        <w:t>in controlled environmental conditions.</w:t>
      </w:r>
      <w:r w:rsidR="009529A2" w:rsidRPr="00007FF4">
        <w:rPr>
          <w:bCs/>
        </w:rPr>
        <w:t xml:space="preserve"> </w:t>
      </w:r>
      <w:r w:rsidR="00255DD9" w:rsidRPr="00007FF4">
        <w:rPr>
          <w:bCs/>
        </w:rPr>
        <w:t>The assay of the formulation</w:t>
      </w:r>
      <w:r w:rsidR="0059406F" w:rsidRPr="00007FF4">
        <w:rPr>
          <w:bCs/>
        </w:rPr>
        <w:t xml:space="preserve"> has shown the value</w:t>
      </w:r>
      <w:r w:rsidR="00255DD9" w:rsidRPr="00007FF4">
        <w:rPr>
          <w:bCs/>
        </w:rPr>
        <w:t xml:space="preserve"> in the prescrib</w:t>
      </w:r>
      <w:r w:rsidR="00010977" w:rsidRPr="00007FF4">
        <w:rPr>
          <w:bCs/>
        </w:rPr>
        <w:t>ed range of 90 – 110</w:t>
      </w:r>
      <w:r w:rsidR="00C44872">
        <w:rPr>
          <w:bCs/>
        </w:rPr>
        <w:t xml:space="preserve"> </w:t>
      </w:r>
      <w:r w:rsidR="00010977" w:rsidRPr="00007FF4">
        <w:rPr>
          <w:bCs/>
        </w:rPr>
        <w:t>% (Table 3</w:t>
      </w:r>
      <w:r w:rsidR="00255DD9" w:rsidRPr="00007FF4">
        <w:rPr>
          <w:bCs/>
        </w:rPr>
        <w:t xml:space="preserve">, Figure 5) and the impurity levels (Table </w:t>
      </w:r>
      <w:r w:rsidR="00010977" w:rsidRPr="00007FF4">
        <w:rPr>
          <w:bCs/>
        </w:rPr>
        <w:t>3</w:t>
      </w:r>
      <w:r w:rsidR="00255DD9" w:rsidRPr="00007FF4">
        <w:rPr>
          <w:bCs/>
        </w:rPr>
        <w:t>) remained below the threshold throughout the testing period.</w:t>
      </w:r>
    </w:p>
    <w:p w:rsidR="002E5F5C" w:rsidRDefault="002E5F5C" w:rsidP="009871EB">
      <w:pPr>
        <w:spacing w:line="360" w:lineRule="auto"/>
        <w:rPr>
          <w:bCs/>
        </w:rPr>
      </w:pPr>
    </w:p>
    <w:p w:rsidR="002E5F5C" w:rsidRDefault="002E5F5C"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E10782" w:rsidRDefault="00E10782" w:rsidP="009871EB">
      <w:pPr>
        <w:spacing w:line="360" w:lineRule="auto"/>
        <w:rPr>
          <w:bCs/>
        </w:rPr>
      </w:pPr>
    </w:p>
    <w:p w:rsidR="002E5F5C" w:rsidRDefault="002E5F5C" w:rsidP="009871EB">
      <w:pPr>
        <w:spacing w:line="360" w:lineRule="auto"/>
        <w:rPr>
          <w:bCs/>
        </w:rPr>
      </w:pPr>
    </w:p>
    <w:p w:rsidR="002E5F5C" w:rsidRDefault="002E5F5C" w:rsidP="009871EB">
      <w:pPr>
        <w:spacing w:line="360" w:lineRule="auto"/>
        <w:rPr>
          <w:bCs/>
        </w:rPr>
      </w:pPr>
    </w:p>
    <w:p w:rsidR="002E5F5C" w:rsidRPr="00007FF4" w:rsidRDefault="00FE6F41" w:rsidP="009871EB">
      <w:pPr>
        <w:spacing w:line="360" w:lineRule="auto"/>
        <w:rPr>
          <w:bCs/>
        </w:rPr>
      </w:pPr>
      <w:r>
        <w:rPr>
          <w:bCs/>
          <w:noProof/>
        </w:rPr>
        <w:drawing>
          <wp:inline distT="0" distB="0" distL="0" distR="0">
            <wp:extent cx="5437025" cy="2389517"/>
            <wp:effectExtent l="19050" t="0" r="0" b="0"/>
            <wp:docPr id="8" name="Picture 3" descr="C:\Users\USER\Desktop\Figures\Figure_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Figures\Figure_3.tif"/>
                    <pic:cNvPicPr>
                      <a:picLocks noChangeAspect="1" noChangeArrowheads="1"/>
                    </pic:cNvPicPr>
                  </pic:nvPicPr>
                  <pic:blipFill>
                    <a:blip r:embed="rId10"/>
                    <a:srcRect/>
                    <a:stretch>
                      <a:fillRect/>
                    </a:stretch>
                  </pic:blipFill>
                  <pic:spPr bwMode="auto">
                    <a:xfrm>
                      <a:off x="0" y="0"/>
                      <a:ext cx="5442411" cy="2391884"/>
                    </a:xfrm>
                    <a:prstGeom prst="rect">
                      <a:avLst/>
                    </a:prstGeom>
                    <a:noFill/>
                    <a:ln w="9525">
                      <a:noFill/>
                      <a:miter lim="800000"/>
                      <a:headEnd/>
                      <a:tailEnd/>
                    </a:ln>
                  </pic:spPr>
                </pic:pic>
              </a:graphicData>
            </a:graphic>
          </wp:inline>
        </w:drawing>
      </w:r>
    </w:p>
    <w:p w:rsidR="009529A2" w:rsidRPr="00007FF4" w:rsidRDefault="009529A2" w:rsidP="009871EB">
      <w:pPr>
        <w:spacing w:line="360" w:lineRule="auto"/>
        <w:rPr>
          <w:b/>
        </w:rPr>
      </w:pPr>
      <w:r w:rsidRPr="00007FF4">
        <w:rPr>
          <w:b/>
        </w:rPr>
        <w:t>Figure 3: Zeta size distribution of the initial formulation.</w:t>
      </w:r>
    </w:p>
    <w:p w:rsidR="009529A2" w:rsidRDefault="009529A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2E5F5C" w:rsidRPr="00007FF4" w:rsidRDefault="00FE6F41" w:rsidP="009871EB">
      <w:pPr>
        <w:spacing w:line="360" w:lineRule="auto"/>
        <w:rPr>
          <w:b/>
        </w:rPr>
      </w:pPr>
      <w:r>
        <w:rPr>
          <w:b/>
          <w:noProof/>
        </w:rPr>
        <w:drawing>
          <wp:inline distT="0" distB="0" distL="0" distR="0">
            <wp:extent cx="5337954" cy="2185469"/>
            <wp:effectExtent l="19050" t="0" r="0" b="0"/>
            <wp:docPr id="9" name="Picture 4" descr="C:\Users\USER\Desktop\Figures\Figure_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Figures\Figure_4.tif"/>
                    <pic:cNvPicPr>
                      <a:picLocks noChangeAspect="1" noChangeArrowheads="1"/>
                    </pic:cNvPicPr>
                  </pic:nvPicPr>
                  <pic:blipFill>
                    <a:blip r:embed="rId11"/>
                    <a:srcRect/>
                    <a:stretch>
                      <a:fillRect/>
                    </a:stretch>
                  </pic:blipFill>
                  <pic:spPr bwMode="auto">
                    <a:xfrm>
                      <a:off x="0" y="0"/>
                      <a:ext cx="5339672" cy="2186172"/>
                    </a:xfrm>
                    <a:prstGeom prst="rect">
                      <a:avLst/>
                    </a:prstGeom>
                    <a:noFill/>
                    <a:ln w="9525">
                      <a:noFill/>
                      <a:miter lim="800000"/>
                      <a:headEnd/>
                      <a:tailEnd/>
                    </a:ln>
                  </pic:spPr>
                </pic:pic>
              </a:graphicData>
            </a:graphic>
          </wp:inline>
        </w:drawing>
      </w:r>
    </w:p>
    <w:p w:rsidR="009529A2" w:rsidRPr="00007FF4" w:rsidRDefault="009529A2" w:rsidP="009871EB">
      <w:pPr>
        <w:spacing w:line="360" w:lineRule="auto"/>
        <w:rPr>
          <w:b/>
        </w:rPr>
      </w:pPr>
      <w:r w:rsidRPr="00007FF4">
        <w:rPr>
          <w:b/>
        </w:rPr>
        <w:t>Figure 4: Zeta potential distribution of the initial formulation.</w:t>
      </w:r>
    </w:p>
    <w:p w:rsidR="009529A2" w:rsidRDefault="009529A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2E5F5C" w:rsidRDefault="002E5F5C" w:rsidP="009871EB">
      <w:pPr>
        <w:spacing w:line="360" w:lineRule="auto"/>
        <w:rPr>
          <w:b/>
        </w:rPr>
      </w:pPr>
    </w:p>
    <w:p w:rsidR="002E5F5C" w:rsidRPr="00007FF4" w:rsidRDefault="00FE6F41" w:rsidP="009871EB">
      <w:pPr>
        <w:spacing w:line="360" w:lineRule="auto"/>
        <w:rPr>
          <w:b/>
        </w:rPr>
      </w:pPr>
      <w:r>
        <w:rPr>
          <w:b/>
          <w:noProof/>
        </w:rPr>
        <w:lastRenderedPageBreak/>
        <w:drawing>
          <wp:inline distT="0" distB="0" distL="0" distR="0">
            <wp:extent cx="5734769" cy="2918842"/>
            <wp:effectExtent l="19050" t="0" r="0" b="0"/>
            <wp:docPr id="10" name="Picture 5" descr="C:\Users\USER\Desktop\Figures\Figure_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Figures\Figure_5.tif"/>
                    <pic:cNvPicPr>
                      <a:picLocks noChangeAspect="1" noChangeArrowheads="1"/>
                    </pic:cNvPicPr>
                  </pic:nvPicPr>
                  <pic:blipFill>
                    <a:blip r:embed="rId12"/>
                    <a:srcRect/>
                    <a:stretch>
                      <a:fillRect/>
                    </a:stretch>
                  </pic:blipFill>
                  <pic:spPr bwMode="auto">
                    <a:xfrm>
                      <a:off x="0" y="0"/>
                      <a:ext cx="5736503" cy="2919725"/>
                    </a:xfrm>
                    <a:prstGeom prst="rect">
                      <a:avLst/>
                    </a:prstGeom>
                    <a:noFill/>
                    <a:ln w="9525">
                      <a:noFill/>
                      <a:miter lim="800000"/>
                      <a:headEnd/>
                      <a:tailEnd/>
                    </a:ln>
                  </pic:spPr>
                </pic:pic>
              </a:graphicData>
            </a:graphic>
          </wp:inline>
        </w:drawing>
      </w:r>
    </w:p>
    <w:p w:rsidR="009529A2" w:rsidRDefault="009529A2" w:rsidP="009871EB">
      <w:pPr>
        <w:spacing w:line="360" w:lineRule="auto"/>
        <w:rPr>
          <w:b/>
        </w:rPr>
      </w:pPr>
      <w:r w:rsidRPr="00007FF4">
        <w:rPr>
          <w:b/>
        </w:rPr>
        <w:t xml:space="preserve">Figure 5: HPLC analysis for assay of </w:t>
      </w:r>
      <w:r w:rsidR="006B2709" w:rsidRPr="00007FF4">
        <w:rPr>
          <w:b/>
        </w:rPr>
        <w:t xml:space="preserve">the </w:t>
      </w:r>
      <w:r w:rsidRPr="00007FF4">
        <w:rPr>
          <w:b/>
        </w:rPr>
        <w:t>initial formulation.</w:t>
      </w:r>
    </w:p>
    <w:p w:rsidR="002E5F5C" w:rsidRDefault="002E5F5C"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E10782" w:rsidRDefault="00E10782" w:rsidP="009871EB">
      <w:pPr>
        <w:spacing w:line="360" w:lineRule="auto"/>
        <w:rPr>
          <w:b/>
        </w:rPr>
      </w:pPr>
    </w:p>
    <w:p w:rsidR="00A676E2" w:rsidRPr="00007FF4" w:rsidRDefault="00404EE6" w:rsidP="00404EE6">
      <w:pPr>
        <w:pStyle w:val="ListParagraph"/>
        <w:numPr>
          <w:ilvl w:val="0"/>
          <w:numId w:val="2"/>
        </w:numPr>
        <w:spacing w:line="360" w:lineRule="auto"/>
        <w:jc w:val="center"/>
        <w:rPr>
          <w:b/>
        </w:rPr>
      </w:pPr>
      <w:r>
        <w:rPr>
          <w:b/>
        </w:rPr>
        <w:lastRenderedPageBreak/>
        <w:t>Conclusions</w:t>
      </w:r>
    </w:p>
    <w:p w:rsidR="00B35A3F" w:rsidRPr="00007FF4" w:rsidRDefault="005E680B" w:rsidP="009871EB">
      <w:pPr>
        <w:spacing w:line="360" w:lineRule="auto"/>
      </w:pPr>
      <w:r w:rsidRPr="00007FF4">
        <w:t>Multi-dose</w:t>
      </w:r>
      <w:r w:rsidR="00951476" w:rsidRPr="00007FF4">
        <w:t xml:space="preserve"> propofol </w:t>
      </w:r>
      <w:r w:rsidR="00121192" w:rsidRPr="00007FF4">
        <w:t>nano-emulsion</w:t>
      </w:r>
      <w:r w:rsidR="00951476" w:rsidRPr="00007FF4">
        <w:t xml:space="preserve"> was formulated and evaluated successfully using statistically designed experiments. </w:t>
      </w:r>
      <w:r w:rsidR="00F53C99" w:rsidRPr="00007FF4">
        <w:t>Homogenization process factors were significant in influencing the particle size of propofol.</w:t>
      </w:r>
      <w:r w:rsidR="0057098C" w:rsidRPr="00007FF4">
        <w:t xml:space="preserve"> The optimized process of 90 min of homogenization a</w:t>
      </w:r>
      <w:r w:rsidR="002707AD" w:rsidRPr="00007FF4">
        <w:t>t 800 bar</w:t>
      </w:r>
      <w:r w:rsidR="0057098C" w:rsidRPr="00007FF4">
        <w:t xml:space="preserve"> pressure produced 174 nm particles and PI of 0.096 with –53.6 mv zeta potential</w:t>
      </w:r>
      <w:r w:rsidR="00CB09D7" w:rsidRPr="00007FF4">
        <w:t xml:space="preserve"> indicating highly stable product.</w:t>
      </w:r>
      <w:r w:rsidR="003947C5" w:rsidRPr="00007FF4">
        <w:t xml:space="preserve"> </w:t>
      </w:r>
      <w:r w:rsidR="00091192" w:rsidRPr="00007FF4">
        <w:t>The m</w:t>
      </w:r>
      <w:r w:rsidR="001A6370" w:rsidRPr="00007FF4">
        <w:t>icrobiological attributes and chemical integrity</w:t>
      </w:r>
      <w:r w:rsidR="001D718E" w:rsidRPr="00007FF4">
        <w:t xml:space="preserve"> of the </w:t>
      </w:r>
      <w:r w:rsidRPr="00007FF4">
        <w:t>multi-dose</w:t>
      </w:r>
      <w:r w:rsidR="001D718E" w:rsidRPr="00007FF4">
        <w:t xml:space="preserve"> formulation</w:t>
      </w:r>
      <w:r w:rsidR="001A6370" w:rsidRPr="00007FF4">
        <w:t xml:space="preserve"> were also</w:t>
      </w:r>
      <w:r w:rsidR="00806882" w:rsidRPr="00007FF4">
        <w:t xml:space="preserve"> very much</w:t>
      </w:r>
      <w:r w:rsidR="001A6370" w:rsidRPr="00007FF4">
        <w:t xml:space="preserve"> complied </w:t>
      </w:r>
      <w:r w:rsidR="00806882" w:rsidRPr="00007FF4">
        <w:t xml:space="preserve">with USP specifications. </w:t>
      </w:r>
      <w:r w:rsidR="00C10E6B" w:rsidRPr="00007FF4">
        <w:t xml:space="preserve">The </w:t>
      </w:r>
      <w:r w:rsidR="00FC3EC0" w:rsidRPr="00007FF4">
        <w:t>accelerated</w:t>
      </w:r>
      <w:r w:rsidR="00C10E6B" w:rsidRPr="00007FF4">
        <w:t xml:space="preserve"> stress testing including freezing and thawing</w:t>
      </w:r>
      <w:r w:rsidR="00FC3EC0" w:rsidRPr="00007FF4">
        <w:t xml:space="preserve"> exhibited no significant change in the product. </w:t>
      </w:r>
      <w:r w:rsidR="00C10E6B" w:rsidRPr="00007FF4">
        <w:t xml:space="preserve"> </w:t>
      </w:r>
      <w:r w:rsidR="008F4AB9" w:rsidRPr="00007FF4">
        <w:t xml:space="preserve">The particle size and osmolality </w:t>
      </w:r>
      <w:r w:rsidR="00CC3A70" w:rsidRPr="00007FF4">
        <w:t>(</w:t>
      </w:r>
      <w:r w:rsidR="008F4AB9" w:rsidRPr="00007FF4">
        <w:t>304 mOsm/Kg</w:t>
      </w:r>
      <w:r w:rsidR="00CC3A70" w:rsidRPr="00007FF4">
        <w:t>)</w:t>
      </w:r>
      <w:r w:rsidR="008F4AB9" w:rsidRPr="00007FF4">
        <w:t xml:space="preserve"> could be associated with less anticipated pain during iv administration. </w:t>
      </w:r>
      <w:r w:rsidR="001C1E54" w:rsidRPr="00007FF4">
        <w:t xml:space="preserve">Further studies </w:t>
      </w:r>
      <w:r w:rsidR="009E033A" w:rsidRPr="00007FF4">
        <w:t>could be done</w:t>
      </w:r>
      <w:r w:rsidR="001C1E54" w:rsidRPr="00007FF4">
        <w:t xml:space="preserve"> to perform preclinical investigations in suitable animal models to assess the product.</w:t>
      </w:r>
    </w:p>
    <w:p w:rsidR="009D24B2" w:rsidRPr="00F67785" w:rsidRDefault="009D24B2" w:rsidP="00F67785">
      <w:pPr>
        <w:pStyle w:val="ListParagraph"/>
        <w:numPr>
          <w:ilvl w:val="0"/>
          <w:numId w:val="2"/>
        </w:numPr>
        <w:spacing w:line="360" w:lineRule="auto"/>
        <w:jc w:val="center"/>
        <w:rPr>
          <w:b/>
        </w:rPr>
      </w:pPr>
      <w:r w:rsidRPr="00F67785">
        <w:rPr>
          <w:b/>
        </w:rPr>
        <w:t>Acknowledgements</w:t>
      </w:r>
    </w:p>
    <w:p w:rsidR="0092161C" w:rsidRPr="00007FF4" w:rsidRDefault="00447FA5" w:rsidP="009871EB">
      <w:pPr>
        <w:spacing w:line="360" w:lineRule="auto"/>
      </w:pPr>
      <w:r w:rsidRPr="00007FF4">
        <w:t xml:space="preserve">The authors are </w:t>
      </w:r>
      <w:r w:rsidR="009D24B2" w:rsidRPr="00007FF4">
        <w:t xml:space="preserve">very much grateful to </w:t>
      </w:r>
      <w:r w:rsidR="00477ECF" w:rsidRPr="00007FF4">
        <w:t xml:space="preserve">the </w:t>
      </w:r>
      <w:r w:rsidR="000A61EE" w:rsidRPr="00007FF4">
        <w:t xml:space="preserve">Honorable </w:t>
      </w:r>
      <w:r w:rsidR="009D24B2" w:rsidRPr="00007FF4">
        <w:t xml:space="preserve">Prof. Manoj Ranjan Nayak, President, Siksha ‘O’ Anusandhan </w:t>
      </w:r>
      <w:r w:rsidR="00EC0149" w:rsidRPr="00007FF4">
        <w:t xml:space="preserve">(Deemed to be </w:t>
      </w:r>
      <w:r w:rsidR="009D24B2" w:rsidRPr="00007FF4">
        <w:t>University</w:t>
      </w:r>
      <w:r w:rsidR="00F11F06" w:rsidRPr="00007FF4">
        <w:t>)</w:t>
      </w:r>
      <w:r w:rsidR="009D24B2" w:rsidRPr="00007FF4">
        <w:t xml:space="preserve"> for providing other facilities and encouragement.</w:t>
      </w:r>
      <w:r w:rsidRPr="00007FF4">
        <w:t xml:space="preserve"> The authors are also </w:t>
      </w:r>
      <w:r w:rsidR="00832930" w:rsidRPr="00007FF4">
        <w:t>thankful to Zenotech L</w:t>
      </w:r>
      <w:r w:rsidRPr="00007FF4">
        <w:t xml:space="preserve">aboratories Ltd for providing adequate facilities and support for the research work. </w:t>
      </w:r>
    </w:p>
    <w:p w:rsidR="002D7F8B" w:rsidRDefault="002D7F8B" w:rsidP="002D7F8B">
      <w:pPr>
        <w:autoSpaceDE w:val="0"/>
        <w:autoSpaceDN w:val="0"/>
        <w:adjustRightInd w:val="0"/>
        <w:spacing w:line="360" w:lineRule="auto"/>
        <w:ind w:left="720" w:hanging="360"/>
        <w:jc w:val="center"/>
        <w:rPr>
          <w:b/>
          <w:bCs/>
          <w:lang w:val="en-IN"/>
        </w:rPr>
      </w:pPr>
      <w:r>
        <w:rPr>
          <w:b/>
          <w:bCs/>
          <w:lang w:val="en-IN"/>
        </w:rPr>
        <w:t>6.</w:t>
      </w:r>
      <w:r>
        <w:rPr>
          <w:b/>
          <w:bCs/>
          <w:lang w:val="en-IN"/>
        </w:rPr>
        <w:tab/>
        <w:t>References</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P. Pascale, M. R. Tramer, </w:t>
      </w:r>
      <w:r w:rsidRPr="00834418">
        <w:rPr>
          <w:i/>
          <w:iCs/>
        </w:rPr>
        <w:t>Anesth. Analg</w:t>
      </w:r>
      <w:r w:rsidRPr="00834418">
        <w:t xml:space="preserve"> </w:t>
      </w:r>
      <w:r w:rsidRPr="00AA6B4C">
        <w:rPr>
          <w:b/>
          <w:bCs/>
        </w:rPr>
        <w:t>2000</w:t>
      </w:r>
      <w:r w:rsidRPr="00834418">
        <w:t>, 90(4), 963-969.</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K. A. Desousa, </w:t>
      </w:r>
      <w:r w:rsidRPr="00834418">
        <w:rPr>
          <w:i/>
          <w:iCs/>
        </w:rPr>
        <w:t>Indian J. Pharmacol.</w:t>
      </w:r>
      <w:r w:rsidRPr="00834418">
        <w:t xml:space="preserve"> </w:t>
      </w:r>
      <w:r w:rsidRPr="00834418">
        <w:rPr>
          <w:bCs/>
        </w:rPr>
        <w:t>2016</w:t>
      </w:r>
      <w:r w:rsidRPr="00834418">
        <w:t xml:space="preserve">, 48, 617-23. </w:t>
      </w:r>
      <w:r w:rsidRPr="00AA6B4C">
        <w:rPr>
          <w:b/>
          <w:bCs/>
        </w:rPr>
        <w:t>DOI</w:t>
      </w:r>
      <w:r w:rsidRPr="00834418">
        <w:t>:10.4103/0253-7613.194845.</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E. Liljeroth, J. A. Keson, </w:t>
      </w:r>
      <w:r w:rsidRPr="00834418">
        <w:rPr>
          <w:i/>
          <w:iCs/>
        </w:rPr>
        <w:t>Acta. Anaesthesiol. Scand.</w:t>
      </w:r>
      <w:r w:rsidRPr="00834418">
        <w:t xml:space="preserve"> </w:t>
      </w:r>
      <w:r w:rsidRPr="00AA6B4C">
        <w:rPr>
          <w:b/>
          <w:bCs/>
        </w:rPr>
        <w:t>2005</w:t>
      </w:r>
      <w:r w:rsidRPr="00834418">
        <w:t>, 49:248-251.</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N. C. H. Sun, A. Y. C. Wong, M. G. Irwin, </w:t>
      </w:r>
      <w:r w:rsidRPr="00834418">
        <w:rPr>
          <w:i/>
          <w:iCs/>
        </w:rPr>
        <w:t>Anesth. Analg.</w:t>
      </w:r>
      <w:r w:rsidRPr="00834418">
        <w:t xml:space="preserve"> </w:t>
      </w:r>
      <w:r w:rsidRPr="00AA6B4C">
        <w:rPr>
          <w:b/>
          <w:bCs/>
        </w:rPr>
        <w:t>2005</w:t>
      </w:r>
      <w:r w:rsidRPr="00834418">
        <w:t>, 101:675-678.</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W. Gao, B. Sha, Z. Fan, Y. Liu, X. Shen, </w:t>
      </w:r>
      <w:r w:rsidRPr="00834418">
        <w:rPr>
          <w:i/>
          <w:iCs/>
        </w:rPr>
        <w:t>J. Nanomater</w:t>
      </w:r>
      <w:r w:rsidRPr="00834418">
        <w:t xml:space="preserve"> </w:t>
      </w:r>
      <w:r w:rsidRPr="00AA6B4C">
        <w:rPr>
          <w:b/>
          <w:bCs/>
        </w:rPr>
        <w:t>2016</w:t>
      </w:r>
      <w:r w:rsidRPr="00834418">
        <w:t xml:space="preserve">, Article ID 8486530, 8 pages. </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B. Bachmann-mennenga, A. Ohlmer, H. Boedeker, M. Mann, B. Muhlenbruch, M. Heesen, </w:t>
      </w:r>
      <w:r w:rsidRPr="00834418">
        <w:rPr>
          <w:i/>
          <w:iCs/>
        </w:rPr>
        <w:t>Eur. J. Anaesthesiol.</w:t>
      </w:r>
      <w:r w:rsidRPr="00834418">
        <w:t xml:space="preserve"> </w:t>
      </w:r>
      <w:r w:rsidRPr="00AA6B4C">
        <w:rPr>
          <w:b/>
          <w:bCs/>
        </w:rPr>
        <w:t>2007</w:t>
      </w:r>
      <w:r w:rsidRPr="00834418">
        <w:t>, 24:33–38.</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E. Kam, M. S. Abdul-Latif, A. McCluskey, </w:t>
      </w:r>
      <w:r w:rsidRPr="00834418">
        <w:rPr>
          <w:i/>
          <w:iCs/>
        </w:rPr>
        <w:t>Anaesthesia</w:t>
      </w:r>
      <w:r w:rsidRPr="00834418">
        <w:t xml:space="preserve"> </w:t>
      </w:r>
      <w:r w:rsidRPr="00AA6B4C">
        <w:rPr>
          <w:b/>
          <w:bCs/>
        </w:rPr>
        <w:t>2004</w:t>
      </w:r>
      <w:r w:rsidRPr="00834418">
        <w:t xml:space="preserve">, 59:1167–1169. </w:t>
      </w:r>
      <w:r w:rsidRPr="00AA6B4C">
        <w:rPr>
          <w:b/>
          <w:bCs/>
        </w:rPr>
        <w:t>DOI</w:t>
      </w:r>
      <w:r w:rsidR="00035C6D">
        <w:t>:</w:t>
      </w:r>
      <w:r w:rsidRPr="00834418">
        <w:t>10.1111/j.1365-2044.2004.03964.x.</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W. S. Jellish, J. P. Leonetti, J. R. Murdoch, S. Fowles, </w:t>
      </w:r>
      <w:r w:rsidRPr="00834418">
        <w:rPr>
          <w:i/>
          <w:iCs/>
        </w:rPr>
        <w:t>J. Clin. Anesth.</w:t>
      </w:r>
      <w:r w:rsidRPr="00834418">
        <w:t xml:space="preserve"> </w:t>
      </w:r>
      <w:r w:rsidRPr="00AA6B4C">
        <w:rPr>
          <w:b/>
          <w:bCs/>
        </w:rPr>
        <w:t>1995</w:t>
      </w:r>
      <w:r w:rsidRPr="00834418">
        <w:t>, 7:292-296.</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R. P. F. Scott, D. A. Saunders, J. Norman, </w:t>
      </w:r>
      <w:r w:rsidRPr="00834418">
        <w:rPr>
          <w:i/>
          <w:iCs/>
        </w:rPr>
        <w:t>Anaesthesia</w:t>
      </w:r>
      <w:r w:rsidRPr="00834418">
        <w:t xml:space="preserve"> </w:t>
      </w:r>
      <w:r w:rsidRPr="00AA6B4C">
        <w:rPr>
          <w:b/>
          <w:bCs/>
        </w:rPr>
        <w:t>1988</w:t>
      </w:r>
      <w:r w:rsidRPr="00834418">
        <w:t>, 43:492-4.</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C. L. Huang, Y. P. Wang, Y. J. Cheng, L. Susetio, C. C. Liu, </w:t>
      </w:r>
      <w:r w:rsidRPr="00834418">
        <w:rPr>
          <w:i/>
          <w:iCs/>
        </w:rPr>
        <w:t>Anesth Analg</w:t>
      </w:r>
      <w:r w:rsidRPr="00834418">
        <w:t xml:space="preserve"> </w:t>
      </w:r>
      <w:r w:rsidRPr="00AA6B4C">
        <w:rPr>
          <w:b/>
          <w:bCs/>
        </w:rPr>
        <w:t>1995</w:t>
      </w:r>
      <w:r w:rsidRPr="00834418">
        <w:t>, 81:1087-1088.</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C. H. Tan, M. K. Onsiong, </w:t>
      </w:r>
      <w:r w:rsidRPr="00834418">
        <w:rPr>
          <w:i/>
          <w:iCs/>
        </w:rPr>
        <w:t>Anaesthesia</w:t>
      </w:r>
      <w:r w:rsidRPr="00834418">
        <w:t xml:space="preserve"> </w:t>
      </w:r>
      <w:r w:rsidRPr="00AA6B4C">
        <w:rPr>
          <w:b/>
          <w:bCs/>
        </w:rPr>
        <w:t>1998</w:t>
      </w:r>
      <w:r w:rsidRPr="00834418">
        <w:t>, 53:468-476.</w:t>
      </w:r>
    </w:p>
    <w:p w:rsidR="00985775" w:rsidRPr="00834418" w:rsidRDefault="002D7F8B" w:rsidP="00834418">
      <w:pPr>
        <w:pStyle w:val="ListParagraph"/>
        <w:numPr>
          <w:ilvl w:val="0"/>
          <w:numId w:val="33"/>
        </w:numPr>
        <w:autoSpaceDE w:val="0"/>
        <w:autoSpaceDN w:val="0"/>
        <w:adjustRightInd w:val="0"/>
        <w:spacing w:line="360" w:lineRule="auto"/>
        <w:ind w:left="450" w:hanging="450"/>
      </w:pPr>
      <w:r w:rsidRPr="00834418">
        <w:lastRenderedPageBreak/>
        <w:t xml:space="preserve">D. F. Driscoll, </w:t>
      </w:r>
      <w:r w:rsidRPr="00834418">
        <w:rPr>
          <w:i/>
          <w:iCs/>
        </w:rPr>
        <w:t>Pharm. Res.</w:t>
      </w:r>
      <w:r w:rsidRPr="00834418">
        <w:t xml:space="preserve"> </w:t>
      </w:r>
      <w:r w:rsidRPr="00AA6B4C">
        <w:rPr>
          <w:b/>
          <w:bCs/>
        </w:rPr>
        <w:t>2006</w:t>
      </w:r>
      <w:r w:rsidRPr="00834418">
        <w:t>, 23:1959-1969.</w:t>
      </w:r>
    </w:p>
    <w:p w:rsidR="00834418"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G. Li, Y. Fan, X. Li, X. Wang, Y. Li, Y. Liu, </w:t>
      </w:r>
      <w:r w:rsidRPr="00834418">
        <w:rPr>
          <w:i/>
          <w:iCs/>
        </w:rPr>
        <w:t>Int. J. Pharm.</w:t>
      </w:r>
      <w:r w:rsidRPr="00834418">
        <w:t xml:space="preserve"> </w:t>
      </w:r>
      <w:r w:rsidRPr="00AA6B4C">
        <w:rPr>
          <w:b/>
          <w:bCs/>
        </w:rPr>
        <w:t>2012</w:t>
      </w:r>
      <w:r w:rsidRPr="00834418">
        <w:t xml:space="preserve">, 425(1-2), 53-61. </w:t>
      </w:r>
      <w:r w:rsidRPr="00AA6B4C">
        <w:rPr>
          <w:b/>
          <w:bCs/>
        </w:rPr>
        <w:t>DOI</w:t>
      </w:r>
      <w:r w:rsidR="00035C6D">
        <w:t>:</w:t>
      </w:r>
      <w:r w:rsidRPr="00834418">
        <w:t>10.1016/j.ijpharm.2012.01.011.</w:t>
      </w:r>
    </w:p>
    <w:p w:rsidR="00834418" w:rsidRPr="00834418" w:rsidRDefault="003A00FB" w:rsidP="00834418">
      <w:pPr>
        <w:pStyle w:val="ListParagraph"/>
        <w:numPr>
          <w:ilvl w:val="0"/>
          <w:numId w:val="33"/>
        </w:numPr>
        <w:autoSpaceDE w:val="0"/>
        <w:autoSpaceDN w:val="0"/>
        <w:adjustRightInd w:val="0"/>
        <w:spacing w:line="360" w:lineRule="auto"/>
        <w:ind w:left="450" w:hanging="450"/>
        <w:rPr>
          <w:lang w:val="en-US"/>
        </w:rPr>
      </w:pPr>
      <w:r>
        <w:t>T. A. Rodrigues</w:t>
      </w:r>
      <w:r w:rsidR="00834418" w:rsidRPr="00834418">
        <w:t xml:space="preserve">, </w:t>
      </w:r>
      <w:r>
        <w:t>R. A. Alexandrino</w:t>
      </w:r>
      <w:r w:rsidR="00834418" w:rsidRPr="00834418">
        <w:t xml:space="preserve">, </w:t>
      </w:r>
      <w:r>
        <w:t>M. E. Kanczuk</w:t>
      </w:r>
      <w:r w:rsidR="00834418" w:rsidRPr="00834418">
        <w:t xml:space="preserve">, </w:t>
      </w:r>
      <w:r>
        <w:t>J. L. Gozzani, L.A.</w:t>
      </w:r>
      <w:r w:rsidRPr="00834418">
        <w:t>S</w:t>
      </w:r>
      <w:r>
        <w:t>.</w:t>
      </w:r>
      <w:r w:rsidRPr="00834418">
        <w:t>T</w:t>
      </w:r>
      <w:r>
        <w:t xml:space="preserve">. Mathias, </w:t>
      </w:r>
      <w:r w:rsidR="00834418" w:rsidRPr="00834418">
        <w:t xml:space="preserve"> </w:t>
      </w:r>
      <w:r w:rsidR="00834418" w:rsidRPr="003A00FB">
        <w:rPr>
          <w:i/>
        </w:rPr>
        <w:t>Rev Bras Anestesiol</w:t>
      </w:r>
      <w:r w:rsidR="00834418" w:rsidRPr="00834418">
        <w:t xml:space="preserve"> </w:t>
      </w:r>
      <w:r w:rsidRPr="003A00FB">
        <w:rPr>
          <w:b/>
        </w:rPr>
        <w:t>2012</w:t>
      </w:r>
      <w:r>
        <w:t xml:space="preserve">, </w:t>
      </w:r>
      <w:r w:rsidR="00834418" w:rsidRPr="00834418">
        <w:t>62: 325-334.</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R. Damitz, A. Chauhan, </w:t>
      </w:r>
      <w:r w:rsidRPr="00834418">
        <w:rPr>
          <w:i/>
          <w:iCs/>
        </w:rPr>
        <w:t>Int. J. Pharm.</w:t>
      </w:r>
      <w:r w:rsidRPr="00834418">
        <w:t xml:space="preserve"> </w:t>
      </w:r>
      <w:r w:rsidRPr="00AA6B4C">
        <w:rPr>
          <w:b/>
          <w:bCs/>
        </w:rPr>
        <w:t>2015</w:t>
      </w:r>
      <w:r w:rsidRPr="00834418">
        <w:t xml:space="preserve">, 486(1-2):232-241. </w:t>
      </w:r>
      <w:r w:rsidRPr="00AA6B4C">
        <w:rPr>
          <w:b/>
          <w:bCs/>
        </w:rPr>
        <w:t>DOI</w:t>
      </w:r>
      <w:r w:rsidR="00035C6D">
        <w:t>:</w:t>
      </w:r>
      <w:r w:rsidRPr="00834418">
        <w:t>10.1016/j.ijpharm.2015.03.057.</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A. Salman, M. Salman, F. Saricaoglu, </w:t>
      </w:r>
      <w:r w:rsidRPr="00834418">
        <w:rPr>
          <w:i/>
          <w:iCs/>
        </w:rPr>
        <w:t>J. Clin. Anesth.</w:t>
      </w:r>
      <w:r w:rsidRPr="00834418">
        <w:t xml:space="preserve"> </w:t>
      </w:r>
      <w:r w:rsidRPr="00AA6B4C">
        <w:rPr>
          <w:b/>
          <w:bCs/>
        </w:rPr>
        <w:t>2011</w:t>
      </w:r>
      <w:r w:rsidRPr="00834418">
        <w:t xml:space="preserve">, 23(4):270-274. </w:t>
      </w:r>
      <w:r w:rsidRPr="00035C6D">
        <w:rPr>
          <w:b/>
          <w:bCs/>
        </w:rPr>
        <w:t>DOI</w:t>
      </w:r>
      <w:r w:rsidRPr="00834418">
        <w:t>:10.1016/j.jclinane.2010.09.008.</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A. Honarmand, M. Safavi, </w:t>
      </w:r>
      <w:r w:rsidRPr="00834418">
        <w:rPr>
          <w:i/>
          <w:iCs/>
        </w:rPr>
        <w:t>Acute. Pain.</w:t>
      </w:r>
      <w:r w:rsidRPr="00834418">
        <w:t xml:space="preserve"> </w:t>
      </w:r>
      <w:r w:rsidRPr="00AA6B4C">
        <w:rPr>
          <w:b/>
          <w:bCs/>
        </w:rPr>
        <w:t>2008</w:t>
      </w:r>
      <w:r w:rsidR="00AA6B4C">
        <w:t xml:space="preserve">, 10(1):23-29. </w:t>
      </w:r>
      <w:r w:rsidRPr="00AA6B4C">
        <w:rPr>
          <w:b/>
          <w:bCs/>
        </w:rPr>
        <w:t>DOI</w:t>
      </w:r>
      <w:r w:rsidR="00035C6D">
        <w:t>:</w:t>
      </w:r>
      <w:r w:rsidRPr="00834418">
        <w:t>10.1016/j.acpain.2008.01.001.</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C. Tsagogiorgas, S. Theisinger, E. Heesch, J. Krebs, R. Holm, G. Beck, </w:t>
      </w:r>
      <w:r w:rsidRPr="00834418">
        <w:rPr>
          <w:i/>
          <w:iCs/>
        </w:rPr>
        <w:t>Int. J. Pharm.</w:t>
      </w:r>
      <w:r w:rsidRPr="00834418">
        <w:t xml:space="preserve"> </w:t>
      </w:r>
      <w:r w:rsidRPr="00AA6B4C">
        <w:rPr>
          <w:b/>
          <w:bCs/>
        </w:rPr>
        <w:t>2015</w:t>
      </w:r>
      <w:r w:rsidRPr="00834418">
        <w:t xml:space="preserve">, 486(1-2):69-76. </w:t>
      </w:r>
      <w:r w:rsidRPr="00AA6B4C">
        <w:rPr>
          <w:b/>
          <w:bCs/>
        </w:rPr>
        <w:t>DOI</w:t>
      </w:r>
      <w:r w:rsidRPr="00834418">
        <w:rPr>
          <w:bCs/>
        </w:rPr>
        <w:t>:</w:t>
      </w:r>
      <w:r w:rsidRPr="00834418">
        <w:t>10.1016/j.ijpharm.2015.03.037</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R. Burimsittichai, K. Kumwilaisuk, S. Charuluxananan, W. Tingthanathikul, P. Premsamran, N. Sathapanawath, </w:t>
      </w:r>
      <w:r w:rsidRPr="00834418">
        <w:rPr>
          <w:i/>
          <w:iCs/>
        </w:rPr>
        <w:t>J Med Assoc Thai</w:t>
      </w:r>
      <w:r w:rsidRPr="00834418">
        <w:t xml:space="preserve"> </w:t>
      </w:r>
      <w:r w:rsidRPr="00AA6B4C">
        <w:rPr>
          <w:b/>
          <w:bCs/>
        </w:rPr>
        <w:t>2006</w:t>
      </w:r>
      <w:r w:rsidRPr="00834418">
        <w:t>, 89:86-91.</w:t>
      </w:r>
    </w:p>
    <w:p w:rsidR="002D7F8B" w:rsidRPr="00834418" w:rsidRDefault="002D7F8B" w:rsidP="00035C6D">
      <w:pPr>
        <w:pStyle w:val="ListParagraph"/>
        <w:numPr>
          <w:ilvl w:val="0"/>
          <w:numId w:val="33"/>
        </w:numPr>
        <w:autoSpaceDE w:val="0"/>
        <w:autoSpaceDN w:val="0"/>
        <w:adjustRightInd w:val="0"/>
        <w:spacing w:line="360" w:lineRule="auto"/>
        <w:ind w:left="450" w:hanging="450"/>
      </w:pPr>
      <w:r w:rsidRPr="00834418">
        <w:t xml:space="preserve">M. Yamakage, S. Iwasaki, J. Satoh, A. Namiki, </w:t>
      </w:r>
      <w:r w:rsidRPr="00834418">
        <w:rPr>
          <w:i/>
          <w:iCs/>
        </w:rPr>
        <w:t>Anesth. Analg.</w:t>
      </w:r>
      <w:r w:rsidRPr="00834418">
        <w:t xml:space="preserve"> </w:t>
      </w:r>
      <w:r w:rsidRPr="00AA6B4C">
        <w:rPr>
          <w:b/>
          <w:bCs/>
        </w:rPr>
        <w:t>2005</w:t>
      </w:r>
      <w:r w:rsidRPr="00834418">
        <w:t xml:space="preserve">, 101(2):385-388. </w:t>
      </w:r>
      <w:r w:rsidRPr="00035C6D">
        <w:rPr>
          <w:b/>
          <w:bCs/>
        </w:rPr>
        <w:t>DOI</w:t>
      </w:r>
      <w:r w:rsidR="00035C6D">
        <w:t>:</w:t>
      </w:r>
      <w:r w:rsidRPr="00834418">
        <w:t>10.1213/01.ANE.0000154191.86608.AC.</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M. Perlstein, A. Aserin, E. Wachtel, N. Garti, </w:t>
      </w:r>
      <w:r w:rsidRPr="00834418">
        <w:rPr>
          <w:i/>
          <w:iCs/>
        </w:rPr>
        <w:t>Colloids Surf., B.</w:t>
      </w:r>
      <w:r w:rsidRPr="00834418">
        <w:t xml:space="preserve"> </w:t>
      </w:r>
      <w:r w:rsidRPr="00AA6B4C">
        <w:rPr>
          <w:b/>
          <w:bCs/>
        </w:rPr>
        <w:t>2015</w:t>
      </w:r>
      <w:r w:rsidRPr="00834418">
        <w:t xml:space="preserve">,136: 282-290. </w:t>
      </w:r>
      <w:r w:rsidRPr="00AA6B4C">
        <w:rPr>
          <w:b/>
          <w:bCs/>
        </w:rPr>
        <w:t>DOI</w:t>
      </w:r>
      <w:r w:rsidR="00035C6D">
        <w:t>:</w:t>
      </w:r>
      <w:r w:rsidRPr="00834418">
        <w:t>10.1016/j.colsurfb.2015.08.044.</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T. Shimizu, S. Inomata, M. Tanaka, </w:t>
      </w:r>
      <w:r w:rsidRPr="00834418">
        <w:rPr>
          <w:i/>
          <w:iCs/>
        </w:rPr>
        <w:t>J. Clin. Anesth.</w:t>
      </w:r>
      <w:r w:rsidRPr="00834418">
        <w:t xml:space="preserve"> </w:t>
      </w:r>
      <w:r w:rsidRPr="00AA6B4C">
        <w:rPr>
          <w:b/>
          <w:bCs/>
        </w:rPr>
        <w:t>2011</w:t>
      </w:r>
      <w:r w:rsidRPr="00834418">
        <w:t xml:space="preserve">, 23(7):540-543. </w:t>
      </w:r>
      <w:r w:rsidRPr="00AA6B4C">
        <w:rPr>
          <w:b/>
        </w:rPr>
        <w:t>DOI</w:t>
      </w:r>
      <w:r w:rsidR="00035C6D">
        <w:t>:</w:t>
      </w:r>
      <w:r w:rsidRPr="00834418">
        <w:t>10.1016/j.jclinane.2011.02.006.</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B. Krobbuaban, S. Diregpoke, S. Kumkeaw, M. Tanomsat,  </w:t>
      </w:r>
      <w:r w:rsidRPr="00834418">
        <w:rPr>
          <w:i/>
          <w:iCs/>
        </w:rPr>
        <w:t>J. Med. Assoc. Thailand,</w:t>
      </w:r>
      <w:r w:rsidRPr="00834418">
        <w:t xml:space="preserve"> </w:t>
      </w:r>
      <w:r w:rsidRPr="00AA6B4C">
        <w:rPr>
          <w:b/>
          <w:bCs/>
        </w:rPr>
        <w:t>2005</w:t>
      </w:r>
      <w:r w:rsidRPr="00834418">
        <w:t>,  88 (10):1401-5.</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J. Carpenter, Propofol-based Anesthetic and Method of Making Same. U S Patent Number 6,150,423, date of patent November 21, </w:t>
      </w:r>
      <w:r w:rsidRPr="00AA6B4C">
        <w:rPr>
          <w:b/>
          <w:bCs/>
        </w:rPr>
        <w:t>2000</w:t>
      </w:r>
      <w:r w:rsidRPr="00834418">
        <w:t>.</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C. Jones, J. Platt, Pharmaceutical compositions of propofol and edetate. U S Patent Number 5,731,355, date of patent March 24, </w:t>
      </w:r>
      <w:r w:rsidRPr="00AA6B4C">
        <w:rPr>
          <w:b/>
          <w:bCs/>
        </w:rPr>
        <w:t>1998</w:t>
      </w:r>
      <w:r w:rsidRPr="00834418">
        <w:t>.</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J. Zhang, J. Ding, M. Luo, Propofol formulation with enhanced microbial inhibition. U S Patent Number 6,399,087, date of patent June 4, </w:t>
      </w:r>
      <w:r w:rsidRPr="00AA6B4C">
        <w:rPr>
          <w:b/>
          <w:bCs/>
        </w:rPr>
        <w:t>2002</w:t>
      </w:r>
      <w:r w:rsidRPr="00834418">
        <w:t>.</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lastRenderedPageBreak/>
        <w:t>M. Mlynarczyk, M. Szni</w:t>
      </w:r>
      <w:bookmarkStart w:id="0" w:name="_GoBack"/>
      <w:bookmarkEnd w:id="0"/>
      <w:r w:rsidRPr="00834418">
        <w:t xml:space="preserve">towska, D. W. Swietlikowska, </w:t>
      </w:r>
      <w:r w:rsidRPr="00834418">
        <w:rPr>
          <w:i/>
          <w:iCs/>
        </w:rPr>
        <w:t>Drug Dev. Ind. Pharm</w:t>
      </w:r>
      <w:r w:rsidRPr="00834418">
        <w:t xml:space="preserve">. </w:t>
      </w:r>
      <w:r w:rsidRPr="00AA6B4C">
        <w:rPr>
          <w:b/>
          <w:bCs/>
        </w:rPr>
        <w:t>2008</w:t>
      </w:r>
      <w:r w:rsidRPr="00834418">
        <w:t xml:space="preserve">, 34:355–362. </w:t>
      </w:r>
      <w:r w:rsidRPr="00AA6B4C">
        <w:rPr>
          <w:b/>
          <w:bCs/>
        </w:rPr>
        <w:t>DOI</w:t>
      </w:r>
      <w:r w:rsidR="00035C6D">
        <w:t>:</w:t>
      </w:r>
      <w:r w:rsidRPr="00834418">
        <w:t>10.1080/03639040701657628.</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U. M Zanger, M. H. Hofmann, </w:t>
      </w:r>
      <w:r w:rsidRPr="00834418">
        <w:rPr>
          <w:i/>
          <w:iCs/>
        </w:rPr>
        <w:t>Acta Chim. Slov</w:t>
      </w:r>
      <w:r w:rsidRPr="00834418">
        <w:t xml:space="preserve">. </w:t>
      </w:r>
      <w:r w:rsidRPr="00AA6B4C">
        <w:rPr>
          <w:b/>
          <w:bCs/>
        </w:rPr>
        <w:t>2008</w:t>
      </w:r>
      <w:r w:rsidRPr="00834418">
        <w:t>, 55, 38–44.</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J. Benedik, G. Kozelj, A. Manohin, </w:t>
      </w:r>
      <w:r w:rsidRPr="00834418">
        <w:rPr>
          <w:i/>
          <w:iCs/>
        </w:rPr>
        <w:t>Acta Chim. Slov</w:t>
      </w:r>
      <w:r w:rsidRPr="00834418">
        <w:t xml:space="preserve">. </w:t>
      </w:r>
      <w:r w:rsidRPr="00AA6B4C">
        <w:rPr>
          <w:b/>
          <w:bCs/>
        </w:rPr>
        <w:t>2010</w:t>
      </w:r>
      <w:r w:rsidRPr="00834418">
        <w:t>, 57:206–211.</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S. Pattnaik, K. Swain, P. Manaswini, E. Divyavani, J. V. Rao, V. Talla, S. K. Subudhi, </w:t>
      </w:r>
      <w:r w:rsidRPr="00834418">
        <w:rPr>
          <w:i/>
          <w:iCs/>
        </w:rPr>
        <w:t>J. Drug Delivery Sci. Technol</w:t>
      </w:r>
      <w:r w:rsidRPr="00834418">
        <w:t xml:space="preserve">. </w:t>
      </w:r>
      <w:r w:rsidRPr="00AA6B4C">
        <w:rPr>
          <w:b/>
          <w:bCs/>
        </w:rPr>
        <w:t>2015</w:t>
      </w:r>
      <w:r w:rsidRPr="00834418">
        <w:t xml:space="preserve">, 29:199-209. </w:t>
      </w:r>
      <w:r w:rsidRPr="00AA6B4C">
        <w:rPr>
          <w:b/>
          <w:bCs/>
        </w:rPr>
        <w:t>DOI</w:t>
      </w:r>
      <w:r w:rsidRPr="00834418">
        <w:t>:10.1016/j.jddst.2015.07.021.</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M. Tondar, M J Parsa, Y Yousefpour, A M Sharifi, S V Shetab-Boushehri, </w:t>
      </w:r>
      <w:r w:rsidRPr="00834418">
        <w:rPr>
          <w:i/>
          <w:iCs/>
        </w:rPr>
        <w:t xml:space="preserve">Acta Chim. Slov. </w:t>
      </w:r>
      <w:r w:rsidRPr="00AA6B4C">
        <w:rPr>
          <w:b/>
          <w:bCs/>
        </w:rPr>
        <w:t>2014</w:t>
      </w:r>
      <w:r w:rsidRPr="00834418">
        <w:t>, 61:688–693.</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S. Bohanec, T. R. Peterka, P. Blazic, R. Jurecic, J. Grmas, A. Krivec, J. Zakrajsek, </w:t>
      </w:r>
      <w:r w:rsidRPr="00834418">
        <w:rPr>
          <w:i/>
          <w:iCs/>
        </w:rPr>
        <w:t>Acta Chim. Slov.</w:t>
      </w:r>
      <w:r w:rsidRPr="00834418">
        <w:t xml:space="preserve"> </w:t>
      </w:r>
      <w:r w:rsidRPr="00AA6B4C">
        <w:rPr>
          <w:b/>
          <w:bCs/>
        </w:rPr>
        <w:t>2010</w:t>
      </w:r>
      <w:r w:rsidRPr="00834418">
        <w:t>, 57:895–903.</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J. D. Kalen, J. I. Hirsch, K. A. Kurdziel, W. C. Eckelman, D. O. Kiesewetter, </w:t>
      </w:r>
      <w:r w:rsidRPr="00834418">
        <w:rPr>
          <w:i/>
          <w:iCs/>
        </w:rPr>
        <w:t>Appl Radiat Isot.</w:t>
      </w:r>
      <w:r w:rsidRPr="00834418">
        <w:t xml:space="preserve"> </w:t>
      </w:r>
      <w:r w:rsidRPr="00AA6B4C">
        <w:rPr>
          <w:b/>
          <w:bCs/>
        </w:rPr>
        <w:t>2007</w:t>
      </w:r>
      <w:r w:rsidRPr="00834418">
        <w:t>, 65(6):696–700.</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F. Strachan, J. Mansel, R. Clutton, </w:t>
      </w:r>
      <w:r w:rsidRPr="00834418">
        <w:rPr>
          <w:i/>
          <w:iCs/>
        </w:rPr>
        <w:t>J. Small Anim. Pract</w:t>
      </w:r>
      <w:r w:rsidRPr="00834418">
        <w:t>.</w:t>
      </w:r>
      <w:r w:rsidRPr="00834418">
        <w:rPr>
          <w:bCs/>
        </w:rPr>
        <w:t xml:space="preserve"> </w:t>
      </w:r>
      <w:r w:rsidRPr="00AA6B4C">
        <w:rPr>
          <w:b/>
          <w:bCs/>
        </w:rPr>
        <w:t>2008</w:t>
      </w:r>
      <w:r w:rsidRPr="00834418">
        <w:t xml:space="preserve">, 49(4):186-190.   </w:t>
      </w:r>
      <w:r w:rsidRPr="00AA6B4C">
        <w:rPr>
          <w:b/>
          <w:bCs/>
        </w:rPr>
        <w:t>DOI</w:t>
      </w:r>
      <w:r w:rsidRPr="00834418">
        <w:t>:10.1111/j.1748-5827.2007.00473.x</w:t>
      </w:r>
    </w:p>
    <w:p w:rsidR="002D7F8B" w:rsidRPr="00834418" w:rsidRDefault="002D7F8B" w:rsidP="00834418">
      <w:pPr>
        <w:pStyle w:val="ListParagraph"/>
        <w:numPr>
          <w:ilvl w:val="0"/>
          <w:numId w:val="33"/>
        </w:numPr>
        <w:autoSpaceDE w:val="0"/>
        <w:autoSpaceDN w:val="0"/>
        <w:adjustRightInd w:val="0"/>
        <w:spacing w:line="360" w:lineRule="auto"/>
        <w:ind w:left="450" w:hanging="450"/>
        <w:rPr>
          <w:bCs/>
          <w:u w:val="single"/>
        </w:rPr>
      </w:pPr>
      <w:r w:rsidRPr="00834418">
        <w:t xml:space="preserve">B. K. Meyer, D. Vargas, </w:t>
      </w:r>
      <w:r w:rsidRPr="00834418">
        <w:rPr>
          <w:i/>
          <w:iCs/>
        </w:rPr>
        <w:t>PDA J Pharm Sci Technol</w:t>
      </w:r>
      <w:r w:rsidRPr="00834418">
        <w:t> </w:t>
      </w:r>
      <w:r w:rsidRPr="00AA6B4C">
        <w:rPr>
          <w:b/>
          <w:bCs/>
        </w:rPr>
        <w:t>2006</w:t>
      </w:r>
      <w:r w:rsidRPr="00834418">
        <w:t>, 60:248-253.</w:t>
      </w:r>
    </w:p>
    <w:p w:rsidR="002D7F8B" w:rsidRPr="00834418" w:rsidRDefault="002D7F8B" w:rsidP="00834418">
      <w:pPr>
        <w:pStyle w:val="ListParagraph"/>
        <w:numPr>
          <w:ilvl w:val="0"/>
          <w:numId w:val="33"/>
        </w:numPr>
        <w:autoSpaceDE w:val="0"/>
        <w:autoSpaceDN w:val="0"/>
        <w:adjustRightInd w:val="0"/>
        <w:spacing w:line="360" w:lineRule="auto"/>
        <w:ind w:left="450" w:hanging="450"/>
        <w:rPr>
          <w:bCs/>
          <w:u w:val="single"/>
        </w:rPr>
      </w:pPr>
      <w:r w:rsidRPr="00834418">
        <w:t xml:space="preserve">I. Wachowski, D. T. Jolly, F. J. Hrazdil, J. C. Galbraith, M. Greacen, A. S. Clanachan, </w:t>
      </w:r>
      <w:r w:rsidRPr="00834418">
        <w:rPr>
          <w:i/>
          <w:iCs/>
        </w:rPr>
        <w:t>Anesth Analg</w:t>
      </w:r>
      <w:r w:rsidRPr="00834418">
        <w:t xml:space="preserve"> </w:t>
      </w:r>
      <w:r w:rsidRPr="00AA6B4C">
        <w:rPr>
          <w:b/>
          <w:bCs/>
        </w:rPr>
        <w:t>1999</w:t>
      </w:r>
      <w:r w:rsidRPr="00834418">
        <w:t>, 88:209–212.</w:t>
      </w:r>
    </w:p>
    <w:p w:rsidR="002D7F8B" w:rsidRPr="00834418" w:rsidRDefault="002D7F8B" w:rsidP="00834418">
      <w:pPr>
        <w:pStyle w:val="ListParagraph"/>
        <w:numPr>
          <w:ilvl w:val="0"/>
          <w:numId w:val="33"/>
        </w:numPr>
        <w:autoSpaceDE w:val="0"/>
        <w:autoSpaceDN w:val="0"/>
        <w:adjustRightInd w:val="0"/>
        <w:spacing w:line="360" w:lineRule="auto"/>
        <w:ind w:left="450" w:hanging="450"/>
        <w:rPr>
          <w:bCs/>
          <w:u w:val="single"/>
        </w:rPr>
      </w:pPr>
      <w:r w:rsidRPr="00834418">
        <w:t xml:space="preserve">A. Bottino, G. Capannelli, A. Comite, </w:t>
      </w:r>
      <w:r w:rsidRPr="00834418">
        <w:rPr>
          <w:i/>
          <w:iCs/>
        </w:rPr>
        <w:t>Desalination</w:t>
      </w:r>
      <w:r w:rsidRPr="00834418">
        <w:t xml:space="preserve"> </w:t>
      </w:r>
      <w:r w:rsidRPr="00AA6B4C">
        <w:rPr>
          <w:b/>
          <w:bCs/>
        </w:rPr>
        <w:t>2005</w:t>
      </w:r>
      <w:r w:rsidRPr="00834418">
        <w:t>, 183:375–382.</w:t>
      </w:r>
    </w:p>
    <w:p w:rsidR="002D7F8B" w:rsidRPr="00834418" w:rsidRDefault="002D7F8B" w:rsidP="00834418">
      <w:pPr>
        <w:pStyle w:val="ListParagraph"/>
        <w:numPr>
          <w:ilvl w:val="0"/>
          <w:numId w:val="33"/>
        </w:numPr>
        <w:autoSpaceDE w:val="0"/>
        <w:autoSpaceDN w:val="0"/>
        <w:adjustRightInd w:val="0"/>
        <w:spacing w:line="360" w:lineRule="auto"/>
        <w:ind w:left="450" w:hanging="450"/>
        <w:rPr>
          <w:bCs/>
          <w:u w:val="single"/>
        </w:rPr>
      </w:pPr>
      <w:r w:rsidRPr="00834418">
        <w:t xml:space="preserve">K. Hayashi, K. Douhara, G. Kashino, </w:t>
      </w:r>
      <w:r w:rsidRPr="00834418">
        <w:rPr>
          <w:i/>
          <w:iCs/>
        </w:rPr>
        <w:t>Ann. Nucl. Med.</w:t>
      </w:r>
      <w:r w:rsidRPr="00834418">
        <w:t xml:space="preserve"> </w:t>
      </w:r>
      <w:r w:rsidRPr="00AA6B4C">
        <w:rPr>
          <w:b/>
          <w:bCs/>
        </w:rPr>
        <w:t>2014</w:t>
      </w:r>
      <w:r w:rsidRPr="00834418">
        <w:t>, 28:586-592.</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W. Wang, </w:t>
      </w:r>
      <w:r w:rsidRPr="00834418">
        <w:rPr>
          <w:i/>
          <w:iCs/>
        </w:rPr>
        <w:t>Int. J. Pharm</w:t>
      </w:r>
      <w:r w:rsidRPr="00834418">
        <w:t xml:space="preserve">. </w:t>
      </w:r>
      <w:r w:rsidRPr="00AA6B4C">
        <w:rPr>
          <w:b/>
          <w:bCs/>
        </w:rPr>
        <w:t>2015</w:t>
      </w:r>
      <w:r w:rsidRPr="00834418">
        <w:t>, 490: 308–315.</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S. Pattnaik, K. Swain, J. V. Rao, T. Varun, S. Mallick, </w:t>
      </w:r>
      <w:r w:rsidRPr="00834418">
        <w:rPr>
          <w:i/>
          <w:iCs/>
        </w:rPr>
        <w:t>Medicina</w:t>
      </w:r>
      <w:r w:rsidRPr="00834418">
        <w:t xml:space="preserve">, </w:t>
      </w:r>
      <w:r w:rsidRPr="00AA6B4C">
        <w:rPr>
          <w:b/>
          <w:bCs/>
        </w:rPr>
        <w:t>2015</w:t>
      </w:r>
      <w:r w:rsidRPr="00834418">
        <w:rPr>
          <w:bCs/>
        </w:rPr>
        <w:t xml:space="preserve">, </w:t>
      </w:r>
      <w:r w:rsidRPr="00834418">
        <w:t xml:space="preserve">51(4):253-261. </w:t>
      </w:r>
      <w:r w:rsidRPr="00AA6B4C">
        <w:rPr>
          <w:b/>
          <w:bCs/>
        </w:rPr>
        <w:t>DOI</w:t>
      </w:r>
      <w:r w:rsidR="00035C6D">
        <w:t>:</w:t>
      </w:r>
      <w:r w:rsidRPr="00834418">
        <w:t>10.1016/j.medici.2015.07.002</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S. Pattnaik, K. Swain, J. V. Rao, T. Varun, S. K. Subudhi, </w:t>
      </w:r>
      <w:r w:rsidRPr="00834418">
        <w:rPr>
          <w:i/>
          <w:iCs/>
        </w:rPr>
        <w:t>RSC. Adv.</w:t>
      </w:r>
      <w:r w:rsidRPr="00834418">
        <w:t xml:space="preserve"> </w:t>
      </w:r>
      <w:r w:rsidRPr="00AA6B4C">
        <w:rPr>
          <w:b/>
          <w:bCs/>
        </w:rPr>
        <w:t>2015</w:t>
      </w:r>
      <w:r w:rsidRPr="00834418">
        <w:t>, 5:91960-91965.</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rPr>
          <w:lang w:val="sv-SE"/>
        </w:rPr>
        <w:t>S. Pattnaik,  K. Swain, S. Mallick,</w:t>
      </w:r>
      <w:r w:rsidRPr="00834418">
        <w:t xml:space="preserve"> </w:t>
      </w:r>
      <w:r w:rsidRPr="00834418">
        <w:rPr>
          <w:i/>
          <w:iCs/>
        </w:rPr>
        <w:t>Lat. Am. J. Pharm</w:t>
      </w:r>
      <w:r w:rsidRPr="00834418">
        <w:t xml:space="preserve">. </w:t>
      </w:r>
      <w:r w:rsidRPr="00AA6B4C">
        <w:rPr>
          <w:b/>
          <w:bCs/>
        </w:rPr>
        <w:t>2009</w:t>
      </w:r>
      <w:r w:rsidRPr="00834418">
        <w:t>, 28:62-69.</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B. Jancic, M. Medenica, D. Ivanovic, A. Malenovic, </w:t>
      </w:r>
      <w:r w:rsidRPr="00834418">
        <w:rPr>
          <w:i/>
          <w:iCs/>
        </w:rPr>
        <w:t>Acta. Chim. Slov.</w:t>
      </w:r>
      <w:r w:rsidRPr="00834418">
        <w:t xml:space="preserve"> </w:t>
      </w:r>
      <w:r w:rsidRPr="00AA6B4C">
        <w:rPr>
          <w:b/>
          <w:bCs/>
        </w:rPr>
        <w:t>2007</w:t>
      </w:r>
      <w:r w:rsidRPr="00834418">
        <w:t>, 54:49–54.</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F. A. Araujo, R. G. Kelmann, B. V. Araujo, R. B. Finatto, H. F. Teixeira, L. S. Koester, </w:t>
      </w:r>
      <w:r w:rsidRPr="00834418">
        <w:rPr>
          <w:i/>
          <w:iCs/>
        </w:rPr>
        <w:t>Eur J Pharm Sci</w:t>
      </w:r>
      <w:r w:rsidRPr="00834418">
        <w:t xml:space="preserve"> </w:t>
      </w:r>
      <w:r w:rsidRPr="00AA6B4C">
        <w:rPr>
          <w:b/>
          <w:bCs/>
        </w:rPr>
        <w:t>2011</w:t>
      </w:r>
      <w:r w:rsidRPr="00834418">
        <w:t xml:space="preserve">, 42:238–245. </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R. H. Muller, S. Schmidt, I. Buttle, A. Akkar, J. Schmitt, S. Bromer,  </w:t>
      </w:r>
      <w:r w:rsidRPr="00834418">
        <w:rPr>
          <w:i/>
          <w:iCs/>
        </w:rPr>
        <w:t>Int. J. Pharm.</w:t>
      </w:r>
      <w:r w:rsidRPr="00834418">
        <w:t xml:space="preserve"> </w:t>
      </w:r>
      <w:r w:rsidRPr="00AA6B4C">
        <w:rPr>
          <w:b/>
          <w:bCs/>
        </w:rPr>
        <w:t>2004</w:t>
      </w:r>
      <w:r w:rsidRPr="00834418">
        <w:t>, 269:293–302.</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B. K. Meyer, A. NI, B. HU, L. Shi, </w:t>
      </w:r>
      <w:r w:rsidRPr="00834418">
        <w:rPr>
          <w:i/>
          <w:iCs/>
        </w:rPr>
        <w:t>J Pharm Sci</w:t>
      </w:r>
      <w:r w:rsidRPr="00834418">
        <w:t xml:space="preserve"> </w:t>
      </w:r>
      <w:r w:rsidRPr="00AA6B4C">
        <w:rPr>
          <w:b/>
          <w:bCs/>
        </w:rPr>
        <w:t>2007</w:t>
      </w:r>
      <w:r w:rsidRPr="00834418">
        <w:t>, 96:3155–3167.</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lastRenderedPageBreak/>
        <w:t xml:space="preserve">The United States Pharmacopeia, National Formulary, Rockville (MD), United States Pharmacopeial Convention. </w:t>
      </w:r>
      <w:r w:rsidRPr="00AA6B4C">
        <w:rPr>
          <w:b/>
          <w:bCs/>
        </w:rPr>
        <w:t>2012</w:t>
      </w:r>
      <w:r w:rsidRPr="00834418">
        <w:t>, 1061:609-610.</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The United States Pharmacopeia, National Formulary, Rockville (MD): United States Pharmacopeial Convention. </w:t>
      </w:r>
      <w:r w:rsidRPr="00AA6B4C">
        <w:rPr>
          <w:b/>
          <w:bCs/>
        </w:rPr>
        <w:t>2012</w:t>
      </w:r>
      <w:r w:rsidRPr="00834418">
        <w:t>, 791:343-344.</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The United States Pharmacopeia, National Formulary, Rockville (MD): United States Pharmacopeial Convention. </w:t>
      </w:r>
      <w:r w:rsidRPr="00AA6B4C">
        <w:rPr>
          <w:b/>
          <w:bCs/>
        </w:rPr>
        <w:t>2012</w:t>
      </w:r>
      <w:r w:rsidRPr="00834418">
        <w:t>, 785:335-336.</w:t>
      </w:r>
    </w:p>
    <w:p w:rsidR="002D7F8B" w:rsidRPr="00834418" w:rsidRDefault="002D7F8B" w:rsidP="00834418">
      <w:pPr>
        <w:pStyle w:val="ListParagraph"/>
        <w:numPr>
          <w:ilvl w:val="0"/>
          <w:numId w:val="33"/>
        </w:numPr>
        <w:autoSpaceDE w:val="0"/>
        <w:autoSpaceDN w:val="0"/>
        <w:adjustRightInd w:val="0"/>
        <w:spacing w:line="360" w:lineRule="auto"/>
        <w:ind w:left="450" w:hanging="450"/>
      </w:pPr>
      <w:r w:rsidRPr="00834418">
        <w:t xml:space="preserve">The United States Pharmacopeia, National Formulary, Rockville (MD): United States Pharmacopeial Convention. </w:t>
      </w:r>
      <w:r w:rsidRPr="00AA6B4C">
        <w:rPr>
          <w:b/>
          <w:bCs/>
        </w:rPr>
        <w:t>2012</w:t>
      </w:r>
      <w:r w:rsidRPr="00834418">
        <w:t>, 4449-4450.</w:t>
      </w:r>
    </w:p>
    <w:p w:rsidR="00D01B16" w:rsidRPr="00834418" w:rsidRDefault="002D7F8B" w:rsidP="00035C6D">
      <w:pPr>
        <w:pStyle w:val="ListParagraph"/>
        <w:numPr>
          <w:ilvl w:val="0"/>
          <w:numId w:val="33"/>
        </w:numPr>
        <w:autoSpaceDE w:val="0"/>
        <w:autoSpaceDN w:val="0"/>
        <w:adjustRightInd w:val="0"/>
        <w:spacing w:line="360" w:lineRule="auto"/>
        <w:ind w:left="450" w:hanging="450"/>
      </w:pPr>
      <w:r w:rsidRPr="00834418">
        <w:t xml:space="preserve">The United States Pharmacopeia, National Formulary, Rockville (MD): United States Pharmacopeial Convention. </w:t>
      </w:r>
      <w:r w:rsidRPr="00AA6B4C">
        <w:rPr>
          <w:b/>
          <w:bCs/>
        </w:rPr>
        <w:t>2012</w:t>
      </w:r>
      <w:r w:rsidR="007F4D6D" w:rsidRPr="00834418">
        <w:t xml:space="preserve">, </w:t>
      </w:r>
      <w:r w:rsidRPr="00834418">
        <w:t>71:69-74.</w:t>
      </w:r>
    </w:p>
    <w:sectPr w:rsidR="00D01B16" w:rsidRPr="00834418" w:rsidSect="00393E8A">
      <w:footerReference w:type="default" r:id="rId13"/>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8FD" w:rsidRDefault="002548FD">
      <w:r>
        <w:separator/>
      </w:r>
    </w:p>
  </w:endnote>
  <w:endnote w:type="continuationSeparator" w:id="0">
    <w:p w:rsidR="002548FD" w:rsidRDefault="0025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ulliverRM">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581684"/>
      <w:docPartObj>
        <w:docPartGallery w:val="Page Numbers (Bottom of Page)"/>
        <w:docPartUnique/>
      </w:docPartObj>
    </w:sdtPr>
    <w:sdtEndPr>
      <w:rPr>
        <w:noProof/>
      </w:rPr>
    </w:sdtEndPr>
    <w:sdtContent>
      <w:p w:rsidR="00393E8A" w:rsidRDefault="00393E8A">
        <w:pPr>
          <w:pStyle w:val="Footer"/>
          <w:jc w:val="right"/>
        </w:pPr>
        <w:r>
          <w:fldChar w:fldCharType="begin"/>
        </w:r>
        <w:r>
          <w:instrText xml:space="preserve"> PAGE   \* MERGEFORMAT </w:instrText>
        </w:r>
        <w:r>
          <w:fldChar w:fldCharType="separate"/>
        </w:r>
        <w:r w:rsidR="00E10782">
          <w:rPr>
            <w:noProof/>
          </w:rPr>
          <w:t>27</w:t>
        </w:r>
        <w:r>
          <w:rPr>
            <w:noProof/>
          </w:rPr>
          <w:fldChar w:fldCharType="end"/>
        </w:r>
      </w:p>
    </w:sdtContent>
  </w:sdt>
  <w:p w:rsidR="00393E8A" w:rsidRDefault="00393E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8FD" w:rsidRDefault="002548FD">
      <w:r>
        <w:separator/>
      </w:r>
    </w:p>
  </w:footnote>
  <w:footnote w:type="continuationSeparator" w:id="0">
    <w:p w:rsidR="002548FD" w:rsidRDefault="002548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3B1"/>
    <w:multiLevelType w:val="multilevel"/>
    <w:tmpl w:val="4E5E00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C5771C"/>
    <w:multiLevelType w:val="hybridMultilevel"/>
    <w:tmpl w:val="453C8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878B2"/>
    <w:multiLevelType w:val="hybridMultilevel"/>
    <w:tmpl w:val="06B232C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A6A96"/>
    <w:multiLevelType w:val="hybridMultilevel"/>
    <w:tmpl w:val="BC42D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81883"/>
    <w:multiLevelType w:val="hybridMultilevel"/>
    <w:tmpl w:val="B74A47CC"/>
    <w:lvl w:ilvl="0" w:tplc="FC68D0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D7EB0"/>
    <w:multiLevelType w:val="hybridMultilevel"/>
    <w:tmpl w:val="A6801900"/>
    <w:lvl w:ilvl="0" w:tplc="0409000F">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A2B140D"/>
    <w:multiLevelType w:val="hybridMultilevel"/>
    <w:tmpl w:val="B74A47CC"/>
    <w:lvl w:ilvl="0" w:tplc="FC68D0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76EAB"/>
    <w:multiLevelType w:val="hybridMultilevel"/>
    <w:tmpl w:val="3960A868"/>
    <w:lvl w:ilvl="0" w:tplc="FC68D0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51429"/>
    <w:multiLevelType w:val="hybridMultilevel"/>
    <w:tmpl w:val="1B480A0A"/>
    <w:lvl w:ilvl="0" w:tplc="944459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E7BA1"/>
    <w:multiLevelType w:val="hybridMultilevel"/>
    <w:tmpl w:val="1B480A0A"/>
    <w:lvl w:ilvl="0" w:tplc="944459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C56A0"/>
    <w:multiLevelType w:val="hybridMultilevel"/>
    <w:tmpl w:val="FF2AB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97EAA"/>
    <w:multiLevelType w:val="hybridMultilevel"/>
    <w:tmpl w:val="3960A868"/>
    <w:lvl w:ilvl="0" w:tplc="FC68D0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F199B"/>
    <w:multiLevelType w:val="hybridMultilevel"/>
    <w:tmpl w:val="3960A868"/>
    <w:lvl w:ilvl="0" w:tplc="FC68D0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A14AF"/>
    <w:multiLevelType w:val="hybridMultilevel"/>
    <w:tmpl w:val="3960A868"/>
    <w:lvl w:ilvl="0" w:tplc="FC68D0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D1ADA"/>
    <w:multiLevelType w:val="hybridMultilevel"/>
    <w:tmpl w:val="B74A47CC"/>
    <w:lvl w:ilvl="0" w:tplc="FC68D0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0B2C9B"/>
    <w:multiLevelType w:val="hybridMultilevel"/>
    <w:tmpl w:val="3960A868"/>
    <w:lvl w:ilvl="0" w:tplc="FC68D0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25C1A"/>
    <w:multiLevelType w:val="multilevel"/>
    <w:tmpl w:val="225A3E8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67A01A1"/>
    <w:multiLevelType w:val="multilevel"/>
    <w:tmpl w:val="01E892C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22507C"/>
    <w:multiLevelType w:val="hybridMultilevel"/>
    <w:tmpl w:val="EB92F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3F758C"/>
    <w:multiLevelType w:val="hybridMultilevel"/>
    <w:tmpl w:val="7C0A1C52"/>
    <w:lvl w:ilvl="0" w:tplc="D0584C88">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7F371E"/>
    <w:multiLevelType w:val="hybridMultilevel"/>
    <w:tmpl w:val="08004D50"/>
    <w:lvl w:ilvl="0" w:tplc="852C5C2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2A02A2"/>
    <w:multiLevelType w:val="hybridMultilevel"/>
    <w:tmpl w:val="DC983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BB3216"/>
    <w:multiLevelType w:val="hybridMultilevel"/>
    <w:tmpl w:val="3960A868"/>
    <w:lvl w:ilvl="0" w:tplc="FC68D0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25CDA"/>
    <w:multiLevelType w:val="hybridMultilevel"/>
    <w:tmpl w:val="3960A868"/>
    <w:lvl w:ilvl="0" w:tplc="FC68D0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6D6FC8"/>
    <w:multiLevelType w:val="hybridMultilevel"/>
    <w:tmpl w:val="3960A868"/>
    <w:lvl w:ilvl="0" w:tplc="FC68D0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3872F9"/>
    <w:multiLevelType w:val="hybridMultilevel"/>
    <w:tmpl w:val="B74A47CC"/>
    <w:lvl w:ilvl="0" w:tplc="FC68D0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480C93"/>
    <w:multiLevelType w:val="hybridMultilevel"/>
    <w:tmpl w:val="CF46668C"/>
    <w:lvl w:ilvl="0" w:tplc="80C80C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76D82"/>
    <w:multiLevelType w:val="hybridMultilevel"/>
    <w:tmpl w:val="E0BE7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BF6C2A"/>
    <w:multiLevelType w:val="hybridMultilevel"/>
    <w:tmpl w:val="3960A868"/>
    <w:lvl w:ilvl="0" w:tplc="FC68D0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2B0AA2"/>
    <w:multiLevelType w:val="hybridMultilevel"/>
    <w:tmpl w:val="3960A868"/>
    <w:lvl w:ilvl="0" w:tplc="FC68D0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C621B2"/>
    <w:multiLevelType w:val="hybridMultilevel"/>
    <w:tmpl w:val="AAB68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D30DD7"/>
    <w:multiLevelType w:val="hybridMultilevel"/>
    <w:tmpl w:val="A6967BCE"/>
    <w:lvl w:ilvl="0" w:tplc="0850453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CBA45FA"/>
    <w:multiLevelType w:val="hybridMultilevel"/>
    <w:tmpl w:val="70144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B71190"/>
    <w:multiLevelType w:val="multilevel"/>
    <w:tmpl w:val="F8440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7"/>
  </w:num>
  <w:num w:numId="3">
    <w:abstractNumId w:val="23"/>
  </w:num>
  <w:num w:numId="4">
    <w:abstractNumId w:val="1"/>
  </w:num>
  <w:num w:numId="5">
    <w:abstractNumId w:val="4"/>
  </w:num>
  <w:num w:numId="6">
    <w:abstractNumId w:val="6"/>
  </w:num>
  <w:num w:numId="7">
    <w:abstractNumId w:val="14"/>
  </w:num>
  <w:num w:numId="8">
    <w:abstractNumId w:val="25"/>
  </w:num>
  <w:num w:numId="9">
    <w:abstractNumId w:val="12"/>
  </w:num>
  <w:num w:numId="10">
    <w:abstractNumId w:val="24"/>
  </w:num>
  <w:num w:numId="11">
    <w:abstractNumId w:val="13"/>
  </w:num>
  <w:num w:numId="12">
    <w:abstractNumId w:val="28"/>
  </w:num>
  <w:num w:numId="13">
    <w:abstractNumId w:val="15"/>
  </w:num>
  <w:num w:numId="14">
    <w:abstractNumId w:val="11"/>
  </w:num>
  <w:num w:numId="15">
    <w:abstractNumId w:val="33"/>
  </w:num>
  <w:num w:numId="16">
    <w:abstractNumId w:val="7"/>
  </w:num>
  <w:num w:numId="17">
    <w:abstractNumId w:val="22"/>
  </w:num>
  <w:num w:numId="18">
    <w:abstractNumId w:val="29"/>
  </w:num>
  <w:num w:numId="19">
    <w:abstractNumId w:val="3"/>
  </w:num>
  <w:num w:numId="20">
    <w:abstractNumId w:val="31"/>
  </w:num>
  <w:num w:numId="21">
    <w:abstractNumId w:val="18"/>
  </w:num>
  <w:num w:numId="22">
    <w:abstractNumId w:val="20"/>
  </w:num>
  <w:num w:numId="23">
    <w:abstractNumId w:val="5"/>
  </w:num>
  <w:num w:numId="24">
    <w:abstractNumId w:val="10"/>
  </w:num>
  <w:num w:numId="25">
    <w:abstractNumId w:val="8"/>
  </w:num>
  <w:num w:numId="26">
    <w:abstractNumId w:val="9"/>
  </w:num>
  <w:num w:numId="27">
    <w:abstractNumId w:val="27"/>
  </w:num>
  <w:num w:numId="28">
    <w:abstractNumId w:val="32"/>
  </w:num>
  <w:num w:numId="29">
    <w:abstractNumId w:val="26"/>
  </w:num>
  <w:num w:numId="30">
    <w:abstractNumId w:val="0"/>
  </w:num>
  <w:num w:numId="31">
    <w:abstractNumId w:val="16"/>
  </w:num>
  <w:num w:numId="32">
    <w:abstractNumId w:val="2"/>
  </w:num>
  <w:num w:numId="33">
    <w:abstractNumId w:val="30"/>
  </w:num>
  <w:num w:numId="34">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7B0"/>
    <w:rsid w:val="00001360"/>
    <w:rsid w:val="000019AF"/>
    <w:rsid w:val="00001DFA"/>
    <w:rsid w:val="00002120"/>
    <w:rsid w:val="000029CF"/>
    <w:rsid w:val="00003CA9"/>
    <w:rsid w:val="00004BF5"/>
    <w:rsid w:val="00006168"/>
    <w:rsid w:val="00007517"/>
    <w:rsid w:val="00007FF4"/>
    <w:rsid w:val="00010977"/>
    <w:rsid w:val="0001097F"/>
    <w:rsid w:val="00012853"/>
    <w:rsid w:val="0001351E"/>
    <w:rsid w:val="00015C09"/>
    <w:rsid w:val="00017310"/>
    <w:rsid w:val="0001735F"/>
    <w:rsid w:val="0001786E"/>
    <w:rsid w:val="00017A2F"/>
    <w:rsid w:val="00017B2B"/>
    <w:rsid w:val="00017FD5"/>
    <w:rsid w:val="000200C3"/>
    <w:rsid w:val="000206B0"/>
    <w:rsid w:val="00020FEA"/>
    <w:rsid w:val="00021DAD"/>
    <w:rsid w:val="0002254A"/>
    <w:rsid w:val="000228CE"/>
    <w:rsid w:val="00022BA0"/>
    <w:rsid w:val="000245A0"/>
    <w:rsid w:val="00024D45"/>
    <w:rsid w:val="0002597D"/>
    <w:rsid w:val="00025E9D"/>
    <w:rsid w:val="00026118"/>
    <w:rsid w:val="0002642B"/>
    <w:rsid w:val="00026E37"/>
    <w:rsid w:val="00027939"/>
    <w:rsid w:val="00030068"/>
    <w:rsid w:val="00030D3C"/>
    <w:rsid w:val="00031130"/>
    <w:rsid w:val="00031D7D"/>
    <w:rsid w:val="0003209D"/>
    <w:rsid w:val="00032361"/>
    <w:rsid w:val="000328CE"/>
    <w:rsid w:val="0003336F"/>
    <w:rsid w:val="00035B65"/>
    <w:rsid w:val="00035C6D"/>
    <w:rsid w:val="000360B3"/>
    <w:rsid w:val="00036B7F"/>
    <w:rsid w:val="00037805"/>
    <w:rsid w:val="00040987"/>
    <w:rsid w:val="0004147C"/>
    <w:rsid w:val="00041D71"/>
    <w:rsid w:val="00044506"/>
    <w:rsid w:val="0004459E"/>
    <w:rsid w:val="00045A85"/>
    <w:rsid w:val="000470D3"/>
    <w:rsid w:val="0005182E"/>
    <w:rsid w:val="000527B2"/>
    <w:rsid w:val="000534B2"/>
    <w:rsid w:val="00054459"/>
    <w:rsid w:val="00056228"/>
    <w:rsid w:val="000578ED"/>
    <w:rsid w:val="0006323D"/>
    <w:rsid w:val="00063B54"/>
    <w:rsid w:val="00063C12"/>
    <w:rsid w:val="000647ED"/>
    <w:rsid w:val="00064928"/>
    <w:rsid w:val="00064C93"/>
    <w:rsid w:val="00064FAE"/>
    <w:rsid w:val="0006533F"/>
    <w:rsid w:val="0006639F"/>
    <w:rsid w:val="00067D01"/>
    <w:rsid w:val="00070AD8"/>
    <w:rsid w:val="000710F8"/>
    <w:rsid w:val="000714EF"/>
    <w:rsid w:val="00071D0B"/>
    <w:rsid w:val="00072009"/>
    <w:rsid w:val="000727FF"/>
    <w:rsid w:val="000759CC"/>
    <w:rsid w:val="00075DCA"/>
    <w:rsid w:val="000761FF"/>
    <w:rsid w:val="00076759"/>
    <w:rsid w:val="00080140"/>
    <w:rsid w:val="000805A8"/>
    <w:rsid w:val="00080883"/>
    <w:rsid w:val="00080A43"/>
    <w:rsid w:val="00082732"/>
    <w:rsid w:val="000839E6"/>
    <w:rsid w:val="0008519F"/>
    <w:rsid w:val="00086849"/>
    <w:rsid w:val="00087580"/>
    <w:rsid w:val="0008761A"/>
    <w:rsid w:val="00087741"/>
    <w:rsid w:val="0009095B"/>
    <w:rsid w:val="00091192"/>
    <w:rsid w:val="00092196"/>
    <w:rsid w:val="0009244D"/>
    <w:rsid w:val="00094076"/>
    <w:rsid w:val="00094603"/>
    <w:rsid w:val="00094B47"/>
    <w:rsid w:val="00094C4F"/>
    <w:rsid w:val="0009548A"/>
    <w:rsid w:val="00096130"/>
    <w:rsid w:val="0009731C"/>
    <w:rsid w:val="0009799A"/>
    <w:rsid w:val="000A0441"/>
    <w:rsid w:val="000A09B1"/>
    <w:rsid w:val="000A0E0A"/>
    <w:rsid w:val="000A183E"/>
    <w:rsid w:val="000A61EE"/>
    <w:rsid w:val="000B00C1"/>
    <w:rsid w:val="000B08E7"/>
    <w:rsid w:val="000B0B05"/>
    <w:rsid w:val="000B1121"/>
    <w:rsid w:val="000B1A66"/>
    <w:rsid w:val="000B1C7B"/>
    <w:rsid w:val="000B3BE6"/>
    <w:rsid w:val="000B4C05"/>
    <w:rsid w:val="000B5E00"/>
    <w:rsid w:val="000B63A0"/>
    <w:rsid w:val="000B668F"/>
    <w:rsid w:val="000B6E18"/>
    <w:rsid w:val="000B6F14"/>
    <w:rsid w:val="000C0435"/>
    <w:rsid w:val="000C0593"/>
    <w:rsid w:val="000C08B5"/>
    <w:rsid w:val="000C498C"/>
    <w:rsid w:val="000C61AE"/>
    <w:rsid w:val="000C6A00"/>
    <w:rsid w:val="000C703A"/>
    <w:rsid w:val="000C7397"/>
    <w:rsid w:val="000C7987"/>
    <w:rsid w:val="000C7B2C"/>
    <w:rsid w:val="000C7BA7"/>
    <w:rsid w:val="000D055A"/>
    <w:rsid w:val="000D0713"/>
    <w:rsid w:val="000D1A87"/>
    <w:rsid w:val="000D2D62"/>
    <w:rsid w:val="000D6FBE"/>
    <w:rsid w:val="000E09BA"/>
    <w:rsid w:val="000E09D5"/>
    <w:rsid w:val="000E0C92"/>
    <w:rsid w:val="000E2B72"/>
    <w:rsid w:val="000E362B"/>
    <w:rsid w:val="000E3A1B"/>
    <w:rsid w:val="000E40B0"/>
    <w:rsid w:val="000E549E"/>
    <w:rsid w:val="000E585D"/>
    <w:rsid w:val="000E588F"/>
    <w:rsid w:val="000E6903"/>
    <w:rsid w:val="000E6A93"/>
    <w:rsid w:val="000E6B7F"/>
    <w:rsid w:val="000E7D34"/>
    <w:rsid w:val="000F04F4"/>
    <w:rsid w:val="000F3015"/>
    <w:rsid w:val="000F3110"/>
    <w:rsid w:val="000F3D1A"/>
    <w:rsid w:val="000F4CE6"/>
    <w:rsid w:val="000F584A"/>
    <w:rsid w:val="000F775D"/>
    <w:rsid w:val="00100E1F"/>
    <w:rsid w:val="00100E77"/>
    <w:rsid w:val="00101725"/>
    <w:rsid w:val="0010374E"/>
    <w:rsid w:val="00106B6C"/>
    <w:rsid w:val="00106E1F"/>
    <w:rsid w:val="00107F7B"/>
    <w:rsid w:val="00110D12"/>
    <w:rsid w:val="0011171E"/>
    <w:rsid w:val="00111BF8"/>
    <w:rsid w:val="00112F75"/>
    <w:rsid w:val="00113AD7"/>
    <w:rsid w:val="00115D45"/>
    <w:rsid w:val="0011682A"/>
    <w:rsid w:val="00121192"/>
    <w:rsid w:val="001225E2"/>
    <w:rsid w:val="0012399B"/>
    <w:rsid w:val="00123FBE"/>
    <w:rsid w:val="00124B7B"/>
    <w:rsid w:val="001258D2"/>
    <w:rsid w:val="00125C96"/>
    <w:rsid w:val="00126E27"/>
    <w:rsid w:val="00126F99"/>
    <w:rsid w:val="00127821"/>
    <w:rsid w:val="0012786C"/>
    <w:rsid w:val="00127909"/>
    <w:rsid w:val="00130BF0"/>
    <w:rsid w:val="00133848"/>
    <w:rsid w:val="00135DC7"/>
    <w:rsid w:val="001364B4"/>
    <w:rsid w:val="00140F7E"/>
    <w:rsid w:val="00141943"/>
    <w:rsid w:val="0014276D"/>
    <w:rsid w:val="00146B77"/>
    <w:rsid w:val="00146F70"/>
    <w:rsid w:val="00147B83"/>
    <w:rsid w:val="00150C80"/>
    <w:rsid w:val="001539A1"/>
    <w:rsid w:val="00153B21"/>
    <w:rsid w:val="00154871"/>
    <w:rsid w:val="00154C41"/>
    <w:rsid w:val="0015567B"/>
    <w:rsid w:val="00155AE2"/>
    <w:rsid w:val="001606EF"/>
    <w:rsid w:val="00160D69"/>
    <w:rsid w:val="00163943"/>
    <w:rsid w:val="00164FC9"/>
    <w:rsid w:val="00166074"/>
    <w:rsid w:val="001677BE"/>
    <w:rsid w:val="00170694"/>
    <w:rsid w:val="00170EA9"/>
    <w:rsid w:val="001727AD"/>
    <w:rsid w:val="00172D21"/>
    <w:rsid w:val="00172F63"/>
    <w:rsid w:val="0017320A"/>
    <w:rsid w:val="0017379A"/>
    <w:rsid w:val="001741BF"/>
    <w:rsid w:val="0017449D"/>
    <w:rsid w:val="001755F0"/>
    <w:rsid w:val="0017637C"/>
    <w:rsid w:val="00180329"/>
    <w:rsid w:val="00181EC3"/>
    <w:rsid w:val="001844BD"/>
    <w:rsid w:val="0018622D"/>
    <w:rsid w:val="00186700"/>
    <w:rsid w:val="00186AC4"/>
    <w:rsid w:val="00187F07"/>
    <w:rsid w:val="00190C82"/>
    <w:rsid w:val="001940B3"/>
    <w:rsid w:val="001963E7"/>
    <w:rsid w:val="001979A0"/>
    <w:rsid w:val="001A02F6"/>
    <w:rsid w:val="001A4140"/>
    <w:rsid w:val="001A4207"/>
    <w:rsid w:val="001A444D"/>
    <w:rsid w:val="001A49F9"/>
    <w:rsid w:val="001A5C59"/>
    <w:rsid w:val="001A6370"/>
    <w:rsid w:val="001A6475"/>
    <w:rsid w:val="001A6550"/>
    <w:rsid w:val="001A6551"/>
    <w:rsid w:val="001B4710"/>
    <w:rsid w:val="001B552E"/>
    <w:rsid w:val="001B55D6"/>
    <w:rsid w:val="001B5AB8"/>
    <w:rsid w:val="001B6424"/>
    <w:rsid w:val="001B75D6"/>
    <w:rsid w:val="001B75E5"/>
    <w:rsid w:val="001C0394"/>
    <w:rsid w:val="001C0C9A"/>
    <w:rsid w:val="001C1E54"/>
    <w:rsid w:val="001C25D8"/>
    <w:rsid w:val="001C307F"/>
    <w:rsid w:val="001C32D6"/>
    <w:rsid w:val="001C5FE6"/>
    <w:rsid w:val="001C69F9"/>
    <w:rsid w:val="001C7F69"/>
    <w:rsid w:val="001D095D"/>
    <w:rsid w:val="001D117A"/>
    <w:rsid w:val="001D1B8A"/>
    <w:rsid w:val="001D3A1B"/>
    <w:rsid w:val="001D45DB"/>
    <w:rsid w:val="001D4EEF"/>
    <w:rsid w:val="001D60B5"/>
    <w:rsid w:val="001D680F"/>
    <w:rsid w:val="001D6FC8"/>
    <w:rsid w:val="001D718E"/>
    <w:rsid w:val="001E264B"/>
    <w:rsid w:val="001E3EC6"/>
    <w:rsid w:val="001E4171"/>
    <w:rsid w:val="001E5C0D"/>
    <w:rsid w:val="001E6735"/>
    <w:rsid w:val="001E7CED"/>
    <w:rsid w:val="001F0903"/>
    <w:rsid w:val="001F5202"/>
    <w:rsid w:val="001F560E"/>
    <w:rsid w:val="001F647D"/>
    <w:rsid w:val="001F719F"/>
    <w:rsid w:val="00200E2B"/>
    <w:rsid w:val="00200FAB"/>
    <w:rsid w:val="00201001"/>
    <w:rsid w:val="0020196F"/>
    <w:rsid w:val="00201DF5"/>
    <w:rsid w:val="00201EED"/>
    <w:rsid w:val="00202106"/>
    <w:rsid w:val="00202251"/>
    <w:rsid w:val="00202B3A"/>
    <w:rsid w:val="00202EC0"/>
    <w:rsid w:val="0020466A"/>
    <w:rsid w:val="00204827"/>
    <w:rsid w:val="00204FFA"/>
    <w:rsid w:val="00205954"/>
    <w:rsid w:val="00206A54"/>
    <w:rsid w:val="00206B6A"/>
    <w:rsid w:val="00210341"/>
    <w:rsid w:val="00212049"/>
    <w:rsid w:val="00215048"/>
    <w:rsid w:val="00215467"/>
    <w:rsid w:val="00215E86"/>
    <w:rsid w:val="0021628A"/>
    <w:rsid w:val="00216951"/>
    <w:rsid w:val="00217288"/>
    <w:rsid w:val="00217943"/>
    <w:rsid w:val="0022091F"/>
    <w:rsid w:val="0022156C"/>
    <w:rsid w:val="00222EC1"/>
    <w:rsid w:val="0022392A"/>
    <w:rsid w:val="00223D5E"/>
    <w:rsid w:val="00223DC4"/>
    <w:rsid w:val="002241A1"/>
    <w:rsid w:val="002252DA"/>
    <w:rsid w:val="00225562"/>
    <w:rsid w:val="00225C0F"/>
    <w:rsid w:val="00226735"/>
    <w:rsid w:val="00232473"/>
    <w:rsid w:val="00233F03"/>
    <w:rsid w:val="002345FD"/>
    <w:rsid w:val="00235508"/>
    <w:rsid w:val="00235578"/>
    <w:rsid w:val="002358C6"/>
    <w:rsid w:val="00235F42"/>
    <w:rsid w:val="002364B2"/>
    <w:rsid w:val="00236E5F"/>
    <w:rsid w:val="0023782B"/>
    <w:rsid w:val="00241D05"/>
    <w:rsid w:val="0024320D"/>
    <w:rsid w:val="00245DC0"/>
    <w:rsid w:val="0024754B"/>
    <w:rsid w:val="00250724"/>
    <w:rsid w:val="002507A8"/>
    <w:rsid w:val="00250971"/>
    <w:rsid w:val="00251BD0"/>
    <w:rsid w:val="00252309"/>
    <w:rsid w:val="00252313"/>
    <w:rsid w:val="00253BD1"/>
    <w:rsid w:val="00254456"/>
    <w:rsid w:val="002548FD"/>
    <w:rsid w:val="002556C5"/>
    <w:rsid w:val="00255DD9"/>
    <w:rsid w:val="00260FBE"/>
    <w:rsid w:val="002618F9"/>
    <w:rsid w:val="00261B21"/>
    <w:rsid w:val="0026269F"/>
    <w:rsid w:val="00262F27"/>
    <w:rsid w:val="002653B9"/>
    <w:rsid w:val="002654B2"/>
    <w:rsid w:val="0026623A"/>
    <w:rsid w:val="002672E3"/>
    <w:rsid w:val="0027002F"/>
    <w:rsid w:val="002707AD"/>
    <w:rsid w:val="00272045"/>
    <w:rsid w:val="00274165"/>
    <w:rsid w:val="002745C7"/>
    <w:rsid w:val="002747BD"/>
    <w:rsid w:val="00275283"/>
    <w:rsid w:val="0028154F"/>
    <w:rsid w:val="00281DFB"/>
    <w:rsid w:val="002829AA"/>
    <w:rsid w:val="002829F6"/>
    <w:rsid w:val="00284280"/>
    <w:rsid w:val="002853E1"/>
    <w:rsid w:val="002854F1"/>
    <w:rsid w:val="002868CF"/>
    <w:rsid w:val="00286A3F"/>
    <w:rsid w:val="00286C36"/>
    <w:rsid w:val="00291A4B"/>
    <w:rsid w:val="00292E61"/>
    <w:rsid w:val="00293231"/>
    <w:rsid w:val="00294064"/>
    <w:rsid w:val="00296943"/>
    <w:rsid w:val="002976CA"/>
    <w:rsid w:val="002A12AD"/>
    <w:rsid w:val="002A22D9"/>
    <w:rsid w:val="002A27F7"/>
    <w:rsid w:val="002A469A"/>
    <w:rsid w:val="002B139B"/>
    <w:rsid w:val="002B1E02"/>
    <w:rsid w:val="002B267C"/>
    <w:rsid w:val="002B4317"/>
    <w:rsid w:val="002B766D"/>
    <w:rsid w:val="002B7717"/>
    <w:rsid w:val="002C0039"/>
    <w:rsid w:val="002C0598"/>
    <w:rsid w:val="002C192C"/>
    <w:rsid w:val="002C2CAD"/>
    <w:rsid w:val="002C3241"/>
    <w:rsid w:val="002C4634"/>
    <w:rsid w:val="002C57B0"/>
    <w:rsid w:val="002C7220"/>
    <w:rsid w:val="002C75B1"/>
    <w:rsid w:val="002C7760"/>
    <w:rsid w:val="002D05FD"/>
    <w:rsid w:val="002D1258"/>
    <w:rsid w:val="002D1C34"/>
    <w:rsid w:val="002D1F53"/>
    <w:rsid w:val="002D3AC9"/>
    <w:rsid w:val="002D5EC7"/>
    <w:rsid w:val="002D7F8B"/>
    <w:rsid w:val="002E01B8"/>
    <w:rsid w:val="002E1855"/>
    <w:rsid w:val="002E268B"/>
    <w:rsid w:val="002E5F5C"/>
    <w:rsid w:val="002E6C15"/>
    <w:rsid w:val="002E6CD5"/>
    <w:rsid w:val="002E6E41"/>
    <w:rsid w:val="002E7227"/>
    <w:rsid w:val="002F16BB"/>
    <w:rsid w:val="002F1A70"/>
    <w:rsid w:val="002F509A"/>
    <w:rsid w:val="002F58F7"/>
    <w:rsid w:val="002F64CE"/>
    <w:rsid w:val="002F6FB0"/>
    <w:rsid w:val="00300191"/>
    <w:rsid w:val="003009F0"/>
    <w:rsid w:val="003013FA"/>
    <w:rsid w:val="003031CC"/>
    <w:rsid w:val="0030321A"/>
    <w:rsid w:val="00303222"/>
    <w:rsid w:val="00303755"/>
    <w:rsid w:val="00303C30"/>
    <w:rsid w:val="00303ED3"/>
    <w:rsid w:val="003041A0"/>
    <w:rsid w:val="00305D0E"/>
    <w:rsid w:val="00306B8D"/>
    <w:rsid w:val="00307FE4"/>
    <w:rsid w:val="0031099F"/>
    <w:rsid w:val="00311603"/>
    <w:rsid w:val="003123CC"/>
    <w:rsid w:val="00312970"/>
    <w:rsid w:val="00313115"/>
    <w:rsid w:val="0031640F"/>
    <w:rsid w:val="0031670C"/>
    <w:rsid w:val="00317DE0"/>
    <w:rsid w:val="0032099F"/>
    <w:rsid w:val="00321E0F"/>
    <w:rsid w:val="0032720B"/>
    <w:rsid w:val="00331A8A"/>
    <w:rsid w:val="00333632"/>
    <w:rsid w:val="00333944"/>
    <w:rsid w:val="00334D79"/>
    <w:rsid w:val="00335AB9"/>
    <w:rsid w:val="00335E1B"/>
    <w:rsid w:val="003375CF"/>
    <w:rsid w:val="00337D3E"/>
    <w:rsid w:val="00337FE3"/>
    <w:rsid w:val="00341D0F"/>
    <w:rsid w:val="00342D06"/>
    <w:rsid w:val="00343708"/>
    <w:rsid w:val="00345E48"/>
    <w:rsid w:val="00347383"/>
    <w:rsid w:val="00347479"/>
    <w:rsid w:val="00350400"/>
    <w:rsid w:val="00350FD7"/>
    <w:rsid w:val="003510AA"/>
    <w:rsid w:val="0035160D"/>
    <w:rsid w:val="003531FC"/>
    <w:rsid w:val="00353A00"/>
    <w:rsid w:val="00355C3C"/>
    <w:rsid w:val="00355F1A"/>
    <w:rsid w:val="00357DF7"/>
    <w:rsid w:val="00360A4A"/>
    <w:rsid w:val="00360E91"/>
    <w:rsid w:val="00361CC3"/>
    <w:rsid w:val="003625CA"/>
    <w:rsid w:val="003633C9"/>
    <w:rsid w:val="00364AA1"/>
    <w:rsid w:val="00366577"/>
    <w:rsid w:val="00367E63"/>
    <w:rsid w:val="0037127A"/>
    <w:rsid w:val="003734BB"/>
    <w:rsid w:val="00373529"/>
    <w:rsid w:val="0037373F"/>
    <w:rsid w:val="00374228"/>
    <w:rsid w:val="00375976"/>
    <w:rsid w:val="00376B13"/>
    <w:rsid w:val="00376DCC"/>
    <w:rsid w:val="0037736E"/>
    <w:rsid w:val="0038236D"/>
    <w:rsid w:val="003831B9"/>
    <w:rsid w:val="003838A2"/>
    <w:rsid w:val="003844F3"/>
    <w:rsid w:val="00390637"/>
    <w:rsid w:val="00390CBA"/>
    <w:rsid w:val="00390FC5"/>
    <w:rsid w:val="00390FDF"/>
    <w:rsid w:val="0039214E"/>
    <w:rsid w:val="00392620"/>
    <w:rsid w:val="003930A4"/>
    <w:rsid w:val="00393DCA"/>
    <w:rsid w:val="00393E8A"/>
    <w:rsid w:val="003947C5"/>
    <w:rsid w:val="00396166"/>
    <w:rsid w:val="003963CC"/>
    <w:rsid w:val="0039736F"/>
    <w:rsid w:val="00397C16"/>
    <w:rsid w:val="003A00FB"/>
    <w:rsid w:val="003A1C71"/>
    <w:rsid w:val="003A3554"/>
    <w:rsid w:val="003A59E4"/>
    <w:rsid w:val="003B1B63"/>
    <w:rsid w:val="003B249B"/>
    <w:rsid w:val="003B2656"/>
    <w:rsid w:val="003B3C3A"/>
    <w:rsid w:val="003B405F"/>
    <w:rsid w:val="003B4329"/>
    <w:rsid w:val="003B4CCC"/>
    <w:rsid w:val="003B592D"/>
    <w:rsid w:val="003B60C3"/>
    <w:rsid w:val="003B7E21"/>
    <w:rsid w:val="003C1161"/>
    <w:rsid w:val="003C4A61"/>
    <w:rsid w:val="003C5EB0"/>
    <w:rsid w:val="003C6A4E"/>
    <w:rsid w:val="003C770B"/>
    <w:rsid w:val="003D022A"/>
    <w:rsid w:val="003D1370"/>
    <w:rsid w:val="003D1516"/>
    <w:rsid w:val="003D1886"/>
    <w:rsid w:val="003D22F2"/>
    <w:rsid w:val="003D2A91"/>
    <w:rsid w:val="003D3225"/>
    <w:rsid w:val="003D3CD4"/>
    <w:rsid w:val="003D3D8E"/>
    <w:rsid w:val="003D6860"/>
    <w:rsid w:val="003D70F9"/>
    <w:rsid w:val="003E04A3"/>
    <w:rsid w:val="003E3FEF"/>
    <w:rsid w:val="003E4128"/>
    <w:rsid w:val="003E4A1B"/>
    <w:rsid w:val="003E5CDC"/>
    <w:rsid w:val="003E64BB"/>
    <w:rsid w:val="003E67AD"/>
    <w:rsid w:val="003E6B9A"/>
    <w:rsid w:val="003E79E4"/>
    <w:rsid w:val="003F277A"/>
    <w:rsid w:val="003F2DED"/>
    <w:rsid w:val="003F49AC"/>
    <w:rsid w:val="00401165"/>
    <w:rsid w:val="004014F9"/>
    <w:rsid w:val="004024E5"/>
    <w:rsid w:val="004032B9"/>
    <w:rsid w:val="00404EE6"/>
    <w:rsid w:val="00404F86"/>
    <w:rsid w:val="00405432"/>
    <w:rsid w:val="004069EC"/>
    <w:rsid w:val="00407294"/>
    <w:rsid w:val="004100F9"/>
    <w:rsid w:val="00410651"/>
    <w:rsid w:val="00410A64"/>
    <w:rsid w:val="00410AA7"/>
    <w:rsid w:val="00410CF6"/>
    <w:rsid w:val="00411653"/>
    <w:rsid w:val="00413FD6"/>
    <w:rsid w:val="00414428"/>
    <w:rsid w:val="004148B3"/>
    <w:rsid w:val="004152F1"/>
    <w:rsid w:val="00415F73"/>
    <w:rsid w:val="00416639"/>
    <w:rsid w:val="004174C3"/>
    <w:rsid w:val="00417567"/>
    <w:rsid w:val="00420B56"/>
    <w:rsid w:val="00420EE3"/>
    <w:rsid w:val="004225A5"/>
    <w:rsid w:val="00423FDE"/>
    <w:rsid w:val="00424DD1"/>
    <w:rsid w:val="004262ED"/>
    <w:rsid w:val="0043053D"/>
    <w:rsid w:val="0043270C"/>
    <w:rsid w:val="00432F82"/>
    <w:rsid w:val="00433A76"/>
    <w:rsid w:val="004351F8"/>
    <w:rsid w:val="00442CBA"/>
    <w:rsid w:val="00442FF4"/>
    <w:rsid w:val="00446D4D"/>
    <w:rsid w:val="00447A2B"/>
    <w:rsid w:val="00447BDE"/>
    <w:rsid w:val="00447FA5"/>
    <w:rsid w:val="0045012A"/>
    <w:rsid w:val="004526D0"/>
    <w:rsid w:val="0045275E"/>
    <w:rsid w:val="004545D6"/>
    <w:rsid w:val="004557F8"/>
    <w:rsid w:val="0045594D"/>
    <w:rsid w:val="00455FC4"/>
    <w:rsid w:val="0045689D"/>
    <w:rsid w:val="00456B05"/>
    <w:rsid w:val="00456F41"/>
    <w:rsid w:val="00460197"/>
    <w:rsid w:val="00460730"/>
    <w:rsid w:val="0046292B"/>
    <w:rsid w:val="00462EFC"/>
    <w:rsid w:val="004634C0"/>
    <w:rsid w:val="00463F59"/>
    <w:rsid w:val="00464BBF"/>
    <w:rsid w:val="00466DA8"/>
    <w:rsid w:val="00467EB5"/>
    <w:rsid w:val="004713F2"/>
    <w:rsid w:val="00471D53"/>
    <w:rsid w:val="0047220D"/>
    <w:rsid w:val="00472F82"/>
    <w:rsid w:val="0047394F"/>
    <w:rsid w:val="00473B23"/>
    <w:rsid w:val="004758C9"/>
    <w:rsid w:val="00476536"/>
    <w:rsid w:val="00477ECF"/>
    <w:rsid w:val="00480DF9"/>
    <w:rsid w:val="00481112"/>
    <w:rsid w:val="004816B1"/>
    <w:rsid w:val="00481DAF"/>
    <w:rsid w:val="00481DBC"/>
    <w:rsid w:val="0048210F"/>
    <w:rsid w:val="00483A64"/>
    <w:rsid w:val="00483B1B"/>
    <w:rsid w:val="00483C9F"/>
    <w:rsid w:val="00484712"/>
    <w:rsid w:val="00485031"/>
    <w:rsid w:val="00486911"/>
    <w:rsid w:val="00487017"/>
    <w:rsid w:val="00487EE1"/>
    <w:rsid w:val="00491131"/>
    <w:rsid w:val="00491498"/>
    <w:rsid w:val="00491F71"/>
    <w:rsid w:val="004920F6"/>
    <w:rsid w:val="00493725"/>
    <w:rsid w:val="004940C3"/>
    <w:rsid w:val="00494653"/>
    <w:rsid w:val="00494C73"/>
    <w:rsid w:val="004953D3"/>
    <w:rsid w:val="004957EC"/>
    <w:rsid w:val="00495BBD"/>
    <w:rsid w:val="00495C51"/>
    <w:rsid w:val="004968ED"/>
    <w:rsid w:val="00497B48"/>
    <w:rsid w:val="004A0046"/>
    <w:rsid w:val="004A05CB"/>
    <w:rsid w:val="004A2619"/>
    <w:rsid w:val="004A4971"/>
    <w:rsid w:val="004A4A73"/>
    <w:rsid w:val="004A688C"/>
    <w:rsid w:val="004A6D64"/>
    <w:rsid w:val="004A6E20"/>
    <w:rsid w:val="004A70A1"/>
    <w:rsid w:val="004B0F8C"/>
    <w:rsid w:val="004B1111"/>
    <w:rsid w:val="004B1514"/>
    <w:rsid w:val="004B62EF"/>
    <w:rsid w:val="004B6625"/>
    <w:rsid w:val="004C1302"/>
    <w:rsid w:val="004C20F2"/>
    <w:rsid w:val="004C2FEC"/>
    <w:rsid w:val="004C3DBD"/>
    <w:rsid w:val="004C3DDC"/>
    <w:rsid w:val="004C519B"/>
    <w:rsid w:val="004C62BE"/>
    <w:rsid w:val="004C678B"/>
    <w:rsid w:val="004D1A60"/>
    <w:rsid w:val="004D23E1"/>
    <w:rsid w:val="004D3780"/>
    <w:rsid w:val="004D3D87"/>
    <w:rsid w:val="004D42CD"/>
    <w:rsid w:val="004D53F0"/>
    <w:rsid w:val="004D5C20"/>
    <w:rsid w:val="004D6338"/>
    <w:rsid w:val="004D6594"/>
    <w:rsid w:val="004D76FB"/>
    <w:rsid w:val="004E0CB5"/>
    <w:rsid w:val="004E267B"/>
    <w:rsid w:val="004E3434"/>
    <w:rsid w:val="004E57D6"/>
    <w:rsid w:val="004E59FE"/>
    <w:rsid w:val="004E6FBD"/>
    <w:rsid w:val="004E7ED2"/>
    <w:rsid w:val="004F031E"/>
    <w:rsid w:val="004F24B2"/>
    <w:rsid w:val="004F25FB"/>
    <w:rsid w:val="004F310E"/>
    <w:rsid w:val="004F3169"/>
    <w:rsid w:val="004F3A68"/>
    <w:rsid w:val="004F3FB4"/>
    <w:rsid w:val="004F489E"/>
    <w:rsid w:val="004F5681"/>
    <w:rsid w:val="004F587D"/>
    <w:rsid w:val="004F5D37"/>
    <w:rsid w:val="004F6AC3"/>
    <w:rsid w:val="00503A50"/>
    <w:rsid w:val="00505E58"/>
    <w:rsid w:val="00510270"/>
    <w:rsid w:val="005126A7"/>
    <w:rsid w:val="00512F44"/>
    <w:rsid w:val="00514702"/>
    <w:rsid w:val="005150C7"/>
    <w:rsid w:val="005156A1"/>
    <w:rsid w:val="00516A4B"/>
    <w:rsid w:val="005179D6"/>
    <w:rsid w:val="00520114"/>
    <w:rsid w:val="00520518"/>
    <w:rsid w:val="005207A1"/>
    <w:rsid w:val="00521B39"/>
    <w:rsid w:val="005237DD"/>
    <w:rsid w:val="0052382A"/>
    <w:rsid w:val="005258FF"/>
    <w:rsid w:val="005260BA"/>
    <w:rsid w:val="00526C9B"/>
    <w:rsid w:val="00526CF4"/>
    <w:rsid w:val="00530082"/>
    <w:rsid w:val="0053069C"/>
    <w:rsid w:val="00532462"/>
    <w:rsid w:val="00532FE8"/>
    <w:rsid w:val="00533D1D"/>
    <w:rsid w:val="00534052"/>
    <w:rsid w:val="00534643"/>
    <w:rsid w:val="00535C6D"/>
    <w:rsid w:val="0053639D"/>
    <w:rsid w:val="005430D8"/>
    <w:rsid w:val="00544ED7"/>
    <w:rsid w:val="00545182"/>
    <w:rsid w:val="00550DCF"/>
    <w:rsid w:val="00550FAB"/>
    <w:rsid w:val="00552687"/>
    <w:rsid w:val="00552FFB"/>
    <w:rsid w:val="00553346"/>
    <w:rsid w:val="00553641"/>
    <w:rsid w:val="00553A5B"/>
    <w:rsid w:val="00554639"/>
    <w:rsid w:val="00554B42"/>
    <w:rsid w:val="00554EEF"/>
    <w:rsid w:val="00554FEB"/>
    <w:rsid w:val="0055536D"/>
    <w:rsid w:val="00555411"/>
    <w:rsid w:val="005568CC"/>
    <w:rsid w:val="0056046D"/>
    <w:rsid w:val="00560C26"/>
    <w:rsid w:val="005612AB"/>
    <w:rsid w:val="005620EF"/>
    <w:rsid w:val="00563A30"/>
    <w:rsid w:val="00563CE3"/>
    <w:rsid w:val="0056451B"/>
    <w:rsid w:val="00566C5C"/>
    <w:rsid w:val="0056711F"/>
    <w:rsid w:val="0057098C"/>
    <w:rsid w:val="005709B4"/>
    <w:rsid w:val="00570C90"/>
    <w:rsid w:val="00570E91"/>
    <w:rsid w:val="00571709"/>
    <w:rsid w:val="005720BF"/>
    <w:rsid w:val="005737EC"/>
    <w:rsid w:val="005744A2"/>
    <w:rsid w:val="00574687"/>
    <w:rsid w:val="005751D7"/>
    <w:rsid w:val="0057533D"/>
    <w:rsid w:val="005755AF"/>
    <w:rsid w:val="005760FC"/>
    <w:rsid w:val="00577A52"/>
    <w:rsid w:val="005825BC"/>
    <w:rsid w:val="00582E1D"/>
    <w:rsid w:val="00583172"/>
    <w:rsid w:val="00583DCC"/>
    <w:rsid w:val="00583EB4"/>
    <w:rsid w:val="005845E0"/>
    <w:rsid w:val="00584730"/>
    <w:rsid w:val="00585020"/>
    <w:rsid w:val="00585BAF"/>
    <w:rsid w:val="00586296"/>
    <w:rsid w:val="0058656F"/>
    <w:rsid w:val="00587367"/>
    <w:rsid w:val="005874FE"/>
    <w:rsid w:val="0058757E"/>
    <w:rsid w:val="00587D0F"/>
    <w:rsid w:val="005908E0"/>
    <w:rsid w:val="00593E56"/>
    <w:rsid w:val="00593FB3"/>
    <w:rsid w:val="0059406F"/>
    <w:rsid w:val="0059445B"/>
    <w:rsid w:val="00594693"/>
    <w:rsid w:val="00594934"/>
    <w:rsid w:val="0059753D"/>
    <w:rsid w:val="005978C1"/>
    <w:rsid w:val="00597C4E"/>
    <w:rsid w:val="005A1ACA"/>
    <w:rsid w:val="005A21AA"/>
    <w:rsid w:val="005A258A"/>
    <w:rsid w:val="005A2AFD"/>
    <w:rsid w:val="005A2C3E"/>
    <w:rsid w:val="005A4ECB"/>
    <w:rsid w:val="005A5C5E"/>
    <w:rsid w:val="005A5D44"/>
    <w:rsid w:val="005A6659"/>
    <w:rsid w:val="005A739D"/>
    <w:rsid w:val="005B05E3"/>
    <w:rsid w:val="005B1BDD"/>
    <w:rsid w:val="005B1EF9"/>
    <w:rsid w:val="005B2EDE"/>
    <w:rsid w:val="005B562A"/>
    <w:rsid w:val="005C0648"/>
    <w:rsid w:val="005C0DB3"/>
    <w:rsid w:val="005C1C22"/>
    <w:rsid w:val="005C22E8"/>
    <w:rsid w:val="005C3690"/>
    <w:rsid w:val="005C3D30"/>
    <w:rsid w:val="005C4D5B"/>
    <w:rsid w:val="005C627F"/>
    <w:rsid w:val="005C6F34"/>
    <w:rsid w:val="005C771C"/>
    <w:rsid w:val="005D0F00"/>
    <w:rsid w:val="005D17C2"/>
    <w:rsid w:val="005D2250"/>
    <w:rsid w:val="005D298F"/>
    <w:rsid w:val="005D41B6"/>
    <w:rsid w:val="005D441B"/>
    <w:rsid w:val="005D4853"/>
    <w:rsid w:val="005D48A3"/>
    <w:rsid w:val="005D5674"/>
    <w:rsid w:val="005D5CF9"/>
    <w:rsid w:val="005D6146"/>
    <w:rsid w:val="005D701A"/>
    <w:rsid w:val="005D70AA"/>
    <w:rsid w:val="005D77E3"/>
    <w:rsid w:val="005E12F5"/>
    <w:rsid w:val="005E173F"/>
    <w:rsid w:val="005E1EC1"/>
    <w:rsid w:val="005E2935"/>
    <w:rsid w:val="005E3DBB"/>
    <w:rsid w:val="005E4F87"/>
    <w:rsid w:val="005E680B"/>
    <w:rsid w:val="005E7D88"/>
    <w:rsid w:val="005F06CB"/>
    <w:rsid w:val="005F25C9"/>
    <w:rsid w:val="005F2BFF"/>
    <w:rsid w:val="005F3057"/>
    <w:rsid w:val="005F343D"/>
    <w:rsid w:val="005F4F49"/>
    <w:rsid w:val="005F55CD"/>
    <w:rsid w:val="005F6DAE"/>
    <w:rsid w:val="005F73BF"/>
    <w:rsid w:val="005F74ED"/>
    <w:rsid w:val="00600370"/>
    <w:rsid w:val="006012B1"/>
    <w:rsid w:val="0060176E"/>
    <w:rsid w:val="006021BA"/>
    <w:rsid w:val="00604075"/>
    <w:rsid w:val="00604FB2"/>
    <w:rsid w:val="00606B8D"/>
    <w:rsid w:val="00607A79"/>
    <w:rsid w:val="006105E6"/>
    <w:rsid w:val="00610747"/>
    <w:rsid w:val="00610F15"/>
    <w:rsid w:val="00611831"/>
    <w:rsid w:val="0061288F"/>
    <w:rsid w:val="00612E9B"/>
    <w:rsid w:val="0061304E"/>
    <w:rsid w:val="0061611D"/>
    <w:rsid w:val="00616CA0"/>
    <w:rsid w:val="006171CD"/>
    <w:rsid w:val="0062031D"/>
    <w:rsid w:val="0062182A"/>
    <w:rsid w:val="006227AD"/>
    <w:rsid w:val="00625E49"/>
    <w:rsid w:val="00630142"/>
    <w:rsid w:val="00633CA2"/>
    <w:rsid w:val="006360E1"/>
    <w:rsid w:val="00637525"/>
    <w:rsid w:val="006376F6"/>
    <w:rsid w:val="00637A5D"/>
    <w:rsid w:val="00640DD1"/>
    <w:rsid w:val="006415B9"/>
    <w:rsid w:val="00641D0C"/>
    <w:rsid w:val="00643D88"/>
    <w:rsid w:val="00645AA8"/>
    <w:rsid w:val="00646DB6"/>
    <w:rsid w:val="00647C48"/>
    <w:rsid w:val="00647E2E"/>
    <w:rsid w:val="00650011"/>
    <w:rsid w:val="00651ECC"/>
    <w:rsid w:val="00652835"/>
    <w:rsid w:val="00654A8D"/>
    <w:rsid w:val="00655B61"/>
    <w:rsid w:val="00657041"/>
    <w:rsid w:val="006570BD"/>
    <w:rsid w:val="006574C7"/>
    <w:rsid w:val="006608DF"/>
    <w:rsid w:val="006611C0"/>
    <w:rsid w:val="0066247A"/>
    <w:rsid w:val="00662D43"/>
    <w:rsid w:val="00664A89"/>
    <w:rsid w:val="00667564"/>
    <w:rsid w:val="00670183"/>
    <w:rsid w:val="006734B7"/>
    <w:rsid w:val="006747B8"/>
    <w:rsid w:val="00675C3A"/>
    <w:rsid w:val="0067700A"/>
    <w:rsid w:val="00677E58"/>
    <w:rsid w:val="006806F5"/>
    <w:rsid w:val="0068089D"/>
    <w:rsid w:val="00680958"/>
    <w:rsid w:val="00681B52"/>
    <w:rsid w:val="00681D5B"/>
    <w:rsid w:val="00683B53"/>
    <w:rsid w:val="00684442"/>
    <w:rsid w:val="006848CB"/>
    <w:rsid w:val="00684CBA"/>
    <w:rsid w:val="00684D8B"/>
    <w:rsid w:val="00686B36"/>
    <w:rsid w:val="00687268"/>
    <w:rsid w:val="00687957"/>
    <w:rsid w:val="00690B6D"/>
    <w:rsid w:val="00692E9B"/>
    <w:rsid w:val="00695D74"/>
    <w:rsid w:val="00696885"/>
    <w:rsid w:val="006A0A11"/>
    <w:rsid w:val="006A192F"/>
    <w:rsid w:val="006A24DA"/>
    <w:rsid w:val="006A3BEA"/>
    <w:rsid w:val="006A5427"/>
    <w:rsid w:val="006B0653"/>
    <w:rsid w:val="006B0F88"/>
    <w:rsid w:val="006B2709"/>
    <w:rsid w:val="006B3603"/>
    <w:rsid w:val="006B3B49"/>
    <w:rsid w:val="006B58A9"/>
    <w:rsid w:val="006B62EB"/>
    <w:rsid w:val="006B6D72"/>
    <w:rsid w:val="006B7449"/>
    <w:rsid w:val="006B746C"/>
    <w:rsid w:val="006C1DA7"/>
    <w:rsid w:val="006C4529"/>
    <w:rsid w:val="006C516F"/>
    <w:rsid w:val="006C6199"/>
    <w:rsid w:val="006C6C1C"/>
    <w:rsid w:val="006C729D"/>
    <w:rsid w:val="006C7FF1"/>
    <w:rsid w:val="006D0E25"/>
    <w:rsid w:val="006D1F6B"/>
    <w:rsid w:val="006D2457"/>
    <w:rsid w:val="006D2FFD"/>
    <w:rsid w:val="006D3D98"/>
    <w:rsid w:val="006D4CCE"/>
    <w:rsid w:val="006E0D75"/>
    <w:rsid w:val="006E0F60"/>
    <w:rsid w:val="006E23A7"/>
    <w:rsid w:val="006E3040"/>
    <w:rsid w:val="006E36C9"/>
    <w:rsid w:val="006E56FC"/>
    <w:rsid w:val="006E76F6"/>
    <w:rsid w:val="006F1A40"/>
    <w:rsid w:val="006F299D"/>
    <w:rsid w:val="006F2B0E"/>
    <w:rsid w:val="006F36E6"/>
    <w:rsid w:val="006F397A"/>
    <w:rsid w:val="006F4744"/>
    <w:rsid w:val="0070095E"/>
    <w:rsid w:val="00702199"/>
    <w:rsid w:val="00703C18"/>
    <w:rsid w:val="007064C1"/>
    <w:rsid w:val="007068F0"/>
    <w:rsid w:val="00706A64"/>
    <w:rsid w:val="00706B3E"/>
    <w:rsid w:val="00707966"/>
    <w:rsid w:val="0071057D"/>
    <w:rsid w:val="007111EC"/>
    <w:rsid w:val="007112DE"/>
    <w:rsid w:val="0071277E"/>
    <w:rsid w:val="00712A9B"/>
    <w:rsid w:val="00712D61"/>
    <w:rsid w:val="007137C6"/>
    <w:rsid w:val="00713E56"/>
    <w:rsid w:val="007145FF"/>
    <w:rsid w:val="007152E4"/>
    <w:rsid w:val="00715EE5"/>
    <w:rsid w:val="007161A0"/>
    <w:rsid w:val="007163E2"/>
    <w:rsid w:val="007203D6"/>
    <w:rsid w:val="007205A2"/>
    <w:rsid w:val="00720D41"/>
    <w:rsid w:val="00721507"/>
    <w:rsid w:val="00722C5F"/>
    <w:rsid w:val="007230B7"/>
    <w:rsid w:val="0072383E"/>
    <w:rsid w:val="00724935"/>
    <w:rsid w:val="0072534D"/>
    <w:rsid w:val="00727172"/>
    <w:rsid w:val="00727A56"/>
    <w:rsid w:val="00727A6B"/>
    <w:rsid w:val="0073067D"/>
    <w:rsid w:val="00730D3F"/>
    <w:rsid w:val="007320C4"/>
    <w:rsid w:val="00732FC8"/>
    <w:rsid w:val="00733CE1"/>
    <w:rsid w:val="00736631"/>
    <w:rsid w:val="007414F0"/>
    <w:rsid w:val="007423A8"/>
    <w:rsid w:val="0074366A"/>
    <w:rsid w:val="00743A35"/>
    <w:rsid w:val="0074415D"/>
    <w:rsid w:val="007445D3"/>
    <w:rsid w:val="00744689"/>
    <w:rsid w:val="00746E64"/>
    <w:rsid w:val="0074702A"/>
    <w:rsid w:val="00747A63"/>
    <w:rsid w:val="00747D69"/>
    <w:rsid w:val="00750239"/>
    <w:rsid w:val="00750C58"/>
    <w:rsid w:val="007516A4"/>
    <w:rsid w:val="00753AB5"/>
    <w:rsid w:val="00753F0E"/>
    <w:rsid w:val="007540E7"/>
    <w:rsid w:val="00757311"/>
    <w:rsid w:val="0076019F"/>
    <w:rsid w:val="007608E8"/>
    <w:rsid w:val="007650AB"/>
    <w:rsid w:val="00765F42"/>
    <w:rsid w:val="00766593"/>
    <w:rsid w:val="00766824"/>
    <w:rsid w:val="007672D3"/>
    <w:rsid w:val="00770BB3"/>
    <w:rsid w:val="0077172B"/>
    <w:rsid w:val="00772627"/>
    <w:rsid w:val="00772BE6"/>
    <w:rsid w:val="007736BB"/>
    <w:rsid w:val="00774B88"/>
    <w:rsid w:val="0077501C"/>
    <w:rsid w:val="007752B3"/>
    <w:rsid w:val="0077565B"/>
    <w:rsid w:val="00777BCC"/>
    <w:rsid w:val="0078032A"/>
    <w:rsid w:val="00780412"/>
    <w:rsid w:val="00782FD3"/>
    <w:rsid w:val="007842C6"/>
    <w:rsid w:val="00784492"/>
    <w:rsid w:val="00785684"/>
    <w:rsid w:val="0078685F"/>
    <w:rsid w:val="00786980"/>
    <w:rsid w:val="00786AC8"/>
    <w:rsid w:val="00787A8F"/>
    <w:rsid w:val="00787CF9"/>
    <w:rsid w:val="00790847"/>
    <w:rsid w:val="00791D0E"/>
    <w:rsid w:val="0079566E"/>
    <w:rsid w:val="00796B6D"/>
    <w:rsid w:val="007A111E"/>
    <w:rsid w:val="007A11F9"/>
    <w:rsid w:val="007A1A09"/>
    <w:rsid w:val="007A3736"/>
    <w:rsid w:val="007A5235"/>
    <w:rsid w:val="007A6C17"/>
    <w:rsid w:val="007A7C35"/>
    <w:rsid w:val="007B0AB1"/>
    <w:rsid w:val="007B0CFF"/>
    <w:rsid w:val="007B1C7E"/>
    <w:rsid w:val="007B244D"/>
    <w:rsid w:val="007B2A11"/>
    <w:rsid w:val="007B35AA"/>
    <w:rsid w:val="007B3672"/>
    <w:rsid w:val="007B430A"/>
    <w:rsid w:val="007B478E"/>
    <w:rsid w:val="007B49A2"/>
    <w:rsid w:val="007B50DE"/>
    <w:rsid w:val="007B5108"/>
    <w:rsid w:val="007B6673"/>
    <w:rsid w:val="007B7804"/>
    <w:rsid w:val="007C036A"/>
    <w:rsid w:val="007C09B5"/>
    <w:rsid w:val="007C0D80"/>
    <w:rsid w:val="007C11FF"/>
    <w:rsid w:val="007C31F5"/>
    <w:rsid w:val="007C50E8"/>
    <w:rsid w:val="007C62F8"/>
    <w:rsid w:val="007C6ABF"/>
    <w:rsid w:val="007C75D4"/>
    <w:rsid w:val="007C7DF4"/>
    <w:rsid w:val="007D2961"/>
    <w:rsid w:val="007D2B1B"/>
    <w:rsid w:val="007D3458"/>
    <w:rsid w:val="007D3964"/>
    <w:rsid w:val="007D3BCA"/>
    <w:rsid w:val="007D6DF7"/>
    <w:rsid w:val="007D7036"/>
    <w:rsid w:val="007D79FE"/>
    <w:rsid w:val="007D7AB5"/>
    <w:rsid w:val="007D7ACA"/>
    <w:rsid w:val="007E0137"/>
    <w:rsid w:val="007E01D1"/>
    <w:rsid w:val="007E25E3"/>
    <w:rsid w:val="007E2C50"/>
    <w:rsid w:val="007E2C6E"/>
    <w:rsid w:val="007E45D4"/>
    <w:rsid w:val="007E4BAC"/>
    <w:rsid w:val="007E5A77"/>
    <w:rsid w:val="007E5BB5"/>
    <w:rsid w:val="007E5C26"/>
    <w:rsid w:val="007E66F8"/>
    <w:rsid w:val="007E7A06"/>
    <w:rsid w:val="007E7E88"/>
    <w:rsid w:val="007F1930"/>
    <w:rsid w:val="007F1BCA"/>
    <w:rsid w:val="007F3ADB"/>
    <w:rsid w:val="007F3BEA"/>
    <w:rsid w:val="007F41EF"/>
    <w:rsid w:val="007F4D6D"/>
    <w:rsid w:val="007F58DD"/>
    <w:rsid w:val="007F67AA"/>
    <w:rsid w:val="007F73DD"/>
    <w:rsid w:val="007F7B6A"/>
    <w:rsid w:val="007F7E13"/>
    <w:rsid w:val="00802809"/>
    <w:rsid w:val="00804BF4"/>
    <w:rsid w:val="00804E16"/>
    <w:rsid w:val="00804F81"/>
    <w:rsid w:val="008062F2"/>
    <w:rsid w:val="00806882"/>
    <w:rsid w:val="00810134"/>
    <w:rsid w:val="00810719"/>
    <w:rsid w:val="00811B27"/>
    <w:rsid w:val="00812037"/>
    <w:rsid w:val="00814045"/>
    <w:rsid w:val="00814CB4"/>
    <w:rsid w:val="0081599B"/>
    <w:rsid w:val="008162DF"/>
    <w:rsid w:val="008166A2"/>
    <w:rsid w:val="00820473"/>
    <w:rsid w:val="008213B2"/>
    <w:rsid w:val="00821B3A"/>
    <w:rsid w:val="00822067"/>
    <w:rsid w:val="0082318A"/>
    <w:rsid w:val="008239C6"/>
    <w:rsid w:val="00824649"/>
    <w:rsid w:val="008263DC"/>
    <w:rsid w:val="00827EC7"/>
    <w:rsid w:val="00830336"/>
    <w:rsid w:val="00830598"/>
    <w:rsid w:val="008310EA"/>
    <w:rsid w:val="008314F5"/>
    <w:rsid w:val="008317E3"/>
    <w:rsid w:val="00832930"/>
    <w:rsid w:val="00833CC1"/>
    <w:rsid w:val="00834418"/>
    <w:rsid w:val="00834906"/>
    <w:rsid w:val="00834D94"/>
    <w:rsid w:val="00834FA7"/>
    <w:rsid w:val="008379F8"/>
    <w:rsid w:val="00837ED7"/>
    <w:rsid w:val="0084059B"/>
    <w:rsid w:val="00841F7F"/>
    <w:rsid w:val="00842005"/>
    <w:rsid w:val="0084209C"/>
    <w:rsid w:val="00843F5C"/>
    <w:rsid w:val="00844073"/>
    <w:rsid w:val="0084480B"/>
    <w:rsid w:val="00844C7C"/>
    <w:rsid w:val="008453D3"/>
    <w:rsid w:val="008469E5"/>
    <w:rsid w:val="008501F0"/>
    <w:rsid w:val="00851638"/>
    <w:rsid w:val="008516C6"/>
    <w:rsid w:val="00853973"/>
    <w:rsid w:val="008540B0"/>
    <w:rsid w:val="0085545D"/>
    <w:rsid w:val="008559A2"/>
    <w:rsid w:val="00855B9D"/>
    <w:rsid w:val="00857A91"/>
    <w:rsid w:val="00857D2C"/>
    <w:rsid w:val="00860A33"/>
    <w:rsid w:val="008648DE"/>
    <w:rsid w:val="00865266"/>
    <w:rsid w:val="00865285"/>
    <w:rsid w:val="00865738"/>
    <w:rsid w:val="008665DB"/>
    <w:rsid w:val="00866E31"/>
    <w:rsid w:val="008671E5"/>
    <w:rsid w:val="008672D5"/>
    <w:rsid w:val="00870669"/>
    <w:rsid w:val="0087225B"/>
    <w:rsid w:val="00875853"/>
    <w:rsid w:val="00875AA3"/>
    <w:rsid w:val="00875C75"/>
    <w:rsid w:val="00876162"/>
    <w:rsid w:val="008765EB"/>
    <w:rsid w:val="008767FD"/>
    <w:rsid w:val="008768D2"/>
    <w:rsid w:val="00877D93"/>
    <w:rsid w:val="00881508"/>
    <w:rsid w:val="00881A55"/>
    <w:rsid w:val="00881BBE"/>
    <w:rsid w:val="008820A9"/>
    <w:rsid w:val="00882F36"/>
    <w:rsid w:val="008832D0"/>
    <w:rsid w:val="00883719"/>
    <w:rsid w:val="008848EA"/>
    <w:rsid w:val="0088506D"/>
    <w:rsid w:val="008856E3"/>
    <w:rsid w:val="0088597E"/>
    <w:rsid w:val="00885B84"/>
    <w:rsid w:val="008860F5"/>
    <w:rsid w:val="008867FF"/>
    <w:rsid w:val="0089039E"/>
    <w:rsid w:val="008912A8"/>
    <w:rsid w:val="00891B2E"/>
    <w:rsid w:val="00894E61"/>
    <w:rsid w:val="00895AEF"/>
    <w:rsid w:val="00896902"/>
    <w:rsid w:val="008970FD"/>
    <w:rsid w:val="008A00F9"/>
    <w:rsid w:val="008A038E"/>
    <w:rsid w:val="008A34DC"/>
    <w:rsid w:val="008A4F86"/>
    <w:rsid w:val="008A617F"/>
    <w:rsid w:val="008A75E6"/>
    <w:rsid w:val="008B0AA5"/>
    <w:rsid w:val="008B0E4F"/>
    <w:rsid w:val="008B161E"/>
    <w:rsid w:val="008B1F81"/>
    <w:rsid w:val="008B2BD1"/>
    <w:rsid w:val="008B302F"/>
    <w:rsid w:val="008B3739"/>
    <w:rsid w:val="008B3F59"/>
    <w:rsid w:val="008B4954"/>
    <w:rsid w:val="008B5257"/>
    <w:rsid w:val="008B5B46"/>
    <w:rsid w:val="008B6020"/>
    <w:rsid w:val="008B642D"/>
    <w:rsid w:val="008B6711"/>
    <w:rsid w:val="008B75F3"/>
    <w:rsid w:val="008C1774"/>
    <w:rsid w:val="008C646A"/>
    <w:rsid w:val="008C6B19"/>
    <w:rsid w:val="008C7458"/>
    <w:rsid w:val="008C7BBF"/>
    <w:rsid w:val="008D0498"/>
    <w:rsid w:val="008D09F3"/>
    <w:rsid w:val="008D1868"/>
    <w:rsid w:val="008D211E"/>
    <w:rsid w:val="008D2185"/>
    <w:rsid w:val="008D4048"/>
    <w:rsid w:val="008D4118"/>
    <w:rsid w:val="008D4426"/>
    <w:rsid w:val="008D51DB"/>
    <w:rsid w:val="008D6E60"/>
    <w:rsid w:val="008D72EA"/>
    <w:rsid w:val="008E04B4"/>
    <w:rsid w:val="008E070E"/>
    <w:rsid w:val="008E0F60"/>
    <w:rsid w:val="008E2513"/>
    <w:rsid w:val="008E338A"/>
    <w:rsid w:val="008E4BD1"/>
    <w:rsid w:val="008E5568"/>
    <w:rsid w:val="008E58ED"/>
    <w:rsid w:val="008E60ED"/>
    <w:rsid w:val="008E7F0C"/>
    <w:rsid w:val="008E7FCC"/>
    <w:rsid w:val="008E7FD2"/>
    <w:rsid w:val="008F0EE7"/>
    <w:rsid w:val="008F1503"/>
    <w:rsid w:val="008F1CE8"/>
    <w:rsid w:val="008F2025"/>
    <w:rsid w:val="008F48DA"/>
    <w:rsid w:val="008F4AB9"/>
    <w:rsid w:val="008F5018"/>
    <w:rsid w:val="008F53CF"/>
    <w:rsid w:val="008F6310"/>
    <w:rsid w:val="008F6DB7"/>
    <w:rsid w:val="008F73E7"/>
    <w:rsid w:val="008F74B4"/>
    <w:rsid w:val="008F7731"/>
    <w:rsid w:val="008F7831"/>
    <w:rsid w:val="0090001C"/>
    <w:rsid w:val="00900C6C"/>
    <w:rsid w:val="0090163B"/>
    <w:rsid w:val="0090429F"/>
    <w:rsid w:val="00904B5F"/>
    <w:rsid w:val="009075B1"/>
    <w:rsid w:val="00907C06"/>
    <w:rsid w:val="0091000F"/>
    <w:rsid w:val="009116F2"/>
    <w:rsid w:val="00911D5B"/>
    <w:rsid w:val="009122AA"/>
    <w:rsid w:val="00916580"/>
    <w:rsid w:val="00917CA2"/>
    <w:rsid w:val="00920243"/>
    <w:rsid w:val="009207DC"/>
    <w:rsid w:val="0092161C"/>
    <w:rsid w:val="009225F3"/>
    <w:rsid w:val="00922B8D"/>
    <w:rsid w:val="00923086"/>
    <w:rsid w:val="00923584"/>
    <w:rsid w:val="009235F8"/>
    <w:rsid w:val="00923D83"/>
    <w:rsid w:val="00923EF1"/>
    <w:rsid w:val="00925588"/>
    <w:rsid w:val="00926AB9"/>
    <w:rsid w:val="009277D4"/>
    <w:rsid w:val="0093175F"/>
    <w:rsid w:val="009321BC"/>
    <w:rsid w:val="009338AD"/>
    <w:rsid w:val="009346FC"/>
    <w:rsid w:val="0093517D"/>
    <w:rsid w:val="00935D80"/>
    <w:rsid w:val="009375FA"/>
    <w:rsid w:val="00937F3D"/>
    <w:rsid w:val="0094083A"/>
    <w:rsid w:val="00940B2D"/>
    <w:rsid w:val="00941F51"/>
    <w:rsid w:val="00942959"/>
    <w:rsid w:val="00942FD8"/>
    <w:rsid w:val="00943DEF"/>
    <w:rsid w:val="009447C1"/>
    <w:rsid w:val="00945486"/>
    <w:rsid w:val="00946F0F"/>
    <w:rsid w:val="00947085"/>
    <w:rsid w:val="009477A7"/>
    <w:rsid w:val="00947BB0"/>
    <w:rsid w:val="00951476"/>
    <w:rsid w:val="0095169E"/>
    <w:rsid w:val="0095172B"/>
    <w:rsid w:val="009519BD"/>
    <w:rsid w:val="00951C4D"/>
    <w:rsid w:val="009520E8"/>
    <w:rsid w:val="00952832"/>
    <w:rsid w:val="009529A2"/>
    <w:rsid w:val="00953F57"/>
    <w:rsid w:val="009554AE"/>
    <w:rsid w:val="00960593"/>
    <w:rsid w:val="0096515A"/>
    <w:rsid w:val="00965446"/>
    <w:rsid w:val="00965645"/>
    <w:rsid w:val="0096665A"/>
    <w:rsid w:val="00967EF2"/>
    <w:rsid w:val="00970635"/>
    <w:rsid w:val="00970FEB"/>
    <w:rsid w:val="00973B99"/>
    <w:rsid w:val="00974CD5"/>
    <w:rsid w:val="00976A7E"/>
    <w:rsid w:val="00977061"/>
    <w:rsid w:val="0097793A"/>
    <w:rsid w:val="009801F7"/>
    <w:rsid w:val="00980654"/>
    <w:rsid w:val="00981AA2"/>
    <w:rsid w:val="00981D8D"/>
    <w:rsid w:val="00981E2C"/>
    <w:rsid w:val="00982D07"/>
    <w:rsid w:val="0098326A"/>
    <w:rsid w:val="0098373A"/>
    <w:rsid w:val="009844DC"/>
    <w:rsid w:val="00984CC7"/>
    <w:rsid w:val="00984F16"/>
    <w:rsid w:val="00985775"/>
    <w:rsid w:val="00985C27"/>
    <w:rsid w:val="00986EB2"/>
    <w:rsid w:val="00987049"/>
    <w:rsid w:val="009871EB"/>
    <w:rsid w:val="00987FCB"/>
    <w:rsid w:val="0099050B"/>
    <w:rsid w:val="0099181A"/>
    <w:rsid w:val="00991B96"/>
    <w:rsid w:val="0099311A"/>
    <w:rsid w:val="009931E6"/>
    <w:rsid w:val="0099443F"/>
    <w:rsid w:val="009958B4"/>
    <w:rsid w:val="00995EA4"/>
    <w:rsid w:val="00996501"/>
    <w:rsid w:val="009A0214"/>
    <w:rsid w:val="009A0317"/>
    <w:rsid w:val="009A0D93"/>
    <w:rsid w:val="009A2221"/>
    <w:rsid w:val="009A4C7E"/>
    <w:rsid w:val="009A506F"/>
    <w:rsid w:val="009A5725"/>
    <w:rsid w:val="009A58C1"/>
    <w:rsid w:val="009A610C"/>
    <w:rsid w:val="009B126F"/>
    <w:rsid w:val="009B184C"/>
    <w:rsid w:val="009B25EA"/>
    <w:rsid w:val="009B27C9"/>
    <w:rsid w:val="009B3482"/>
    <w:rsid w:val="009B4857"/>
    <w:rsid w:val="009B53E8"/>
    <w:rsid w:val="009B729C"/>
    <w:rsid w:val="009B742A"/>
    <w:rsid w:val="009C017A"/>
    <w:rsid w:val="009C186E"/>
    <w:rsid w:val="009C34AB"/>
    <w:rsid w:val="009C3554"/>
    <w:rsid w:val="009C4953"/>
    <w:rsid w:val="009C4EDB"/>
    <w:rsid w:val="009C6285"/>
    <w:rsid w:val="009C6C49"/>
    <w:rsid w:val="009D0184"/>
    <w:rsid w:val="009D1AE3"/>
    <w:rsid w:val="009D1FCA"/>
    <w:rsid w:val="009D24B2"/>
    <w:rsid w:val="009D26B6"/>
    <w:rsid w:val="009D28E0"/>
    <w:rsid w:val="009D2D7A"/>
    <w:rsid w:val="009D3B07"/>
    <w:rsid w:val="009D5993"/>
    <w:rsid w:val="009D5A55"/>
    <w:rsid w:val="009D75A5"/>
    <w:rsid w:val="009D7ACB"/>
    <w:rsid w:val="009E033A"/>
    <w:rsid w:val="009E06DC"/>
    <w:rsid w:val="009E0942"/>
    <w:rsid w:val="009E11AA"/>
    <w:rsid w:val="009E176A"/>
    <w:rsid w:val="009E2269"/>
    <w:rsid w:val="009E3CDE"/>
    <w:rsid w:val="009E3DB4"/>
    <w:rsid w:val="009E3E5E"/>
    <w:rsid w:val="009E4CCF"/>
    <w:rsid w:val="009E7C86"/>
    <w:rsid w:val="009F0571"/>
    <w:rsid w:val="009F79EF"/>
    <w:rsid w:val="009F7F2C"/>
    <w:rsid w:val="00A01A34"/>
    <w:rsid w:val="00A02C32"/>
    <w:rsid w:val="00A03527"/>
    <w:rsid w:val="00A039DF"/>
    <w:rsid w:val="00A03FB0"/>
    <w:rsid w:val="00A04B9F"/>
    <w:rsid w:val="00A0583D"/>
    <w:rsid w:val="00A0615B"/>
    <w:rsid w:val="00A1036B"/>
    <w:rsid w:val="00A10D09"/>
    <w:rsid w:val="00A110E2"/>
    <w:rsid w:val="00A11B1D"/>
    <w:rsid w:val="00A12CD2"/>
    <w:rsid w:val="00A14E2A"/>
    <w:rsid w:val="00A1576B"/>
    <w:rsid w:val="00A15F1E"/>
    <w:rsid w:val="00A204D9"/>
    <w:rsid w:val="00A20593"/>
    <w:rsid w:val="00A2200D"/>
    <w:rsid w:val="00A2461C"/>
    <w:rsid w:val="00A24628"/>
    <w:rsid w:val="00A24C3F"/>
    <w:rsid w:val="00A2551E"/>
    <w:rsid w:val="00A256E8"/>
    <w:rsid w:val="00A2660F"/>
    <w:rsid w:val="00A26785"/>
    <w:rsid w:val="00A2709C"/>
    <w:rsid w:val="00A31515"/>
    <w:rsid w:val="00A31B6D"/>
    <w:rsid w:val="00A3355E"/>
    <w:rsid w:val="00A33DAB"/>
    <w:rsid w:val="00A34121"/>
    <w:rsid w:val="00A346F0"/>
    <w:rsid w:val="00A35159"/>
    <w:rsid w:val="00A3595E"/>
    <w:rsid w:val="00A35D7A"/>
    <w:rsid w:val="00A370D8"/>
    <w:rsid w:val="00A37644"/>
    <w:rsid w:val="00A376F2"/>
    <w:rsid w:val="00A37A3F"/>
    <w:rsid w:val="00A41910"/>
    <w:rsid w:val="00A41EE4"/>
    <w:rsid w:val="00A423F6"/>
    <w:rsid w:val="00A424E4"/>
    <w:rsid w:val="00A437D4"/>
    <w:rsid w:val="00A43935"/>
    <w:rsid w:val="00A44419"/>
    <w:rsid w:val="00A44F42"/>
    <w:rsid w:val="00A46727"/>
    <w:rsid w:val="00A46C99"/>
    <w:rsid w:val="00A47EA8"/>
    <w:rsid w:val="00A50EA6"/>
    <w:rsid w:val="00A50FC1"/>
    <w:rsid w:val="00A53308"/>
    <w:rsid w:val="00A544DB"/>
    <w:rsid w:val="00A564D6"/>
    <w:rsid w:val="00A56910"/>
    <w:rsid w:val="00A57123"/>
    <w:rsid w:val="00A62941"/>
    <w:rsid w:val="00A62D48"/>
    <w:rsid w:val="00A63238"/>
    <w:rsid w:val="00A63692"/>
    <w:rsid w:val="00A6381C"/>
    <w:rsid w:val="00A643CC"/>
    <w:rsid w:val="00A64EDF"/>
    <w:rsid w:val="00A65526"/>
    <w:rsid w:val="00A65629"/>
    <w:rsid w:val="00A66EF7"/>
    <w:rsid w:val="00A676E2"/>
    <w:rsid w:val="00A6786A"/>
    <w:rsid w:val="00A70689"/>
    <w:rsid w:val="00A716D2"/>
    <w:rsid w:val="00A717F5"/>
    <w:rsid w:val="00A71D40"/>
    <w:rsid w:val="00A7247A"/>
    <w:rsid w:val="00A72845"/>
    <w:rsid w:val="00A72FE9"/>
    <w:rsid w:val="00A7377B"/>
    <w:rsid w:val="00A73EED"/>
    <w:rsid w:val="00A74BF6"/>
    <w:rsid w:val="00A755C3"/>
    <w:rsid w:val="00A76330"/>
    <w:rsid w:val="00A773E5"/>
    <w:rsid w:val="00A77F6B"/>
    <w:rsid w:val="00A8135B"/>
    <w:rsid w:val="00A83458"/>
    <w:rsid w:val="00A83701"/>
    <w:rsid w:val="00A83C64"/>
    <w:rsid w:val="00A852DD"/>
    <w:rsid w:val="00A8548D"/>
    <w:rsid w:val="00A85AC8"/>
    <w:rsid w:val="00A8648B"/>
    <w:rsid w:val="00A86C02"/>
    <w:rsid w:val="00A86FE9"/>
    <w:rsid w:val="00A9014B"/>
    <w:rsid w:val="00A91421"/>
    <w:rsid w:val="00A92AE6"/>
    <w:rsid w:val="00A93002"/>
    <w:rsid w:val="00A94344"/>
    <w:rsid w:val="00A9450A"/>
    <w:rsid w:val="00A948B7"/>
    <w:rsid w:val="00A97211"/>
    <w:rsid w:val="00AA00CA"/>
    <w:rsid w:val="00AA05CF"/>
    <w:rsid w:val="00AA086F"/>
    <w:rsid w:val="00AA13F5"/>
    <w:rsid w:val="00AA1EB5"/>
    <w:rsid w:val="00AA2BFE"/>
    <w:rsid w:val="00AA304E"/>
    <w:rsid w:val="00AA4D6B"/>
    <w:rsid w:val="00AA6B4C"/>
    <w:rsid w:val="00AA73E7"/>
    <w:rsid w:val="00AA7903"/>
    <w:rsid w:val="00AB10D3"/>
    <w:rsid w:val="00AB1618"/>
    <w:rsid w:val="00AB1D1D"/>
    <w:rsid w:val="00AB4975"/>
    <w:rsid w:val="00AB4B5C"/>
    <w:rsid w:val="00AB4C89"/>
    <w:rsid w:val="00AB5CBA"/>
    <w:rsid w:val="00AB5D07"/>
    <w:rsid w:val="00AB5EF8"/>
    <w:rsid w:val="00AB6A9C"/>
    <w:rsid w:val="00AC0541"/>
    <w:rsid w:val="00AC1A6D"/>
    <w:rsid w:val="00AC1B2D"/>
    <w:rsid w:val="00AC1E17"/>
    <w:rsid w:val="00AC3B19"/>
    <w:rsid w:val="00AC4DBD"/>
    <w:rsid w:val="00AC6FE9"/>
    <w:rsid w:val="00AC7135"/>
    <w:rsid w:val="00AD0E60"/>
    <w:rsid w:val="00AD110C"/>
    <w:rsid w:val="00AD1503"/>
    <w:rsid w:val="00AD1F7E"/>
    <w:rsid w:val="00AD3B8D"/>
    <w:rsid w:val="00AD4256"/>
    <w:rsid w:val="00AD5AFD"/>
    <w:rsid w:val="00AD5C0A"/>
    <w:rsid w:val="00AD69D5"/>
    <w:rsid w:val="00AE0EF1"/>
    <w:rsid w:val="00AE13EE"/>
    <w:rsid w:val="00AE19FE"/>
    <w:rsid w:val="00AE1AAE"/>
    <w:rsid w:val="00AE3CF8"/>
    <w:rsid w:val="00AE6544"/>
    <w:rsid w:val="00AE6781"/>
    <w:rsid w:val="00AE7296"/>
    <w:rsid w:val="00AE78C0"/>
    <w:rsid w:val="00AF22F9"/>
    <w:rsid w:val="00AF3470"/>
    <w:rsid w:val="00AF4188"/>
    <w:rsid w:val="00AF61F7"/>
    <w:rsid w:val="00AF7470"/>
    <w:rsid w:val="00AF7DA7"/>
    <w:rsid w:val="00B03900"/>
    <w:rsid w:val="00B03B00"/>
    <w:rsid w:val="00B05592"/>
    <w:rsid w:val="00B055B0"/>
    <w:rsid w:val="00B06B3C"/>
    <w:rsid w:val="00B07C67"/>
    <w:rsid w:val="00B10E95"/>
    <w:rsid w:val="00B12183"/>
    <w:rsid w:val="00B12994"/>
    <w:rsid w:val="00B13C2D"/>
    <w:rsid w:val="00B13E8F"/>
    <w:rsid w:val="00B13EFA"/>
    <w:rsid w:val="00B16569"/>
    <w:rsid w:val="00B1704C"/>
    <w:rsid w:val="00B179AD"/>
    <w:rsid w:val="00B17F2E"/>
    <w:rsid w:val="00B20A9C"/>
    <w:rsid w:val="00B20F8A"/>
    <w:rsid w:val="00B219AA"/>
    <w:rsid w:val="00B224E7"/>
    <w:rsid w:val="00B229B6"/>
    <w:rsid w:val="00B22CD5"/>
    <w:rsid w:val="00B23369"/>
    <w:rsid w:val="00B248AD"/>
    <w:rsid w:val="00B27C28"/>
    <w:rsid w:val="00B301DA"/>
    <w:rsid w:val="00B3104D"/>
    <w:rsid w:val="00B31C3E"/>
    <w:rsid w:val="00B31E18"/>
    <w:rsid w:val="00B31F5A"/>
    <w:rsid w:val="00B342B2"/>
    <w:rsid w:val="00B34D13"/>
    <w:rsid w:val="00B35A3F"/>
    <w:rsid w:val="00B36E17"/>
    <w:rsid w:val="00B41909"/>
    <w:rsid w:val="00B41A38"/>
    <w:rsid w:val="00B41B47"/>
    <w:rsid w:val="00B44813"/>
    <w:rsid w:val="00B44950"/>
    <w:rsid w:val="00B4516C"/>
    <w:rsid w:val="00B46B0A"/>
    <w:rsid w:val="00B50AEB"/>
    <w:rsid w:val="00B5186A"/>
    <w:rsid w:val="00B54096"/>
    <w:rsid w:val="00B5663A"/>
    <w:rsid w:val="00B56FCA"/>
    <w:rsid w:val="00B574A8"/>
    <w:rsid w:val="00B60269"/>
    <w:rsid w:val="00B61020"/>
    <w:rsid w:val="00B61128"/>
    <w:rsid w:val="00B61A27"/>
    <w:rsid w:val="00B620F7"/>
    <w:rsid w:val="00B63FCB"/>
    <w:rsid w:val="00B6415E"/>
    <w:rsid w:val="00B64FDA"/>
    <w:rsid w:val="00B6515F"/>
    <w:rsid w:val="00B65C03"/>
    <w:rsid w:val="00B66B63"/>
    <w:rsid w:val="00B67078"/>
    <w:rsid w:val="00B67D53"/>
    <w:rsid w:val="00B703D9"/>
    <w:rsid w:val="00B72E3D"/>
    <w:rsid w:val="00B73487"/>
    <w:rsid w:val="00B750FC"/>
    <w:rsid w:val="00B75306"/>
    <w:rsid w:val="00B753E0"/>
    <w:rsid w:val="00B7560B"/>
    <w:rsid w:val="00B7571C"/>
    <w:rsid w:val="00B757EC"/>
    <w:rsid w:val="00B761E2"/>
    <w:rsid w:val="00B762BF"/>
    <w:rsid w:val="00B77DB9"/>
    <w:rsid w:val="00B802F3"/>
    <w:rsid w:val="00B8306E"/>
    <w:rsid w:val="00B84162"/>
    <w:rsid w:val="00B8419E"/>
    <w:rsid w:val="00B843B4"/>
    <w:rsid w:val="00B90190"/>
    <w:rsid w:val="00B9036F"/>
    <w:rsid w:val="00B909CD"/>
    <w:rsid w:val="00B9162C"/>
    <w:rsid w:val="00B918AC"/>
    <w:rsid w:val="00B9316F"/>
    <w:rsid w:val="00B958E0"/>
    <w:rsid w:val="00B96BF8"/>
    <w:rsid w:val="00B96D9B"/>
    <w:rsid w:val="00BA3273"/>
    <w:rsid w:val="00BA66D9"/>
    <w:rsid w:val="00BA694D"/>
    <w:rsid w:val="00BA7810"/>
    <w:rsid w:val="00BA7FAE"/>
    <w:rsid w:val="00BB0D10"/>
    <w:rsid w:val="00BB2217"/>
    <w:rsid w:val="00BB35DC"/>
    <w:rsid w:val="00BB464C"/>
    <w:rsid w:val="00BB4A14"/>
    <w:rsid w:val="00BB67D0"/>
    <w:rsid w:val="00BB73C1"/>
    <w:rsid w:val="00BB7951"/>
    <w:rsid w:val="00BC1182"/>
    <w:rsid w:val="00BC218C"/>
    <w:rsid w:val="00BC4817"/>
    <w:rsid w:val="00BC5A41"/>
    <w:rsid w:val="00BC5C8B"/>
    <w:rsid w:val="00BC63FE"/>
    <w:rsid w:val="00BC6E2A"/>
    <w:rsid w:val="00BC72AF"/>
    <w:rsid w:val="00BD165D"/>
    <w:rsid w:val="00BD3F6B"/>
    <w:rsid w:val="00BD5284"/>
    <w:rsid w:val="00BE27FA"/>
    <w:rsid w:val="00BE2B8D"/>
    <w:rsid w:val="00BE2FE7"/>
    <w:rsid w:val="00BE3AC9"/>
    <w:rsid w:val="00BE4A7A"/>
    <w:rsid w:val="00BE527D"/>
    <w:rsid w:val="00BF0D24"/>
    <w:rsid w:val="00BF0E4C"/>
    <w:rsid w:val="00BF1845"/>
    <w:rsid w:val="00BF1BFF"/>
    <w:rsid w:val="00BF2974"/>
    <w:rsid w:val="00BF38F5"/>
    <w:rsid w:val="00BF3941"/>
    <w:rsid w:val="00BF4D50"/>
    <w:rsid w:val="00BF6B12"/>
    <w:rsid w:val="00BF70A3"/>
    <w:rsid w:val="00BF74EF"/>
    <w:rsid w:val="00C02518"/>
    <w:rsid w:val="00C02611"/>
    <w:rsid w:val="00C027D0"/>
    <w:rsid w:val="00C02ED5"/>
    <w:rsid w:val="00C04367"/>
    <w:rsid w:val="00C04ABE"/>
    <w:rsid w:val="00C05C48"/>
    <w:rsid w:val="00C05E1D"/>
    <w:rsid w:val="00C0703D"/>
    <w:rsid w:val="00C07F7B"/>
    <w:rsid w:val="00C10E6B"/>
    <w:rsid w:val="00C112E8"/>
    <w:rsid w:val="00C12A60"/>
    <w:rsid w:val="00C1373E"/>
    <w:rsid w:val="00C13B91"/>
    <w:rsid w:val="00C13C1B"/>
    <w:rsid w:val="00C1407E"/>
    <w:rsid w:val="00C14211"/>
    <w:rsid w:val="00C145BC"/>
    <w:rsid w:val="00C14713"/>
    <w:rsid w:val="00C155A2"/>
    <w:rsid w:val="00C156BD"/>
    <w:rsid w:val="00C15806"/>
    <w:rsid w:val="00C158D2"/>
    <w:rsid w:val="00C1664E"/>
    <w:rsid w:val="00C17333"/>
    <w:rsid w:val="00C23E06"/>
    <w:rsid w:val="00C30059"/>
    <w:rsid w:val="00C3073D"/>
    <w:rsid w:val="00C314B4"/>
    <w:rsid w:val="00C319D9"/>
    <w:rsid w:val="00C31B12"/>
    <w:rsid w:val="00C31F2A"/>
    <w:rsid w:val="00C32449"/>
    <w:rsid w:val="00C3340C"/>
    <w:rsid w:val="00C334B1"/>
    <w:rsid w:val="00C33714"/>
    <w:rsid w:val="00C33D5C"/>
    <w:rsid w:val="00C341B2"/>
    <w:rsid w:val="00C3533F"/>
    <w:rsid w:val="00C35F8C"/>
    <w:rsid w:val="00C36B1F"/>
    <w:rsid w:val="00C41277"/>
    <w:rsid w:val="00C41301"/>
    <w:rsid w:val="00C4133D"/>
    <w:rsid w:val="00C41582"/>
    <w:rsid w:val="00C424D5"/>
    <w:rsid w:val="00C4384B"/>
    <w:rsid w:val="00C43F12"/>
    <w:rsid w:val="00C44872"/>
    <w:rsid w:val="00C44899"/>
    <w:rsid w:val="00C460DA"/>
    <w:rsid w:val="00C47A42"/>
    <w:rsid w:val="00C50D4B"/>
    <w:rsid w:val="00C53E29"/>
    <w:rsid w:val="00C53FE4"/>
    <w:rsid w:val="00C54752"/>
    <w:rsid w:val="00C55944"/>
    <w:rsid w:val="00C57496"/>
    <w:rsid w:val="00C60610"/>
    <w:rsid w:val="00C608ED"/>
    <w:rsid w:val="00C60AAE"/>
    <w:rsid w:val="00C60F5A"/>
    <w:rsid w:val="00C633A9"/>
    <w:rsid w:val="00C652F0"/>
    <w:rsid w:val="00C657D7"/>
    <w:rsid w:val="00C658F7"/>
    <w:rsid w:val="00C678C2"/>
    <w:rsid w:val="00C70F71"/>
    <w:rsid w:val="00C71836"/>
    <w:rsid w:val="00C71C64"/>
    <w:rsid w:val="00C72F1C"/>
    <w:rsid w:val="00C739A3"/>
    <w:rsid w:val="00C74F25"/>
    <w:rsid w:val="00C764C2"/>
    <w:rsid w:val="00C77D5F"/>
    <w:rsid w:val="00C80D96"/>
    <w:rsid w:val="00C81119"/>
    <w:rsid w:val="00C82D32"/>
    <w:rsid w:val="00C83AC2"/>
    <w:rsid w:val="00C83FF1"/>
    <w:rsid w:val="00C853D3"/>
    <w:rsid w:val="00C8571C"/>
    <w:rsid w:val="00C86557"/>
    <w:rsid w:val="00C87149"/>
    <w:rsid w:val="00C87C91"/>
    <w:rsid w:val="00C90AC0"/>
    <w:rsid w:val="00C90DB4"/>
    <w:rsid w:val="00C91A9A"/>
    <w:rsid w:val="00C92DCA"/>
    <w:rsid w:val="00C935F9"/>
    <w:rsid w:val="00C93A80"/>
    <w:rsid w:val="00C93B6D"/>
    <w:rsid w:val="00C94A25"/>
    <w:rsid w:val="00C94E8E"/>
    <w:rsid w:val="00C955EB"/>
    <w:rsid w:val="00C95751"/>
    <w:rsid w:val="00C9681F"/>
    <w:rsid w:val="00C97A82"/>
    <w:rsid w:val="00CA0EF5"/>
    <w:rsid w:val="00CA1328"/>
    <w:rsid w:val="00CA742C"/>
    <w:rsid w:val="00CA7A35"/>
    <w:rsid w:val="00CA7E6C"/>
    <w:rsid w:val="00CB09D7"/>
    <w:rsid w:val="00CB0D5A"/>
    <w:rsid w:val="00CB60AA"/>
    <w:rsid w:val="00CB61D9"/>
    <w:rsid w:val="00CB717D"/>
    <w:rsid w:val="00CB745B"/>
    <w:rsid w:val="00CC182E"/>
    <w:rsid w:val="00CC2AE5"/>
    <w:rsid w:val="00CC365C"/>
    <w:rsid w:val="00CC3A70"/>
    <w:rsid w:val="00CC6E35"/>
    <w:rsid w:val="00CC7E3E"/>
    <w:rsid w:val="00CC7FEE"/>
    <w:rsid w:val="00CD111C"/>
    <w:rsid w:val="00CD2171"/>
    <w:rsid w:val="00CD2C4B"/>
    <w:rsid w:val="00CD35E9"/>
    <w:rsid w:val="00CD4C27"/>
    <w:rsid w:val="00CD5569"/>
    <w:rsid w:val="00CD56C6"/>
    <w:rsid w:val="00CD5EF4"/>
    <w:rsid w:val="00CD654B"/>
    <w:rsid w:val="00CD7526"/>
    <w:rsid w:val="00CD7855"/>
    <w:rsid w:val="00CD7930"/>
    <w:rsid w:val="00CE0B36"/>
    <w:rsid w:val="00CE0E08"/>
    <w:rsid w:val="00CE226E"/>
    <w:rsid w:val="00CE2BC6"/>
    <w:rsid w:val="00CE5583"/>
    <w:rsid w:val="00CE57FA"/>
    <w:rsid w:val="00CE64B2"/>
    <w:rsid w:val="00CE746C"/>
    <w:rsid w:val="00CF076C"/>
    <w:rsid w:val="00CF0D7B"/>
    <w:rsid w:val="00CF0F7F"/>
    <w:rsid w:val="00CF394B"/>
    <w:rsid w:val="00CF4293"/>
    <w:rsid w:val="00CF6523"/>
    <w:rsid w:val="00CF7AA0"/>
    <w:rsid w:val="00D00B80"/>
    <w:rsid w:val="00D01423"/>
    <w:rsid w:val="00D01A8D"/>
    <w:rsid w:val="00D01B16"/>
    <w:rsid w:val="00D01FE9"/>
    <w:rsid w:val="00D0319D"/>
    <w:rsid w:val="00D0483A"/>
    <w:rsid w:val="00D04CF3"/>
    <w:rsid w:val="00D0541F"/>
    <w:rsid w:val="00D059C9"/>
    <w:rsid w:val="00D06018"/>
    <w:rsid w:val="00D0688D"/>
    <w:rsid w:val="00D06C63"/>
    <w:rsid w:val="00D07052"/>
    <w:rsid w:val="00D0794C"/>
    <w:rsid w:val="00D11AD4"/>
    <w:rsid w:val="00D127AC"/>
    <w:rsid w:val="00D13A79"/>
    <w:rsid w:val="00D149E7"/>
    <w:rsid w:val="00D1521E"/>
    <w:rsid w:val="00D15496"/>
    <w:rsid w:val="00D203B1"/>
    <w:rsid w:val="00D20513"/>
    <w:rsid w:val="00D20C5D"/>
    <w:rsid w:val="00D21A44"/>
    <w:rsid w:val="00D25BD6"/>
    <w:rsid w:val="00D307E8"/>
    <w:rsid w:val="00D308E3"/>
    <w:rsid w:val="00D311E5"/>
    <w:rsid w:val="00D32231"/>
    <w:rsid w:val="00D330B0"/>
    <w:rsid w:val="00D336FF"/>
    <w:rsid w:val="00D33F5E"/>
    <w:rsid w:val="00D342C4"/>
    <w:rsid w:val="00D34485"/>
    <w:rsid w:val="00D34C62"/>
    <w:rsid w:val="00D3575C"/>
    <w:rsid w:val="00D36797"/>
    <w:rsid w:val="00D372BF"/>
    <w:rsid w:val="00D40D95"/>
    <w:rsid w:val="00D41181"/>
    <w:rsid w:val="00D425BB"/>
    <w:rsid w:val="00D42DEA"/>
    <w:rsid w:val="00D430F0"/>
    <w:rsid w:val="00D435AA"/>
    <w:rsid w:val="00D449CD"/>
    <w:rsid w:val="00D46861"/>
    <w:rsid w:val="00D46E28"/>
    <w:rsid w:val="00D475EC"/>
    <w:rsid w:val="00D50205"/>
    <w:rsid w:val="00D50AA6"/>
    <w:rsid w:val="00D50DA2"/>
    <w:rsid w:val="00D523FB"/>
    <w:rsid w:val="00D524C7"/>
    <w:rsid w:val="00D524D1"/>
    <w:rsid w:val="00D5293A"/>
    <w:rsid w:val="00D53126"/>
    <w:rsid w:val="00D537AD"/>
    <w:rsid w:val="00D557F2"/>
    <w:rsid w:val="00D55D7D"/>
    <w:rsid w:val="00D57A87"/>
    <w:rsid w:val="00D60087"/>
    <w:rsid w:val="00D63505"/>
    <w:rsid w:val="00D637BB"/>
    <w:rsid w:val="00D640E7"/>
    <w:rsid w:val="00D64BB3"/>
    <w:rsid w:val="00D64BEA"/>
    <w:rsid w:val="00D64F0A"/>
    <w:rsid w:val="00D6583F"/>
    <w:rsid w:val="00D665F7"/>
    <w:rsid w:val="00D67941"/>
    <w:rsid w:val="00D67E86"/>
    <w:rsid w:val="00D7129A"/>
    <w:rsid w:val="00D71329"/>
    <w:rsid w:val="00D7230B"/>
    <w:rsid w:val="00D73AE9"/>
    <w:rsid w:val="00D74810"/>
    <w:rsid w:val="00D75056"/>
    <w:rsid w:val="00D75444"/>
    <w:rsid w:val="00D7618D"/>
    <w:rsid w:val="00D7745E"/>
    <w:rsid w:val="00D77B1A"/>
    <w:rsid w:val="00D81248"/>
    <w:rsid w:val="00D821B9"/>
    <w:rsid w:val="00D82327"/>
    <w:rsid w:val="00D82F19"/>
    <w:rsid w:val="00D83089"/>
    <w:rsid w:val="00D84C44"/>
    <w:rsid w:val="00D854A9"/>
    <w:rsid w:val="00D86006"/>
    <w:rsid w:val="00D86C95"/>
    <w:rsid w:val="00D90187"/>
    <w:rsid w:val="00D9061D"/>
    <w:rsid w:val="00D9156B"/>
    <w:rsid w:val="00D916EB"/>
    <w:rsid w:val="00D91AD6"/>
    <w:rsid w:val="00D92346"/>
    <w:rsid w:val="00D92888"/>
    <w:rsid w:val="00D92A1C"/>
    <w:rsid w:val="00D92CCF"/>
    <w:rsid w:val="00D9336F"/>
    <w:rsid w:val="00D943D8"/>
    <w:rsid w:val="00D958B1"/>
    <w:rsid w:val="00D9684F"/>
    <w:rsid w:val="00D9783F"/>
    <w:rsid w:val="00DA0A2D"/>
    <w:rsid w:val="00DA1E28"/>
    <w:rsid w:val="00DA1E94"/>
    <w:rsid w:val="00DA25A3"/>
    <w:rsid w:val="00DA2DAE"/>
    <w:rsid w:val="00DA3492"/>
    <w:rsid w:val="00DA405A"/>
    <w:rsid w:val="00DA40B7"/>
    <w:rsid w:val="00DA51C6"/>
    <w:rsid w:val="00DA51EB"/>
    <w:rsid w:val="00DA5DE9"/>
    <w:rsid w:val="00DA6AC1"/>
    <w:rsid w:val="00DA7D16"/>
    <w:rsid w:val="00DB2256"/>
    <w:rsid w:val="00DB2C61"/>
    <w:rsid w:val="00DB307D"/>
    <w:rsid w:val="00DB33FB"/>
    <w:rsid w:val="00DB4191"/>
    <w:rsid w:val="00DB4D30"/>
    <w:rsid w:val="00DB5F94"/>
    <w:rsid w:val="00DB62B2"/>
    <w:rsid w:val="00DB7229"/>
    <w:rsid w:val="00DC114D"/>
    <w:rsid w:val="00DC118D"/>
    <w:rsid w:val="00DC186C"/>
    <w:rsid w:val="00DC2A51"/>
    <w:rsid w:val="00DC2C2D"/>
    <w:rsid w:val="00DC3A7A"/>
    <w:rsid w:val="00DC42C1"/>
    <w:rsid w:val="00DC4587"/>
    <w:rsid w:val="00DC4D8E"/>
    <w:rsid w:val="00DC5500"/>
    <w:rsid w:val="00DC5996"/>
    <w:rsid w:val="00DC6BFE"/>
    <w:rsid w:val="00DC6FBC"/>
    <w:rsid w:val="00DC7210"/>
    <w:rsid w:val="00DD099B"/>
    <w:rsid w:val="00DD2D9E"/>
    <w:rsid w:val="00DD5C58"/>
    <w:rsid w:val="00DD649F"/>
    <w:rsid w:val="00DD77DC"/>
    <w:rsid w:val="00DD78D6"/>
    <w:rsid w:val="00DE0445"/>
    <w:rsid w:val="00DE0C56"/>
    <w:rsid w:val="00DE133C"/>
    <w:rsid w:val="00DE1824"/>
    <w:rsid w:val="00DE331A"/>
    <w:rsid w:val="00DE40A7"/>
    <w:rsid w:val="00DE438C"/>
    <w:rsid w:val="00DE5E61"/>
    <w:rsid w:val="00DE626A"/>
    <w:rsid w:val="00DE7F81"/>
    <w:rsid w:val="00DF1ADD"/>
    <w:rsid w:val="00DF1CAA"/>
    <w:rsid w:val="00DF2F3B"/>
    <w:rsid w:val="00DF357F"/>
    <w:rsid w:val="00DF4E36"/>
    <w:rsid w:val="00DF5461"/>
    <w:rsid w:val="00DF5C3A"/>
    <w:rsid w:val="00DF5DF9"/>
    <w:rsid w:val="00DF6206"/>
    <w:rsid w:val="00DF70E0"/>
    <w:rsid w:val="00DF748B"/>
    <w:rsid w:val="00E00794"/>
    <w:rsid w:val="00E01734"/>
    <w:rsid w:val="00E02B08"/>
    <w:rsid w:val="00E03FA5"/>
    <w:rsid w:val="00E04E0E"/>
    <w:rsid w:val="00E05A85"/>
    <w:rsid w:val="00E0623D"/>
    <w:rsid w:val="00E06AF7"/>
    <w:rsid w:val="00E06D05"/>
    <w:rsid w:val="00E10782"/>
    <w:rsid w:val="00E110F3"/>
    <w:rsid w:val="00E12D5E"/>
    <w:rsid w:val="00E14BAE"/>
    <w:rsid w:val="00E14D58"/>
    <w:rsid w:val="00E16E9E"/>
    <w:rsid w:val="00E175AA"/>
    <w:rsid w:val="00E201D0"/>
    <w:rsid w:val="00E20254"/>
    <w:rsid w:val="00E21A19"/>
    <w:rsid w:val="00E21A9C"/>
    <w:rsid w:val="00E23241"/>
    <w:rsid w:val="00E239F9"/>
    <w:rsid w:val="00E2462A"/>
    <w:rsid w:val="00E26BEC"/>
    <w:rsid w:val="00E271CB"/>
    <w:rsid w:val="00E27958"/>
    <w:rsid w:val="00E30157"/>
    <w:rsid w:val="00E305B0"/>
    <w:rsid w:val="00E31CD2"/>
    <w:rsid w:val="00E31D6A"/>
    <w:rsid w:val="00E32135"/>
    <w:rsid w:val="00E34D74"/>
    <w:rsid w:val="00E3570B"/>
    <w:rsid w:val="00E35E87"/>
    <w:rsid w:val="00E4292A"/>
    <w:rsid w:val="00E449B1"/>
    <w:rsid w:val="00E44A33"/>
    <w:rsid w:val="00E45822"/>
    <w:rsid w:val="00E45F65"/>
    <w:rsid w:val="00E464F0"/>
    <w:rsid w:val="00E47A6E"/>
    <w:rsid w:val="00E502A3"/>
    <w:rsid w:val="00E50738"/>
    <w:rsid w:val="00E50BE1"/>
    <w:rsid w:val="00E521CF"/>
    <w:rsid w:val="00E53F42"/>
    <w:rsid w:val="00E54C03"/>
    <w:rsid w:val="00E551DE"/>
    <w:rsid w:val="00E55245"/>
    <w:rsid w:val="00E5645E"/>
    <w:rsid w:val="00E568E1"/>
    <w:rsid w:val="00E56FE1"/>
    <w:rsid w:val="00E573F2"/>
    <w:rsid w:val="00E57BF3"/>
    <w:rsid w:val="00E60195"/>
    <w:rsid w:val="00E61BB6"/>
    <w:rsid w:val="00E63730"/>
    <w:rsid w:val="00E653E3"/>
    <w:rsid w:val="00E65AA7"/>
    <w:rsid w:val="00E66F07"/>
    <w:rsid w:val="00E700E3"/>
    <w:rsid w:val="00E70CB0"/>
    <w:rsid w:val="00E7159A"/>
    <w:rsid w:val="00E7250C"/>
    <w:rsid w:val="00E74ABF"/>
    <w:rsid w:val="00E75A39"/>
    <w:rsid w:val="00E76077"/>
    <w:rsid w:val="00E77B03"/>
    <w:rsid w:val="00E837A3"/>
    <w:rsid w:val="00E83F2D"/>
    <w:rsid w:val="00E84DBD"/>
    <w:rsid w:val="00E84FDE"/>
    <w:rsid w:val="00E85E99"/>
    <w:rsid w:val="00E86050"/>
    <w:rsid w:val="00E87140"/>
    <w:rsid w:val="00E9050C"/>
    <w:rsid w:val="00E90C3A"/>
    <w:rsid w:val="00E91808"/>
    <w:rsid w:val="00E93232"/>
    <w:rsid w:val="00E94C01"/>
    <w:rsid w:val="00E9593B"/>
    <w:rsid w:val="00E9672A"/>
    <w:rsid w:val="00E96904"/>
    <w:rsid w:val="00E97877"/>
    <w:rsid w:val="00EA08A8"/>
    <w:rsid w:val="00EA0A6C"/>
    <w:rsid w:val="00EA199E"/>
    <w:rsid w:val="00EA1D41"/>
    <w:rsid w:val="00EA2295"/>
    <w:rsid w:val="00EA2DF2"/>
    <w:rsid w:val="00EA3A24"/>
    <w:rsid w:val="00EA58BA"/>
    <w:rsid w:val="00EA663F"/>
    <w:rsid w:val="00EA6802"/>
    <w:rsid w:val="00EA6B59"/>
    <w:rsid w:val="00EA7755"/>
    <w:rsid w:val="00EB1889"/>
    <w:rsid w:val="00EB1E74"/>
    <w:rsid w:val="00EB228F"/>
    <w:rsid w:val="00EB24D9"/>
    <w:rsid w:val="00EB31EB"/>
    <w:rsid w:val="00EB3C58"/>
    <w:rsid w:val="00EB4920"/>
    <w:rsid w:val="00EC0149"/>
    <w:rsid w:val="00EC0CCD"/>
    <w:rsid w:val="00EC1E23"/>
    <w:rsid w:val="00EC2E24"/>
    <w:rsid w:val="00EC4583"/>
    <w:rsid w:val="00EC6062"/>
    <w:rsid w:val="00EC65EC"/>
    <w:rsid w:val="00EC66B8"/>
    <w:rsid w:val="00EC76AD"/>
    <w:rsid w:val="00EC7A7C"/>
    <w:rsid w:val="00EC7F09"/>
    <w:rsid w:val="00ED08BA"/>
    <w:rsid w:val="00ED1561"/>
    <w:rsid w:val="00ED7235"/>
    <w:rsid w:val="00ED7F05"/>
    <w:rsid w:val="00EE0CA5"/>
    <w:rsid w:val="00EE1E86"/>
    <w:rsid w:val="00EE2A31"/>
    <w:rsid w:val="00EE34F8"/>
    <w:rsid w:val="00EE5B68"/>
    <w:rsid w:val="00EE5C5F"/>
    <w:rsid w:val="00EE6F89"/>
    <w:rsid w:val="00EF0223"/>
    <w:rsid w:val="00EF0CBE"/>
    <w:rsid w:val="00EF1694"/>
    <w:rsid w:val="00EF3662"/>
    <w:rsid w:val="00EF58D7"/>
    <w:rsid w:val="00EF65C1"/>
    <w:rsid w:val="00EF6E6A"/>
    <w:rsid w:val="00EF7170"/>
    <w:rsid w:val="00F026EC"/>
    <w:rsid w:val="00F037BC"/>
    <w:rsid w:val="00F041F5"/>
    <w:rsid w:val="00F04908"/>
    <w:rsid w:val="00F05FD2"/>
    <w:rsid w:val="00F07A68"/>
    <w:rsid w:val="00F11C26"/>
    <w:rsid w:val="00F11E83"/>
    <w:rsid w:val="00F11F06"/>
    <w:rsid w:val="00F126A7"/>
    <w:rsid w:val="00F13A26"/>
    <w:rsid w:val="00F1445E"/>
    <w:rsid w:val="00F14EA7"/>
    <w:rsid w:val="00F16E05"/>
    <w:rsid w:val="00F17416"/>
    <w:rsid w:val="00F1774B"/>
    <w:rsid w:val="00F17EB2"/>
    <w:rsid w:val="00F2090C"/>
    <w:rsid w:val="00F2378C"/>
    <w:rsid w:val="00F23FBE"/>
    <w:rsid w:val="00F244DD"/>
    <w:rsid w:val="00F25F4A"/>
    <w:rsid w:val="00F2688C"/>
    <w:rsid w:val="00F3126F"/>
    <w:rsid w:val="00F31C08"/>
    <w:rsid w:val="00F31FF5"/>
    <w:rsid w:val="00F32188"/>
    <w:rsid w:val="00F328E6"/>
    <w:rsid w:val="00F3343A"/>
    <w:rsid w:val="00F336B9"/>
    <w:rsid w:val="00F33A8F"/>
    <w:rsid w:val="00F342E1"/>
    <w:rsid w:val="00F34C6A"/>
    <w:rsid w:val="00F35CB0"/>
    <w:rsid w:val="00F363D4"/>
    <w:rsid w:val="00F37F0B"/>
    <w:rsid w:val="00F40D41"/>
    <w:rsid w:val="00F41306"/>
    <w:rsid w:val="00F43574"/>
    <w:rsid w:val="00F45A5C"/>
    <w:rsid w:val="00F47761"/>
    <w:rsid w:val="00F50DE0"/>
    <w:rsid w:val="00F5183A"/>
    <w:rsid w:val="00F52EEF"/>
    <w:rsid w:val="00F53013"/>
    <w:rsid w:val="00F538AD"/>
    <w:rsid w:val="00F53C99"/>
    <w:rsid w:val="00F54BEA"/>
    <w:rsid w:val="00F55B24"/>
    <w:rsid w:val="00F5798D"/>
    <w:rsid w:val="00F57CDC"/>
    <w:rsid w:val="00F638BA"/>
    <w:rsid w:val="00F63A81"/>
    <w:rsid w:val="00F63CF7"/>
    <w:rsid w:val="00F643FB"/>
    <w:rsid w:val="00F64B7C"/>
    <w:rsid w:val="00F66CDE"/>
    <w:rsid w:val="00F67561"/>
    <w:rsid w:val="00F67785"/>
    <w:rsid w:val="00F710BE"/>
    <w:rsid w:val="00F71A8A"/>
    <w:rsid w:val="00F737D6"/>
    <w:rsid w:val="00F7495A"/>
    <w:rsid w:val="00F74F03"/>
    <w:rsid w:val="00F7509D"/>
    <w:rsid w:val="00F76202"/>
    <w:rsid w:val="00F76310"/>
    <w:rsid w:val="00F8100F"/>
    <w:rsid w:val="00F81275"/>
    <w:rsid w:val="00F815EF"/>
    <w:rsid w:val="00F82338"/>
    <w:rsid w:val="00F83B45"/>
    <w:rsid w:val="00F83F6E"/>
    <w:rsid w:val="00F844BD"/>
    <w:rsid w:val="00F8553D"/>
    <w:rsid w:val="00F86DEF"/>
    <w:rsid w:val="00F87D28"/>
    <w:rsid w:val="00F91632"/>
    <w:rsid w:val="00F929BF"/>
    <w:rsid w:val="00F9354F"/>
    <w:rsid w:val="00F96E1F"/>
    <w:rsid w:val="00FA0F5A"/>
    <w:rsid w:val="00FA20F5"/>
    <w:rsid w:val="00FA266E"/>
    <w:rsid w:val="00FA29B8"/>
    <w:rsid w:val="00FA41DC"/>
    <w:rsid w:val="00FA4CF0"/>
    <w:rsid w:val="00FA54DE"/>
    <w:rsid w:val="00FA5DF5"/>
    <w:rsid w:val="00FA605C"/>
    <w:rsid w:val="00FB01B5"/>
    <w:rsid w:val="00FB0CAB"/>
    <w:rsid w:val="00FB1719"/>
    <w:rsid w:val="00FB224F"/>
    <w:rsid w:val="00FB2905"/>
    <w:rsid w:val="00FB2E05"/>
    <w:rsid w:val="00FB37B8"/>
    <w:rsid w:val="00FB3BA2"/>
    <w:rsid w:val="00FB42B7"/>
    <w:rsid w:val="00FB61AC"/>
    <w:rsid w:val="00FB725E"/>
    <w:rsid w:val="00FC0203"/>
    <w:rsid w:val="00FC0903"/>
    <w:rsid w:val="00FC1350"/>
    <w:rsid w:val="00FC1604"/>
    <w:rsid w:val="00FC1B4E"/>
    <w:rsid w:val="00FC204F"/>
    <w:rsid w:val="00FC2050"/>
    <w:rsid w:val="00FC32F0"/>
    <w:rsid w:val="00FC3D24"/>
    <w:rsid w:val="00FC3E6C"/>
    <w:rsid w:val="00FC3EC0"/>
    <w:rsid w:val="00FC4171"/>
    <w:rsid w:val="00FC4800"/>
    <w:rsid w:val="00FC4CAE"/>
    <w:rsid w:val="00FC58CA"/>
    <w:rsid w:val="00FC5DAF"/>
    <w:rsid w:val="00FC6BDE"/>
    <w:rsid w:val="00FD0E6E"/>
    <w:rsid w:val="00FD1BE7"/>
    <w:rsid w:val="00FD2508"/>
    <w:rsid w:val="00FD56D0"/>
    <w:rsid w:val="00FD601A"/>
    <w:rsid w:val="00FD6E67"/>
    <w:rsid w:val="00FD736E"/>
    <w:rsid w:val="00FE2FDB"/>
    <w:rsid w:val="00FE36A7"/>
    <w:rsid w:val="00FE421D"/>
    <w:rsid w:val="00FE6CF7"/>
    <w:rsid w:val="00FE6F41"/>
    <w:rsid w:val="00FE7C63"/>
    <w:rsid w:val="00FE7E99"/>
    <w:rsid w:val="00FF0A4E"/>
    <w:rsid w:val="00FF19F4"/>
    <w:rsid w:val="00FF26B2"/>
    <w:rsid w:val="00FF4587"/>
    <w:rsid w:val="00FF5019"/>
    <w:rsid w:val="00FF57CA"/>
    <w:rsid w:val="00FF5DD9"/>
    <w:rsid w:val="00FF6AC6"/>
    <w:rsid w:val="00FF73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68BF8"/>
  <w15:docId w15:val="{2B2064B1-CE5C-417F-AFE4-437EC1A9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line="480"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7F8"/>
    <w:rPr>
      <w:sz w:val="24"/>
      <w:szCs w:val="24"/>
    </w:rPr>
  </w:style>
  <w:style w:type="paragraph" w:styleId="Heading1">
    <w:name w:val="heading 1"/>
    <w:basedOn w:val="Normal"/>
    <w:next w:val="Normal"/>
    <w:link w:val="Heading1Char"/>
    <w:qFormat/>
    <w:rsid w:val="008672D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9142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91421"/>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BF1BFF"/>
    <w:pPr>
      <w:keepNext/>
      <w:jc w:val="center"/>
      <w:outlineLvl w:val="4"/>
    </w:pPr>
    <w:rPr>
      <w:rFonts w:ascii="Arial" w:hAnsi="Arial"/>
      <w:b/>
      <w:sz w:val="28"/>
      <w:szCs w:val="20"/>
    </w:rPr>
  </w:style>
  <w:style w:type="paragraph" w:styleId="Heading6">
    <w:name w:val="heading 6"/>
    <w:basedOn w:val="Normal"/>
    <w:next w:val="Normal"/>
    <w:link w:val="Heading6Char"/>
    <w:semiHidden/>
    <w:unhideWhenUsed/>
    <w:qFormat/>
    <w:rsid w:val="00A91421"/>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BF1BFF"/>
    <w:pPr>
      <w:keepNext/>
      <w:outlineLvl w:val="6"/>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72E3"/>
    <w:pPr>
      <w:tabs>
        <w:tab w:val="center" w:pos="4320"/>
        <w:tab w:val="right" w:pos="8640"/>
      </w:tabs>
    </w:pPr>
  </w:style>
  <w:style w:type="paragraph" w:styleId="Footer">
    <w:name w:val="footer"/>
    <w:basedOn w:val="Normal"/>
    <w:link w:val="FooterChar"/>
    <w:uiPriority w:val="99"/>
    <w:rsid w:val="002672E3"/>
    <w:pPr>
      <w:tabs>
        <w:tab w:val="center" w:pos="4320"/>
        <w:tab w:val="right" w:pos="8640"/>
      </w:tabs>
    </w:pPr>
  </w:style>
  <w:style w:type="paragraph" w:styleId="BalloonText">
    <w:name w:val="Balloon Text"/>
    <w:basedOn w:val="Normal"/>
    <w:semiHidden/>
    <w:rsid w:val="00E7159A"/>
    <w:rPr>
      <w:rFonts w:ascii="Tahoma" w:hAnsi="Tahoma" w:cs="Tahoma"/>
      <w:sz w:val="16"/>
      <w:szCs w:val="16"/>
    </w:rPr>
  </w:style>
  <w:style w:type="paragraph" w:styleId="ListParagraph">
    <w:name w:val="List Paragraph"/>
    <w:basedOn w:val="Normal"/>
    <w:uiPriority w:val="34"/>
    <w:qFormat/>
    <w:rsid w:val="00366577"/>
    <w:pPr>
      <w:ind w:left="720"/>
      <w:contextualSpacing/>
    </w:pPr>
    <w:rPr>
      <w:lang w:val="en-IN" w:eastAsia="en-IN"/>
    </w:rPr>
  </w:style>
  <w:style w:type="character" w:styleId="Hyperlink">
    <w:name w:val="Hyperlink"/>
    <w:uiPriority w:val="99"/>
    <w:unhideWhenUsed/>
    <w:rsid w:val="00C74F25"/>
    <w:rPr>
      <w:color w:val="0000FF"/>
      <w:u w:val="single"/>
    </w:rPr>
  </w:style>
  <w:style w:type="paragraph" w:styleId="Caption">
    <w:name w:val="caption"/>
    <w:basedOn w:val="Normal"/>
    <w:next w:val="Normal"/>
    <w:qFormat/>
    <w:rsid w:val="004100F9"/>
    <w:pPr>
      <w:ind w:left="-720"/>
    </w:pPr>
    <w:rPr>
      <w:b/>
      <w:szCs w:val="20"/>
    </w:rPr>
  </w:style>
  <w:style w:type="paragraph" w:styleId="BodyTextIndent">
    <w:name w:val="Body Text Indent"/>
    <w:basedOn w:val="Normal"/>
    <w:link w:val="BodyTextIndentChar"/>
    <w:rsid w:val="00C60610"/>
    <w:pPr>
      <w:pBdr>
        <w:top w:val="single" w:sz="12" w:space="1" w:color="auto"/>
        <w:left w:val="single" w:sz="12" w:space="4" w:color="auto"/>
        <w:bottom w:val="single" w:sz="12" w:space="1" w:color="auto"/>
        <w:right w:val="single" w:sz="12" w:space="31" w:color="auto"/>
      </w:pBdr>
      <w:ind w:left="720" w:hanging="720"/>
    </w:pPr>
    <w:rPr>
      <w:sz w:val="20"/>
      <w:szCs w:val="20"/>
    </w:rPr>
  </w:style>
  <w:style w:type="character" w:customStyle="1" w:styleId="BodyTextIndentChar">
    <w:name w:val="Body Text Indent Char"/>
    <w:basedOn w:val="DefaultParagraphFont"/>
    <w:link w:val="BodyTextIndent"/>
    <w:rsid w:val="00C60610"/>
  </w:style>
  <w:style w:type="paragraph" w:styleId="BodyTextIndent2">
    <w:name w:val="Body Text Indent 2"/>
    <w:basedOn w:val="Normal"/>
    <w:link w:val="BodyTextIndent2Char"/>
    <w:rsid w:val="00C60610"/>
    <w:pPr>
      <w:ind w:left="720" w:hanging="720"/>
    </w:pPr>
    <w:rPr>
      <w:sz w:val="20"/>
      <w:szCs w:val="20"/>
    </w:rPr>
  </w:style>
  <w:style w:type="character" w:customStyle="1" w:styleId="BodyTextIndent2Char">
    <w:name w:val="Body Text Indent 2 Char"/>
    <w:basedOn w:val="DefaultParagraphFont"/>
    <w:link w:val="BodyTextIndent2"/>
    <w:rsid w:val="00C60610"/>
  </w:style>
  <w:style w:type="paragraph" w:styleId="BodyTextIndent3">
    <w:name w:val="Body Text Indent 3"/>
    <w:basedOn w:val="Normal"/>
    <w:link w:val="BodyTextIndent3Char"/>
    <w:rsid w:val="00C60610"/>
    <w:pPr>
      <w:spacing w:line="360" w:lineRule="auto"/>
      <w:ind w:left="720"/>
    </w:pPr>
    <w:rPr>
      <w:sz w:val="20"/>
      <w:szCs w:val="20"/>
    </w:rPr>
  </w:style>
  <w:style w:type="character" w:customStyle="1" w:styleId="BodyTextIndent3Char">
    <w:name w:val="Body Text Indent 3 Char"/>
    <w:basedOn w:val="DefaultParagraphFont"/>
    <w:link w:val="BodyTextIndent3"/>
    <w:rsid w:val="00C60610"/>
  </w:style>
  <w:style w:type="table" w:styleId="TableGrid">
    <w:name w:val="Table Grid"/>
    <w:basedOn w:val="TableNormal"/>
    <w:uiPriority w:val="39"/>
    <w:rsid w:val="00F363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7F41EF"/>
  </w:style>
  <w:style w:type="character" w:customStyle="1" w:styleId="Heading5Char">
    <w:name w:val="Heading 5 Char"/>
    <w:link w:val="Heading5"/>
    <w:rsid w:val="00BF1BFF"/>
    <w:rPr>
      <w:rFonts w:ascii="Arial" w:hAnsi="Arial"/>
      <w:b/>
      <w:sz w:val="28"/>
    </w:rPr>
  </w:style>
  <w:style w:type="character" w:customStyle="1" w:styleId="Heading7Char">
    <w:name w:val="Heading 7 Char"/>
    <w:link w:val="Heading7"/>
    <w:rsid w:val="00BF1BFF"/>
    <w:rPr>
      <w:rFonts w:ascii="Arial" w:hAnsi="Arial"/>
      <w:b/>
      <w:sz w:val="22"/>
    </w:rPr>
  </w:style>
  <w:style w:type="character" w:styleId="CommentReference">
    <w:name w:val="annotation reference"/>
    <w:uiPriority w:val="99"/>
    <w:unhideWhenUsed/>
    <w:rsid w:val="00BF1BFF"/>
    <w:rPr>
      <w:sz w:val="16"/>
      <w:szCs w:val="16"/>
    </w:rPr>
  </w:style>
  <w:style w:type="paragraph" w:styleId="CommentText">
    <w:name w:val="annotation text"/>
    <w:basedOn w:val="Normal"/>
    <w:link w:val="CommentTextChar"/>
    <w:uiPriority w:val="99"/>
    <w:unhideWhenUsed/>
    <w:rsid w:val="00BF1BFF"/>
    <w:rPr>
      <w:sz w:val="20"/>
      <w:szCs w:val="20"/>
    </w:rPr>
  </w:style>
  <w:style w:type="character" w:customStyle="1" w:styleId="CommentTextChar">
    <w:name w:val="Comment Text Char"/>
    <w:basedOn w:val="DefaultParagraphFont"/>
    <w:link w:val="CommentText"/>
    <w:uiPriority w:val="99"/>
    <w:rsid w:val="00BF1BFF"/>
  </w:style>
  <w:style w:type="character" w:customStyle="1" w:styleId="Heading2Char">
    <w:name w:val="Heading 2 Char"/>
    <w:link w:val="Heading2"/>
    <w:semiHidden/>
    <w:rsid w:val="00A91421"/>
    <w:rPr>
      <w:rFonts w:ascii="Cambria" w:eastAsia="Times New Roman" w:hAnsi="Cambria" w:cs="Times New Roman"/>
      <w:b/>
      <w:bCs/>
      <w:i/>
      <w:iCs/>
      <w:sz w:val="28"/>
      <w:szCs w:val="28"/>
    </w:rPr>
  </w:style>
  <w:style w:type="character" w:customStyle="1" w:styleId="Heading3Char">
    <w:name w:val="Heading 3 Char"/>
    <w:link w:val="Heading3"/>
    <w:semiHidden/>
    <w:rsid w:val="00A91421"/>
    <w:rPr>
      <w:rFonts w:ascii="Cambria" w:eastAsia="Times New Roman" w:hAnsi="Cambria" w:cs="Times New Roman"/>
      <w:b/>
      <w:bCs/>
      <w:sz w:val="26"/>
      <w:szCs w:val="26"/>
    </w:rPr>
  </w:style>
  <w:style w:type="character" w:customStyle="1" w:styleId="Heading6Char">
    <w:name w:val="Heading 6 Char"/>
    <w:link w:val="Heading6"/>
    <w:semiHidden/>
    <w:rsid w:val="00A91421"/>
    <w:rPr>
      <w:rFonts w:ascii="Calibri" w:eastAsia="Times New Roman" w:hAnsi="Calibri" w:cs="Times New Roman"/>
      <w:b/>
      <w:bCs/>
      <w:sz w:val="22"/>
      <w:szCs w:val="22"/>
    </w:rPr>
  </w:style>
  <w:style w:type="character" w:customStyle="1" w:styleId="Heading1Char">
    <w:name w:val="Heading 1 Char"/>
    <w:link w:val="Heading1"/>
    <w:rsid w:val="008672D5"/>
    <w:rPr>
      <w:rFonts w:ascii="Cambria" w:eastAsia="Times New Roman" w:hAnsi="Cambria" w:cs="Times New Roman"/>
      <w:b/>
      <w:bCs/>
      <w:kern w:val="32"/>
      <w:sz w:val="32"/>
      <w:szCs w:val="32"/>
    </w:rPr>
  </w:style>
  <w:style w:type="character" w:customStyle="1" w:styleId="HeaderChar">
    <w:name w:val="Header Char"/>
    <w:link w:val="Header"/>
    <w:rsid w:val="00AA4D6B"/>
    <w:rPr>
      <w:sz w:val="24"/>
      <w:szCs w:val="24"/>
    </w:rPr>
  </w:style>
  <w:style w:type="character" w:customStyle="1" w:styleId="FooterChar">
    <w:name w:val="Footer Char"/>
    <w:link w:val="Footer"/>
    <w:uiPriority w:val="99"/>
    <w:rsid w:val="00AA4D6B"/>
    <w:rPr>
      <w:sz w:val="24"/>
      <w:szCs w:val="24"/>
    </w:rPr>
  </w:style>
  <w:style w:type="character" w:styleId="FollowedHyperlink">
    <w:name w:val="FollowedHyperlink"/>
    <w:rsid w:val="00F67561"/>
    <w:rPr>
      <w:color w:val="954F72"/>
      <w:u w:val="single"/>
    </w:rPr>
  </w:style>
  <w:style w:type="character" w:styleId="PlaceholderText">
    <w:name w:val="Placeholder Text"/>
    <w:basedOn w:val="DefaultParagraphFont"/>
    <w:uiPriority w:val="99"/>
    <w:semiHidden/>
    <w:rsid w:val="00D64F0A"/>
    <w:rPr>
      <w:color w:val="808080"/>
    </w:rPr>
  </w:style>
  <w:style w:type="character" w:customStyle="1" w:styleId="absmetadatalabel">
    <w:name w:val="abs_metadata_label"/>
    <w:basedOn w:val="DefaultParagraphFont"/>
    <w:rsid w:val="001D1B8A"/>
  </w:style>
  <w:style w:type="paragraph" w:customStyle="1" w:styleId="Default">
    <w:name w:val="Default"/>
    <w:rsid w:val="00DA5DE9"/>
    <w:pPr>
      <w:autoSpaceDE w:val="0"/>
      <w:autoSpaceDN w:val="0"/>
      <w:adjustRightInd w:val="0"/>
    </w:pPr>
    <w:rPr>
      <w:color w:val="000000"/>
      <w:sz w:val="24"/>
      <w:szCs w:val="24"/>
    </w:rPr>
  </w:style>
  <w:style w:type="character" w:customStyle="1" w:styleId="A4">
    <w:name w:val="A4"/>
    <w:uiPriority w:val="99"/>
    <w:rsid w:val="00DA5DE9"/>
    <w:rPr>
      <w:b/>
      <w:bCs/>
      <w:color w:val="000000"/>
      <w:sz w:val="11"/>
      <w:szCs w:val="11"/>
    </w:rPr>
  </w:style>
  <w:style w:type="character" w:customStyle="1" w:styleId="A2">
    <w:name w:val="A2"/>
    <w:uiPriority w:val="99"/>
    <w:rsid w:val="00D557F2"/>
    <w:rPr>
      <w:b/>
      <w:bCs/>
      <w:color w:val="000000"/>
      <w:sz w:val="10"/>
      <w:szCs w:val="10"/>
    </w:rPr>
  </w:style>
  <w:style w:type="character" w:customStyle="1" w:styleId="name">
    <w:name w:val="name"/>
    <w:basedOn w:val="DefaultParagraphFont"/>
    <w:rsid w:val="009B27C9"/>
  </w:style>
  <w:style w:type="character" w:customStyle="1" w:styleId="A5">
    <w:name w:val="A5"/>
    <w:uiPriority w:val="99"/>
    <w:rsid w:val="00045A85"/>
    <w:rPr>
      <w:rFonts w:cs="Helvetica"/>
      <w:b/>
      <w:bCs/>
      <w:color w:val="000000"/>
      <w:sz w:val="11"/>
      <w:szCs w:val="11"/>
    </w:rPr>
  </w:style>
  <w:style w:type="character" w:styleId="LineNumber">
    <w:name w:val="line number"/>
    <w:basedOn w:val="DefaultParagraphFont"/>
    <w:semiHidden/>
    <w:unhideWhenUsed/>
    <w:rsid w:val="00393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03593">
      <w:bodyDiv w:val="1"/>
      <w:marLeft w:val="0"/>
      <w:marRight w:val="0"/>
      <w:marTop w:val="0"/>
      <w:marBottom w:val="0"/>
      <w:divBdr>
        <w:top w:val="none" w:sz="0" w:space="0" w:color="auto"/>
        <w:left w:val="none" w:sz="0" w:space="0" w:color="auto"/>
        <w:bottom w:val="none" w:sz="0" w:space="0" w:color="auto"/>
        <w:right w:val="none" w:sz="0" w:space="0" w:color="auto"/>
      </w:divBdr>
      <w:divsChild>
        <w:div w:id="1369380465">
          <w:marLeft w:val="0"/>
          <w:marRight w:val="0"/>
          <w:marTop w:val="100"/>
          <w:marBottom w:val="100"/>
          <w:divBdr>
            <w:top w:val="none" w:sz="0" w:space="0" w:color="auto"/>
            <w:left w:val="none" w:sz="0" w:space="0" w:color="auto"/>
            <w:bottom w:val="none" w:sz="0" w:space="0" w:color="auto"/>
            <w:right w:val="none" w:sz="0" w:space="0" w:color="auto"/>
          </w:divBdr>
          <w:divsChild>
            <w:div w:id="9626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9664">
      <w:bodyDiv w:val="1"/>
      <w:marLeft w:val="0"/>
      <w:marRight w:val="0"/>
      <w:marTop w:val="0"/>
      <w:marBottom w:val="0"/>
      <w:divBdr>
        <w:top w:val="none" w:sz="0" w:space="0" w:color="auto"/>
        <w:left w:val="none" w:sz="0" w:space="0" w:color="auto"/>
        <w:bottom w:val="none" w:sz="0" w:space="0" w:color="auto"/>
        <w:right w:val="none" w:sz="0" w:space="0" w:color="auto"/>
      </w:divBdr>
    </w:div>
    <w:div w:id="133304552">
      <w:bodyDiv w:val="1"/>
      <w:marLeft w:val="0"/>
      <w:marRight w:val="0"/>
      <w:marTop w:val="0"/>
      <w:marBottom w:val="0"/>
      <w:divBdr>
        <w:top w:val="none" w:sz="0" w:space="0" w:color="auto"/>
        <w:left w:val="none" w:sz="0" w:space="0" w:color="auto"/>
        <w:bottom w:val="none" w:sz="0" w:space="0" w:color="auto"/>
        <w:right w:val="none" w:sz="0" w:space="0" w:color="auto"/>
      </w:divBdr>
      <w:divsChild>
        <w:div w:id="1503737820">
          <w:marLeft w:val="547"/>
          <w:marRight w:val="0"/>
          <w:marTop w:val="154"/>
          <w:marBottom w:val="0"/>
          <w:divBdr>
            <w:top w:val="none" w:sz="0" w:space="0" w:color="auto"/>
            <w:left w:val="none" w:sz="0" w:space="0" w:color="auto"/>
            <w:bottom w:val="none" w:sz="0" w:space="0" w:color="auto"/>
            <w:right w:val="none" w:sz="0" w:space="0" w:color="auto"/>
          </w:divBdr>
        </w:div>
      </w:divsChild>
    </w:div>
    <w:div w:id="175703383">
      <w:bodyDiv w:val="1"/>
      <w:marLeft w:val="0"/>
      <w:marRight w:val="0"/>
      <w:marTop w:val="0"/>
      <w:marBottom w:val="0"/>
      <w:divBdr>
        <w:top w:val="none" w:sz="0" w:space="0" w:color="auto"/>
        <w:left w:val="none" w:sz="0" w:space="0" w:color="auto"/>
        <w:bottom w:val="none" w:sz="0" w:space="0" w:color="auto"/>
        <w:right w:val="none" w:sz="0" w:space="0" w:color="auto"/>
      </w:divBdr>
    </w:div>
    <w:div w:id="181021415">
      <w:bodyDiv w:val="1"/>
      <w:marLeft w:val="0"/>
      <w:marRight w:val="0"/>
      <w:marTop w:val="0"/>
      <w:marBottom w:val="0"/>
      <w:divBdr>
        <w:top w:val="none" w:sz="0" w:space="0" w:color="auto"/>
        <w:left w:val="none" w:sz="0" w:space="0" w:color="auto"/>
        <w:bottom w:val="none" w:sz="0" w:space="0" w:color="auto"/>
        <w:right w:val="none" w:sz="0" w:space="0" w:color="auto"/>
      </w:divBdr>
    </w:div>
    <w:div w:id="220598636">
      <w:bodyDiv w:val="1"/>
      <w:marLeft w:val="0"/>
      <w:marRight w:val="0"/>
      <w:marTop w:val="0"/>
      <w:marBottom w:val="0"/>
      <w:divBdr>
        <w:top w:val="none" w:sz="0" w:space="0" w:color="auto"/>
        <w:left w:val="none" w:sz="0" w:space="0" w:color="auto"/>
        <w:bottom w:val="none" w:sz="0" w:space="0" w:color="auto"/>
        <w:right w:val="none" w:sz="0" w:space="0" w:color="auto"/>
      </w:divBdr>
    </w:div>
    <w:div w:id="241258000">
      <w:bodyDiv w:val="1"/>
      <w:marLeft w:val="0"/>
      <w:marRight w:val="0"/>
      <w:marTop w:val="0"/>
      <w:marBottom w:val="0"/>
      <w:divBdr>
        <w:top w:val="none" w:sz="0" w:space="0" w:color="auto"/>
        <w:left w:val="none" w:sz="0" w:space="0" w:color="auto"/>
        <w:bottom w:val="none" w:sz="0" w:space="0" w:color="auto"/>
        <w:right w:val="none" w:sz="0" w:space="0" w:color="auto"/>
      </w:divBdr>
      <w:divsChild>
        <w:div w:id="857159671">
          <w:marLeft w:val="547"/>
          <w:marRight w:val="0"/>
          <w:marTop w:val="154"/>
          <w:marBottom w:val="0"/>
          <w:divBdr>
            <w:top w:val="none" w:sz="0" w:space="0" w:color="auto"/>
            <w:left w:val="none" w:sz="0" w:space="0" w:color="auto"/>
            <w:bottom w:val="none" w:sz="0" w:space="0" w:color="auto"/>
            <w:right w:val="none" w:sz="0" w:space="0" w:color="auto"/>
          </w:divBdr>
        </w:div>
      </w:divsChild>
    </w:div>
    <w:div w:id="249127042">
      <w:bodyDiv w:val="1"/>
      <w:marLeft w:val="0"/>
      <w:marRight w:val="0"/>
      <w:marTop w:val="0"/>
      <w:marBottom w:val="0"/>
      <w:divBdr>
        <w:top w:val="none" w:sz="0" w:space="0" w:color="auto"/>
        <w:left w:val="none" w:sz="0" w:space="0" w:color="auto"/>
        <w:bottom w:val="none" w:sz="0" w:space="0" w:color="auto"/>
        <w:right w:val="none" w:sz="0" w:space="0" w:color="auto"/>
      </w:divBdr>
    </w:div>
    <w:div w:id="296490593">
      <w:bodyDiv w:val="1"/>
      <w:marLeft w:val="0"/>
      <w:marRight w:val="0"/>
      <w:marTop w:val="0"/>
      <w:marBottom w:val="0"/>
      <w:divBdr>
        <w:top w:val="none" w:sz="0" w:space="0" w:color="auto"/>
        <w:left w:val="none" w:sz="0" w:space="0" w:color="auto"/>
        <w:bottom w:val="none" w:sz="0" w:space="0" w:color="auto"/>
        <w:right w:val="none" w:sz="0" w:space="0" w:color="auto"/>
      </w:divBdr>
    </w:div>
    <w:div w:id="301085614">
      <w:bodyDiv w:val="1"/>
      <w:marLeft w:val="0"/>
      <w:marRight w:val="0"/>
      <w:marTop w:val="0"/>
      <w:marBottom w:val="0"/>
      <w:divBdr>
        <w:top w:val="none" w:sz="0" w:space="0" w:color="auto"/>
        <w:left w:val="none" w:sz="0" w:space="0" w:color="auto"/>
        <w:bottom w:val="none" w:sz="0" w:space="0" w:color="auto"/>
        <w:right w:val="none" w:sz="0" w:space="0" w:color="auto"/>
      </w:divBdr>
    </w:div>
    <w:div w:id="388847568">
      <w:bodyDiv w:val="1"/>
      <w:marLeft w:val="0"/>
      <w:marRight w:val="0"/>
      <w:marTop w:val="0"/>
      <w:marBottom w:val="0"/>
      <w:divBdr>
        <w:top w:val="none" w:sz="0" w:space="0" w:color="auto"/>
        <w:left w:val="none" w:sz="0" w:space="0" w:color="auto"/>
        <w:bottom w:val="none" w:sz="0" w:space="0" w:color="auto"/>
        <w:right w:val="none" w:sz="0" w:space="0" w:color="auto"/>
      </w:divBdr>
    </w:div>
    <w:div w:id="415833554">
      <w:bodyDiv w:val="1"/>
      <w:marLeft w:val="0"/>
      <w:marRight w:val="0"/>
      <w:marTop w:val="0"/>
      <w:marBottom w:val="0"/>
      <w:divBdr>
        <w:top w:val="none" w:sz="0" w:space="0" w:color="auto"/>
        <w:left w:val="none" w:sz="0" w:space="0" w:color="auto"/>
        <w:bottom w:val="none" w:sz="0" w:space="0" w:color="auto"/>
        <w:right w:val="none" w:sz="0" w:space="0" w:color="auto"/>
      </w:divBdr>
    </w:div>
    <w:div w:id="429785700">
      <w:bodyDiv w:val="1"/>
      <w:marLeft w:val="0"/>
      <w:marRight w:val="0"/>
      <w:marTop w:val="0"/>
      <w:marBottom w:val="0"/>
      <w:divBdr>
        <w:top w:val="none" w:sz="0" w:space="0" w:color="auto"/>
        <w:left w:val="none" w:sz="0" w:space="0" w:color="auto"/>
        <w:bottom w:val="none" w:sz="0" w:space="0" w:color="auto"/>
        <w:right w:val="none" w:sz="0" w:space="0" w:color="auto"/>
      </w:divBdr>
    </w:div>
    <w:div w:id="448360516">
      <w:bodyDiv w:val="1"/>
      <w:marLeft w:val="0"/>
      <w:marRight w:val="0"/>
      <w:marTop w:val="0"/>
      <w:marBottom w:val="0"/>
      <w:divBdr>
        <w:top w:val="none" w:sz="0" w:space="0" w:color="auto"/>
        <w:left w:val="none" w:sz="0" w:space="0" w:color="auto"/>
        <w:bottom w:val="none" w:sz="0" w:space="0" w:color="auto"/>
        <w:right w:val="none" w:sz="0" w:space="0" w:color="auto"/>
      </w:divBdr>
    </w:div>
    <w:div w:id="494608721">
      <w:bodyDiv w:val="1"/>
      <w:marLeft w:val="0"/>
      <w:marRight w:val="0"/>
      <w:marTop w:val="0"/>
      <w:marBottom w:val="0"/>
      <w:divBdr>
        <w:top w:val="none" w:sz="0" w:space="0" w:color="auto"/>
        <w:left w:val="none" w:sz="0" w:space="0" w:color="auto"/>
        <w:bottom w:val="none" w:sz="0" w:space="0" w:color="auto"/>
        <w:right w:val="none" w:sz="0" w:space="0" w:color="auto"/>
      </w:divBdr>
      <w:divsChild>
        <w:div w:id="1187643597">
          <w:marLeft w:val="547"/>
          <w:marRight w:val="0"/>
          <w:marTop w:val="154"/>
          <w:marBottom w:val="0"/>
          <w:divBdr>
            <w:top w:val="none" w:sz="0" w:space="0" w:color="auto"/>
            <w:left w:val="none" w:sz="0" w:space="0" w:color="auto"/>
            <w:bottom w:val="none" w:sz="0" w:space="0" w:color="auto"/>
            <w:right w:val="none" w:sz="0" w:space="0" w:color="auto"/>
          </w:divBdr>
        </w:div>
        <w:div w:id="1388185074">
          <w:marLeft w:val="547"/>
          <w:marRight w:val="0"/>
          <w:marTop w:val="154"/>
          <w:marBottom w:val="0"/>
          <w:divBdr>
            <w:top w:val="none" w:sz="0" w:space="0" w:color="auto"/>
            <w:left w:val="none" w:sz="0" w:space="0" w:color="auto"/>
            <w:bottom w:val="none" w:sz="0" w:space="0" w:color="auto"/>
            <w:right w:val="none" w:sz="0" w:space="0" w:color="auto"/>
          </w:divBdr>
        </w:div>
        <w:div w:id="1756707405">
          <w:marLeft w:val="547"/>
          <w:marRight w:val="0"/>
          <w:marTop w:val="154"/>
          <w:marBottom w:val="0"/>
          <w:divBdr>
            <w:top w:val="none" w:sz="0" w:space="0" w:color="auto"/>
            <w:left w:val="none" w:sz="0" w:space="0" w:color="auto"/>
            <w:bottom w:val="none" w:sz="0" w:space="0" w:color="auto"/>
            <w:right w:val="none" w:sz="0" w:space="0" w:color="auto"/>
          </w:divBdr>
        </w:div>
        <w:div w:id="1959146265">
          <w:marLeft w:val="547"/>
          <w:marRight w:val="0"/>
          <w:marTop w:val="154"/>
          <w:marBottom w:val="0"/>
          <w:divBdr>
            <w:top w:val="none" w:sz="0" w:space="0" w:color="auto"/>
            <w:left w:val="none" w:sz="0" w:space="0" w:color="auto"/>
            <w:bottom w:val="none" w:sz="0" w:space="0" w:color="auto"/>
            <w:right w:val="none" w:sz="0" w:space="0" w:color="auto"/>
          </w:divBdr>
        </w:div>
      </w:divsChild>
    </w:div>
    <w:div w:id="534470144">
      <w:bodyDiv w:val="1"/>
      <w:marLeft w:val="0"/>
      <w:marRight w:val="0"/>
      <w:marTop w:val="0"/>
      <w:marBottom w:val="0"/>
      <w:divBdr>
        <w:top w:val="none" w:sz="0" w:space="0" w:color="auto"/>
        <w:left w:val="none" w:sz="0" w:space="0" w:color="auto"/>
        <w:bottom w:val="none" w:sz="0" w:space="0" w:color="auto"/>
        <w:right w:val="none" w:sz="0" w:space="0" w:color="auto"/>
      </w:divBdr>
    </w:div>
    <w:div w:id="614822972">
      <w:bodyDiv w:val="1"/>
      <w:marLeft w:val="0"/>
      <w:marRight w:val="0"/>
      <w:marTop w:val="0"/>
      <w:marBottom w:val="0"/>
      <w:divBdr>
        <w:top w:val="none" w:sz="0" w:space="0" w:color="auto"/>
        <w:left w:val="none" w:sz="0" w:space="0" w:color="auto"/>
        <w:bottom w:val="none" w:sz="0" w:space="0" w:color="auto"/>
        <w:right w:val="none" w:sz="0" w:space="0" w:color="auto"/>
      </w:divBdr>
    </w:div>
    <w:div w:id="691027817">
      <w:bodyDiv w:val="1"/>
      <w:marLeft w:val="0"/>
      <w:marRight w:val="0"/>
      <w:marTop w:val="0"/>
      <w:marBottom w:val="0"/>
      <w:divBdr>
        <w:top w:val="none" w:sz="0" w:space="0" w:color="auto"/>
        <w:left w:val="none" w:sz="0" w:space="0" w:color="auto"/>
        <w:bottom w:val="none" w:sz="0" w:space="0" w:color="auto"/>
        <w:right w:val="none" w:sz="0" w:space="0" w:color="auto"/>
      </w:divBdr>
      <w:divsChild>
        <w:div w:id="332681776">
          <w:marLeft w:val="0"/>
          <w:marRight w:val="0"/>
          <w:marTop w:val="0"/>
          <w:marBottom w:val="0"/>
          <w:divBdr>
            <w:top w:val="none" w:sz="0" w:space="0" w:color="auto"/>
            <w:left w:val="none" w:sz="0" w:space="0" w:color="auto"/>
            <w:bottom w:val="none" w:sz="0" w:space="0" w:color="auto"/>
            <w:right w:val="none" w:sz="0" w:space="0" w:color="auto"/>
          </w:divBdr>
          <w:divsChild>
            <w:div w:id="944388734">
              <w:marLeft w:val="177"/>
              <w:marRight w:val="0"/>
              <w:marTop w:val="0"/>
              <w:marBottom w:val="0"/>
              <w:divBdr>
                <w:top w:val="none" w:sz="0" w:space="0" w:color="auto"/>
                <w:left w:val="none" w:sz="0" w:space="0" w:color="auto"/>
                <w:bottom w:val="none" w:sz="0" w:space="0" w:color="auto"/>
                <w:right w:val="none" w:sz="0" w:space="0" w:color="auto"/>
              </w:divBdr>
            </w:div>
            <w:div w:id="1458716845">
              <w:marLeft w:val="0"/>
              <w:marRight w:val="0"/>
              <w:marTop w:val="0"/>
              <w:marBottom w:val="0"/>
              <w:divBdr>
                <w:top w:val="none" w:sz="0" w:space="0" w:color="auto"/>
                <w:left w:val="none" w:sz="0" w:space="0" w:color="auto"/>
                <w:bottom w:val="none" w:sz="0" w:space="0" w:color="auto"/>
                <w:right w:val="none" w:sz="0" w:space="0" w:color="auto"/>
              </w:divBdr>
            </w:div>
          </w:divsChild>
        </w:div>
        <w:div w:id="391006529">
          <w:marLeft w:val="0"/>
          <w:marRight w:val="0"/>
          <w:marTop w:val="0"/>
          <w:marBottom w:val="0"/>
          <w:divBdr>
            <w:top w:val="none" w:sz="0" w:space="0" w:color="auto"/>
            <w:left w:val="none" w:sz="0" w:space="0" w:color="auto"/>
            <w:bottom w:val="none" w:sz="0" w:space="0" w:color="auto"/>
            <w:right w:val="none" w:sz="0" w:space="0" w:color="auto"/>
          </w:divBdr>
          <w:divsChild>
            <w:div w:id="214583011">
              <w:marLeft w:val="177"/>
              <w:marRight w:val="0"/>
              <w:marTop w:val="0"/>
              <w:marBottom w:val="0"/>
              <w:divBdr>
                <w:top w:val="none" w:sz="0" w:space="0" w:color="auto"/>
                <w:left w:val="none" w:sz="0" w:space="0" w:color="auto"/>
                <w:bottom w:val="none" w:sz="0" w:space="0" w:color="auto"/>
                <w:right w:val="none" w:sz="0" w:space="0" w:color="auto"/>
              </w:divBdr>
            </w:div>
          </w:divsChild>
        </w:div>
      </w:divsChild>
    </w:div>
    <w:div w:id="746000173">
      <w:bodyDiv w:val="1"/>
      <w:marLeft w:val="0"/>
      <w:marRight w:val="0"/>
      <w:marTop w:val="0"/>
      <w:marBottom w:val="0"/>
      <w:divBdr>
        <w:top w:val="none" w:sz="0" w:space="0" w:color="auto"/>
        <w:left w:val="none" w:sz="0" w:space="0" w:color="auto"/>
        <w:bottom w:val="none" w:sz="0" w:space="0" w:color="auto"/>
        <w:right w:val="none" w:sz="0" w:space="0" w:color="auto"/>
      </w:divBdr>
    </w:div>
    <w:div w:id="755975156">
      <w:bodyDiv w:val="1"/>
      <w:marLeft w:val="0"/>
      <w:marRight w:val="0"/>
      <w:marTop w:val="0"/>
      <w:marBottom w:val="0"/>
      <w:divBdr>
        <w:top w:val="none" w:sz="0" w:space="0" w:color="auto"/>
        <w:left w:val="none" w:sz="0" w:space="0" w:color="auto"/>
        <w:bottom w:val="none" w:sz="0" w:space="0" w:color="auto"/>
        <w:right w:val="none" w:sz="0" w:space="0" w:color="auto"/>
      </w:divBdr>
      <w:divsChild>
        <w:div w:id="408964723">
          <w:marLeft w:val="547"/>
          <w:marRight w:val="0"/>
          <w:marTop w:val="154"/>
          <w:marBottom w:val="0"/>
          <w:divBdr>
            <w:top w:val="none" w:sz="0" w:space="0" w:color="auto"/>
            <w:left w:val="none" w:sz="0" w:space="0" w:color="auto"/>
            <w:bottom w:val="none" w:sz="0" w:space="0" w:color="auto"/>
            <w:right w:val="none" w:sz="0" w:space="0" w:color="auto"/>
          </w:divBdr>
        </w:div>
      </w:divsChild>
    </w:div>
    <w:div w:id="847253749">
      <w:bodyDiv w:val="1"/>
      <w:marLeft w:val="0"/>
      <w:marRight w:val="0"/>
      <w:marTop w:val="0"/>
      <w:marBottom w:val="0"/>
      <w:divBdr>
        <w:top w:val="none" w:sz="0" w:space="0" w:color="auto"/>
        <w:left w:val="none" w:sz="0" w:space="0" w:color="auto"/>
        <w:bottom w:val="none" w:sz="0" w:space="0" w:color="auto"/>
        <w:right w:val="none" w:sz="0" w:space="0" w:color="auto"/>
      </w:divBdr>
      <w:divsChild>
        <w:div w:id="573585441">
          <w:marLeft w:val="547"/>
          <w:marRight w:val="0"/>
          <w:marTop w:val="154"/>
          <w:marBottom w:val="0"/>
          <w:divBdr>
            <w:top w:val="none" w:sz="0" w:space="0" w:color="auto"/>
            <w:left w:val="none" w:sz="0" w:space="0" w:color="auto"/>
            <w:bottom w:val="none" w:sz="0" w:space="0" w:color="auto"/>
            <w:right w:val="none" w:sz="0" w:space="0" w:color="auto"/>
          </w:divBdr>
        </w:div>
        <w:div w:id="884293245">
          <w:marLeft w:val="547"/>
          <w:marRight w:val="0"/>
          <w:marTop w:val="154"/>
          <w:marBottom w:val="0"/>
          <w:divBdr>
            <w:top w:val="none" w:sz="0" w:space="0" w:color="auto"/>
            <w:left w:val="none" w:sz="0" w:space="0" w:color="auto"/>
            <w:bottom w:val="none" w:sz="0" w:space="0" w:color="auto"/>
            <w:right w:val="none" w:sz="0" w:space="0" w:color="auto"/>
          </w:divBdr>
        </w:div>
        <w:div w:id="1380397953">
          <w:marLeft w:val="547"/>
          <w:marRight w:val="0"/>
          <w:marTop w:val="154"/>
          <w:marBottom w:val="0"/>
          <w:divBdr>
            <w:top w:val="none" w:sz="0" w:space="0" w:color="auto"/>
            <w:left w:val="none" w:sz="0" w:space="0" w:color="auto"/>
            <w:bottom w:val="none" w:sz="0" w:space="0" w:color="auto"/>
            <w:right w:val="none" w:sz="0" w:space="0" w:color="auto"/>
          </w:divBdr>
        </w:div>
        <w:div w:id="1438449829">
          <w:marLeft w:val="547"/>
          <w:marRight w:val="0"/>
          <w:marTop w:val="154"/>
          <w:marBottom w:val="0"/>
          <w:divBdr>
            <w:top w:val="none" w:sz="0" w:space="0" w:color="auto"/>
            <w:left w:val="none" w:sz="0" w:space="0" w:color="auto"/>
            <w:bottom w:val="none" w:sz="0" w:space="0" w:color="auto"/>
            <w:right w:val="none" w:sz="0" w:space="0" w:color="auto"/>
          </w:divBdr>
        </w:div>
        <w:div w:id="1596596395">
          <w:marLeft w:val="547"/>
          <w:marRight w:val="0"/>
          <w:marTop w:val="154"/>
          <w:marBottom w:val="0"/>
          <w:divBdr>
            <w:top w:val="none" w:sz="0" w:space="0" w:color="auto"/>
            <w:left w:val="none" w:sz="0" w:space="0" w:color="auto"/>
            <w:bottom w:val="none" w:sz="0" w:space="0" w:color="auto"/>
            <w:right w:val="none" w:sz="0" w:space="0" w:color="auto"/>
          </w:divBdr>
        </w:div>
        <w:div w:id="1688747080">
          <w:marLeft w:val="547"/>
          <w:marRight w:val="0"/>
          <w:marTop w:val="154"/>
          <w:marBottom w:val="0"/>
          <w:divBdr>
            <w:top w:val="none" w:sz="0" w:space="0" w:color="auto"/>
            <w:left w:val="none" w:sz="0" w:space="0" w:color="auto"/>
            <w:bottom w:val="none" w:sz="0" w:space="0" w:color="auto"/>
            <w:right w:val="none" w:sz="0" w:space="0" w:color="auto"/>
          </w:divBdr>
        </w:div>
      </w:divsChild>
    </w:div>
    <w:div w:id="894126743">
      <w:bodyDiv w:val="1"/>
      <w:marLeft w:val="0"/>
      <w:marRight w:val="0"/>
      <w:marTop w:val="0"/>
      <w:marBottom w:val="0"/>
      <w:divBdr>
        <w:top w:val="none" w:sz="0" w:space="0" w:color="auto"/>
        <w:left w:val="none" w:sz="0" w:space="0" w:color="auto"/>
        <w:bottom w:val="none" w:sz="0" w:space="0" w:color="auto"/>
        <w:right w:val="none" w:sz="0" w:space="0" w:color="auto"/>
      </w:divBdr>
      <w:divsChild>
        <w:div w:id="657195526">
          <w:marLeft w:val="547"/>
          <w:marRight w:val="0"/>
          <w:marTop w:val="134"/>
          <w:marBottom w:val="0"/>
          <w:divBdr>
            <w:top w:val="none" w:sz="0" w:space="0" w:color="auto"/>
            <w:left w:val="none" w:sz="0" w:space="0" w:color="auto"/>
            <w:bottom w:val="none" w:sz="0" w:space="0" w:color="auto"/>
            <w:right w:val="none" w:sz="0" w:space="0" w:color="auto"/>
          </w:divBdr>
        </w:div>
      </w:divsChild>
    </w:div>
    <w:div w:id="989947487">
      <w:bodyDiv w:val="1"/>
      <w:marLeft w:val="0"/>
      <w:marRight w:val="0"/>
      <w:marTop w:val="0"/>
      <w:marBottom w:val="0"/>
      <w:divBdr>
        <w:top w:val="none" w:sz="0" w:space="0" w:color="auto"/>
        <w:left w:val="none" w:sz="0" w:space="0" w:color="auto"/>
        <w:bottom w:val="none" w:sz="0" w:space="0" w:color="auto"/>
        <w:right w:val="none" w:sz="0" w:space="0" w:color="auto"/>
      </w:divBdr>
    </w:div>
    <w:div w:id="990790497">
      <w:bodyDiv w:val="1"/>
      <w:marLeft w:val="0"/>
      <w:marRight w:val="0"/>
      <w:marTop w:val="0"/>
      <w:marBottom w:val="0"/>
      <w:divBdr>
        <w:top w:val="none" w:sz="0" w:space="0" w:color="auto"/>
        <w:left w:val="none" w:sz="0" w:space="0" w:color="auto"/>
        <w:bottom w:val="none" w:sz="0" w:space="0" w:color="auto"/>
        <w:right w:val="none" w:sz="0" w:space="0" w:color="auto"/>
      </w:divBdr>
      <w:divsChild>
        <w:div w:id="636683666">
          <w:marLeft w:val="547"/>
          <w:marRight w:val="0"/>
          <w:marTop w:val="154"/>
          <w:marBottom w:val="0"/>
          <w:divBdr>
            <w:top w:val="none" w:sz="0" w:space="0" w:color="auto"/>
            <w:left w:val="none" w:sz="0" w:space="0" w:color="auto"/>
            <w:bottom w:val="none" w:sz="0" w:space="0" w:color="auto"/>
            <w:right w:val="none" w:sz="0" w:space="0" w:color="auto"/>
          </w:divBdr>
        </w:div>
      </w:divsChild>
    </w:div>
    <w:div w:id="1047484894">
      <w:bodyDiv w:val="1"/>
      <w:marLeft w:val="0"/>
      <w:marRight w:val="0"/>
      <w:marTop w:val="0"/>
      <w:marBottom w:val="0"/>
      <w:divBdr>
        <w:top w:val="none" w:sz="0" w:space="0" w:color="auto"/>
        <w:left w:val="none" w:sz="0" w:space="0" w:color="auto"/>
        <w:bottom w:val="none" w:sz="0" w:space="0" w:color="auto"/>
        <w:right w:val="none" w:sz="0" w:space="0" w:color="auto"/>
      </w:divBdr>
    </w:div>
    <w:div w:id="1082601229">
      <w:bodyDiv w:val="1"/>
      <w:marLeft w:val="0"/>
      <w:marRight w:val="0"/>
      <w:marTop w:val="0"/>
      <w:marBottom w:val="0"/>
      <w:divBdr>
        <w:top w:val="none" w:sz="0" w:space="0" w:color="auto"/>
        <w:left w:val="none" w:sz="0" w:space="0" w:color="auto"/>
        <w:bottom w:val="none" w:sz="0" w:space="0" w:color="auto"/>
        <w:right w:val="none" w:sz="0" w:space="0" w:color="auto"/>
      </w:divBdr>
      <w:divsChild>
        <w:div w:id="151678205">
          <w:marLeft w:val="1166"/>
          <w:marRight w:val="0"/>
          <w:marTop w:val="115"/>
          <w:marBottom w:val="0"/>
          <w:divBdr>
            <w:top w:val="none" w:sz="0" w:space="0" w:color="auto"/>
            <w:left w:val="none" w:sz="0" w:space="0" w:color="auto"/>
            <w:bottom w:val="none" w:sz="0" w:space="0" w:color="auto"/>
            <w:right w:val="none" w:sz="0" w:space="0" w:color="auto"/>
          </w:divBdr>
        </w:div>
        <w:div w:id="160240354">
          <w:marLeft w:val="547"/>
          <w:marRight w:val="0"/>
          <w:marTop w:val="115"/>
          <w:marBottom w:val="0"/>
          <w:divBdr>
            <w:top w:val="none" w:sz="0" w:space="0" w:color="auto"/>
            <w:left w:val="none" w:sz="0" w:space="0" w:color="auto"/>
            <w:bottom w:val="none" w:sz="0" w:space="0" w:color="auto"/>
            <w:right w:val="none" w:sz="0" w:space="0" w:color="auto"/>
          </w:divBdr>
        </w:div>
        <w:div w:id="471293293">
          <w:marLeft w:val="1166"/>
          <w:marRight w:val="0"/>
          <w:marTop w:val="115"/>
          <w:marBottom w:val="0"/>
          <w:divBdr>
            <w:top w:val="none" w:sz="0" w:space="0" w:color="auto"/>
            <w:left w:val="none" w:sz="0" w:space="0" w:color="auto"/>
            <w:bottom w:val="none" w:sz="0" w:space="0" w:color="auto"/>
            <w:right w:val="none" w:sz="0" w:space="0" w:color="auto"/>
          </w:divBdr>
        </w:div>
        <w:div w:id="630209849">
          <w:marLeft w:val="547"/>
          <w:marRight w:val="0"/>
          <w:marTop w:val="115"/>
          <w:marBottom w:val="0"/>
          <w:divBdr>
            <w:top w:val="none" w:sz="0" w:space="0" w:color="auto"/>
            <w:left w:val="none" w:sz="0" w:space="0" w:color="auto"/>
            <w:bottom w:val="none" w:sz="0" w:space="0" w:color="auto"/>
            <w:right w:val="none" w:sz="0" w:space="0" w:color="auto"/>
          </w:divBdr>
        </w:div>
        <w:div w:id="884871014">
          <w:marLeft w:val="1166"/>
          <w:marRight w:val="0"/>
          <w:marTop w:val="115"/>
          <w:marBottom w:val="0"/>
          <w:divBdr>
            <w:top w:val="none" w:sz="0" w:space="0" w:color="auto"/>
            <w:left w:val="none" w:sz="0" w:space="0" w:color="auto"/>
            <w:bottom w:val="none" w:sz="0" w:space="0" w:color="auto"/>
            <w:right w:val="none" w:sz="0" w:space="0" w:color="auto"/>
          </w:divBdr>
        </w:div>
        <w:div w:id="985858435">
          <w:marLeft w:val="547"/>
          <w:marRight w:val="0"/>
          <w:marTop w:val="115"/>
          <w:marBottom w:val="0"/>
          <w:divBdr>
            <w:top w:val="none" w:sz="0" w:space="0" w:color="auto"/>
            <w:left w:val="none" w:sz="0" w:space="0" w:color="auto"/>
            <w:bottom w:val="none" w:sz="0" w:space="0" w:color="auto"/>
            <w:right w:val="none" w:sz="0" w:space="0" w:color="auto"/>
          </w:divBdr>
        </w:div>
        <w:div w:id="1000932537">
          <w:marLeft w:val="1166"/>
          <w:marRight w:val="0"/>
          <w:marTop w:val="115"/>
          <w:marBottom w:val="0"/>
          <w:divBdr>
            <w:top w:val="none" w:sz="0" w:space="0" w:color="auto"/>
            <w:left w:val="none" w:sz="0" w:space="0" w:color="auto"/>
            <w:bottom w:val="none" w:sz="0" w:space="0" w:color="auto"/>
            <w:right w:val="none" w:sz="0" w:space="0" w:color="auto"/>
          </w:divBdr>
        </w:div>
        <w:div w:id="1124882255">
          <w:marLeft w:val="547"/>
          <w:marRight w:val="0"/>
          <w:marTop w:val="115"/>
          <w:marBottom w:val="0"/>
          <w:divBdr>
            <w:top w:val="none" w:sz="0" w:space="0" w:color="auto"/>
            <w:left w:val="none" w:sz="0" w:space="0" w:color="auto"/>
            <w:bottom w:val="none" w:sz="0" w:space="0" w:color="auto"/>
            <w:right w:val="none" w:sz="0" w:space="0" w:color="auto"/>
          </w:divBdr>
        </w:div>
        <w:div w:id="1428888216">
          <w:marLeft w:val="547"/>
          <w:marRight w:val="0"/>
          <w:marTop w:val="115"/>
          <w:marBottom w:val="0"/>
          <w:divBdr>
            <w:top w:val="none" w:sz="0" w:space="0" w:color="auto"/>
            <w:left w:val="none" w:sz="0" w:space="0" w:color="auto"/>
            <w:bottom w:val="none" w:sz="0" w:space="0" w:color="auto"/>
            <w:right w:val="none" w:sz="0" w:space="0" w:color="auto"/>
          </w:divBdr>
        </w:div>
        <w:div w:id="1488398768">
          <w:marLeft w:val="1166"/>
          <w:marRight w:val="0"/>
          <w:marTop w:val="115"/>
          <w:marBottom w:val="0"/>
          <w:divBdr>
            <w:top w:val="none" w:sz="0" w:space="0" w:color="auto"/>
            <w:left w:val="none" w:sz="0" w:space="0" w:color="auto"/>
            <w:bottom w:val="none" w:sz="0" w:space="0" w:color="auto"/>
            <w:right w:val="none" w:sz="0" w:space="0" w:color="auto"/>
          </w:divBdr>
        </w:div>
        <w:div w:id="1593321739">
          <w:marLeft w:val="1166"/>
          <w:marRight w:val="0"/>
          <w:marTop w:val="115"/>
          <w:marBottom w:val="0"/>
          <w:divBdr>
            <w:top w:val="none" w:sz="0" w:space="0" w:color="auto"/>
            <w:left w:val="none" w:sz="0" w:space="0" w:color="auto"/>
            <w:bottom w:val="none" w:sz="0" w:space="0" w:color="auto"/>
            <w:right w:val="none" w:sz="0" w:space="0" w:color="auto"/>
          </w:divBdr>
        </w:div>
        <w:div w:id="1691713280">
          <w:marLeft w:val="547"/>
          <w:marRight w:val="0"/>
          <w:marTop w:val="115"/>
          <w:marBottom w:val="0"/>
          <w:divBdr>
            <w:top w:val="none" w:sz="0" w:space="0" w:color="auto"/>
            <w:left w:val="none" w:sz="0" w:space="0" w:color="auto"/>
            <w:bottom w:val="none" w:sz="0" w:space="0" w:color="auto"/>
            <w:right w:val="none" w:sz="0" w:space="0" w:color="auto"/>
          </w:divBdr>
        </w:div>
        <w:div w:id="1756898925">
          <w:marLeft w:val="547"/>
          <w:marRight w:val="0"/>
          <w:marTop w:val="115"/>
          <w:marBottom w:val="0"/>
          <w:divBdr>
            <w:top w:val="none" w:sz="0" w:space="0" w:color="auto"/>
            <w:left w:val="none" w:sz="0" w:space="0" w:color="auto"/>
            <w:bottom w:val="none" w:sz="0" w:space="0" w:color="auto"/>
            <w:right w:val="none" w:sz="0" w:space="0" w:color="auto"/>
          </w:divBdr>
        </w:div>
      </w:divsChild>
    </w:div>
    <w:div w:id="1109472078">
      <w:bodyDiv w:val="1"/>
      <w:marLeft w:val="0"/>
      <w:marRight w:val="0"/>
      <w:marTop w:val="0"/>
      <w:marBottom w:val="0"/>
      <w:divBdr>
        <w:top w:val="none" w:sz="0" w:space="0" w:color="auto"/>
        <w:left w:val="none" w:sz="0" w:space="0" w:color="auto"/>
        <w:bottom w:val="none" w:sz="0" w:space="0" w:color="auto"/>
        <w:right w:val="none" w:sz="0" w:space="0" w:color="auto"/>
      </w:divBdr>
    </w:div>
    <w:div w:id="1147671065">
      <w:bodyDiv w:val="1"/>
      <w:marLeft w:val="0"/>
      <w:marRight w:val="0"/>
      <w:marTop w:val="0"/>
      <w:marBottom w:val="0"/>
      <w:divBdr>
        <w:top w:val="none" w:sz="0" w:space="0" w:color="auto"/>
        <w:left w:val="none" w:sz="0" w:space="0" w:color="auto"/>
        <w:bottom w:val="none" w:sz="0" w:space="0" w:color="auto"/>
        <w:right w:val="none" w:sz="0" w:space="0" w:color="auto"/>
      </w:divBdr>
      <w:divsChild>
        <w:div w:id="1839996642">
          <w:marLeft w:val="547"/>
          <w:marRight w:val="0"/>
          <w:marTop w:val="134"/>
          <w:marBottom w:val="0"/>
          <w:divBdr>
            <w:top w:val="none" w:sz="0" w:space="0" w:color="auto"/>
            <w:left w:val="none" w:sz="0" w:space="0" w:color="auto"/>
            <w:bottom w:val="none" w:sz="0" w:space="0" w:color="auto"/>
            <w:right w:val="none" w:sz="0" w:space="0" w:color="auto"/>
          </w:divBdr>
        </w:div>
      </w:divsChild>
    </w:div>
    <w:div w:id="1287153059">
      <w:bodyDiv w:val="1"/>
      <w:marLeft w:val="0"/>
      <w:marRight w:val="0"/>
      <w:marTop w:val="0"/>
      <w:marBottom w:val="0"/>
      <w:divBdr>
        <w:top w:val="none" w:sz="0" w:space="0" w:color="auto"/>
        <w:left w:val="none" w:sz="0" w:space="0" w:color="auto"/>
        <w:bottom w:val="none" w:sz="0" w:space="0" w:color="auto"/>
        <w:right w:val="none" w:sz="0" w:space="0" w:color="auto"/>
      </w:divBdr>
    </w:div>
    <w:div w:id="1386954993">
      <w:bodyDiv w:val="1"/>
      <w:marLeft w:val="0"/>
      <w:marRight w:val="0"/>
      <w:marTop w:val="0"/>
      <w:marBottom w:val="0"/>
      <w:divBdr>
        <w:top w:val="none" w:sz="0" w:space="0" w:color="auto"/>
        <w:left w:val="none" w:sz="0" w:space="0" w:color="auto"/>
        <w:bottom w:val="none" w:sz="0" w:space="0" w:color="auto"/>
        <w:right w:val="none" w:sz="0" w:space="0" w:color="auto"/>
      </w:divBdr>
      <w:divsChild>
        <w:div w:id="81295636">
          <w:marLeft w:val="0"/>
          <w:marRight w:val="0"/>
          <w:marTop w:val="0"/>
          <w:marBottom w:val="0"/>
          <w:divBdr>
            <w:top w:val="none" w:sz="0" w:space="0" w:color="auto"/>
            <w:left w:val="none" w:sz="0" w:space="0" w:color="auto"/>
            <w:bottom w:val="none" w:sz="0" w:space="0" w:color="auto"/>
            <w:right w:val="none" w:sz="0" w:space="0" w:color="auto"/>
          </w:divBdr>
        </w:div>
        <w:div w:id="508955582">
          <w:marLeft w:val="0"/>
          <w:marRight w:val="0"/>
          <w:marTop w:val="0"/>
          <w:marBottom w:val="0"/>
          <w:divBdr>
            <w:top w:val="none" w:sz="0" w:space="0" w:color="auto"/>
            <w:left w:val="none" w:sz="0" w:space="0" w:color="auto"/>
            <w:bottom w:val="none" w:sz="0" w:space="0" w:color="auto"/>
            <w:right w:val="none" w:sz="0" w:space="0" w:color="auto"/>
          </w:divBdr>
        </w:div>
        <w:div w:id="832137182">
          <w:marLeft w:val="0"/>
          <w:marRight w:val="0"/>
          <w:marTop w:val="0"/>
          <w:marBottom w:val="0"/>
          <w:divBdr>
            <w:top w:val="none" w:sz="0" w:space="0" w:color="auto"/>
            <w:left w:val="none" w:sz="0" w:space="0" w:color="auto"/>
            <w:bottom w:val="none" w:sz="0" w:space="0" w:color="auto"/>
            <w:right w:val="none" w:sz="0" w:space="0" w:color="auto"/>
          </w:divBdr>
        </w:div>
      </w:divsChild>
    </w:div>
    <w:div w:id="1410536207">
      <w:bodyDiv w:val="1"/>
      <w:marLeft w:val="0"/>
      <w:marRight w:val="0"/>
      <w:marTop w:val="0"/>
      <w:marBottom w:val="0"/>
      <w:divBdr>
        <w:top w:val="none" w:sz="0" w:space="0" w:color="auto"/>
        <w:left w:val="none" w:sz="0" w:space="0" w:color="auto"/>
        <w:bottom w:val="none" w:sz="0" w:space="0" w:color="auto"/>
        <w:right w:val="none" w:sz="0" w:space="0" w:color="auto"/>
      </w:divBdr>
    </w:div>
    <w:div w:id="1413892006">
      <w:bodyDiv w:val="1"/>
      <w:marLeft w:val="0"/>
      <w:marRight w:val="0"/>
      <w:marTop w:val="0"/>
      <w:marBottom w:val="0"/>
      <w:divBdr>
        <w:top w:val="none" w:sz="0" w:space="0" w:color="auto"/>
        <w:left w:val="none" w:sz="0" w:space="0" w:color="auto"/>
        <w:bottom w:val="none" w:sz="0" w:space="0" w:color="auto"/>
        <w:right w:val="none" w:sz="0" w:space="0" w:color="auto"/>
      </w:divBdr>
      <w:divsChild>
        <w:div w:id="3553730">
          <w:marLeft w:val="0"/>
          <w:marRight w:val="0"/>
          <w:marTop w:val="0"/>
          <w:marBottom w:val="0"/>
          <w:divBdr>
            <w:top w:val="none" w:sz="0" w:space="0" w:color="auto"/>
            <w:left w:val="none" w:sz="0" w:space="0" w:color="auto"/>
            <w:bottom w:val="none" w:sz="0" w:space="0" w:color="auto"/>
            <w:right w:val="none" w:sz="0" w:space="0" w:color="auto"/>
          </w:divBdr>
          <w:divsChild>
            <w:div w:id="2013215571">
              <w:marLeft w:val="177"/>
              <w:marRight w:val="0"/>
              <w:marTop w:val="0"/>
              <w:marBottom w:val="0"/>
              <w:divBdr>
                <w:top w:val="none" w:sz="0" w:space="0" w:color="auto"/>
                <w:left w:val="none" w:sz="0" w:space="0" w:color="auto"/>
                <w:bottom w:val="none" w:sz="0" w:space="0" w:color="auto"/>
                <w:right w:val="none" w:sz="0" w:space="0" w:color="auto"/>
              </w:divBdr>
            </w:div>
          </w:divsChild>
        </w:div>
        <w:div w:id="524556525">
          <w:marLeft w:val="0"/>
          <w:marRight w:val="0"/>
          <w:marTop w:val="0"/>
          <w:marBottom w:val="0"/>
          <w:divBdr>
            <w:top w:val="none" w:sz="0" w:space="0" w:color="auto"/>
            <w:left w:val="none" w:sz="0" w:space="0" w:color="auto"/>
            <w:bottom w:val="none" w:sz="0" w:space="0" w:color="auto"/>
            <w:right w:val="none" w:sz="0" w:space="0" w:color="auto"/>
          </w:divBdr>
          <w:divsChild>
            <w:div w:id="1108155792">
              <w:marLeft w:val="177"/>
              <w:marRight w:val="0"/>
              <w:marTop w:val="0"/>
              <w:marBottom w:val="0"/>
              <w:divBdr>
                <w:top w:val="none" w:sz="0" w:space="0" w:color="auto"/>
                <w:left w:val="none" w:sz="0" w:space="0" w:color="auto"/>
                <w:bottom w:val="none" w:sz="0" w:space="0" w:color="auto"/>
                <w:right w:val="none" w:sz="0" w:space="0" w:color="auto"/>
              </w:divBdr>
            </w:div>
            <w:div w:id="146835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97580">
      <w:bodyDiv w:val="1"/>
      <w:marLeft w:val="0"/>
      <w:marRight w:val="0"/>
      <w:marTop w:val="0"/>
      <w:marBottom w:val="0"/>
      <w:divBdr>
        <w:top w:val="none" w:sz="0" w:space="0" w:color="auto"/>
        <w:left w:val="none" w:sz="0" w:space="0" w:color="auto"/>
        <w:bottom w:val="none" w:sz="0" w:space="0" w:color="auto"/>
        <w:right w:val="none" w:sz="0" w:space="0" w:color="auto"/>
      </w:divBdr>
    </w:div>
    <w:div w:id="1499732215">
      <w:bodyDiv w:val="1"/>
      <w:marLeft w:val="0"/>
      <w:marRight w:val="0"/>
      <w:marTop w:val="0"/>
      <w:marBottom w:val="0"/>
      <w:divBdr>
        <w:top w:val="none" w:sz="0" w:space="0" w:color="auto"/>
        <w:left w:val="none" w:sz="0" w:space="0" w:color="auto"/>
        <w:bottom w:val="none" w:sz="0" w:space="0" w:color="auto"/>
        <w:right w:val="none" w:sz="0" w:space="0" w:color="auto"/>
      </w:divBdr>
    </w:div>
    <w:div w:id="1549486276">
      <w:bodyDiv w:val="1"/>
      <w:marLeft w:val="0"/>
      <w:marRight w:val="0"/>
      <w:marTop w:val="0"/>
      <w:marBottom w:val="0"/>
      <w:divBdr>
        <w:top w:val="none" w:sz="0" w:space="0" w:color="auto"/>
        <w:left w:val="none" w:sz="0" w:space="0" w:color="auto"/>
        <w:bottom w:val="none" w:sz="0" w:space="0" w:color="auto"/>
        <w:right w:val="none" w:sz="0" w:space="0" w:color="auto"/>
      </w:divBdr>
      <w:divsChild>
        <w:div w:id="892077746">
          <w:marLeft w:val="547"/>
          <w:marRight w:val="0"/>
          <w:marTop w:val="154"/>
          <w:marBottom w:val="0"/>
          <w:divBdr>
            <w:top w:val="none" w:sz="0" w:space="0" w:color="auto"/>
            <w:left w:val="none" w:sz="0" w:space="0" w:color="auto"/>
            <w:bottom w:val="none" w:sz="0" w:space="0" w:color="auto"/>
            <w:right w:val="none" w:sz="0" w:space="0" w:color="auto"/>
          </w:divBdr>
        </w:div>
      </w:divsChild>
    </w:div>
    <w:div w:id="1608271586">
      <w:bodyDiv w:val="1"/>
      <w:marLeft w:val="0"/>
      <w:marRight w:val="0"/>
      <w:marTop w:val="0"/>
      <w:marBottom w:val="0"/>
      <w:divBdr>
        <w:top w:val="none" w:sz="0" w:space="0" w:color="auto"/>
        <w:left w:val="none" w:sz="0" w:space="0" w:color="auto"/>
        <w:bottom w:val="none" w:sz="0" w:space="0" w:color="auto"/>
        <w:right w:val="none" w:sz="0" w:space="0" w:color="auto"/>
      </w:divBdr>
    </w:div>
    <w:div w:id="1660186244">
      <w:bodyDiv w:val="1"/>
      <w:marLeft w:val="0"/>
      <w:marRight w:val="0"/>
      <w:marTop w:val="0"/>
      <w:marBottom w:val="0"/>
      <w:divBdr>
        <w:top w:val="none" w:sz="0" w:space="0" w:color="auto"/>
        <w:left w:val="none" w:sz="0" w:space="0" w:color="auto"/>
        <w:bottom w:val="none" w:sz="0" w:space="0" w:color="auto"/>
        <w:right w:val="none" w:sz="0" w:space="0" w:color="auto"/>
      </w:divBdr>
    </w:div>
    <w:div w:id="1690445076">
      <w:bodyDiv w:val="1"/>
      <w:marLeft w:val="0"/>
      <w:marRight w:val="0"/>
      <w:marTop w:val="0"/>
      <w:marBottom w:val="0"/>
      <w:divBdr>
        <w:top w:val="none" w:sz="0" w:space="0" w:color="auto"/>
        <w:left w:val="none" w:sz="0" w:space="0" w:color="auto"/>
        <w:bottom w:val="none" w:sz="0" w:space="0" w:color="auto"/>
        <w:right w:val="none" w:sz="0" w:space="0" w:color="auto"/>
      </w:divBdr>
    </w:div>
    <w:div w:id="1696153543">
      <w:bodyDiv w:val="1"/>
      <w:marLeft w:val="0"/>
      <w:marRight w:val="0"/>
      <w:marTop w:val="0"/>
      <w:marBottom w:val="0"/>
      <w:divBdr>
        <w:top w:val="none" w:sz="0" w:space="0" w:color="auto"/>
        <w:left w:val="none" w:sz="0" w:space="0" w:color="auto"/>
        <w:bottom w:val="none" w:sz="0" w:space="0" w:color="auto"/>
        <w:right w:val="none" w:sz="0" w:space="0" w:color="auto"/>
      </w:divBdr>
    </w:div>
    <w:div w:id="1715884565">
      <w:bodyDiv w:val="1"/>
      <w:marLeft w:val="0"/>
      <w:marRight w:val="0"/>
      <w:marTop w:val="0"/>
      <w:marBottom w:val="0"/>
      <w:divBdr>
        <w:top w:val="none" w:sz="0" w:space="0" w:color="auto"/>
        <w:left w:val="none" w:sz="0" w:space="0" w:color="auto"/>
        <w:bottom w:val="none" w:sz="0" w:space="0" w:color="auto"/>
        <w:right w:val="none" w:sz="0" w:space="0" w:color="auto"/>
      </w:divBdr>
      <w:divsChild>
        <w:div w:id="176893514">
          <w:marLeft w:val="0"/>
          <w:marRight w:val="0"/>
          <w:marTop w:val="0"/>
          <w:marBottom w:val="0"/>
          <w:divBdr>
            <w:top w:val="none" w:sz="0" w:space="0" w:color="auto"/>
            <w:left w:val="none" w:sz="0" w:space="0" w:color="auto"/>
            <w:bottom w:val="none" w:sz="0" w:space="0" w:color="auto"/>
            <w:right w:val="none" w:sz="0" w:space="0" w:color="auto"/>
          </w:divBdr>
        </w:div>
        <w:div w:id="312684630">
          <w:marLeft w:val="0"/>
          <w:marRight w:val="0"/>
          <w:marTop w:val="0"/>
          <w:marBottom w:val="0"/>
          <w:divBdr>
            <w:top w:val="none" w:sz="0" w:space="0" w:color="auto"/>
            <w:left w:val="none" w:sz="0" w:space="0" w:color="auto"/>
            <w:bottom w:val="none" w:sz="0" w:space="0" w:color="auto"/>
            <w:right w:val="none" w:sz="0" w:space="0" w:color="auto"/>
          </w:divBdr>
        </w:div>
        <w:div w:id="935593626">
          <w:marLeft w:val="0"/>
          <w:marRight w:val="0"/>
          <w:marTop w:val="0"/>
          <w:marBottom w:val="0"/>
          <w:divBdr>
            <w:top w:val="none" w:sz="0" w:space="0" w:color="auto"/>
            <w:left w:val="none" w:sz="0" w:space="0" w:color="auto"/>
            <w:bottom w:val="none" w:sz="0" w:space="0" w:color="auto"/>
            <w:right w:val="none" w:sz="0" w:space="0" w:color="auto"/>
          </w:divBdr>
        </w:div>
        <w:div w:id="1059328158">
          <w:marLeft w:val="0"/>
          <w:marRight w:val="0"/>
          <w:marTop w:val="0"/>
          <w:marBottom w:val="0"/>
          <w:divBdr>
            <w:top w:val="none" w:sz="0" w:space="0" w:color="auto"/>
            <w:left w:val="none" w:sz="0" w:space="0" w:color="auto"/>
            <w:bottom w:val="none" w:sz="0" w:space="0" w:color="auto"/>
            <w:right w:val="none" w:sz="0" w:space="0" w:color="auto"/>
          </w:divBdr>
        </w:div>
        <w:div w:id="1642922721">
          <w:marLeft w:val="0"/>
          <w:marRight w:val="0"/>
          <w:marTop w:val="0"/>
          <w:marBottom w:val="0"/>
          <w:divBdr>
            <w:top w:val="none" w:sz="0" w:space="0" w:color="auto"/>
            <w:left w:val="none" w:sz="0" w:space="0" w:color="auto"/>
            <w:bottom w:val="none" w:sz="0" w:space="0" w:color="auto"/>
            <w:right w:val="none" w:sz="0" w:space="0" w:color="auto"/>
          </w:divBdr>
        </w:div>
        <w:div w:id="1767462943">
          <w:marLeft w:val="0"/>
          <w:marRight w:val="0"/>
          <w:marTop w:val="0"/>
          <w:marBottom w:val="0"/>
          <w:divBdr>
            <w:top w:val="none" w:sz="0" w:space="0" w:color="auto"/>
            <w:left w:val="none" w:sz="0" w:space="0" w:color="auto"/>
            <w:bottom w:val="none" w:sz="0" w:space="0" w:color="auto"/>
            <w:right w:val="none" w:sz="0" w:space="0" w:color="auto"/>
          </w:divBdr>
        </w:div>
      </w:divsChild>
    </w:div>
    <w:div w:id="1809660998">
      <w:bodyDiv w:val="1"/>
      <w:marLeft w:val="0"/>
      <w:marRight w:val="0"/>
      <w:marTop w:val="0"/>
      <w:marBottom w:val="0"/>
      <w:divBdr>
        <w:top w:val="none" w:sz="0" w:space="0" w:color="auto"/>
        <w:left w:val="none" w:sz="0" w:space="0" w:color="auto"/>
        <w:bottom w:val="none" w:sz="0" w:space="0" w:color="auto"/>
        <w:right w:val="none" w:sz="0" w:space="0" w:color="auto"/>
      </w:divBdr>
      <w:divsChild>
        <w:div w:id="59795403">
          <w:marLeft w:val="0"/>
          <w:marRight w:val="0"/>
          <w:marTop w:val="100"/>
          <w:marBottom w:val="100"/>
          <w:divBdr>
            <w:top w:val="none" w:sz="0" w:space="0" w:color="auto"/>
            <w:left w:val="none" w:sz="0" w:space="0" w:color="auto"/>
            <w:bottom w:val="none" w:sz="0" w:space="0" w:color="auto"/>
            <w:right w:val="none" w:sz="0" w:space="0" w:color="auto"/>
          </w:divBdr>
          <w:divsChild>
            <w:div w:id="19650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766285">
      <w:bodyDiv w:val="1"/>
      <w:marLeft w:val="0"/>
      <w:marRight w:val="0"/>
      <w:marTop w:val="0"/>
      <w:marBottom w:val="0"/>
      <w:divBdr>
        <w:top w:val="none" w:sz="0" w:space="0" w:color="auto"/>
        <w:left w:val="none" w:sz="0" w:space="0" w:color="auto"/>
        <w:bottom w:val="none" w:sz="0" w:space="0" w:color="auto"/>
        <w:right w:val="none" w:sz="0" w:space="0" w:color="auto"/>
      </w:divBdr>
    </w:div>
    <w:div w:id="1885947511">
      <w:bodyDiv w:val="1"/>
      <w:marLeft w:val="0"/>
      <w:marRight w:val="0"/>
      <w:marTop w:val="0"/>
      <w:marBottom w:val="0"/>
      <w:divBdr>
        <w:top w:val="none" w:sz="0" w:space="0" w:color="auto"/>
        <w:left w:val="none" w:sz="0" w:space="0" w:color="auto"/>
        <w:bottom w:val="none" w:sz="0" w:space="0" w:color="auto"/>
        <w:right w:val="none" w:sz="0" w:space="0" w:color="auto"/>
      </w:divBdr>
      <w:divsChild>
        <w:div w:id="1441758129">
          <w:marLeft w:val="547"/>
          <w:marRight w:val="0"/>
          <w:marTop w:val="115"/>
          <w:marBottom w:val="0"/>
          <w:divBdr>
            <w:top w:val="none" w:sz="0" w:space="0" w:color="auto"/>
            <w:left w:val="none" w:sz="0" w:space="0" w:color="auto"/>
            <w:bottom w:val="none" w:sz="0" w:space="0" w:color="auto"/>
            <w:right w:val="none" w:sz="0" w:space="0" w:color="auto"/>
          </w:divBdr>
        </w:div>
        <w:div w:id="1485464899">
          <w:marLeft w:val="547"/>
          <w:marRight w:val="0"/>
          <w:marTop w:val="115"/>
          <w:marBottom w:val="0"/>
          <w:divBdr>
            <w:top w:val="none" w:sz="0" w:space="0" w:color="auto"/>
            <w:left w:val="none" w:sz="0" w:space="0" w:color="auto"/>
            <w:bottom w:val="none" w:sz="0" w:space="0" w:color="auto"/>
            <w:right w:val="none" w:sz="0" w:space="0" w:color="auto"/>
          </w:divBdr>
        </w:div>
      </w:divsChild>
    </w:div>
    <w:div w:id="1899587366">
      <w:bodyDiv w:val="1"/>
      <w:marLeft w:val="0"/>
      <w:marRight w:val="0"/>
      <w:marTop w:val="0"/>
      <w:marBottom w:val="0"/>
      <w:divBdr>
        <w:top w:val="none" w:sz="0" w:space="0" w:color="auto"/>
        <w:left w:val="none" w:sz="0" w:space="0" w:color="auto"/>
        <w:bottom w:val="none" w:sz="0" w:space="0" w:color="auto"/>
        <w:right w:val="none" w:sz="0" w:space="0" w:color="auto"/>
      </w:divBdr>
    </w:div>
    <w:div w:id="1961759528">
      <w:bodyDiv w:val="1"/>
      <w:marLeft w:val="0"/>
      <w:marRight w:val="0"/>
      <w:marTop w:val="0"/>
      <w:marBottom w:val="0"/>
      <w:divBdr>
        <w:top w:val="none" w:sz="0" w:space="0" w:color="auto"/>
        <w:left w:val="none" w:sz="0" w:space="0" w:color="auto"/>
        <w:bottom w:val="none" w:sz="0" w:space="0" w:color="auto"/>
        <w:right w:val="none" w:sz="0" w:space="0" w:color="auto"/>
      </w:divBdr>
    </w:div>
    <w:div w:id="1986472788">
      <w:bodyDiv w:val="1"/>
      <w:marLeft w:val="0"/>
      <w:marRight w:val="0"/>
      <w:marTop w:val="0"/>
      <w:marBottom w:val="0"/>
      <w:divBdr>
        <w:top w:val="none" w:sz="0" w:space="0" w:color="auto"/>
        <w:left w:val="none" w:sz="0" w:space="0" w:color="auto"/>
        <w:bottom w:val="none" w:sz="0" w:space="0" w:color="auto"/>
        <w:right w:val="none" w:sz="0" w:space="0" w:color="auto"/>
      </w:divBdr>
    </w:div>
    <w:div w:id="1997831069">
      <w:bodyDiv w:val="1"/>
      <w:marLeft w:val="0"/>
      <w:marRight w:val="0"/>
      <w:marTop w:val="0"/>
      <w:marBottom w:val="0"/>
      <w:divBdr>
        <w:top w:val="none" w:sz="0" w:space="0" w:color="auto"/>
        <w:left w:val="none" w:sz="0" w:space="0" w:color="auto"/>
        <w:bottom w:val="none" w:sz="0" w:space="0" w:color="auto"/>
        <w:right w:val="none" w:sz="0" w:space="0" w:color="auto"/>
      </w:divBdr>
    </w:div>
    <w:div w:id="2003311081">
      <w:bodyDiv w:val="1"/>
      <w:marLeft w:val="0"/>
      <w:marRight w:val="0"/>
      <w:marTop w:val="0"/>
      <w:marBottom w:val="0"/>
      <w:divBdr>
        <w:top w:val="none" w:sz="0" w:space="0" w:color="auto"/>
        <w:left w:val="none" w:sz="0" w:space="0" w:color="auto"/>
        <w:bottom w:val="none" w:sz="0" w:space="0" w:color="auto"/>
        <w:right w:val="none" w:sz="0" w:space="0" w:color="auto"/>
      </w:divBdr>
    </w:div>
    <w:div w:id="2013029197">
      <w:bodyDiv w:val="1"/>
      <w:marLeft w:val="0"/>
      <w:marRight w:val="0"/>
      <w:marTop w:val="0"/>
      <w:marBottom w:val="0"/>
      <w:divBdr>
        <w:top w:val="none" w:sz="0" w:space="0" w:color="auto"/>
        <w:left w:val="none" w:sz="0" w:space="0" w:color="auto"/>
        <w:bottom w:val="none" w:sz="0" w:space="0" w:color="auto"/>
        <w:right w:val="none" w:sz="0" w:space="0" w:color="auto"/>
      </w:divBdr>
    </w:div>
    <w:div w:id="2126923167">
      <w:bodyDiv w:val="1"/>
      <w:marLeft w:val="0"/>
      <w:marRight w:val="0"/>
      <w:marTop w:val="0"/>
      <w:marBottom w:val="0"/>
      <w:divBdr>
        <w:top w:val="none" w:sz="0" w:space="0" w:color="auto"/>
        <w:left w:val="none" w:sz="0" w:space="0" w:color="auto"/>
        <w:bottom w:val="none" w:sz="0" w:space="0" w:color="auto"/>
        <w:right w:val="none" w:sz="0" w:space="0" w:color="auto"/>
      </w:divBdr>
    </w:div>
    <w:div w:id="2143959792">
      <w:bodyDiv w:val="1"/>
      <w:marLeft w:val="0"/>
      <w:marRight w:val="0"/>
      <w:marTop w:val="0"/>
      <w:marBottom w:val="0"/>
      <w:divBdr>
        <w:top w:val="none" w:sz="0" w:space="0" w:color="auto"/>
        <w:left w:val="none" w:sz="0" w:space="0" w:color="auto"/>
        <w:bottom w:val="none" w:sz="0" w:space="0" w:color="auto"/>
        <w:right w:val="none" w:sz="0" w:space="0" w:color="auto"/>
      </w:divBdr>
      <w:divsChild>
        <w:div w:id="101996220">
          <w:marLeft w:val="547"/>
          <w:marRight w:val="0"/>
          <w:marTop w:val="154"/>
          <w:marBottom w:val="0"/>
          <w:divBdr>
            <w:top w:val="none" w:sz="0" w:space="0" w:color="auto"/>
            <w:left w:val="none" w:sz="0" w:space="0" w:color="auto"/>
            <w:bottom w:val="none" w:sz="0" w:space="0" w:color="auto"/>
            <w:right w:val="none" w:sz="0" w:space="0" w:color="auto"/>
          </w:divBdr>
        </w:div>
        <w:div w:id="950361982">
          <w:marLeft w:val="547"/>
          <w:marRight w:val="0"/>
          <w:marTop w:val="154"/>
          <w:marBottom w:val="0"/>
          <w:divBdr>
            <w:top w:val="none" w:sz="0" w:space="0" w:color="auto"/>
            <w:left w:val="none" w:sz="0" w:space="0" w:color="auto"/>
            <w:bottom w:val="none" w:sz="0" w:space="0" w:color="auto"/>
            <w:right w:val="none" w:sz="0" w:space="0" w:color="auto"/>
          </w:divBdr>
        </w:div>
        <w:div w:id="1013806119">
          <w:marLeft w:val="547"/>
          <w:marRight w:val="0"/>
          <w:marTop w:val="154"/>
          <w:marBottom w:val="0"/>
          <w:divBdr>
            <w:top w:val="none" w:sz="0" w:space="0" w:color="auto"/>
            <w:left w:val="none" w:sz="0" w:space="0" w:color="auto"/>
            <w:bottom w:val="none" w:sz="0" w:space="0" w:color="auto"/>
            <w:right w:val="none" w:sz="0" w:space="0" w:color="auto"/>
          </w:divBdr>
        </w:div>
        <w:div w:id="1116409313">
          <w:marLeft w:val="547"/>
          <w:marRight w:val="0"/>
          <w:marTop w:val="154"/>
          <w:marBottom w:val="0"/>
          <w:divBdr>
            <w:top w:val="none" w:sz="0" w:space="0" w:color="auto"/>
            <w:left w:val="none" w:sz="0" w:space="0" w:color="auto"/>
            <w:bottom w:val="none" w:sz="0" w:space="0" w:color="auto"/>
            <w:right w:val="none" w:sz="0" w:space="0" w:color="auto"/>
          </w:divBdr>
        </w:div>
        <w:div w:id="1471626705">
          <w:marLeft w:val="547"/>
          <w:marRight w:val="0"/>
          <w:marTop w:val="154"/>
          <w:marBottom w:val="0"/>
          <w:divBdr>
            <w:top w:val="none" w:sz="0" w:space="0" w:color="auto"/>
            <w:left w:val="none" w:sz="0" w:space="0" w:color="auto"/>
            <w:bottom w:val="none" w:sz="0" w:space="0" w:color="auto"/>
            <w:right w:val="none" w:sz="0" w:space="0" w:color="auto"/>
          </w:divBdr>
        </w:div>
        <w:div w:id="1638334526">
          <w:marLeft w:val="547"/>
          <w:marRight w:val="0"/>
          <w:marTop w:val="154"/>
          <w:marBottom w:val="0"/>
          <w:divBdr>
            <w:top w:val="none" w:sz="0" w:space="0" w:color="auto"/>
            <w:left w:val="none" w:sz="0" w:space="0" w:color="auto"/>
            <w:bottom w:val="none" w:sz="0" w:space="0" w:color="auto"/>
            <w:right w:val="none" w:sz="0" w:space="0" w:color="auto"/>
          </w:divBdr>
        </w:div>
        <w:div w:id="207443081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00F4B-0FB6-46E1-8C6D-EB777A6A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28</Pages>
  <Words>5509</Words>
  <Characters>31404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01</vt:lpstr>
    </vt:vector>
  </TitlesOfParts>
  <Company/>
  <LinksUpToDate>false</LinksUpToDate>
  <CharactersWithSpaces>36840</CharactersWithSpaces>
  <SharedDoc>false</SharedDoc>
  <HLinks>
    <vt:vector size="12" baseType="variant">
      <vt:variant>
        <vt:i4>6619220</vt:i4>
      </vt:variant>
      <vt:variant>
        <vt:i4>3</vt:i4>
      </vt:variant>
      <vt:variant>
        <vt:i4>0</vt:i4>
      </vt:variant>
      <vt:variant>
        <vt:i4>5</vt:i4>
      </vt:variant>
      <vt:variant>
        <vt:lpwstr>mailto:profsmallick@gmail.com</vt:lpwstr>
      </vt:variant>
      <vt:variant>
        <vt:lpwstr/>
      </vt:variant>
      <vt:variant>
        <vt:i4>2359298</vt:i4>
      </vt:variant>
      <vt:variant>
        <vt:i4>0</vt:i4>
      </vt:variant>
      <vt:variant>
        <vt:i4>0</vt:i4>
      </vt:variant>
      <vt:variant>
        <vt:i4>5</vt:i4>
      </vt:variant>
      <vt:variant>
        <vt:lpwstr>mailto:sshota@rediffmail.com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creator>zenotech_2</dc:creator>
  <cp:lastModifiedBy>Admin</cp:lastModifiedBy>
  <cp:revision>4</cp:revision>
  <cp:lastPrinted>2009-08-29T10:54:00Z</cp:lastPrinted>
  <dcterms:created xsi:type="dcterms:W3CDTF">2019-06-11T07:35:00Z</dcterms:created>
  <dcterms:modified xsi:type="dcterms:W3CDTF">2019-06-11T08:40:00Z</dcterms:modified>
</cp:coreProperties>
</file>