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AB638" w14:textId="70FFA250" w:rsidR="009C3FB6" w:rsidRPr="00740675" w:rsidRDefault="00740675" w:rsidP="00740675">
      <w:bookmarkStart w:id="0" w:name="_Hlk507498291"/>
      <w:r>
        <w:rPr>
          <w:noProof/>
          <w:lang w:eastAsia="en-US"/>
        </w:rPr>
        <w:drawing>
          <wp:inline distT="0" distB="0" distL="0" distR="0" wp14:anchorId="57CE78AE" wp14:editId="553849D0">
            <wp:extent cx="4975860" cy="4380411"/>
            <wp:effectExtent l="0" t="0" r="0" b="1270"/>
            <wp:docPr id="12" name="Grafikon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35D9667-08C0-4D20-9D65-C0D314A3EB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CC1899" w14:textId="6DA5A030" w:rsidR="00621EC1" w:rsidRDefault="00A32637" w:rsidP="00B0010E">
      <w:pPr>
        <w:spacing w:after="160"/>
        <w:jc w:val="both"/>
        <w:rPr>
          <w:rFonts w:eastAsia="Times New Roman"/>
          <w:szCs w:val="24"/>
          <w:lang w:eastAsia="sl-SI"/>
        </w:rPr>
      </w:pPr>
      <w:r w:rsidRPr="00575A86">
        <w:t>Fig</w:t>
      </w:r>
      <w:r w:rsidR="005E6F94" w:rsidRPr="00575A86">
        <w:t xml:space="preserve">ure </w:t>
      </w:r>
      <w:r w:rsidR="008E11AA">
        <w:t>1</w:t>
      </w:r>
      <w:r w:rsidRPr="00575A86">
        <w:t xml:space="preserve">: </w:t>
      </w:r>
      <w:r w:rsidR="00553D9A" w:rsidRPr="00575A86">
        <w:t>Comparison of e</w:t>
      </w:r>
      <w:r w:rsidR="00C65CF4" w:rsidRPr="00575A86">
        <w:t>xtraction yield of red</w:t>
      </w:r>
      <w:r w:rsidR="00553D9A" w:rsidRPr="00575A86">
        <w:t xml:space="preserve">, </w:t>
      </w:r>
      <w:r w:rsidR="00C65CF4" w:rsidRPr="00575A86">
        <w:t xml:space="preserve">white grapes skin and </w:t>
      </w:r>
      <w:r w:rsidR="00D42C5D" w:rsidRPr="00575A86">
        <w:t>rosehip</w:t>
      </w:r>
      <w:r w:rsidR="00C65CF4" w:rsidRPr="00575A86">
        <w:t xml:space="preserve"> using </w:t>
      </w:r>
      <w:r w:rsidR="0028357C" w:rsidRPr="00575A86">
        <w:t xml:space="preserve">different extraction methods. </w:t>
      </w:r>
      <w:bookmarkEnd w:id="0"/>
      <w:r w:rsidR="0017616A" w:rsidRPr="00575A86">
        <w:rPr>
          <w:rFonts w:eastAsia="Times New Roman"/>
          <w:szCs w:val="24"/>
          <w:lang w:eastAsia="sl-SI"/>
        </w:rPr>
        <w:t xml:space="preserve"> </w:t>
      </w:r>
    </w:p>
    <w:p w14:paraId="05FF4FFF" w14:textId="77777777" w:rsidR="00621EC1" w:rsidRDefault="00621EC1" w:rsidP="00621EC1">
      <w:pPr>
        <w:pStyle w:val="Quote"/>
        <w:rPr>
          <w:lang w:eastAsia="sl-SI"/>
        </w:rPr>
      </w:pPr>
      <w:r>
        <w:rPr>
          <w:lang w:eastAsia="sl-SI"/>
        </w:rPr>
        <w:br w:type="page"/>
      </w:r>
    </w:p>
    <w:p w14:paraId="65CC6759" w14:textId="77777777" w:rsidR="00C16595" w:rsidRDefault="00C16595" w:rsidP="00B0010E">
      <w:pPr>
        <w:spacing w:after="160"/>
        <w:jc w:val="both"/>
        <w:rPr>
          <w:rFonts w:eastAsia="Times New Roman"/>
          <w:szCs w:val="24"/>
          <w:lang w:eastAsia="sl-SI"/>
        </w:rPr>
      </w:pPr>
    </w:p>
    <w:p w14:paraId="5ECA4564" w14:textId="018E6FAC" w:rsidR="003378A3" w:rsidRDefault="00740675" w:rsidP="003378A3">
      <w:pPr>
        <w:jc w:val="center"/>
      </w:pPr>
      <w:r>
        <w:rPr>
          <w:noProof/>
          <w:lang w:eastAsia="en-US"/>
        </w:rPr>
        <w:drawing>
          <wp:inline distT="0" distB="0" distL="0" distR="0" wp14:anchorId="505ED294" wp14:editId="3D04F37E">
            <wp:extent cx="5543550" cy="3689350"/>
            <wp:effectExtent l="0" t="0" r="0" b="6350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D0B2460-9777-42EF-8EC6-47E3146D9F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60626AC" w14:textId="7EED66EB" w:rsidR="003378A3" w:rsidRPr="00575A86" w:rsidRDefault="003378A3" w:rsidP="003378A3">
      <w:pPr>
        <w:pStyle w:val="Quote"/>
        <w:jc w:val="both"/>
        <w:rPr>
          <w:i w:val="0"/>
          <w:color w:val="auto"/>
          <w:lang w:eastAsia="sl-SI"/>
        </w:rPr>
      </w:pPr>
      <w:r w:rsidRPr="00575A86">
        <w:rPr>
          <w:i w:val="0"/>
          <w:color w:val="auto"/>
          <w:lang w:eastAsia="sl-SI"/>
        </w:rPr>
        <w:t>Fig</w:t>
      </w:r>
      <w:r w:rsidR="00212C90" w:rsidRPr="00575A86">
        <w:rPr>
          <w:i w:val="0"/>
          <w:color w:val="auto"/>
          <w:lang w:eastAsia="sl-SI"/>
        </w:rPr>
        <w:t xml:space="preserve">ure </w:t>
      </w:r>
      <w:r w:rsidR="00621EC1">
        <w:rPr>
          <w:i w:val="0"/>
          <w:color w:val="auto"/>
          <w:lang w:eastAsia="sl-SI"/>
        </w:rPr>
        <w:t>2</w:t>
      </w:r>
      <w:r w:rsidR="00212C90" w:rsidRPr="00575A86">
        <w:rPr>
          <w:i w:val="0"/>
          <w:color w:val="auto"/>
          <w:lang w:eastAsia="sl-SI"/>
        </w:rPr>
        <w:t xml:space="preserve">: </w:t>
      </w:r>
      <w:r w:rsidRPr="00575A86">
        <w:rPr>
          <w:i w:val="0"/>
          <w:color w:val="auto"/>
          <w:lang w:eastAsia="sl-SI"/>
        </w:rPr>
        <w:t xml:space="preserve">Comparison </w:t>
      </w:r>
      <w:r w:rsidR="00A8790A">
        <w:rPr>
          <w:i w:val="0"/>
          <w:color w:val="auto"/>
          <w:lang w:eastAsia="sl-SI"/>
        </w:rPr>
        <w:t xml:space="preserve">of </w:t>
      </w:r>
      <w:r w:rsidRPr="00575A86">
        <w:rPr>
          <w:i w:val="0"/>
          <w:color w:val="auto"/>
          <w:lang w:eastAsia="sl-SI"/>
        </w:rPr>
        <w:t>total phenolic content</w:t>
      </w:r>
      <w:r w:rsidR="00A8790A">
        <w:rPr>
          <w:i w:val="0"/>
          <w:color w:val="auto"/>
          <w:lang w:eastAsia="sl-SI"/>
        </w:rPr>
        <w:t>, expressed as mg of gallic acid/g of extract (</w:t>
      </w:r>
      <w:proofErr w:type="spellStart"/>
      <w:r w:rsidR="00A8790A">
        <w:rPr>
          <w:i w:val="0"/>
          <w:color w:val="auto"/>
          <w:lang w:eastAsia="sl-SI"/>
        </w:rPr>
        <w:t>mg</w:t>
      </w:r>
      <w:r w:rsidR="00A8790A" w:rsidRPr="00575A86">
        <w:rPr>
          <w:i w:val="0"/>
          <w:color w:val="auto"/>
          <w:vertAlign w:val="subscript"/>
          <w:lang w:eastAsia="sl-SI"/>
        </w:rPr>
        <w:t>GA</w:t>
      </w:r>
      <w:proofErr w:type="spellEnd"/>
      <w:r w:rsidR="00A8790A">
        <w:rPr>
          <w:i w:val="0"/>
          <w:color w:val="auto"/>
          <w:lang w:eastAsia="sl-SI"/>
        </w:rPr>
        <w:t>/</w:t>
      </w:r>
      <w:proofErr w:type="spellStart"/>
      <w:r w:rsidR="00A8790A">
        <w:rPr>
          <w:i w:val="0"/>
          <w:color w:val="auto"/>
          <w:lang w:eastAsia="sl-SI"/>
        </w:rPr>
        <w:t>g</w:t>
      </w:r>
      <w:r w:rsidR="00A8790A" w:rsidRPr="00E60469">
        <w:rPr>
          <w:i w:val="0"/>
          <w:color w:val="auto"/>
          <w:vertAlign w:val="subscript"/>
          <w:lang w:eastAsia="sl-SI"/>
        </w:rPr>
        <w:t>EXT</w:t>
      </w:r>
      <w:proofErr w:type="spellEnd"/>
      <w:r w:rsidR="00A8790A">
        <w:rPr>
          <w:i w:val="0"/>
          <w:color w:val="auto"/>
          <w:lang w:eastAsia="sl-SI"/>
        </w:rPr>
        <w:t>)</w:t>
      </w:r>
      <w:r w:rsidRPr="00575A86">
        <w:rPr>
          <w:i w:val="0"/>
          <w:color w:val="auto"/>
          <w:lang w:eastAsia="sl-SI"/>
        </w:rPr>
        <w:t xml:space="preserve"> </w:t>
      </w:r>
      <w:r w:rsidR="00A8790A">
        <w:rPr>
          <w:i w:val="0"/>
          <w:color w:val="auto"/>
          <w:lang w:eastAsia="sl-SI"/>
        </w:rPr>
        <w:t>at different extraction procedures.</w:t>
      </w:r>
    </w:p>
    <w:p w14:paraId="0C306DF8" w14:textId="7E2271B0" w:rsidR="003F6DF8" w:rsidRDefault="003F6DF8">
      <w:pPr>
        <w:spacing w:after="160" w:line="259" w:lineRule="auto"/>
        <w:rPr>
          <w:i/>
          <w:iCs/>
          <w:color w:val="000000" w:themeColor="text1"/>
          <w:lang w:eastAsia="sl-SI"/>
        </w:rPr>
      </w:pPr>
    </w:p>
    <w:p w14:paraId="076F3D63" w14:textId="1E3C9743" w:rsidR="007C3447" w:rsidRPr="007C3447" w:rsidRDefault="00740675" w:rsidP="003378A3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158396CC" wp14:editId="7F9972CA">
            <wp:extent cx="5071787" cy="4335689"/>
            <wp:effectExtent l="0" t="0" r="0" b="8255"/>
            <wp:docPr id="15" name="Grafikon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C74AC6-8F2E-4BFF-B715-CFF0211B71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94BA80" w14:textId="1798BFAD" w:rsidR="00621EC1" w:rsidRDefault="003378A3" w:rsidP="00621EC1">
      <w:pPr>
        <w:pStyle w:val="Quote"/>
        <w:jc w:val="both"/>
        <w:rPr>
          <w:i w:val="0"/>
          <w:color w:val="auto"/>
          <w:lang w:eastAsia="sl-SI"/>
        </w:rPr>
      </w:pPr>
      <w:r w:rsidRPr="00575A86">
        <w:rPr>
          <w:i w:val="0"/>
          <w:color w:val="auto"/>
          <w:lang w:eastAsia="sl-SI"/>
        </w:rPr>
        <w:t>Fig</w:t>
      </w:r>
      <w:r w:rsidR="005E6F94" w:rsidRPr="00575A86">
        <w:rPr>
          <w:i w:val="0"/>
          <w:color w:val="auto"/>
          <w:lang w:eastAsia="sl-SI"/>
        </w:rPr>
        <w:t xml:space="preserve">ure </w:t>
      </w:r>
      <w:r w:rsidR="00621EC1">
        <w:rPr>
          <w:i w:val="0"/>
          <w:color w:val="auto"/>
          <w:lang w:eastAsia="sl-SI"/>
        </w:rPr>
        <w:t>3</w:t>
      </w:r>
      <w:r w:rsidRPr="00575A86">
        <w:rPr>
          <w:i w:val="0"/>
          <w:color w:val="auto"/>
          <w:lang w:eastAsia="sl-SI"/>
        </w:rPr>
        <w:t xml:space="preserve">: Comparison of </w:t>
      </w:r>
      <w:proofErr w:type="spellStart"/>
      <w:r w:rsidR="00A8790A">
        <w:rPr>
          <w:i w:val="0"/>
          <w:color w:val="auto"/>
          <w:lang w:eastAsia="sl-SI"/>
        </w:rPr>
        <w:t>proanthocyanins</w:t>
      </w:r>
      <w:proofErr w:type="spellEnd"/>
      <w:r w:rsidR="00A8790A">
        <w:rPr>
          <w:i w:val="0"/>
          <w:color w:val="auto"/>
          <w:lang w:eastAsia="sl-SI"/>
        </w:rPr>
        <w:t xml:space="preserve"> content </w:t>
      </w:r>
      <w:r w:rsidRPr="00575A86">
        <w:rPr>
          <w:i w:val="0"/>
          <w:color w:val="auto"/>
          <w:lang w:eastAsia="sl-SI"/>
        </w:rPr>
        <w:t xml:space="preserve">in </w:t>
      </w:r>
      <w:r w:rsidR="00A8790A">
        <w:rPr>
          <w:i w:val="0"/>
          <w:color w:val="auto"/>
          <w:lang w:eastAsia="sl-SI"/>
        </w:rPr>
        <w:t xml:space="preserve">extracts obtained by </w:t>
      </w:r>
      <w:r w:rsidRPr="00575A86">
        <w:rPr>
          <w:i w:val="0"/>
          <w:color w:val="auto"/>
          <w:lang w:eastAsia="sl-SI"/>
        </w:rPr>
        <w:t>Soxhlet</w:t>
      </w:r>
      <w:r w:rsidR="00740675" w:rsidRPr="00575A86">
        <w:rPr>
          <w:i w:val="0"/>
          <w:color w:val="auto"/>
          <w:lang w:eastAsia="sl-SI"/>
        </w:rPr>
        <w:t xml:space="preserve">, </w:t>
      </w:r>
      <w:r w:rsidRPr="00575A86">
        <w:rPr>
          <w:i w:val="0"/>
          <w:color w:val="auto"/>
          <w:lang w:eastAsia="sl-SI"/>
        </w:rPr>
        <w:t>cold</w:t>
      </w:r>
      <w:r w:rsidR="00740675" w:rsidRPr="00575A86">
        <w:rPr>
          <w:i w:val="0"/>
          <w:color w:val="auto"/>
          <w:lang w:eastAsia="sl-SI"/>
        </w:rPr>
        <w:t xml:space="preserve"> and SC</w:t>
      </w:r>
      <w:r w:rsidR="00A8790A">
        <w:rPr>
          <w:i w:val="0"/>
          <w:color w:val="auto"/>
          <w:lang w:eastAsia="sl-SI"/>
        </w:rPr>
        <w:t xml:space="preserve"> </w:t>
      </w:r>
      <w:r w:rsidR="00621EC1">
        <w:rPr>
          <w:i w:val="0"/>
          <w:color w:val="auto"/>
          <w:lang w:eastAsia="sl-SI"/>
        </w:rPr>
        <w:t>extraction.</w:t>
      </w:r>
    </w:p>
    <w:p w14:paraId="59FE1142" w14:textId="77777777" w:rsidR="00621EC1" w:rsidRDefault="00621EC1" w:rsidP="00621EC1">
      <w:pPr>
        <w:pStyle w:val="Quote"/>
        <w:rPr>
          <w:lang w:eastAsia="sl-SI"/>
        </w:rPr>
      </w:pPr>
      <w:r>
        <w:rPr>
          <w:lang w:eastAsia="sl-SI"/>
        </w:rPr>
        <w:br w:type="page"/>
      </w:r>
    </w:p>
    <w:p w14:paraId="0BD5793D" w14:textId="77777777" w:rsidR="00A969E1" w:rsidRPr="00FC273B" w:rsidRDefault="00A969E1" w:rsidP="00621EC1">
      <w:pPr>
        <w:pStyle w:val="Quote"/>
        <w:jc w:val="both"/>
      </w:pPr>
    </w:p>
    <w:p w14:paraId="34C36C42" w14:textId="77777777" w:rsidR="00A969E1" w:rsidRPr="00FC273B" w:rsidRDefault="00A969E1" w:rsidP="00A969E1">
      <w:r w:rsidRPr="00FC273B">
        <w:rPr>
          <w:noProof/>
          <w:lang w:eastAsia="en-US"/>
        </w:rPr>
        <w:drawing>
          <wp:inline distT="0" distB="0" distL="0" distR="0" wp14:anchorId="527443FC" wp14:editId="5160EF37">
            <wp:extent cx="5397500" cy="3232150"/>
            <wp:effectExtent l="0" t="0" r="0" b="6350"/>
            <wp:docPr id="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BD4579-B8F2-45F7-928F-54D408FE99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3B5C73" w14:textId="593DB47E" w:rsidR="00FA03F0" w:rsidRDefault="00A969E1" w:rsidP="00076184">
      <w:pPr>
        <w:pStyle w:val="Quote"/>
        <w:jc w:val="both"/>
        <w:rPr>
          <w:i w:val="0"/>
          <w:color w:val="auto"/>
          <w:lang w:eastAsia="sl-SI"/>
        </w:rPr>
      </w:pPr>
      <w:r w:rsidRPr="009C76D3">
        <w:rPr>
          <w:i w:val="0"/>
          <w:color w:val="auto"/>
          <w:lang w:eastAsia="sl-SI"/>
        </w:rPr>
        <w:t xml:space="preserve">Figure </w:t>
      </w:r>
      <w:r w:rsidR="00621EC1">
        <w:rPr>
          <w:i w:val="0"/>
          <w:color w:val="auto"/>
          <w:lang w:eastAsia="sl-SI"/>
        </w:rPr>
        <w:t>4</w:t>
      </w:r>
      <w:r w:rsidRPr="009C76D3">
        <w:rPr>
          <w:i w:val="0"/>
          <w:color w:val="auto"/>
          <w:lang w:eastAsia="sl-SI"/>
        </w:rPr>
        <w:t>: Comparison DPPH activity in % using different extraction procedures.</w:t>
      </w:r>
    </w:p>
    <w:p w14:paraId="1137C209" w14:textId="4DDACF63" w:rsidR="009778C7" w:rsidRPr="009778C7" w:rsidRDefault="009778C7" w:rsidP="006C2A5C">
      <w:pPr>
        <w:spacing w:after="160" w:line="259" w:lineRule="auto"/>
        <w:rPr>
          <w:lang w:eastAsia="sl-SI"/>
        </w:rPr>
      </w:pPr>
      <w:bookmarkStart w:id="1" w:name="_GoBack"/>
      <w:bookmarkEnd w:id="1"/>
    </w:p>
    <w:p w14:paraId="7956891B" w14:textId="77777777" w:rsidR="00FA03F0" w:rsidRPr="004B5465" w:rsidRDefault="00FA03F0" w:rsidP="004B5465">
      <w:pPr>
        <w:jc w:val="both"/>
        <w:rPr>
          <w:szCs w:val="24"/>
        </w:rPr>
      </w:pPr>
    </w:p>
    <w:p w14:paraId="07D6CF24" w14:textId="77777777" w:rsidR="00FA03F0" w:rsidRPr="004B5465" w:rsidRDefault="00FA03F0" w:rsidP="004B5465">
      <w:pPr>
        <w:jc w:val="both"/>
        <w:rPr>
          <w:szCs w:val="24"/>
        </w:rPr>
      </w:pPr>
    </w:p>
    <w:p w14:paraId="56D55525" w14:textId="77777777" w:rsidR="00FA03F0" w:rsidRPr="004B5465" w:rsidRDefault="00FA03F0" w:rsidP="004B5465">
      <w:pPr>
        <w:jc w:val="both"/>
        <w:rPr>
          <w:szCs w:val="24"/>
        </w:rPr>
      </w:pPr>
    </w:p>
    <w:p w14:paraId="513047B4" w14:textId="77777777" w:rsidR="008B67A9" w:rsidRPr="004B5465" w:rsidRDefault="00FA03F0" w:rsidP="004B5465">
      <w:pPr>
        <w:tabs>
          <w:tab w:val="left" w:pos="1172"/>
        </w:tabs>
        <w:jc w:val="both"/>
        <w:rPr>
          <w:szCs w:val="24"/>
        </w:rPr>
      </w:pPr>
      <w:r w:rsidRPr="004B5465">
        <w:rPr>
          <w:szCs w:val="24"/>
        </w:rPr>
        <w:tab/>
      </w:r>
    </w:p>
    <w:sectPr w:rsidR="008B67A9" w:rsidRPr="004B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29D8"/>
    <w:multiLevelType w:val="multilevel"/>
    <w:tmpl w:val="0D56FC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3F51D2"/>
    <w:multiLevelType w:val="hybridMultilevel"/>
    <w:tmpl w:val="36968D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019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433EBD"/>
    <w:multiLevelType w:val="multilevel"/>
    <w:tmpl w:val="2B223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142D52"/>
    <w:multiLevelType w:val="hybridMultilevel"/>
    <w:tmpl w:val="B05685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7408E"/>
    <w:multiLevelType w:val="multilevel"/>
    <w:tmpl w:val="2B2230C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6" w15:restartNumberingAfterBreak="0">
    <w:nsid w:val="34CF38D0"/>
    <w:multiLevelType w:val="multilevel"/>
    <w:tmpl w:val="85EAE5E2"/>
    <w:lvl w:ilvl="0">
      <w:start w:val="1"/>
      <w:numFmt w:val="decimal"/>
      <w:pStyle w:val="Reference"/>
      <w:lvlText w:val="[%1]"/>
      <w:lvlJc w:val="left"/>
      <w:pPr>
        <w:ind w:left="501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A162B2"/>
    <w:multiLevelType w:val="multilevel"/>
    <w:tmpl w:val="2B2230C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8" w15:restartNumberingAfterBreak="0">
    <w:nsid w:val="47E852B3"/>
    <w:multiLevelType w:val="hybridMultilevel"/>
    <w:tmpl w:val="80DE64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AACAAAE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6607F"/>
    <w:multiLevelType w:val="multilevel"/>
    <w:tmpl w:val="53160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6C5E92"/>
    <w:multiLevelType w:val="multilevel"/>
    <w:tmpl w:val="53160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3NzYwMTI3szQzNDVU0lEKTi0uzszPAykwsqwFABrUwgM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F7B05"/>
    <w:rsid w:val="000012F4"/>
    <w:rsid w:val="00001561"/>
    <w:rsid w:val="000137AF"/>
    <w:rsid w:val="00013DE6"/>
    <w:rsid w:val="00014981"/>
    <w:rsid w:val="00015353"/>
    <w:rsid w:val="0001644C"/>
    <w:rsid w:val="00017122"/>
    <w:rsid w:val="00020AA8"/>
    <w:rsid w:val="00021A3A"/>
    <w:rsid w:val="00021CE7"/>
    <w:rsid w:val="000315FD"/>
    <w:rsid w:val="00034B65"/>
    <w:rsid w:val="0003752D"/>
    <w:rsid w:val="000402A4"/>
    <w:rsid w:val="0004280C"/>
    <w:rsid w:val="000435F2"/>
    <w:rsid w:val="00044B20"/>
    <w:rsid w:val="00044ED5"/>
    <w:rsid w:val="0004573D"/>
    <w:rsid w:val="000457A0"/>
    <w:rsid w:val="000527B1"/>
    <w:rsid w:val="0005569F"/>
    <w:rsid w:val="00056C2B"/>
    <w:rsid w:val="000606C7"/>
    <w:rsid w:val="000610C0"/>
    <w:rsid w:val="00061D7C"/>
    <w:rsid w:val="00063FB5"/>
    <w:rsid w:val="00064BE9"/>
    <w:rsid w:val="00070C64"/>
    <w:rsid w:val="00070CCC"/>
    <w:rsid w:val="00071D47"/>
    <w:rsid w:val="0007323F"/>
    <w:rsid w:val="000744F6"/>
    <w:rsid w:val="00075253"/>
    <w:rsid w:val="00076184"/>
    <w:rsid w:val="000773B3"/>
    <w:rsid w:val="00077B62"/>
    <w:rsid w:val="00082549"/>
    <w:rsid w:val="00085F87"/>
    <w:rsid w:val="0009085E"/>
    <w:rsid w:val="00091BBE"/>
    <w:rsid w:val="00092362"/>
    <w:rsid w:val="00095CC7"/>
    <w:rsid w:val="00095F1F"/>
    <w:rsid w:val="000960BE"/>
    <w:rsid w:val="000967AC"/>
    <w:rsid w:val="00096D47"/>
    <w:rsid w:val="00097B25"/>
    <w:rsid w:val="000A0BBA"/>
    <w:rsid w:val="000A1CAB"/>
    <w:rsid w:val="000A1F6B"/>
    <w:rsid w:val="000A2F3D"/>
    <w:rsid w:val="000A4B8D"/>
    <w:rsid w:val="000A5208"/>
    <w:rsid w:val="000A5DA1"/>
    <w:rsid w:val="000A5E24"/>
    <w:rsid w:val="000A619E"/>
    <w:rsid w:val="000A63B3"/>
    <w:rsid w:val="000A7286"/>
    <w:rsid w:val="000B447D"/>
    <w:rsid w:val="000B51EB"/>
    <w:rsid w:val="000B5D4D"/>
    <w:rsid w:val="000B70FE"/>
    <w:rsid w:val="000C175C"/>
    <w:rsid w:val="000C3906"/>
    <w:rsid w:val="000C3E9F"/>
    <w:rsid w:val="000C61C8"/>
    <w:rsid w:val="000D2F88"/>
    <w:rsid w:val="000D3815"/>
    <w:rsid w:val="000E0D6B"/>
    <w:rsid w:val="000E16FD"/>
    <w:rsid w:val="000E182C"/>
    <w:rsid w:val="000F07B3"/>
    <w:rsid w:val="000F3C63"/>
    <w:rsid w:val="000F5C74"/>
    <w:rsid w:val="000F6D62"/>
    <w:rsid w:val="000F7E7E"/>
    <w:rsid w:val="00100753"/>
    <w:rsid w:val="001007D3"/>
    <w:rsid w:val="001012B1"/>
    <w:rsid w:val="0010171F"/>
    <w:rsid w:val="00101779"/>
    <w:rsid w:val="00101919"/>
    <w:rsid w:val="001021B8"/>
    <w:rsid w:val="00102247"/>
    <w:rsid w:val="00103691"/>
    <w:rsid w:val="00103D4B"/>
    <w:rsid w:val="00104721"/>
    <w:rsid w:val="00105806"/>
    <w:rsid w:val="00105994"/>
    <w:rsid w:val="00105A16"/>
    <w:rsid w:val="00115889"/>
    <w:rsid w:val="00116D94"/>
    <w:rsid w:val="001174B4"/>
    <w:rsid w:val="00125533"/>
    <w:rsid w:val="00130331"/>
    <w:rsid w:val="00134C07"/>
    <w:rsid w:val="00135496"/>
    <w:rsid w:val="00136641"/>
    <w:rsid w:val="00146E69"/>
    <w:rsid w:val="00150F7B"/>
    <w:rsid w:val="001550FC"/>
    <w:rsid w:val="00160CD4"/>
    <w:rsid w:val="00160ED2"/>
    <w:rsid w:val="0016135E"/>
    <w:rsid w:val="00161910"/>
    <w:rsid w:val="00164641"/>
    <w:rsid w:val="00164FEC"/>
    <w:rsid w:val="00166C1E"/>
    <w:rsid w:val="001670CD"/>
    <w:rsid w:val="0017277B"/>
    <w:rsid w:val="00173AFB"/>
    <w:rsid w:val="00174798"/>
    <w:rsid w:val="0017616A"/>
    <w:rsid w:val="001809D1"/>
    <w:rsid w:val="00180BE4"/>
    <w:rsid w:val="00181424"/>
    <w:rsid w:val="00182C31"/>
    <w:rsid w:val="001841F0"/>
    <w:rsid w:val="00187306"/>
    <w:rsid w:val="00187A86"/>
    <w:rsid w:val="00194912"/>
    <w:rsid w:val="0019695B"/>
    <w:rsid w:val="00196FCA"/>
    <w:rsid w:val="00197C2A"/>
    <w:rsid w:val="001A237B"/>
    <w:rsid w:val="001A2640"/>
    <w:rsid w:val="001A5F6D"/>
    <w:rsid w:val="001B05BB"/>
    <w:rsid w:val="001B1549"/>
    <w:rsid w:val="001B464C"/>
    <w:rsid w:val="001B5A22"/>
    <w:rsid w:val="001B74DD"/>
    <w:rsid w:val="001B7D68"/>
    <w:rsid w:val="001C2071"/>
    <w:rsid w:val="001C45B3"/>
    <w:rsid w:val="001C68A2"/>
    <w:rsid w:val="001D0036"/>
    <w:rsid w:val="001D2F50"/>
    <w:rsid w:val="001D5E6B"/>
    <w:rsid w:val="001D64DC"/>
    <w:rsid w:val="001D72D9"/>
    <w:rsid w:val="001E244B"/>
    <w:rsid w:val="001E2F12"/>
    <w:rsid w:val="001E405C"/>
    <w:rsid w:val="001E4C06"/>
    <w:rsid w:val="001E60CE"/>
    <w:rsid w:val="001F0745"/>
    <w:rsid w:val="001F11F6"/>
    <w:rsid w:val="001F1442"/>
    <w:rsid w:val="001F1D25"/>
    <w:rsid w:val="001F6DA4"/>
    <w:rsid w:val="002031A2"/>
    <w:rsid w:val="002049C3"/>
    <w:rsid w:val="002061F2"/>
    <w:rsid w:val="00207493"/>
    <w:rsid w:val="00210BEB"/>
    <w:rsid w:val="002118AB"/>
    <w:rsid w:val="00212C90"/>
    <w:rsid w:val="00213B43"/>
    <w:rsid w:val="00213D55"/>
    <w:rsid w:val="002142E9"/>
    <w:rsid w:val="002144D9"/>
    <w:rsid w:val="00215809"/>
    <w:rsid w:val="00215E6B"/>
    <w:rsid w:val="00217EA9"/>
    <w:rsid w:val="0022129F"/>
    <w:rsid w:val="00222775"/>
    <w:rsid w:val="002232CF"/>
    <w:rsid w:val="00223CF0"/>
    <w:rsid w:val="00225B97"/>
    <w:rsid w:val="00225BF2"/>
    <w:rsid w:val="002268E0"/>
    <w:rsid w:val="00227D17"/>
    <w:rsid w:val="00231000"/>
    <w:rsid w:val="00231431"/>
    <w:rsid w:val="00231F83"/>
    <w:rsid w:val="00233680"/>
    <w:rsid w:val="0023552A"/>
    <w:rsid w:val="00235BE5"/>
    <w:rsid w:val="002418F4"/>
    <w:rsid w:val="00243013"/>
    <w:rsid w:val="00246EF9"/>
    <w:rsid w:val="00250B5D"/>
    <w:rsid w:val="00253E24"/>
    <w:rsid w:val="00257FC2"/>
    <w:rsid w:val="00263D41"/>
    <w:rsid w:val="00263D70"/>
    <w:rsid w:val="002651FC"/>
    <w:rsid w:val="00266EB0"/>
    <w:rsid w:val="0027064E"/>
    <w:rsid w:val="0027388D"/>
    <w:rsid w:val="002742C4"/>
    <w:rsid w:val="0027763B"/>
    <w:rsid w:val="00280F77"/>
    <w:rsid w:val="00281AC1"/>
    <w:rsid w:val="00282F82"/>
    <w:rsid w:val="0028315D"/>
    <w:rsid w:val="0028357C"/>
    <w:rsid w:val="00286A61"/>
    <w:rsid w:val="00291B13"/>
    <w:rsid w:val="00292FE5"/>
    <w:rsid w:val="00294D96"/>
    <w:rsid w:val="00295418"/>
    <w:rsid w:val="00297317"/>
    <w:rsid w:val="002A0B27"/>
    <w:rsid w:val="002A2921"/>
    <w:rsid w:val="002A3E93"/>
    <w:rsid w:val="002A672C"/>
    <w:rsid w:val="002A7DAD"/>
    <w:rsid w:val="002B1A7E"/>
    <w:rsid w:val="002B3532"/>
    <w:rsid w:val="002B3BA6"/>
    <w:rsid w:val="002B4D01"/>
    <w:rsid w:val="002B508C"/>
    <w:rsid w:val="002B5E78"/>
    <w:rsid w:val="002C2FA2"/>
    <w:rsid w:val="002C46B0"/>
    <w:rsid w:val="002C51D1"/>
    <w:rsid w:val="002D05BF"/>
    <w:rsid w:val="002D2553"/>
    <w:rsid w:val="002E04A7"/>
    <w:rsid w:val="002E1872"/>
    <w:rsid w:val="002E4961"/>
    <w:rsid w:val="002E5D7C"/>
    <w:rsid w:val="002E6FED"/>
    <w:rsid w:val="002F0615"/>
    <w:rsid w:val="002F123E"/>
    <w:rsid w:val="002F1E55"/>
    <w:rsid w:val="002F3F86"/>
    <w:rsid w:val="002F4354"/>
    <w:rsid w:val="002F59B9"/>
    <w:rsid w:val="002F7A04"/>
    <w:rsid w:val="0030574F"/>
    <w:rsid w:val="00307B13"/>
    <w:rsid w:val="0031074B"/>
    <w:rsid w:val="00312048"/>
    <w:rsid w:val="0031226D"/>
    <w:rsid w:val="003130A0"/>
    <w:rsid w:val="00313466"/>
    <w:rsid w:val="003157AD"/>
    <w:rsid w:val="00315EE1"/>
    <w:rsid w:val="003161DD"/>
    <w:rsid w:val="0031707C"/>
    <w:rsid w:val="00317DF2"/>
    <w:rsid w:val="00317E8C"/>
    <w:rsid w:val="00321BD0"/>
    <w:rsid w:val="00321DE9"/>
    <w:rsid w:val="00326A45"/>
    <w:rsid w:val="00326A8C"/>
    <w:rsid w:val="003333B9"/>
    <w:rsid w:val="00333CC1"/>
    <w:rsid w:val="003378A3"/>
    <w:rsid w:val="00341D0B"/>
    <w:rsid w:val="003439D7"/>
    <w:rsid w:val="003472A3"/>
    <w:rsid w:val="00347DE2"/>
    <w:rsid w:val="0035007A"/>
    <w:rsid w:val="003513B5"/>
    <w:rsid w:val="00356A66"/>
    <w:rsid w:val="003717CA"/>
    <w:rsid w:val="0037421E"/>
    <w:rsid w:val="00375C7F"/>
    <w:rsid w:val="003760E7"/>
    <w:rsid w:val="00377E3A"/>
    <w:rsid w:val="00381686"/>
    <w:rsid w:val="0039104F"/>
    <w:rsid w:val="00392DE4"/>
    <w:rsid w:val="00393B0D"/>
    <w:rsid w:val="00393F3F"/>
    <w:rsid w:val="00394FE5"/>
    <w:rsid w:val="00396CB0"/>
    <w:rsid w:val="00396CE5"/>
    <w:rsid w:val="00396F4A"/>
    <w:rsid w:val="003A362D"/>
    <w:rsid w:val="003A39D7"/>
    <w:rsid w:val="003B148A"/>
    <w:rsid w:val="003B2513"/>
    <w:rsid w:val="003B41C2"/>
    <w:rsid w:val="003B4729"/>
    <w:rsid w:val="003B51A7"/>
    <w:rsid w:val="003B5563"/>
    <w:rsid w:val="003C17FB"/>
    <w:rsid w:val="003C1C4E"/>
    <w:rsid w:val="003C2D9D"/>
    <w:rsid w:val="003C6337"/>
    <w:rsid w:val="003C6600"/>
    <w:rsid w:val="003C69C2"/>
    <w:rsid w:val="003D2770"/>
    <w:rsid w:val="003D4BDE"/>
    <w:rsid w:val="003E3883"/>
    <w:rsid w:val="003E49A8"/>
    <w:rsid w:val="003E4A6E"/>
    <w:rsid w:val="003E5836"/>
    <w:rsid w:val="003E7082"/>
    <w:rsid w:val="003F1A91"/>
    <w:rsid w:val="003F493E"/>
    <w:rsid w:val="003F58BA"/>
    <w:rsid w:val="003F6451"/>
    <w:rsid w:val="003F6DF8"/>
    <w:rsid w:val="00402527"/>
    <w:rsid w:val="00403DD7"/>
    <w:rsid w:val="0040686F"/>
    <w:rsid w:val="00407395"/>
    <w:rsid w:val="004100A3"/>
    <w:rsid w:val="00414DF4"/>
    <w:rsid w:val="00417C96"/>
    <w:rsid w:val="004227D8"/>
    <w:rsid w:val="00422D38"/>
    <w:rsid w:val="00426C9D"/>
    <w:rsid w:val="0042711C"/>
    <w:rsid w:val="00431ECE"/>
    <w:rsid w:val="0043297F"/>
    <w:rsid w:val="00432B4C"/>
    <w:rsid w:val="004335EE"/>
    <w:rsid w:val="004342A2"/>
    <w:rsid w:val="004367D9"/>
    <w:rsid w:val="00440312"/>
    <w:rsid w:val="0044079B"/>
    <w:rsid w:val="00440E93"/>
    <w:rsid w:val="00445716"/>
    <w:rsid w:val="00446ADA"/>
    <w:rsid w:val="004477A2"/>
    <w:rsid w:val="004478D1"/>
    <w:rsid w:val="00456B94"/>
    <w:rsid w:val="00465478"/>
    <w:rsid w:val="0046639E"/>
    <w:rsid w:val="0046744E"/>
    <w:rsid w:val="004701BA"/>
    <w:rsid w:val="00474EB0"/>
    <w:rsid w:val="004756C1"/>
    <w:rsid w:val="004756F4"/>
    <w:rsid w:val="0048258E"/>
    <w:rsid w:val="00482CBE"/>
    <w:rsid w:val="004909D6"/>
    <w:rsid w:val="00496812"/>
    <w:rsid w:val="00497662"/>
    <w:rsid w:val="004A3442"/>
    <w:rsid w:val="004A37C1"/>
    <w:rsid w:val="004A5FC8"/>
    <w:rsid w:val="004A64EC"/>
    <w:rsid w:val="004A713C"/>
    <w:rsid w:val="004B1E1F"/>
    <w:rsid w:val="004B1F53"/>
    <w:rsid w:val="004B2758"/>
    <w:rsid w:val="004B2A60"/>
    <w:rsid w:val="004B5465"/>
    <w:rsid w:val="004B5BAE"/>
    <w:rsid w:val="004C0A23"/>
    <w:rsid w:val="004C13CD"/>
    <w:rsid w:val="004C2AF2"/>
    <w:rsid w:val="004C3514"/>
    <w:rsid w:val="004C5FF8"/>
    <w:rsid w:val="004C7AB8"/>
    <w:rsid w:val="004D2504"/>
    <w:rsid w:val="004D6AF3"/>
    <w:rsid w:val="004D7289"/>
    <w:rsid w:val="004E1F8A"/>
    <w:rsid w:val="004E4FA9"/>
    <w:rsid w:val="004E6403"/>
    <w:rsid w:val="004F0FAA"/>
    <w:rsid w:val="004F234A"/>
    <w:rsid w:val="004F69A6"/>
    <w:rsid w:val="004F7875"/>
    <w:rsid w:val="00504DE1"/>
    <w:rsid w:val="00505715"/>
    <w:rsid w:val="0050639B"/>
    <w:rsid w:val="005107FC"/>
    <w:rsid w:val="0051082E"/>
    <w:rsid w:val="00512DF8"/>
    <w:rsid w:val="00520D03"/>
    <w:rsid w:val="00523587"/>
    <w:rsid w:val="005251A1"/>
    <w:rsid w:val="005303C8"/>
    <w:rsid w:val="00530AB7"/>
    <w:rsid w:val="00532AF6"/>
    <w:rsid w:val="00536DAB"/>
    <w:rsid w:val="005419E4"/>
    <w:rsid w:val="00542620"/>
    <w:rsid w:val="0054363B"/>
    <w:rsid w:val="0054627C"/>
    <w:rsid w:val="005467F0"/>
    <w:rsid w:val="00551122"/>
    <w:rsid w:val="0055192F"/>
    <w:rsid w:val="00553D8F"/>
    <w:rsid w:val="00553D9A"/>
    <w:rsid w:val="0055564B"/>
    <w:rsid w:val="00556818"/>
    <w:rsid w:val="00562922"/>
    <w:rsid w:val="00564326"/>
    <w:rsid w:val="005678E0"/>
    <w:rsid w:val="0057286E"/>
    <w:rsid w:val="00573871"/>
    <w:rsid w:val="00574817"/>
    <w:rsid w:val="00575A86"/>
    <w:rsid w:val="00580CB7"/>
    <w:rsid w:val="00581982"/>
    <w:rsid w:val="005830DA"/>
    <w:rsid w:val="0058604E"/>
    <w:rsid w:val="005870C2"/>
    <w:rsid w:val="00590593"/>
    <w:rsid w:val="00590E65"/>
    <w:rsid w:val="005938EC"/>
    <w:rsid w:val="00595F16"/>
    <w:rsid w:val="005B003B"/>
    <w:rsid w:val="005B1101"/>
    <w:rsid w:val="005B1FF2"/>
    <w:rsid w:val="005B2383"/>
    <w:rsid w:val="005B2CF6"/>
    <w:rsid w:val="005B3976"/>
    <w:rsid w:val="005B6C72"/>
    <w:rsid w:val="005C18C6"/>
    <w:rsid w:val="005C2098"/>
    <w:rsid w:val="005C3404"/>
    <w:rsid w:val="005C5418"/>
    <w:rsid w:val="005C6C8E"/>
    <w:rsid w:val="005C701A"/>
    <w:rsid w:val="005C7C2D"/>
    <w:rsid w:val="005D19FD"/>
    <w:rsid w:val="005D256B"/>
    <w:rsid w:val="005D3E57"/>
    <w:rsid w:val="005D527C"/>
    <w:rsid w:val="005D61CA"/>
    <w:rsid w:val="005E12D1"/>
    <w:rsid w:val="005E6B23"/>
    <w:rsid w:val="005E6F94"/>
    <w:rsid w:val="005F1A29"/>
    <w:rsid w:val="005F26D7"/>
    <w:rsid w:val="005F705A"/>
    <w:rsid w:val="00600631"/>
    <w:rsid w:val="00607263"/>
    <w:rsid w:val="0060768E"/>
    <w:rsid w:val="00607EF4"/>
    <w:rsid w:val="00607F83"/>
    <w:rsid w:val="006142F7"/>
    <w:rsid w:val="00615BAF"/>
    <w:rsid w:val="00621EC1"/>
    <w:rsid w:val="00622659"/>
    <w:rsid w:val="00623EED"/>
    <w:rsid w:val="006257FF"/>
    <w:rsid w:val="00631218"/>
    <w:rsid w:val="006324BA"/>
    <w:rsid w:val="006344FC"/>
    <w:rsid w:val="00635A21"/>
    <w:rsid w:val="006413DD"/>
    <w:rsid w:val="006420DD"/>
    <w:rsid w:val="006429C0"/>
    <w:rsid w:val="00643179"/>
    <w:rsid w:val="00645B7D"/>
    <w:rsid w:val="00646131"/>
    <w:rsid w:val="006513F3"/>
    <w:rsid w:val="006527D5"/>
    <w:rsid w:val="0065361A"/>
    <w:rsid w:val="0066030E"/>
    <w:rsid w:val="006619C8"/>
    <w:rsid w:val="00661D76"/>
    <w:rsid w:val="00663ACF"/>
    <w:rsid w:val="00663B66"/>
    <w:rsid w:val="00666319"/>
    <w:rsid w:val="00667099"/>
    <w:rsid w:val="00677C57"/>
    <w:rsid w:val="00681585"/>
    <w:rsid w:val="006824A1"/>
    <w:rsid w:val="006832C0"/>
    <w:rsid w:val="006846FC"/>
    <w:rsid w:val="00690029"/>
    <w:rsid w:val="00692FA3"/>
    <w:rsid w:val="0069566F"/>
    <w:rsid w:val="006A044E"/>
    <w:rsid w:val="006A057D"/>
    <w:rsid w:val="006A08C1"/>
    <w:rsid w:val="006A2447"/>
    <w:rsid w:val="006A2F93"/>
    <w:rsid w:val="006A303F"/>
    <w:rsid w:val="006A4842"/>
    <w:rsid w:val="006A4C9A"/>
    <w:rsid w:val="006A739E"/>
    <w:rsid w:val="006B3B00"/>
    <w:rsid w:val="006B7AB2"/>
    <w:rsid w:val="006C1862"/>
    <w:rsid w:val="006C2A5C"/>
    <w:rsid w:val="006C2F4A"/>
    <w:rsid w:val="006C31FB"/>
    <w:rsid w:val="006C671C"/>
    <w:rsid w:val="006C70A4"/>
    <w:rsid w:val="006D04ED"/>
    <w:rsid w:val="006D4870"/>
    <w:rsid w:val="006D7176"/>
    <w:rsid w:val="006E1477"/>
    <w:rsid w:val="006E1589"/>
    <w:rsid w:val="006E164C"/>
    <w:rsid w:val="006E194A"/>
    <w:rsid w:val="006E3A13"/>
    <w:rsid w:val="006E3D8B"/>
    <w:rsid w:val="006E6005"/>
    <w:rsid w:val="006E63B6"/>
    <w:rsid w:val="006F5D30"/>
    <w:rsid w:val="006F755B"/>
    <w:rsid w:val="00702BF8"/>
    <w:rsid w:val="0070385A"/>
    <w:rsid w:val="0070469C"/>
    <w:rsid w:val="0070736F"/>
    <w:rsid w:val="00707DFF"/>
    <w:rsid w:val="00710C1C"/>
    <w:rsid w:val="00712068"/>
    <w:rsid w:val="00713CD6"/>
    <w:rsid w:val="0071774E"/>
    <w:rsid w:val="00725261"/>
    <w:rsid w:val="00727C8A"/>
    <w:rsid w:val="0073051E"/>
    <w:rsid w:val="007321B5"/>
    <w:rsid w:val="007349FC"/>
    <w:rsid w:val="00734E7F"/>
    <w:rsid w:val="00737FE9"/>
    <w:rsid w:val="00740675"/>
    <w:rsid w:val="00742BDC"/>
    <w:rsid w:val="00744DD2"/>
    <w:rsid w:val="00747FBF"/>
    <w:rsid w:val="0075163D"/>
    <w:rsid w:val="00751BCD"/>
    <w:rsid w:val="0075592E"/>
    <w:rsid w:val="00756F5E"/>
    <w:rsid w:val="00761CD6"/>
    <w:rsid w:val="0076223A"/>
    <w:rsid w:val="00762A03"/>
    <w:rsid w:val="0076620A"/>
    <w:rsid w:val="00767359"/>
    <w:rsid w:val="00767531"/>
    <w:rsid w:val="00770670"/>
    <w:rsid w:val="0077764E"/>
    <w:rsid w:val="00780243"/>
    <w:rsid w:val="0078130D"/>
    <w:rsid w:val="00783E64"/>
    <w:rsid w:val="00784067"/>
    <w:rsid w:val="0078472E"/>
    <w:rsid w:val="007869C8"/>
    <w:rsid w:val="00787315"/>
    <w:rsid w:val="007951D9"/>
    <w:rsid w:val="007970E9"/>
    <w:rsid w:val="007A1F47"/>
    <w:rsid w:val="007A344B"/>
    <w:rsid w:val="007A37AD"/>
    <w:rsid w:val="007A3962"/>
    <w:rsid w:val="007A6EBD"/>
    <w:rsid w:val="007A7335"/>
    <w:rsid w:val="007B002E"/>
    <w:rsid w:val="007B30EB"/>
    <w:rsid w:val="007B4464"/>
    <w:rsid w:val="007B7937"/>
    <w:rsid w:val="007B7EAD"/>
    <w:rsid w:val="007C139C"/>
    <w:rsid w:val="007C29E5"/>
    <w:rsid w:val="007C3447"/>
    <w:rsid w:val="007C39A0"/>
    <w:rsid w:val="007C5B86"/>
    <w:rsid w:val="007C64A1"/>
    <w:rsid w:val="007C69C3"/>
    <w:rsid w:val="007C722E"/>
    <w:rsid w:val="007C7A87"/>
    <w:rsid w:val="007D0204"/>
    <w:rsid w:val="007D0319"/>
    <w:rsid w:val="007D2EB1"/>
    <w:rsid w:val="007D438A"/>
    <w:rsid w:val="007D5BFA"/>
    <w:rsid w:val="007D6D20"/>
    <w:rsid w:val="007E2F1F"/>
    <w:rsid w:val="007E419F"/>
    <w:rsid w:val="007F0157"/>
    <w:rsid w:val="007F0292"/>
    <w:rsid w:val="007F1326"/>
    <w:rsid w:val="007F15AC"/>
    <w:rsid w:val="007F223E"/>
    <w:rsid w:val="007F259A"/>
    <w:rsid w:val="007F4AFA"/>
    <w:rsid w:val="007F59E8"/>
    <w:rsid w:val="0080104A"/>
    <w:rsid w:val="008042D3"/>
    <w:rsid w:val="00805238"/>
    <w:rsid w:val="0081233B"/>
    <w:rsid w:val="00812F15"/>
    <w:rsid w:val="00813D87"/>
    <w:rsid w:val="00814B44"/>
    <w:rsid w:val="0081522C"/>
    <w:rsid w:val="00815AAA"/>
    <w:rsid w:val="0081604C"/>
    <w:rsid w:val="008163EC"/>
    <w:rsid w:val="00820954"/>
    <w:rsid w:val="0082586F"/>
    <w:rsid w:val="00826C02"/>
    <w:rsid w:val="00827553"/>
    <w:rsid w:val="008301E1"/>
    <w:rsid w:val="00831D71"/>
    <w:rsid w:val="00832944"/>
    <w:rsid w:val="0083479D"/>
    <w:rsid w:val="008350C9"/>
    <w:rsid w:val="00837296"/>
    <w:rsid w:val="008376FC"/>
    <w:rsid w:val="00840BF7"/>
    <w:rsid w:val="008453CF"/>
    <w:rsid w:val="00846E22"/>
    <w:rsid w:val="00851060"/>
    <w:rsid w:val="0085370D"/>
    <w:rsid w:val="008553E6"/>
    <w:rsid w:val="0085653F"/>
    <w:rsid w:val="00857283"/>
    <w:rsid w:val="008604CE"/>
    <w:rsid w:val="00860E71"/>
    <w:rsid w:val="00862AFE"/>
    <w:rsid w:val="00865B54"/>
    <w:rsid w:val="008662B4"/>
    <w:rsid w:val="008664C4"/>
    <w:rsid w:val="00874AB7"/>
    <w:rsid w:val="00876F8C"/>
    <w:rsid w:val="00877D59"/>
    <w:rsid w:val="0088123A"/>
    <w:rsid w:val="008816A4"/>
    <w:rsid w:val="00882055"/>
    <w:rsid w:val="00884501"/>
    <w:rsid w:val="0088527D"/>
    <w:rsid w:val="00886E43"/>
    <w:rsid w:val="00890189"/>
    <w:rsid w:val="00892513"/>
    <w:rsid w:val="008937E7"/>
    <w:rsid w:val="008947A7"/>
    <w:rsid w:val="0089764F"/>
    <w:rsid w:val="008A1791"/>
    <w:rsid w:val="008A2D5C"/>
    <w:rsid w:val="008A33B5"/>
    <w:rsid w:val="008A5FF0"/>
    <w:rsid w:val="008B06B0"/>
    <w:rsid w:val="008B06F2"/>
    <w:rsid w:val="008B36FE"/>
    <w:rsid w:val="008B4DA2"/>
    <w:rsid w:val="008B67A9"/>
    <w:rsid w:val="008C1506"/>
    <w:rsid w:val="008C1605"/>
    <w:rsid w:val="008C17B1"/>
    <w:rsid w:val="008C5D0A"/>
    <w:rsid w:val="008D1AE8"/>
    <w:rsid w:val="008D1F1C"/>
    <w:rsid w:val="008D263E"/>
    <w:rsid w:val="008D2C8E"/>
    <w:rsid w:val="008D4847"/>
    <w:rsid w:val="008D5B38"/>
    <w:rsid w:val="008D5D1A"/>
    <w:rsid w:val="008D6B80"/>
    <w:rsid w:val="008E10DA"/>
    <w:rsid w:val="008E11AA"/>
    <w:rsid w:val="008E4AD8"/>
    <w:rsid w:val="008E4D1C"/>
    <w:rsid w:val="008E687D"/>
    <w:rsid w:val="008E705F"/>
    <w:rsid w:val="008F3C56"/>
    <w:rsid w:val="008F623F"/>
    <w:rsid w:val="008F748B"/>
    <w:rsid w:val="00904A3A"/>
    <w:rsid w:val="00904DC9"/>
    <w:rsid w:val="00907B75"/>
    <w:rsid w:val="0091681D"/>
    <w:rsid w:val="00921BAB"/>
    <w:rsid w:val="00923973"/>
    <w:rsid w:val="0093251C"/>
    <w:rsid w:val="00936A40"/>
    <w:rsid w:val="00940D98"/>
    <w:rsid w:val="00942D48"/>
    <w:rsid w:val="00942F7B"/>
    <w:rsid w:val="009459FA"/>
    <w:rsid w:val="00945DA2"/>
    <w:rsid w:val="00945E3E"/>
    <w:rsid w:val="0094643B"/>
    <w:rsid w:val="00947017"/>
    <w:rsid w:val="0094736B"/>
    <w:rsid w:val="009474FF"/>
    <w:rsid w:val="009514F0"/>
    <w:rsid w:val="00953065"/>
    <w:rsid w:val="0095422B"/>
    <w:rsid w:val="00955D81"/>
    <w:rsid w:val="00957B54"/>
    <w:rsid w:val="00957C01"/>
    <w:rsid w:val="00957FD4"/>
    <w:rsid w:val="00961081"/>
    <w:rsid w:val="00961434"/>
    <w:rsid w:val="00961575"/>
    <w:rsid w:val="0096261C"/>
    <w:rsid w:val="00962C59"/>
    <w:rsid w:val="00962F4B"/>
    <w:rsid w:val="0096727C"/>
    <w:rsid w:val="009702A8"/>
    <w:rsid w:val="00971749"/>
    <w:rsid w:val="00972AC3"/>
    <w:rsid w:val="00974074"/>
    <w:rsid w:val="00974875"/>
    <w:rsid w:val="009754DA"/>
    <w:rsid w:val="00976901"/>
    <w:rsid w:val="009778C7"/>
    <w:rsid w:val="00980D5D"/>
    <w:rsid w:val="00986F62"/>
    <w:rsid w:val="0098769F"/>
    <w:rsid w:val="00987C25"/>
    <w:rsid w:val="0099128D"/>
    <w:rsid w:val="00992D41"/>
    <w:rsid w:val="00992FF5"/>
    <w:rsid w:val="009A00FE"/>
    <w:rsid w:val="009A0316"/>
    <w:rsid w:val="009A2F8A"/>
    <w:rsid w:val="009A39D8"/>
    <w:rsid w:val="009B08CB"/>
    <w:rsid w:val="009B350F"/>
    <w:rsid w:val="009B4620"/>
    <w:rsid w:val="009C05A6"/>
    <w:rsid w:val="009C293A"/>
    <w:rsid w:val="009C3F50"/>
    <w:rsid w:val="009C3FB6"/>
    <w:rsid w:val="009C5157"/>
    <w:rsid w:val="009C7D1C"/>
    <w:rsid w:val="009D4ED4"/>
    <w:rsid w:val="009E2ACA"/>
    <w:rsid w:val="009E4C89"/>
    <w:rsid w:val="009E5B08"/>
    <w:rsid w:val="009E6396"/>
    <w:rsid w:val="009F0E74"/>
    <w:rsid w:val="009F2107"/>
    <w:rsid w:val="009F32A5"/>
    <w:rsid w:val="00A02A3C"/>
    <w:rsid w:val="00A0599B"/>
    <w:rsid w:val="00A1484D"/>
    <w:rsid w:val="00A15A5C"/>
    <w:rsid w:val="00A214D4"/>
    <w:rsid w:val="00A22913"/>
    <w:rsid w:val="00A2608D"/>
    <w:rsid w:val="00A30081"/>
    <w:rsid w:val="00A30098"/>
    <w:rsid w:val="00A303B0"/>
    <w:rsid w:val="00A31EB2"/>
    <w:rsid w:val="00A32637"/>
    <w:rsid w:val="00A37FF9"/>
    <w:rsid w:val="00A42741"/>
    <w:rsid w:val="00A43341"/>
    <w:rsid w:val="00A433C3"/>
    <w:rsid w:val="00A436F5"/>
    <w:rsid w:val="00A43F28"/>
    <w:rsid w:val="00A4443D"/>
    <w:rsid w:val="00A44E49"/>
    <w:rsid w:val="00A465B2"/>
    <w:rsid w:val="00A47DED"/>
    <w:rsid w:val="00A506D7"/>
    <w:rsid w:val="00A5104F"/>
    <w:rsid w:val="00A52674"/>
    <w:rsid w:val="00A53605"/>
    <w:rsid w:val="00A53DAC"/>
    <w:rsid w:val="00A55F93"/>
    <w:rsid w:val="00A563B8"/>
    <w:rsid w:val="00A56AEF"/>
    <w:rsid w:val="00A5710C"/>
    <w:rsid w:val="00A7059B"/>
    <w:rsid w:val="00A724CA"/>
    <w:rsid w:val="00A748AC"/>
    <w:rsid w:val="00A75382"/>
    <w:rsid w:val="00A76F0D"/>
    <w:rsid w:val="00A8067D"/>
    <w:rsid w:val="00A807ED"/>
    <w:rsid w:val="00A82E93"/>
    <w:rsid w:val="00A83F3D"/>
    <w:rsid w:val="00A86274"/>
    <w:rsid w:val="00A8725B"/>
    <w:rsid w:val="00A872BB"/>
    <w:rsid w:val="00A87371"/>
    <w:rsid w:val="00A8790A"/>
    <w:rsid w:val="00A93900"/>
    <w:rsid w:val="00A95F1A"/>
    <w:rsid w:val="00A969E1"/>
    <w:rsid w:val="00A96E5B"/>
    <w:rsid w:val="00A97ED1"/>
    <w:rsid w:val="00AA24B7"/>
    <w:rsid w:val="00AA2CDD"/>
    <w:rsid w:val="00AA4D5E"/>
    <w:rsid w:val="00AA4E45"/>
    <w:rsid w:val="00AA5FBB"/>
    <w:rsid w:val="00AB01BC"/>
    <w:rsid w:val="00AB6D65"/>
    <w:rsid w:val="00AC15F9"/>
    <w:rsid w:val="00AC7CED"/>
    <w:rsid w:val="00AD02B2"/>
    <w:rsid w:val="00AD0B87"/>
    <w:rsid w:val="00AD25B7"/>
    <w:rsid w:val="00AD6F30"/>
    <w:rsid w:val="00AE27CF"/>
    <w:rsid w:val="00AF0052"/>
    <w:rsid w:val="00AF0BD3"/>
    <w:rsid w:val="00AF32DC"/>
    <w:rsid w:val="00AF5A54"/>
    <w:rsid w:val="00AF5D7F"/>
    <w:rsid w:val="00AF6496"/>
    <w:rsid w:val="00AF6D50"/>
    <w:rsid w:val="00AF7182"/>
    <w:rsid w:val="00AF71DD"/>
    <w:rsid w:val="00B0010E"/>
    <w:rsid w:val="00B034B6"/>
    <w:rsid w:val="00B03D4A"/>
    <w:rsid w:val="00B05D9F"/>
    <w:rsid w:val="00B1016A"/>
    <w:rsid w:val="00B11245"/>
    <w:rsid w:val="00B122AC"/>
    <w:rsid w:val="00B13AD6"/>
    <w:rsid w:val="00B13B44"/>
    <w:rsid w:val="00B13F90"/>
    <w:rsid w:val="00B14F93"/>
    <w:rsid w:val="00B161C6"/>
    <w:rsid w:val="00B16B35"/>
    <w:rsid w:val="00B20175"/>
    <w:rsid w:val="00B22F6F"/>
    <w:rsid w:val="00B2428F"/>
    <w:rsid w:val="00B24A80"/>
    <w:rsid w:val="00B2616B"/>
    <w:rsid w:val="00B2680D"/>
    <w:rsid w:val="00B26AB3"/>
    <w:rsid w:val="00B32090"/>
    <w:rsid w:val="00B33804"/>
    <w:rsid w:val="00B36224"/>
    <w:rsid w:val="00B4757F"/>
    <w:rsid w:val="00B5267E"/>
    <w:rsid w:val="00B567E6"/>
    <w:rsid w:val="00B5705D"/>
    <w:rsid w:val="00B57536"/>
    <w:rsid w:val="00B6144E"/>
    <w:rsid w:val="00B61C6B"/>
    <w:rsid w:val="00B629B9"/>
    <w:rsid w:val="00B67548"/>
    <w:rsid w:val="00B743BE"/>
    <w:rsid w:val="00B75B35"/>
    <w:rsid w:val="00B75BD0"/>
    <w:rsid w:val="00B824B4"/>
    <w:rsid w:val="00B82DB9"/>
    <w:rsid w:val="00B8558D"/>
    <w:rsid w:val="00B97883"/>
    <w:rsid w:val="00BA199E"/>
    <w:rsid w:val="00BA583A"/>
    <w:rsid w:val="00BA79B8"/>
    <w:rsid w:val="00BB01CE"/>
    <w:rsid w:val="00BB055E"/>
    <w:rsid w:val="00BB0FB9"/>
    <w:rsid w:val="00BB2CEC"/>
    <w:rsid w:val="00BB7813"/>
    <w:rsid w:val="00BC1E07"/>
    <w:rsid w:val="00BC2AC9"/>
    <w:rsid w:val="00BC2CDF"/>
    <w:rsid w:val="00BC2DAA"/>
    <w:rsid w:val="00BC5E21"/>
    <w:rsid w:val="00BD0999"/>
    <w:rsid w:val="00BD201E"/>
    <w:rsid w:val="00BD29E3"/>
    <w:rsid w:val="00BD3947"/>
    <w:rsid w:val="00BD3F31"/>
    <w:rsid w:val="00BD56FD"/>
    <w:rsid w:val="00BD6A07"/>
    <w:rsid w:val="00BD7FD5"/>
    <w:rsid w:val="00BE0FF8"/>
    <w:rsid w:val="00BE1408"/>
    <w:rsid w:val="00BE41D2"/>
    <w:rsid w:val="00BF2421"/>
    <w:rsid w:val="00BF36DC"/>
    <w:rsid w:val="00BF419F"/>
    <w:rsid w:val="00BF7B05"/>
    <w:rsid w:val="00C0012E"/>
    <w:rsid w:val="00C07A39"/>
    <w:rsid w:val="00C13907"/>
    <w:rsid w:val="00C145E5"/>
    <w:rsid w:val="00C16595"/>
    <w:rsid w:val="00C21033"/>
    <w:rsid w:val="00C226C5"/>
    <w:rsid w:val="00C23AED"/>
    <w:rsid w:val="00C25902"/>
    <w:rsid w:val="00C269C8"/>
    <w:rsid w:val="00C2764F"/>
    <w:rsid w:val="00C27A94"/>
    <w:rsid w:val="00C314B3"/>
    <w:rsid w:val="00C31BC3"/>
    <w:rsid w:val="00C3224D"/>
    <w:rsid w:val="00C335DB"/>
    <w:rsid w:val="00C33C49"/>
    <w:rsid w:val="00C35D3D"/>
    <w:rsid w:val="00C36938"/>
    <w:rsid w:val="00C36AFC"/>
    <w:rsid w:val="00C36F8B"/>
    <w:rsid w:val="00C448FE"/>
    <w:rsid w:val="00C44C69"/>
    <w:rsid w:val="00C47021"/>
    <w:rsid w:val="00C51C2F"/>
    <w:rsid w:val="00C526A5"/>
    <w:rsid w:val="00C5476A"/>
    <w:rsid w:val="00C55BC7"/>
    <w:rsid w:val="00C57A54"/>
    <w:rsid w:val="00C62214"/>
    <w:rsid w:val="00C62F9B"/>
    <w:rsid w:val="00C65CF4"/>
    <w:rsid w:val="00C666E7"/>
    <w:rsid w:val="00C679F0"/>
    <w:rsid w:val="00C72AA5"/>
    <w:rsid w:val="00C75636"/>
    <w:rsid w:val="00C75BB7"/>
    <w:rsid w:val="00C75F25"/>
    <w:rsid w:val="00C76E8C"/>
    <w:rsid w:val="00C825B3"/>
    <w:rsid w:val="00C82CF3"/>
    <w:rsid w:val="00C8405D"/>
    <w:rsid w:val="00C8479A"/>
    <w:rsid w:val="00C86614"/>
    <w:rsid w:val="00C8721D"/>
    <w:rsid w:val="00C941AB"/>
    <w:rsid w:val="00C94DA9"/>
    <w:rsid w:val="00C96E18"/>
    <w:rsid w:val="00CA15EB"/>
    <w:rsid w:val="00CA20A7"/>
    <w:rsid w:val="00CA451B"/>
    <w:rsid w:val="00CA51DF"/>
    <w:rsid w:val="00CA61DF"/>
    <w:rsid w:val="00CB12AF"/>
    <w:rsid w:val="00CB1F3F"/>
    <w:rsid w:val="00CB345A"/>
    <w:rsid w:val="00CB5CA2"/>
    <w:rsid w:val="00CB6704"/>
    <w:rsid w:val="00CB7FCE"/>
    <w:rsid w:val="00CC0665"/>
    <w:rsid w:val="00CC249C"/>
    <w:rsid w:val="00CC63E0"/>
    <w:rsid w:val="00CC6B77"/>
    <w:rsid w:val="00CC782E"/>
    <w:rsid w:val="00CD0E21"/>
    <w:rsid w:val="00CD32EA"/>
    <w:rsid w:val="00CD5929"/>
    <w:rsid w:val="00CD6B9E"/>
    <w:rsid w:val="00CE0492"/>
    <w:rsid w:val="00CE23A3"/>
    <w:rsid w:val="00CE2C90"/>
    <w:rsid w:val="00CE34B1"/>
    <w:rsid w:val="00CE3D9F"/>
    <w:rsid w:val="00CF2141"/>
    <w:rsid w:val="00CF3473"/>
    <w:rsid w:val="00D01E24"/>
    <w:rsid w:val="00D03462"/>
    <w:rsid w:val="00D0380A"/>
    <w:rsid w:val="00D04521"/>
    <w:rsid w:val="00D0544B"/>
    <w:rsid w:val="00D06142"/>
    <w:rsid w:val="00D07820"/>
    <w:rsid w:val="00D113F6"/>
    <w:rsid w:val="00D1249A"/>
    <w:rsid w:val="00D13AAA"/>
    <w:rsid w:val="00D165C4"/>
    <w:rsid w:val="00D16675"/>
    <w:rsid w:val="00D17C7D"/>
    <w:rsid w:val="00D22CA9"/>
    <w:rsid w:val="00D23406"/>
    <w:rsid w:val="00D30A03"/>
    <w:rsid w:val="00D310D0"/>
    <w:rsid w:val="00D37E6E"/>
    <w:rsid w:val="00D42C5D"/>
    <w:rsid w:val="00D43FFD"/>
    <w:rsid w:val="00D447C2"/>
    <w:rsid w:val="00D44BD2"/>
    <w:rsid w:val="00D46561"/>
    <w:rsid w:val="00D47094"/>
    <w:rsid w:val="00D502A8"/>
    <w:rsid w:val="00D51886"/>
    <w:rsid w:val="00D532C6"/>
    <w:rsid w:val="00D57052"/>
    <w:rsid w:val="00D613B2"/>
    <w:rsid w:val="00D62A7B"/>
    <w:rsid w:val="00D62C5F"/>
    <w:rsid w:val="00D62C67"/>
    <w:rsid w:val="00D64CA2"/>
    <w:rsid w:val="00D7044D"/>
    <w:rsid w:val="00D710FC"/>
    <w:rsid w:val="00D728C6"/>
    <w:rsid w:val="00D736C9"/>
    <w:rsid w:val="00D762F3"/>
    <w:rsid w:val="00D77AE4"/>
    <w:rsid w:val="00D8009D"/>
    <w:rsid w:val="00D80264"/>
    <w:rsid w:val="00D8273D"/>
    <w:rsid w:val="00D82E22"/>
    <w:rsid w:val="00D83BF6"/>
    <w:rsid w:val="00D93E77"/>
    <w:rsid w:val="00DA157D"/>
    <w:rsid w:val="00DA2A08"/>
    <w:rsid w:val="00DA60EF"/>
    <w:rsid w:val="00DA7690"/>
    <w:rsid w:val="00DB0841"/>
    <w:rsid w:val="00DB24D9"/>
    <w:rsid w:val="00DB2655"/>
    <w:rsid w:val="00DB35E5"/>
    <w:rsid w:val="00DB42F8"/>
    <w:rsid w:val="00DB7FCB"/>
    <w:rsid w:val="00DC0F7D"/>
    <w:rsid w:val="00DC1575"/>
    <w:rsid w:val="00DC3767"/>
    <w:rsid w:val="00DC578F"/>
    <w:rsid w:val="00DC6DAD"/>
    <w:rsid w:val="00DD0116"/>
    <w:rsid w:val="00DD02A7"/>
    <w:rsid w:val="00DD0E21"/>
    <w:rsid w:val="00DD2390"/>
    <w:rsid w:val="00DD6AD8"/>
    <w:rsid w:val="00DD7732"/>
    <w:rsid w:val="00DE482C"/>
    <w:rsid w:val="00DE5040"/>
    <w:rsid w:val="00DE6CBE"/>
    <w:rsid w:val="00DF03CB"/>
    <w:rsid w:val="00DF3FBD"/>
    <w:rsid w:val="00DF70DD"/>
    <w:rsid w:val="00E00D1F"/>
    <w:rsid w:val="00E01FF9"/>
    <w:rsid w:val="00E02AE7"/>
    <w:rsid w:val="00E031A0"/>
    <w:rsid w:val="00E0321E"/>
    <w:rsid w:val="00E0551F"/>
    <w:rsid w:val="00E07655"/>
    <w:rsid w:val="00E104C3"/>
    <w:rsid w:val="00E14B8B"/>
    <w:rsid w:val="00E16263"/>
    <w:rsid w:val="00E17C5E"/>
    <w:rsid w:val="00E20B97"/>
    <w:rsid w:val="00E21161"/>
    <w:rsid w:val="00E220A5"/>
    <w:rsid w:val="00E27E7B"/>
    <w:rsid w:val="00E303C0"/>
    <w:rsid w:val="00E34354"/>
    <w:rsid w:val="00E34F0E"/>
    <w:rsid w:val="00E40303"/>
    <w:rsid w:val="00E4135F"/>
    <w:rsid w:val="00E430F3"/>
    <w:rsid w:val="00E43A92"/>
    <w:rsid w:val="00E45E11"/>
    <w:rsid w:val="00E4765A"/>
    <w:rsid w:val="00E47BC0"/>
    <w:rsid w:val="00E508ED"/>
    <w:rsid w:val="00E51F0A"/>
    <w:rsid w:val="00E5339E"/>
    <w:rsid w:val="00E54839"/>
    <w:rsid w:val="00E54934"/>
    <w:rsid w:val="00E56EB0"/>
    <w:rsid w:val="00E60469"/>
    <w:rsid w:val="00E67A77"/>
    <w:rsid w:val="00E708DB"/>
    <w:rsid w:val="00E7092C"/>
    <w:rsid w:val="00E73F30"/>
    <w:rsid w:val="00E80406"/>
    <w:rsid w:val="00E81047"/>
    <w:rsid w:val="00E839F9"/>
    <w:rsid w:val="00E919A7"/>
    <w:rsid w:val="00E92247"/>
    <w:rsid w:val="00E9482F"/>
    <w:rsid w:val="00E951F6"/>
    <w:rsid w:val="00E96C7E"/>
    <w:rsid w:val="00E974D4"/>
    <w:rsid w:val="00E97938"/>
    <w:rsid w:val="00EA0402"/>
    <w:rsid w:val="00EA0AFA"/>
    <w:rsid w:val="00EA1438"/>
    <w:rsid w:val="00EA63EC"/>
    <w:rsid w:val="00EA6615"/>
    <w:rsid w:val="00EB145E"/>
    <w:rsid w:val="00EB2F88"/>
    <w:rsid w:val="00EB52B8"/>
    <w:rsid w:val="00EB5ABA"/>
    <w:rsid w:val="00EC01D5"/>
    <w:rsid w:val="00EC13C3"/>
    <w:rsid w:val="00EC38A9"/>
    <w:rsid w:val="00EC6A31"/>
    <w:rsid w:val="00EC6A58"/>
    <w:rsid w:val="00EC7AFC"/>
    <w:rsid w:val="00ED0167"/>
    <w:rsid w:val="00ED0B4D"/>
    <w:rsid w:val="00ED294D"/>
    <w:rsid w:val="00ED5869"/>
    <w:rsid w:val="00ED7A7A"/>
    <w:rsid w:val="00EE39C4"/>
    <w:rsid w:val="00EE3BD2"/>
    <w:rsid w:val="00EE6477"/>
    <w:rsid w:val="00EF2E81"/>
    <w:rsid w:val="00EF67D0"/>
    <w:rsid w:val="00EF67D5"/>
    <w:rsid w:val="00F02B07"/>
    <w:rsid w:val="00F03408"/>
    <w:rsid w:val="00F039AE"/>
    <w:rsid w:val="00F05A8E"/>
    <w:rsid w:val="00F06BBC"/>
    <w:rsid w:val="00F10C1E"/>
    <w:rsid w:val="00F11CA4"/>
    <w:rsid w:val="00F1556B"/>
    <w:rsid w:val="00F15FD1"/>
    <w:rsid w:val="00F17D76"/>
    <w:rsid w:val="00F207D9"/>
    <w:rsid w:val="00F22F2D"/>
    <w:rsid w:val="00F2311A"/>
    <w:rsid w:val="00F243DB"/>
    <w:rsid w:val="00F25632"/>
    <w:rsid w:val="00F274A7"/>
    <w:rsid w:val="00F3195E"/>
    <w:rsid w:val="00F36C0F"/>
    <w:rsid w:val="00F47AF2"/>
    <w:rsid w:val="00F563B3"/>
    <w:rsid w:val="00F5690F"/>
    <w:rsid w:val="00F56A9B"/>
    <w:rsid w:val="00F63130"/>
    <w:rsid w:val="00F64057"/>
    <w:rsid w:val="00F72156"/>
    <w:rsid w:val="00F75AFA"/>
    <w:rsid w:val="00F75DBC"/>
    <w:rsid w:val="00F777D7"/>
    <w:rsid w:val="00F8035C"/>
    <w:rsid w:val="00F80679"/>
    <w:rsid w:val="00F80B1A"/>
    <w:rsid w:val="00F81CF7"/>
    <w:rsid w:val="00F850B2"/>
    <w:rsid w:val="00F92492"/>
    <w:rsid w:val="00F924A1"/>
    <w:rsid w:val="00F9468B"/>
    <w:rsid w:val="00F95E1F"/>
    <w:rsid w:val="00F96A4A"/>
    <w:rsid w:val="00FA03F0"/>
    <w:rsid w:val="00FA3CC8"/>
    <w:rsid w:val="00FB1969"/>
    <w:rsid w:val="00FB2F7A"/>
    <w:rsid w:val="00FB5E83"/>
    <w:rsid w:val="00FB79BB"/>
    <w:rsid w:val="00FC16B6"/>
    <w:rsid w:val="00FC1BA3"/>
    <w:rsid w:val="00FC273B"/>
    <w:rsid w:val="00FC60E3"/>
    <w:rsid w:val="00FD0E56"/>
    <w:rsid w:val="00FD1F0F"/>
    <w:rsid w:val="00FD3931"/>
    <w:rsid w:val="00FD4092"/>
    <w:rsid w:val="00FD46BE"/>
    <w:rsid w:val="00FD51A5"/>
    <w:rsid w:val="00FD553C"/>
    <w:rsid w:val="00FD5D01"/>
    <w:rsid w:val="00FE2745"/>
    <w:rsid w:val="00FE280E"/>
    <w:rsid w:val="00FE2AA5"/>
    <w:rsid w:val="00FE2B84"/>
    <w:rsid w:val="00FE3F90"/>
    <w:rsid w:val="00FE4272"/>
    <w:rsid w:val="00FE4967"/>
    <w:rsid w:val="00FE5ED4"/>
    <w:rsid w:val="00FE7433"/>
    <w:rsid w:val="00FF05AA"/>
    <w:rsid w:val="00FF31A0"/>
    <w:rsid w:val="00FF3E8B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43CA"/>
  <w15:chartTrackingRefBased/>
  <w15:docId w15:val="{1952633C-F299-455C-9B28-43CB60E1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Quote"/>
    <w:qFormat/>
    <w:rsid w:val="008A2D5C"/>
    <w:pPr>
      <w:spacing w:after="200" w:line="276" w:lineRule="auto"/>
    </w:pPr>
    <w:rPr>
      <w:rFonts w:ascii="Times New Roman" w:hAnsi="Times New Roman" w:cs="Times New Roman"/>
      <w:sz w:val="24"/>
      <w:lang w:val="en-US" w:eastAsia="zh-CN"/>
    </w:rPr>
  </w:style>
  <w:style w:type="paragraph" w:styleId="Heading2">
    <w:name w:val="heading 2"/>
    <w:basedOn w:val="Normal"/>
    <w:link w:val="Heading2Char"/>
    <w:uiPriority w:val="9"/>
    <w:qFormat/>
    <w:rsid w:val="007A396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andaffiliations">
    <w:name w:val="authors and affiliations"/>
    <w:basedOn w:val="Normal"/>
    <w:rsid w:val="00BF7B05"/>
    <w:pPr>
      <w:spacing w:after="0" w:line="360" w:lineRule="auto"/>
      <w:jc w:val="center"/>
    </w:pPr>
    <w:rPr>
      <w:rFonts w:ascii="Arial" w:eastAsia="Times New Roman" w:hAnsi="Arial" w:cs="Arial"/>
      <w:i/>
      <w:iCs/>
      <w:szCs w:val="24"/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BF7B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F7B05"/>
    <w:rPr>
      <w:rFonts w:ascii="Times New Roman" w:eastAsia="SimSun" w:hAnsi="Times New Roman" w:cs="Times New Roman"/>
      <w:sz w:val="24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BF7B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7B05"/>
    <w:rPr>
      <w:rFonts w:ascii="Times New Roman" w:eastAsia="SimSun" w:hAnsi="Times New Roman" w:cs="Times New Roman"/>
      <w:i/>
      <w:iCs/>
      <w:color w:val="000000" w:themeColor="text1"/>
      <w:sz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BF7B05"/>
  </w:style>
  <w:style w:type="character" w:customStyle="1" w:styleId="full-name">
    <w:name w:val="full-name"/>
    <w:basedOn w:val="DefaultParagraphFont"/>
    <w:rsid w:val="00BF7B05"/>
  </w:style>
  <w:style w:type="character" w:styleId="Hyperlink">
    <w:name w:val="Hyperlink"/>
    <w:uiPriority w:val="99"/>
    <w:unhideWhenUsed/>
    <w:rsid w:val="00BF7B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F7B05"/>
    <w:rPr>
      <w:i/>
      <w:iCs/>
    </w:rPr>
  </w:style>
  <w:style w:type="character" w:customStyle="1" w:styleId="st">
    <w:name w:val="st"/>
    <w:basedOn w:val="DefaultParagraphFont"/>
    <w:rsid w:val="00BF7B05"/>
  </w:style>
  <w:style w:type="paragraph" w:customStyle="1" w:styleId="Reference">
    <w:name w:val="Reference"/>
    <w:basedOn w:val="ListParagraph"/>
    <w:link w:val="ReferenceChar"/>
    <w:qFormat/>
    <w:rsid w:val="00BF7B05"/>
    <w:pPr>
      <w:numPr>
        <w:numId w:val="4"/>
      </w:numPr>
      <w:spacing w:after="60" w:line="240" w:lineRule="auto"/>
      <w:ind w:left="567" w:hanging="567"/>
      <w:contextualSpacing w:val="0"/>
      <w:jc w:val="both"/>
    </w:pPr>
    <w:rPr>
      <w:bCs/>
    </w:rPr>
  </w:style>
  <w:style w:type="character" w:customStyle="1" w:styleId="ReferenceChar">
    <w:name w:val="Reference Char"/>
    <w:basedOn w:val="ListParagraphChar"/>
    <w:link w:val="Reference"/>
    <w:rsid w:val="00BF7B05"/>
    <w:rPr>
      <w:rFonts w:ascii="Times New Roman" w:eastAsia="SimSun" w:hAnsi="Times New Roman" w:cs="Times New Roman"/>
      <w:bCs/>
      <w:sz w:val="24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81585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Znak"/>
    <w:rsid w:val="00E34354"/>
    <w:pPr>
      <w:spacing w:after="0"/>
      <w:jc w:val="center"/>
    </w:pPr>
    <w:rPr>
      <w:noProof/>
    </w:rPr>
  </w:style>
  <w:style w:type="character" w:customStyle="1" w:styleId="EndNoteBibliographyTitleZnak">
    <w:name w:val="EndNote Bibliography Title Znak"/>
    <w:basedOn w:val="DefaultParagraphFont"/>
    <w:link w:val="EndNoteBibliographyTitle"/>
    <w:rsid w:val="00E34354"/>
    <w:rPr>
      <w:rFonts w:ascii="Times New Roman" w:eastAsia="SimSun" w:hAnsi="Times New Roman" w:cs="Times New Roman"/>
      <w:noProof/>
      <w:sz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Znak"/>
    <w:rsid w:val="00E34354"/>
    <w:pPr>
      <w:spacing w:line="240" w:lineRule="auto"/>
    </w:pPr>
    <w:rPr>
      <w:noProof/>
    </w:rPr>
  </w:style>
  <w:style w:type="character" w:customStyle="1" w:styleId="EndNoteBibliographyZnak">
    <w:name w:val="EndNote Bibliography Znak"/>
    <w:basedOn w:val="DefaultParagraphFont"/>
    <w:link w:val="EndNoteBibliography"/>
    <w:rsid w:val="00E34354"/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E3435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4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C3FB6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4A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4A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6C2F4A"/>
    <w:pPr>
      <w:spacing w:after="0" w:line="240" w:lineRule="auto"/>
    </w:pPr>
    <w:rPr>
      <w:rFonts w:ascii="Times New Roman" w:hAnsi="Times New Roman" w:cs="Times New Roman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4A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Tabelanaslov">
    <w:name w:val="Tabela naslov"/>
    <w:basedOn w:val="Caption"/>
    <w:link w:val="TabelanaslovChar"/>
    <w:qFormat/>
    <w:rsid w:val="004909D6"/>
    <w:pPr>
      <w:keepNext/>
      <w:spacing w:before="200" w:after="80"/>
      <w:jc w:val="both"/>
    </w:pPr>
    <w:rPr>
      <w:rFonts w:eastAsiaTheme="minorHAnsi" w:cstheme="minorBidi"/>
      <w:bCs/>
      <w:i w:val="0"/>
      <w:iCs w:val="0"/>
      <w:color w:val="auto"/>
      <w:sz w:val="22"/>
      <w:szCs w:val="22"/>
      <w:lang w:val="sl-SI" w:eastAsia="en-US"/>
    </w:rPr>
  </w:style>
  <w:style w:type="character" w:customStyle="1" w:styleId="TabelanaslovChar">
    <w:name w:val="Tabela naslov Char"/>
    <w:basedOn w:val="DefaultParagraphFont"/>
    <w:link w:val="Tabelanaslov"/>
    <w:rsid w:val="004909D6"/>
    <w:rPr>
      <w:rFonts w:ascii="Times New Roman" w:hAnsi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A396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ibliography">
    <w:name w:val="Bibliography"/>
    <w:basedOn w:val="Normal"/>
    <w:next w:val="Normal"/>
    <w:uiPriority w:val="37"/>
    <w:unhideWhenUsed/>
    <w:rsid w:val="00A2608D"/>
    <w:pPr>
      <w:tabs>
        <w:tab w:val="left" w:pos="264"/>
      </w:tabs>
      <w:spacing w:after="0" w:line="240" w:lineRule="auto"/>
      <w:ind w:left="264" w:hanging="264"/>
    </w:pPr>
  </w:style>
  <w:style w:type="paragraph" w:styleId="NormalWeb">
    <w:name w:val="Normal (Web)"/>
    <w:basedOn w:val="Normal"/>
    <w:uiPriority w:val="99"/>
    <w:unhideWhenUsed/>
    <w:rsid w:val="00942F7B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table" w:styleId="PlainTable5">
    <w:name w:val="Plain Table 5"/>
    <w:basedOn w:val="TableNormal"/>
    <w:uiPriority w:val="45"/>
    <w:rsid w:val="00116D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16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116D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68;lanek%20&#352;ipek-grozdje\rezultati%20&#353;ipek-grozdj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68;lanek%20&#352;ipek-grozdje\rezultati%20&#353;ipek-grozdj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68;lanek%20&#352;ipek-grozdje\rezultati%20&#353;ipek-grozdj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68;lanek%20&#352;ipek-grozdje\rezultati%20&#353;ipek-grozdj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2135286542292"/>
          <c:y val="1.7241036436125744E-2"/>
          <c:w val="0.77728895586922686"/>
          <c:h val="0.73644790364840929"/>
        </c:manualLayout>
      </c:layout>
      <c:barChart>
        <c:barDir val="col"/>
        <c:grouping val="clustered"/>
        <c:varyColors val="0"/>
        <c:ser>
          <c:idx val="4"/>
          <c:order val="4"/>
          <c:tx>
            <c:strRef>
              <c:f>List1!$B$80</c:f>
              <c:strCache>
                <c:ptCount val="1"/>
                <c:pt idx="0">
                  <c:v>Soxhlet extraction - MeOH</c:v>
                </c:pt>
              </c:strCache>
            </c:strRef>
          </c:tx>
          <c:spPr>
            <a:solidFill>
              <a:srgbClr val="CCFF6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List1!$D$72:$D$74</c:f>
                <c:numCache>
                  <c:formatCode>General</c:formatCode>
                  <c:ptCount val="3"/>
                  <c:pt idx="0">
                    <c:v>4</c:v>
                  </c:pt>
                  <c:pt idx="1">
                    <c:v>2.6</c:v>
                  </c:pt>
                  <c:pt idx="2">
                    <c:v>1.9</c:v>
                  </c:pt>
                </c:numCache>
              </c:numRef>
            </c:plus>
            <c:minus>
              <c:numRef>
                <c:f>List1!$D$72:$D$74</c:f>
                <c:numCache>
                  <c:formatCode>General</c:formatCode>
                  <c:ptCount val="3"/>
                  <c:pt idx="0">
                    <c:v>4</c:v>
                  </c:pt>
                  <c:pt idx="1">
                    <c:v>2.6</c:v>
                  </c:pt>
                  <c:pt idx="2">
                    <c:v>1.9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List1!$C$72:$C$74</c:f>
              <c:numCache>
                <c:formatCode>General</c:formatCode>
                <c:ptCount val="3"/>
                <c:pt idx="0">
                  <c:v>72</c:v>
                </c:pt>
                <c:pt idx="1">
                  <c:v>54.88</c:v>
                </c:pt>
                <c:pt idx="2">
                  <c:v>27.25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CC-406B-8FC7-0C87209D3A5D}"/>
            </c:ext>
          </c:extLst>
        </c:ser>
        <c:ser>
          <c:idx val="5"/>
          <c:order val="5"/>
          <c:tx>
            <c:strRef>
              <c:f>List1!$B$81</c:f>
              <c:strCache>
                <c:ptCount val="1"/>
                <c:pt idx="0">
                  <c:v>Cold extraction - MeOH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List1!$F$72:$F$74</c:f>
                <c:numCache>
                  <c:formatCode>General</c:formatCode>
                  <c:ptCount val="3"/>
                  <c:pt idx="0">
                    <c:v>5.3</c:v>
                  </c:pt>
                  <c:pt idx="1">
                    <c:v>2.8</c:v>
                  </c:pt>
                  <c:pt idx="2">
                    <c:v>0.7</c:v>
                  </c:pt>
                </c:numCache>
              </c:numRef>
            </c:plus>
            <c:minus>
              <c:numRef>
                <c:f>List1!$F$72:$F$74</c:f>
                <c:numCache>
                  <c:formatCode>General</c:formatCode>
                  <c:ptCount val="3"/>
                  <c:pt idx="0">
                    <c:v>5.3</c:v>
                  </c:pt>
                  <c:pt idx="1">
                    <c:v>2.8</c:v>
                  </c:pt>
                  <c:pt idx="2">
                    <c:v>0.7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List1!$E$72:$E$74</c:f>
              <c:numCache>
                <c:formatCode>General</c:formatCode>
                <c:ptCount val="3"/>
                <c:pt idx="0">
                  <c:v>50.71</c:v>
                </c:pt>
                <c:pt idx="1">
                  <c:v>28.79</c:v>
                </c:pt>
                <c:pt idx="2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CC-406B-8FC7-0C87209D3A5D}"/>
            </c:ext>
          </c:extLst>
        </c:ser>
        <c:ser>
          <c:idx val="6"/>
          <c:order val="6"/>
          <c:tx>
            <c:strRef>
              <c:f>List1!$B$77</c:f>
              <c:strCache>
                <c:ptCount val="1"/>
                <c:pt idx="0">
                  <c:v>Soxhlet extraction - EtOH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List1!$H$72:$H$74</c:f>
                <c:numCache>
                  <c:formatCode>General</c:formatCode>
                  <c:ptCount val="3"/>
                  <c:pt idx="0">
                    <c:v>3.6</c:v>
                  </c:pt>
                  <c:pt idx="1">
                    <c:v>3.78</c:v>
                  </c:pt>
                  <c:pt idx="2">
                    <c:v>3.9</c:v>
                  </c:pt>
                </c:numCache>
              </c:numRef>
            </c:plus>
            <c:minus>
              <c:numRef>
                <c:f>List1!$H$72:$H$74</c:f>
                <c:numCache>
                  <c:formatCode>General</c:formatCode>
                  <c:ptCount val="3"/>
                  <c:pt idx="0">
                    <c:v>3.6</c:v>
                  </c:pt>
                  <c:pt idx="1">
                    <c:v>3.78</c:v>
                  </c:pt>
                  <c:pt idx="2">
                    <c:v>3.9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List1!$G$72:$G$74</c:f>
              <c:numCache>
                <c:formatCode>General</c:formatCode>
                <c:ptCount val="3"/>
                <c:pt idx="0">
                  <c:v>60.62</c:v>
                </c:pt>
                <c:pt idx="1">
                  <c:v>56.36</c:v>
                </c:pt>
                <c:pt idx="2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6CC-406B-8FC7-0C87209D3A5D}"/>
            </c:ext>
          </c:extLst>
        </c:ser>
        <c:ser>
          <c:idx val="7"/>
          <c:order val="7"/>
          <c:tx>
            <c:strRef>
              <c:f>List1!$B$78</c:f>
              <c:strCache>
                <c:ptCount val="1"/>
                <c:pt idx="0">
                  <c:v>Cold extraction - EtOH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List1!$J$72:$J$74</c:f>
                <c:numCache>
                  <c:formatCode>General</c:formatCode>
                  <c:ptCount val="3"/>
                  <c:pt idx="0">
                    <c:v>1.8</c:v>
                  </c:pt>
                  <c:pt idx="1">
                    <c:v>3.09</c:v>
                  </c:pt>
                  <c:pt idx="2">
                    <c:v>2.1</c:v>
                  </c:pt>
                </c:numCache>
              </c:numRef>
            </c:plus>
            <c:minus>
              <c:numRef>
                <c:f>List1!$J$72:$J$74</c:f>
                <c:numCache>
                  <c:formatCode>General</c:formatCode>
                  <c:ptCount val="3"/>
                  <c:pt idx="0">
                    <c:v>1.8</c:v>
                  </c:pt>
                  <c:pt idx="1">
                    <c:v>3.09</c:v>
                  </c:pt>
                  <c:pt idx="2">
                    <c:v>2.1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List1!$I$72:$I$74</c:f>
              <c:numCache>
                <c:formatCode>General</c:formatCode>
                <c:ptCount val="3"/>
                <c:pt idx="0">
                  <c:v>12.14</c:v>
                </c:pt>
                <c:pt idx="1">
                  <c:v>25.26</c:v>
                </c:pt>
                <c:pt idx="2">
                  <c:v>17.600000000000001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6CC-406B-8FC7-0C87209D3A5D}"/>
            </c:ext>
          </c:extLst>
        </c:ser>
        <c:ser>
          <c:idx val="8"/>
          <c:order val="8"/>
          <c:tx>
            <c:strRef>
              <c:f>List1!$M$119</c:f>
              <c:strCache>
                <c:ptCount val="1"/>
                <c:pt idx="0">
                  <c:v>SCE - EtOH cosolvent (150 bar / 40 °C)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List1!$N$122:$P$122</c:f>
                <c:numCache>
                  <c:formatCode>General</c:formatCode>
                  <c:ptCount val="3"/>
                  <c:pt idx="0">
                    <c:v>0.6</c:v>
                  </c:pt>
                  <c:pt idx="1">
                    <c:v>0.5</c:v>
                  </c:pt>
                  <c:pt idx="2">
                    <c:v>0.3</c:v>
                  </c:pt>
                </c:numCache>
              </c:numRef>
            </c:plus>
            <c:minus>
              <c:numRef>
                <c:f>List1!$N$122:$P$122</c:f>
                <c:numCache>
                  <c:formatCode>General</c:formatCode>
                  <c:ptCount val="3"/>
                  <c:pt idx="0">
                    <c:v>0.6</c:v>
                  </c:pt>
                  <c:pt idx="1">
                    <c:v>0.5</c:v>
                  </c:pt>
                  <c:pt idx="2">
                    <c:v>0.3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List1!$N$119:$P$119</c:f>
              <c:numCache>
                <c:formatCode>General</c:formatCode>
                <c:ptCount val="3"/>
                <c:pt idx="0">
                  <c:v>6.37</c:v>
                </c:pt>
                <c:pt idx="1">
                  <c:v>6.16</c:v>
                </c:pt>
                <c:pt idx="2">
                  <c:v>1.1000000000000001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6CC-406B-8FC7-0C87209D3A5D}"/>
            </c:ext>
          </c:extLst>
        </c:ser>
        <c:ser>
          <c:idx val="9"/>
          <c:order val="9"/>
          <c:tx>
            <c:strRef>
              <c:f>List1!$M$120</c:f>
              <c:strCache>
                <c:ptCount val="1"/>
                <c:pt idx="0">
                  <c:v>SCE - EtOH cosolvent (250 bar / 40 °C)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List1!$N$123:$P$123</c:f>
                <c:numCache>
                  <c:formatCode>General</c:formatCode>
                  <c:ptCount val="3"/>
                  <c:pt idx="0">
                    <c:v>0.4</c:v>
                  </c:pt>
                  <c:pt idx="1">
                    <c:v>0.8</c:v>
                  </c:pt>
                  <c:pt idx="2">
                    <c:v>0.2</c:v>
                  </c:pt>
                </c:numCache>
              </c:numRef>
            </c:plus>
            <c:minus>
              <c:numRef>
                <c:f>List1!$N$123:$P$123</c:f>
                <c:numCache>
                  <c:formatCode>General</c:formatCode>
                  <c:ptCount val="3"/>
                  <c:pt idx="0">
                    <c:v>0.4</c:v>
                  </c:pt>
                  <c:pt idx="1">
                    <c:v>0.8</c:v>
                  </c:pt>
                  <c:pt idx="2">
                    <c:v>0.2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List1!$N$120:$P$120</c:f>
              <c:numCache>
                <c:formatCode>General</c:formatCode>
                <c:ptCount val="3"/>
                <c:pt idx="0">
                  <c:v>6.41</c:v>
                </c:pt>
                <c:pt idx="1">
                  <c:v>6.11</c:v>
                </c:pt>
                <c:pt idx="2">
                  <c:v>1.86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CC-406B-8FC7-0C87209D3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5304296"/>
        <c:axId val="49530508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List1!$C$8</c15:sqref>
                        </c15:formulaRef>
                      </c:ext>
                    </c:extLst>
                    <c:strCache>
                      <c:ptCount val="1"/>
                      <c:pt idx="0">
                        <c:v>red grapes skin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6r2="http://schemas.microsoft.com/office/drawing/2015/06/chart">
                        <c:ext uri="{02D57815-91ED-43cb-92C2-25804820EDAC}">
                          <c15:formulaRef>
                            <c15:sqref>List1!$I$8:$I$10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2</c:v>
                        </c:pt>
                        <c:pt idx="1">
                          <c:v>1.5</c:v>
                        </c:pt>
                        <c:pt idx="2">
                          <c:v>0.5</c:v>
                        </c:pt>
                      </c:numCache>
                    </c:numRef>
                  </c:plus>
                  <c:minus>
                    <c:numRef>
                      <c:extLst xmlns:c16r2="http://schemas.microsoft.com/office/drawing/2015/06/chart">
                        <c:ext uri="{02D57815-91ED-43cb-92C2-25804820EDAC}">
                          <c15:formulaRef>
                            <c15:sqref>List1!$I$8:$I$10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2</c:v>
                        </c:pt>
                        <c:pt idx="1">
                          <c:v>1.5</c:v>
                        </c:pt>
                        <c:pt idx="2">
                          <c:v>0.5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List1!$C$67:$C$69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2.75</c:v>
                      </c:pt>
                      <c:pt idx="1">
                        <c:v>6.98</c:v>
                      </c:pt>
                      <c:pt idx="2">
                        <c:v>8.83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6-C6CC-406B-8FC7-0C87209D3A5D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2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2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List1!$I$12:$I$14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1.2</c:v>
                        </c:pt>
                        <c:pt idx="1">
                          <c:v>1.1000000000000001</c:v>
                        </c:pt>
                        <c:pt idx="2">
                          <c:v>0.8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List1!$I$12:$I$14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1.2</c:v>
                        </c:pt>
                        <c:pt idx="1">
                          <c:v>1.1000000000000001</c:v>
                        </c:pt>
                        <c:pt idx="2">
                          <c:v>0.8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List1!$C$67:$C$69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2.75</c:v>
                      </c:pt>
                      <c:pt idx="1">
                        <c:v>6.98</c:v>
                      </c:pt>
                      <c:pt idx="2">
                        <c:v>8.83</c:v>
                      </c:pt>
                    </c:numCache>
                  </c:numRef>
                </c:val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7-C6CC-406B-8FC7-0C87209D3A5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List1!$C$16</c15:sqref>
                        </c15:formulaRef>
                      </c:ext>
                    </c:extLst>
                    <c:strCache>
                      <c:ptCount val="1"/>
                      <c:pt idx="0">
                        <c:v>dog rose </c:v>
                      </c:pt>
                    </c:strCache>
                  </c:strRef>
                </c:tx>
                <c:spPr>
                  <a:solidFill>
                    <a:srgbClr val="FF5050"/>
                  </a:soli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List1!$I$16:$I$19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1.7</c:v>
                        </c:pt>
                        <c:pt idx="1">
                          <c:v>0.7</c:v>
                        </c:pt>
                        <c:pt idx="3">
                          <c:v>1.1000000000000001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List1!$I$16:$I$19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1.7</c:v>
                        </c:pt>
                        <c:pt idx="1">
                          <c:v>0.7</c:v>
                        </c:pt>
                        <c:pt idx="3">
                          <c:v>1.1000000000000001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List1!$H$16:$H$19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27.25</c:v>
                      </c:pt>
                      <c:pt idx="1">
                        <c:v>65</c:v>
                      </c:pt>
                      <c:pt idx="3">
                        <c:v>54.2</c:v>
                      </c:pt>
                    </c:numCache>
                  </c:numRef>
                </c:val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8-C6CC-406B-8FC7-0C87209D3A5D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List1!$C$21</c15:sqref>
                        </c15:formulaRef>
                      </c:ext>
                    </c:extLst>
                    <c:strCache>
                      <c:ptCount val="1"/>
                      <c:pt idx="0">
                        <c:v>dog rose shell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List1!$I$21:$I$24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1.3</c:v>
                        </c:pt>
                        <c:pt idx="1">
                          <c:v>1.7</c:v>
                        </c:pt>
                        <c:pt idx="3">
                          <c:v>0.9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List1!$I$21:$I$24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1.3</c:v>
                        </c:pt>
                        <c:pt idx="1">
                          <c:v>1.7</c:v>
                        </c:pt>
                        <c:pt idx="3">
                          <c:v>0.9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List1!$H$21:$H$24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26.37</c:v>
                      </c:pt>
                      <c:pt idx="1">
                        <c:v>49</c:v>
                      </c:pt>
                      <c:pt idx="3">
                        <c:v>47.2</c:v>
                      </c:pt>
                    </c:numCache>
                  </c:numRef>
                </c:val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9-C6CC-406B-8FC7-0C87209D3A5D}"/>
                  </c:ext>
                </c:extLst>
              </c15:ser>
            </c15:filteredBarSeries>
          </c:ext>
        </c:extLst>
      </c:barChart>
      <c:catAx>
        <c:axId val="495304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5305080"/>
        <c:crosses val="autoZero"/>
        <c:auto val="1"/>
        <c:lblAlgn val="ctr"/>
        <c:lblOffset val="100"/>
        <c:noMultiLvlLbl val="0"/>
      </c:catAx>
      <c:valAx>
        <c:axId val="495305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 i="1"/>
                  <a:t>Yield</a:t>
                </a:r>
                <a:r>
                  <a:rPr lang="sl-SI" i="1" baseline="0"/>
                  <a:t> </a:t>
                </a:r>
                <a:r>
                  <a:rPr lang="en-US"/>
                  <a:t>[%]</a:t>
                </a:r>
              </a:p>
            </c:rich>
          </c:tx>
          <c:layout>
            <c:manualLayout>
              <c:xMode val="edge"/>
              <c:yMode val="edge"/>
              <c:x val="1.0049533277744511E-2"/>
              <c:y val="0.329459204869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5304296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6.6255481464510657E-2"/>
          <c:y val="0.84544531355508767"/>
          <c:w val="0.87117081268363661"/>
          <c:h val="0.14242773109646562"/>
        </c:manualLayout>
      </c:layout>
      <c:overlay val="0"/>
      <c:spPr>
        <a:noFill/>
        <a:ln>
          <a:solidFill>
            <a:schemeClr val="bg2">
              <a:lumMod val="9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557808674848544"/>
          <c:y val="4.5303386411193712E-2"/>
          <c:w val="0.80577053985656266"/>
          <c:h val="0.6812946883102758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List1!$B$80</c:f>
              <c:strCache>
                <c:ptCount val="1"/>
                <c:pt idx="0">
                  <c:v>Soxhlet extraction - MeOH</c:v>
                </c:pt>
              </c:strCache>
            </c:strRef>
          </c:tx>
          <c:spPr>
            <a:solidFill>
              <a:srgbClr val="CCFF6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List1!$D$67:$D$69</c:f>
                <c:numCache>
                  <c:formatCode>General</c:formatCode>
                  <c:ptCount val="3"/>
                  <c:pt idx="0">
                    <c:v>0.4</c:v>
                  </c:pt>
                  <c:pt idx="1">
                    <c:v>0.63</c:v>
                  </c:pt>
                  <c:pt idx="2">
                    <c:v>0.7</c:v>
                  </c:pt>
                </c:numCache>
              </c:numRef>
            </c:plus>
            <c:minus>
              <c:numRef>
                <c:f>List1!$D$67:$D$69</c:f>
                <c:numCache>
                  <c:formatCode>General</c:formatCode>
                  <c:ptCount val="3"/>
                  <c:pt idx="0">
                    <c:v>0.4</c:v>
                  </c:pt>
                  <c:pt idx="1">
                    <c:v>0.63</c:v>
                  </c:pt>
                  <c:pt idx="2">
                    <c:v>0.7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List1!$C$85:$C$87</c:f>
              <c:numCache>
                <c:formatCode>General</c:formatCode>
                <c:ptCount val="3"/>
                <c:pt idx="0">
                  <c:v>16.86</c:v>
                </c:pt>
                <c:pt idx="1">
                  <c:v>17.170000000000002</c:v>
                </c:pt>
                <c:pt idx="2">
                  <c:v>25.61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E4-4AB8-943D-E8C4AE3415CA}"/>
            </c:ext>
          </c:extLst>
        </c:ser>
        <c:ser>
          <c:idx val="5"/>
          <c:order val="1"/>
          <c:tx>
            <c:strRef>
              <c:f>List1!$B$81</c:f>
              <c:strCache>
                <c:ptCount val="1"/>
                <c:pt idx="0">
                  <c:v>Cold extraction - MeOH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List1!$F$67:$F$69</c:f>
                <c:numCache>
                  <c:formatCode>General</c:formatCode>
                  <c:ptCount val="3"/>
                  <c:pt idx="0">
                    <c:v>0.53</c:v>
                  </c:pt>
                  <c:pt idx="1">
                    <c:v>0.8</c:v>
                  </c:pt>
                  <c:pt idx="2">
                    <c:v>0.68</c:v>
                  </c:pt>
                </c:numCache>
              </c:numRef>
            </c:plus>
            <c:minus>
              <c:numRef>
                <c:f>List1!$F$67:$F$69</c:f>
                <c:numCache>
                  <c:formatCode>General</c:formatCode>
                  <c:ptCount val="3"/>
                  <c:pt idx="0">
                    <c:v>0.53</c:v>
                  </c:pt>
                  <c:pt idx="1">
                    <c:v>0.8</c:v>
                  </c:pt>
                  <c:pt idx="2">
                    <c:v>0.68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List1!$E$85:$E$87</c:f>
              <c:numCache>
                <c:formatCode>General</c:formatCode>
                <c:ptCount val="3"/>
                <c:pt idx="0">
                  <c:v>9.5299999999999994</c:v>
                </c:pt>
                <c:pt idx="1">
                  <c:v>14.41</c:v>
                </c:pt>
                <c:pt idx="2">
                  <c:v>23.16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E4-4AB8-943D-E8C4AE3415CA}"/>
            </c:ext>
          </c:extLst>
        </c:ser>
        <c:ser>
          <c:idx val="6"/>
          <c:order val="2"/>
          <c:tx>
            <c:strRef>
              <c:f>List1!$B$77</c:f>
              <c:strCache>
                <c:ptCount val="1"/>
                <c:pt idx="0">
                  <c:v>Soxhlet extraction - EtOH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List1!$H$67:$H$69</c:f>
                <c:numCache>
                  <c:formatCode>General</c:formatCode>
                  <c:ptCount val="3"/>
                  <c:pt idx="0">
                    <c:v>0.7</c:v>
                  </c:pt>
                  <c:pt idx="1">
                    <c:v>0.5</c:v>
                  </c:pt>
                  <c:pt idx="2">
                    <c:v>0.91</c:v>
                  </c:pt>
                </c:numCache>
              </c:numRef>
            </c:plus>
            <c:minus>
              <c:numRef>
                <c:f>List1!$H$67:$H$69</c:f>
                <c:numCache>
                  <c:formatCode>General</c:formatCode>
                  <c:ptCount val="3"/>
                  <c:pt idx="0">
                    <c:v>0.7</c:v>
                  </c:pt>
                  <c:pt idx="1">
                    <c:v>0.5</c:v>
                  </c:pt>
                  <c:pt idx="2">
                    <c:v>0.91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List1!$G$85:$G$87</c:f>
              <c:numCache>
                <c:formatCode>General</c:formatCode>
                <c:ptCount val="3"/>
                <c:pt idx="0">
                  <c:v>9.5299999999999994</c:v>
                </c:pt>
                <c:pt idx="1">
                  <c:v>14.41</c:v>
                </c:pt>
                <c:pt idx="2">
                  <c:v>23.16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E4-4AB8-943D-E8C4AE3415CA}"/>
            </c:ext>
          </c:extLst>
        </c:ser>
        <c:ser>
          <c:idx val="7"/>
          <c:order val="3"/>
          <c:tx>
            <c:strRef>
              <c:f>List1!$B$78</c:f>
              <c:strCache>
                <c:ptCount val="1"/>
                <c:pt idx="0">
                  <c:v>Cold extraction - EtOH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List1!$J$67:$J$69</c:f>
                <c:numCache>
                  <c:formatCode>General</c:formatCode>
                  <c:ptCount val="3"/>
                  <c:pt idx="0">
                    <c:v>1.1000000000000001</c:v>
                  </c:pt>
                  <c:pt idx="1">
                    <c:v>0.76</c:v>
                  </c:pt>
                  <c:pt idx="2">
                    <c:v>0.69</c:v>
                  </c:pt>
                </c:numCache>
              </c:numRef>
            </c:plus>
            <c:minus>
              <c:numRef>
                <c:f>List1!$J$67:$J$69</c:f>
                <c:numCache>
                  <c:formatCode>General</c:formatCode>
                  <c:ptCount val="3"/>
                  <c:pt idx="0">
                    <c:v>1.1000000000000001</c:v>
                  </c:pt>
                  <c:pt idx="1">
                    <c:v>0.76</c:v>
                  </c:pt>
                  <c:pt idx="2">
                    <c:v>0.69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List1!$I$85:$I$87</c:f>
              <c:numCache>
                <c:formatCode>General</c:formatCode>
                <c:ptCount val="3"/>
                <c:pt idx="0">
                  <c:v>8.49</c:v>
                </c:pt>
                <c:pt idx="1">
                  <c:v>21.66</c:v>
                </c:pt>
                <c:pt idx="2">
                  <c:v>18.579999999999998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3E4-4AB8-943D-E8C4AE3415CA}"/>
            </c:ext>
          </c:extLst>
        </c:ser>
        <c:ser>
          <c:idx val="0"/>
          <c:order val="4"/>
          <c:tx>
            <c:strRef>
              <c:f>List1!$M$119</c:f>
              <c:strCache>
                <c:ptCount val="1"/>
                <c:pt idx="0">
                  <c:v>SCE - EtOH cosolvent (150 bar / 40 °C)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List1!$W$122:$Y$122</c:f>
                <c:numCache>
                  <c:formatCode>General</c:formatCode>
                  <c:ptCount val="3"/>
                  <c:pt idx="0">
                    <c:v>2.2999999999999998</c:v>
                  </c:pt>
                  <c:pt idx="1">
                    <c:v>1.2</c:v>
                  </c:pt>
                  <c:pt idx="2">
                    <c:v>1.8</c:v>
                  </c:pt>
                </c:numCache>
              </c:numRef>
            </c:plus>
            <c:minus>
              <c:numRef>
                <c:f>List1!$W$122:$Y$122</c:f>
                <c:numCache>
                  <c:formatCode>General</c:formatCode>
                  <c:ptCount val="3"/>
                  <c:pt idx="0">
                    <c:v>2.2999999999999998</c:v>
                  </c:pt>
                  <c:pt idx="1">
                    <c:v>1.2</c:v>
                  </c:pt>
                  <c:pt idx="2">
                    <c:v>1.8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List1!$W$119:$Y$119</c:f>
              <c:numCache>
                <c:formatCode>General</c:formatCode>
                <c:ptCount val="3"/>
                <c:pt idx="0">
                  <c:v>27.12</c:v>
                </c:pt>
                <c:pt idx="1">
                  <c:v>12.3</c:v>
                </c:pt>
                <c:pt idx="2">
                  <c:v>11.65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3E4-4AB8-943D-E8C4AE3415CA}"/>
            </c:ext>
          </c:extLst>
        </c:ser>
        <c:ser>
          <c:idx val="1"/>
          <c:order val="5"/>
          <c:tx>
            <c:strRef>
              <c:f>List1!$M$120</c:f>
              <c:strCache>
                <c:ptCount val="1"/>
                <c:pt idx="0">
                  <c:v>SCE - EtOH cosolvent (250 bar / 40 °C)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List1!$W$123:$Y$123</c:f>
                <c:numCache>
                  <c:formatCode>General</c:formatCode>
                  <c:ptCount val="3"/>
                  <c:pt idx="0">
                    <c:v>1.53</c:v>
                  </c:pt>
                  <c:pt idx="1">
                    <c:v>1.1000000000000001</c:v>
                  </c:pt>
                  <c:pt idx="2">
                    <c:v>1.4</c:v>
                  </c:pt>
                </c:numCache>
              </c:numRef>
            </c:plus>
            <c:minus>
              <c:numRef>
                <c:f>List1!$W$123:$Y$123</c:f>
                <c:numCache>
                  <c:formatCode>General</c:formatCode>
                  <c:ptCount val="3"/>
                  <c:pt idx="0">
                    <c:v>1.53</c:v>
                  </c:pt>
                  <c:pt idx="1">
                    <c:v>1.1000000000000001</c:v>
                  </c:pt>
                  <c:pt idx="2">
                    <c:v>1.4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List1!$W$120:$Y$120</c:f>
              <c:numCache>
                <c:formatCode>General</c:formatCode>
                <c:ptCount val="3"/>
                <c:pt idx="0">
                  <c:v>22.15</c:v>
                </c:pt>
                <c:pt idx="1">
                  <c:v>7.9</c:v>
                </c:pt>
                <c:pt idx="2">
                  <c:v>15.16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3E4-4AB8-943D-E8C4AE3415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283664"/>
        <c:axId val="397285624"/>
        <c:extLst xmlns:c16r2="http://schemas.microsoft.com/office/drawing/2015/06/chart"/>
      </c:barChart>
      <c:catAx>
        <c:axId val="39728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285624"/>
        <c:crosses val="autoZero"/>
        <c:auto val="1"/>
        <c:lblAlgn val="ctr"/>
        <c:lblOffset val="100"/>
        <c:noMultiLvlLbl val="0"/>
      </c:catAx>
      <c:valAx>
        <c:axId val="397285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 sz="900" b="1" i="0" baseline="0">
                    <a:effectLst/>
                  </a:rPr>
                  <a:t>Total phenols mg</a:t>
                </a:r>
                <a:r>
                  <a:rPr lang="sl-SI" sz="900" b="1" i="0" baseline="-25000">
                    <a:effectLst/>
                  </a:rPr>
                  <a:t>GA</a:t>
                </a:r>
                <a:r>
                  <a:rPr lang="sl-SI" sz="900" b="1" i="0" baseline="0">
                    <a:effectLst/>
                  </a:rPr>
                  <a:t>/g</a:t>
                </a:r>
                <a:r>
                  <a:rPr lang="sl-SI" sz="900" b="1" i="0" baseline="-25000">
                    <a:effectLst/>
                  </a:rPr>
                  <a:t>ext</a:t>
                </a:r>
                <a:r>
                  <a:rPr lang="sl-SI" sz="900" b="1" i="0" baseline="0">
                    <a:effectLst/>
                  </a:rPr>
                  <a:t> </a:t>
                </a:r>
                <a:endParaRPr lang="sl-SI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1.0049533277744511E-2"/>
              <c:y val="0.329459204869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283664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7.9837589362103209E-2"/>
          <c:y val="0.83642384185069751"/>
          <c:w val="0.8601947960924774"/>
          <c:h val="0.14650538265658361"/>
        </c:manualLayout>
      </c:layout>
      <c:overlay val="0"/>
      <c:spPr>
        <a:noFill/>
        <a:ln>
          <a:solidFill>
            <a:schemeClr val="bg2">
              <a:lumMod val="9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83822036920208"/>
          <c:y val="6.2075149535360717E-2"/>
          <c:w val="0.84854050197473074"/>
          <c:h val="0.74559183995274181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List1!$B$80</c:f>
              <c:strCache>
                <c:ptCount val="1"/>
                <c:pt idx="0">
                  <c:v>Soxhlet extraction - MeOH</c:v>
                </c:pt>
              </c:strCache>
            </c:strRef>
          </c:tx>
          <c:spPr>
            <a:solidFill>
              <a:srgbClr val="CCFF6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List1!$D$91:$D$93</c:f>
                <c:numCache>
                  <c:formatCode>General</c:formatCode>
                  <c:ptCount val="3"/>
                  <c:pt idx="0">
                    <c:v>0.21</c:v>
                  </c:pt>
                  <c:pt idx="1">
                    <c:v>0.1</c:v>
                  </c:pt>
                  <c:pt idx="2">
                    <c:v>0.21</c:v>
                  </c:pt>
                </c:numCache>
              </c:numRef>
            </c:plus>
            <c:minus>
              <c:numRef>
                <c:f>List1!$D$91:$D$93</c:f>
                <c:numCache>
                  <c:formatCode>General</c:formatCode>
                  <c:ptCount val="3"/>
                  <c:pt idx="0">
                    <c:v>0.21</c:v>
                  </c:pt>
                  <c:pt idx="1">
                    <c:v>0.1</c:v>
                  </c:pt>
                  <c:pt idx="2">
                    <c:v>0.21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List1!$C$91:$C$93</c:f>
              <c:numCache>
                <c:formatCode>General</c:formatCode>
                <c:ptCount val="3"/>
                <c:pt idx="0">
                  <c:v>1.34</c:v>
                </c:pt>
                <c:pt idx="1">
                  <c:v>1.56</c:v>
                </c:pt>
                <c:pt idx="2">
                  <c:v>0.52100000000000002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60-48B8-A94C-BD8B5F9F9846}"/>
            </c:ext>
          </c:extLst>
        </c:ser>
        <c:ser>
          <c:idx val="5"/>
          <c:order val="1"/>
          <c:tx>
            <c:strRef>
              <c:f>List1!$B$81</c:f>
              <c:strCache>
                <c:ptCount val="1"/>
                <c:pt idx="0">
                  <c:v>Cold extraction - MeOH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List1!$F$91:$F$93</c:f>
                <c:numCache>
                  <c:formatCode>General</c:formatCode>
                  <c:ptCount val="3"/>
                  <c:pt idx="0">
                    <c:v>0.2</c:v>
                  </c:pt>
                  <c:pt idx="1">
                    <c:v>0.3</c:v>
                  </c:pt>
                  <c:pt idx="2">
                    <c:v>0.1</c:v>
                  </c:pt>
                </c:numCache>
              </c:numRef>
            </c:plus>
            <c:minus>
              <c:numRef>
                <c:f>List1!$F$91:$F$93</c:f>
                <c:numCache>
                  <c:formatCode>General</c:formatCode>
                  <c:ptCount val="3"/>
                  <c:pt idx="0">
                    <c:v>0.2</c:v>
                  </c:pt>
                  <c:pt idx="1">
                    <c:v>0.3</c:v>
                  </c:pt>
                  <c:pt idx="2">
                    <c:v>0.1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List1!$E$91:$E$93</c:f>
              <c:numCache>
                <c:formatCode>General</c:formatCode>
                <c:ptCount val="3"/>
                <c:pt idx="0">
                  <c:v>1.2330000000000001</c:v>
                </c:pt>
                <c:pt idx="1">
                  <c:v>2.02</c:v>
                </c:pt>
                <c:pt idx="2">
                  <c:v>0.95599999999999996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60-48B8-A94C-BD8B5F9F9846}"/>
            </c:ext>
          </c:extLst>
        </c:ser>
        <c:ser>
          <c:idx val="0"/>
          <c:order val="2"/>
          <c:tx>
            <c:strRef>
              <c:f>List1!$B$77</c:f>
              <c:strCache>
                <c:ptCount val="1"/>
                <c:pt idx="0">
                  <c:v>Soxhlet extraction - EtOH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List1!$H$91:$H$93</c:f>
                <c:numCache>
                  <c:formatCode>General</c:formatCode>
                  <c:ptCount val="3"/>
                  <c:pt idx="0">
                    <c:v>0.15</c:v>
                  </c:pt>
                  <c:pt idx="1">
                    <c:v>0.1</c:v>
                  </c:pt>
                  <c:pt idx="2">
                    <c:v>0.19</c:v>
                  </c:pt>
                </c:numCache>
              </c:numRef>
            </c:plus>
            <c:minus>
              <c:numRef>
                <c:f>List1!$H$91:$H$93</c:f>
                <c:numCache>
                  <c:formatCode>General</c:formatCode>
                  <c:ptCount val="3"/>
                  <c:pt idx="0">
                    <c:v>0.15</c:v>
                  </c:pt>
                  <c:pt idx="1">
                    <c:v>0.1</c:v>
                  </c:pt>
                  <c:pt idx="2">
                    <c:v>0.19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List1!$G$91:$G$93</c:f>
              <c:numCache>
                <c:formatCode>General</c:formatCode>
                <c:ptCount val="3"/>
                <c:pt idx="0">
                  <c:v>0.86299999999999999</c:v>
                </c:pt>
                <c:pt idx="1">
                  <c:v>0.995</c:v>
                </c:pt>
                <c:pt idx="2">
                  <c:v>0.63100000000000001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960-48B8-A94C-BD8B5F9F9846}"/>
            </c:ext>
          </c:extLst>
        </c:ser>
        <c:ser>
          <c:idx val="1"/>
          <c:order val="3"/>
          <c:tx>
            <c:strRef>
              <c:f>List1!$B$78</c:f>
              <c:strCache>
                <c:ptCount val="1"/>
                <c:pt idx="0">
                  <c:v>Cold extraction - EtOH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List1!$J$91:$J$93</c:f>
                <c:numCache>
                  <c:formatCode>General</c:formatCode>
                  <c:ptCount val="3"/>
                  <c:pt idx="0">
                    <c:v>0.12</c:v>
                  </c:pt>
                  <c:pt idx="1">
                    <c:v>0.23</c:v>
                  </c:pt>
                  <c:pt idx="2">
                    <c:v>0.11</c:v>
                  </c:pt>
                </c:numCache>
              </c:numRef>
            </c:plus>
            <c:minus>
              <c:numRef>
                <c:f>List1!$J$91:$J$93</c:f>
                <c:numCache>
                  <c:formatCode>General</c:formatCode>
                  <c:ptCount val="3"/>
                  <c:pt idx="0">
                    <c:v>0.12</c:v>
                  </c:pt>
                  <c:pt idx="1">
                    <c:v>0.23</c:v>
                  </c:pt>
                  <c:pt idx="2">
                    <c:v>0.11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List1!$I$91:$I$93</c:f>
              <c:numCache>
                <c:formatCode>General</c:formatCode>
                <c:ptCount val="3"/>
                <c:pt idx="0">
                  <c:v>0.64600000000000002</c:v>
                </c:pt>
                <c:pt idx="1">
                  <c:v>1.21</c:v>
                </c:pt>
                <c:pt idx="2">
                  <c:v>0.77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960-48B8-A94C-BD8B5F9F9846}"/>
            </c:ext>
          </c:extLst>
        </c:ser>
        <c:ser>
          <c:idx val="2"/>
          <c:order val="4"/>
          <c:tx>
            <c:strRef>
              <c:f>List1!$M$119</c:f>
              <c:strCache>
                <c:ptCount val="1"/>
                <c:pt idx="0">
                  <c:v>SCE - EtOH cosolvent (150 bar / 40 °C)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List1!$AB$122:$AD$122</c:f>
                <c:numCache>
                  <c:formatCode>General</c:formatCode>
                  <c:ptCount val="3"/>
                  <c:pt idx="0">
                    <c:v>0.04</c:v>
                  </c:pt>
                  <c:pt idx="1">
                    <c:v>7.0000000000000007E-2</c:v>
                  </c:pt>
                  <c:pt idx="2">
                    <c:v>0.1</c:v>
                  </c:pt>
                </c:numCache>
              </c:numRef>
            </c:plus>
            <c:minus>
              <c:numRef>
                <c:f>List1!$AB$122:$AD$122</c:f>
                <c:numCache>
                  <c:formatCode>General</c:formatCode>
                  <c:ptCount val="3"/>
                  <c:pt idx="0">
                    <c:v>0.04</c:v>
                  </c:pt>
                  <c:pt idx="1">
                    <c:v>7.0000000000000007E-2</c:v>
                  </c:pt>
                  <c:pt idx="2">
                    <c:v>0.1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List1!$AB$119:$AD$119</c:f>
              <c:numCache>
                <c:formatCode>General</c:formatCode>
                <c:ptCount val="3"/>
                <c:pt idx="0">
                  <c:v>0.11</c:v>
                </c:pt>
                <c:pt idx="1">
                  <c:v>0.12770000000000001</c:v>
                </c:pt>
                <c:pt idx="2">
                  <c:v>0.58299999999999996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960-48B8-A94C-BD8B5F9F9846}"/>
            </c:ext>
          </c:extLst>
        </c:ser>
        <c:ser>
          <c:idx val="3"/>
          <c:order val="5"/>
          <c:tx>
            <c:strRef>
              <c:f>List1!$M$120</c:f>
              <c:strCache>
                <c:ptCount val="1"/>
                <c:pt idx="0">
                  <c:v>SCE - EtOH cosolvent (250 bar / 40 °C)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List1!$AB$123:$AD$123</c:f>
                <c:numCache>
                  <c:formatCode>General</c:formatCode>
                  <c:ptCount val="3"/>
                  <c:pt idx="0">
                    <c:v>2.1000000000000001E-2</c:v>
                  </c:pt>
                  <c:pt idx="1">
                    <c:v>3.1E-2</c:v>
                  </c:pt>
                  <c:pt idx="2">
                    <c:v>0.09</c:v>
                  </c:pt>
                </c:numCache>
              </c:numRef>
            </c:plus>
            <c:minus>
              <c:numRef>
                <c:f>List1!$AB$123:$AD$123</c:f>
                <c:numCache>
                  <c:formatCode>General</c:formatCode>
                  <c:ptCount val="3"/>
                  <c:pt idx="0">
                    <c:v>2.1000000000000001E-2</c:v>
                  </c:pt>
                  <c:pt idx="1">
                    <c:v>3.1E-2</c:v>
                  </c:pt>
                  <c:pt idx="2">
                    <c:v>0.09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List1!$AB$120:$AD$120</c:f>
              <c:numCache>
                <c:formatCode>General</c:formatCode>
                <c:ptCount val="3"/>
                <c:pt idx="0">
                  <c:v>8.5199999999999998E-2</c:v>
                </c:pt>
                <c:pt idx="1">
                  <c:v>9.2299999999999993E-2</c:v>
                </c:pt>
                <c:pt idx="2">
                  <c:v>0.68899999999999995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960-48B8-A94C-BD8B5F9F98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3779752"/>
        <c:axId val="363780928"/>
        <c:extLst xmlns:c16r2="http://schemas.microsoft.com/office/drawing/2015/06/chart"/>
      </c:barChart>
      <c:catAx>
        <c:axId val="3637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780928"/>
        <c:crosses val="autoZero"/>
        <c:auto val="1"/>
        <c:lblAlgn val="ctr"/>
        <c:lblOffset val="100"/>
        <c:noMultiLvlLbl val="0"/>
      </c:catAx>
      <c:valAx>
        <c:axId val="36378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 sz="900" b="0" i="0" baseline="0">
                    <a:effectLst/>
                  </a:rPr>
                  <a:t>PAC  [mg/mL]</a:t>
                </a:r>
                <a:endParaRPr lang="sl-SI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1.0049533277744511E-2"/>
              <c:y val="0.329459204869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779752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6.4914344076841407E-2"/>
          <c:y val="0.87013052619923914"/>
          <c:w val="0.90227190049972938"/>
          <c:h val="0.10936254883595202"/>
        </c:manualLayout>
      </c:layout>
      <c:overlay val="0"/>
      <c:spPr>
        <a:noFill/>
        <a:ln>
          <a:solidFill>
            <a:schemeClr val="bg2">
              <a:lumMod val="9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2135286542292"/>
          <c:y val="1.7241036436125744E-2"/>
          <c:w val="0.80577053985656266"/>
          <c:h val="0.68129468831027584"/>
        </c:manualLayout>
      </c:layout>
      <c:barChart>
        <c:barDir val="col"/>
        <c:grouping val="clustered"/>
        <c:varyColors val="0"/>
        <c:ser>
          <c:idx val="4"/>
          <c:order val="4"/>
          <c:tx>
            <c:strRef>
              <c:f>List1!$B$80</c:f>
              <c:strCache>
                <c:ptCount val="1"/>
                <c:pt idx="0">
                  <c:v>Soxhlet extraction - MeOH</c:v>
                </c:pt>
              </c:strCache>
            </c:strRef>
          </c:tx>
          <c:spPr>
            <a:solidFill>
              <a:srgbClr val="CCFF66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List1!$D$67:$D$69</c:f>
                <c:numCache>
                  <c:formatCode>General</c:formatCode>
                  <c:ptCount val="3"/>
                  <c:pt idx="0">
                    <c:v>0.4</c:v>
                  </c:pt>
                  <c:pt idx="1">
                    <c:v>0.63</c:v>
                  </c:pt>
                  <c:pt idx="2">
                    <c:v>0.7</c:v>
                  </c:pt>
                </c:numCache>
              </c:numRef>
            </c:plus>
            <c:minus>
              <c:numRef>
                <c:f>List1!$D$67:$D$69</c:f>
                <c:numCache>
                  <c:formatCode>General</c:formatCode>
                  <c:ptCount val="3"/>
                  <c:pt idx="0">
                    <c:v>0.4</c:v>
                  </c:pt>
                  <c:pt idx="1">
                    <c:v>0.63</c:v>
                  </c:pt>
                  <c:pt idx="2">
                    <c:v>0.7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List1!$C$67:$C$69</c:f>
              <c:numCache>
                <c:formatCode>General</c:formatCode>
                <c:ptCount val="3"/>
                <c:pt idx="0">
                  <c:v>2.75</c:v>
                </c:pt>
                <c:pt idx="1">
                  <c:v>6.98</c:v>
                </c:pt>
                <c:pt idx="2">
                  <c:v>8.83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61-48A2-ACAD-B4013439B199}"/>
            </c:ext>
          </c:extLst>
        </c:ser>
        <c:ser>
          <c:idx val="5"/>
          <c:order val="5"/>
          <c:tx>
            <c:strRef>
              <c:f>List1!$B$81</c:f>
              <c:strCache>
                <c:ptCount val="1"/>
                <c:pt idx="0">
                  <c:v>Cold extraction - MeOH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E61-48A2-ACAD-B4013439B199}"/>
              </c:ext>
            </c:extLst>
          </c:dPt>
          <c:errBars>
            <c:errBarType val="both"/>
            <c:errValType val="cust"/>
            <c:noEndCap val="0"/>
            <c:plus>
              <c:numRef>
                <c:f>List1!$F$67:$F$69</c:f>
                <c:numCache>
                  <c:formatCode>General</c:formatCode>
                  <c:ptCount val="3"/>
                  <c:pt idx="0">
                    <c:v>0.53</c:v>
                  </c:pt>
                  <c:pt idx="1">
                    <c:v>0.8</c:v>
                  </c:pt>
                  <c:pt idx="2">
                    <c:v>0.68</c:v>
                  </c:pt>
                </c:numCache>
              </c:numRef>
            </c:plus>
            <c:minus>
              <c:numRef>
                <c:f>List1!$F$67:$F$69</c:f>
                <c:numCache>
                  <c:formatCode>General</c:formatCode>
                  <c:ptCount val="3"/>
                  <c:pt idx="0">
                    <c:v>0.53</c:v>
                  </c:pt>
                  <c:pt idx="1">
                    <c:v>0.8</c:v>
                  </c:pt>
                  <c:pt idx="2">
                    <c:v>0.68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cat>
            <c:strRef>
              <c:f>List1!$B$67:$B$69</c:f>
              <c:strCache>
                <c:ptCount val="3"/>
                <c:pt idx="0">
                  <c:v>red grapes skin</c:v>
                </c:pt>
                <c:pt idx="1">
                  <c:v>white grapes skin</c:v>
                </c:pt>
                <c:pt idx="2">
                  <c:v>rosehip</c:v>
                </c:pt>
              </c:strCache>
            </c:strRef>
          </c:cat>
          <c:val>
            <c:numRef>
              <c:f>List1!$E$67:$E$69</c:f>
              <c:numCache>
                <c:formatCode>General</c:formatCode>
                <c:ptCount val="3"/>
                <c:pt idx="0">
                  <c:v>13.64</c:v>
                </c:pt>
                <c:pt idx="1">
                  <c:v>11.43</c:v>
                </c:pt>
                <c:pt idx="2">
                  <c:v>6.34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E61-48A2-ACAD-B4013439B199}"/>
            </c:ext>
          </c:extLst>
        </c:ser>
        <c:ser>
          <c:idx val="6"/>
          <c:order val="6"/>
          <c:tx>
            <c:strRef>
              <c:f>List1!$B$77</c:f>
              <c:strCache>
                <c:ptCount val="1"/>
                <c:pt idx="0">
                  <c:v>Soxhlet extraction - EtOH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List1!$H$67:$H$69</c:f>
                <c:numCache>
                  <c:formatCode>General</c:formatCode>
                  <c:ptCount val="3"/>
                  <c:pt idx="0">
                    <c:v>0.7</c:v>
                  </c:pt>
                  <c:pt idx="1">
                    <c:v>0.5</c:v>
                  </c:pt>
                  <c:pt idx="2">
                    <c:v>0.91</c:v>
                  </c:pt>
                </c:numCache>
              </c:numRef>
            </c:plus>
            <c:minus>
              <c:numRef>
                <c:f>List1!$H$67:$H$69</c:f>
                <c:numCache>
                  <c:formatCode>General</c:formatCode>
                  <c:ptCount val="3"/>
                  <c:pt idx="0">
                    <c:v>0.7</c:v>
                  </c:pt>
                  <c:pt idx="1">
                    <c:v>0.5</c:v>
                  </c:pt>
                  <c:pt idx="2">
                    <c:v>0.91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List1!$G$67:$G$69</c:f>
              <c:numCache>
                <c:formatCode>General</c:formatCode>
                <c:ptCount val="3"/>
                <c:pt idx="0">
                  <c:v>6.76</c:v>
                </c:pt>
                <c:pt idx="1">
                  <c:v>6.33</c:v>
                </c:pt>
                <c:pt idx="2">
                  <c:v>8.9499999999999993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E61-48A2-ACAD-B4013439B199}"/>
            </c:ext>
          </c:extLst>
        </c:ser>
        <c:ser>
          <c:idx val="7"/>
          <c:order val="7"/>
          <c:tx>
            <c:strRef>
              <c:f>List1!$B$78</c:f>
              <c:strCache>
                <c:ptCount val="1"/>
                <c:pt idx="0">
                  <c:v>Cold extraction - EtOH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List1!$J$67:$J$69</c:f>
                <c:numCache>
                  <c:formatCode>General</c:formatCode>
                  <c:ptCount val="3"/>
                  <c:pt idx="0">
                    <c:v>1.1000000000000001</c:v>
                  </c:pt>
                  <c:pt idx="1">
                    <c:v>0.76</c:v>
                  </c:pt>
                  <c:pt idx="2">
                    <c:v>0.69</c:v>
                  </c:pt>
                </c:numCache>
              </c:numRef>
            </c:plus>
            <c:minus>
              <c:numRef>
                <c:f>List1!$J$67:$J$69</c:f>
                <c:numCache>
                  <c:formatCode>General</c:formatCode>
                  <c:ptCount val="3"/>
                  <c:pt idx="0">
                    <c:v>1.1000000000000001</c:v>
                  </c:pt>
                  <c:pt idx="1">
                    <c:v>0.76</c:v>
                  </c:pt>
                  <c:pt idx="2">
                    <c:v>0.69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List1!$I$67:$I$69</c:f>
              <c:numCache>
                <c:formatCode>General</c:formatCode>
                <c:ptCount val="3"/>
                <c:pt idx="0">
                  <c:v>12.14</c:v>
                </c:pt>
                <c:pt idx="1">
                  <c:v>8.69</c:v>
                </c:pt>
                <c:pt idx="2">
                  <c:v>3.67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E61-48A2-ACAD-B4013439B199}"/>
            </c:ext>
          </c:extLst>
        </c:ser>
        <c:ser>
          <c:idx val="8"/>
          <c:order val="8"/>
          <c:tx>
            <c:strRef>
              <c:f>List1!$M$119</c:f>
              <c:strCache>
                <c:ptCount val="1"/>
                <c:pt idx="0">
                  <c:v>SCE - EtOH cosolvent (150 bar / 40 °C)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List1!$R$122:$T$122</c:f>
                <c:numCache>
                  <c:formatCode>General</c:formatCode>
                  <c:ptCount val="3"/>
                  <c:pt idx="0">
                    <c:v>1.3</c:v>
                  </c:pt>
                  <c:pt idx="1">
                    <c:v>0.8</c:v>
                  </c:pt>
                  <c:pt idx="2">
                    <c:v>0.55000000000000004</c:v>
                  </c:pt>
                </c:numCache>
              </c:numRef>
            </c:plus>
            <c:minus>
              <c:numRef>
                <c:f>List1!$R$122:$T$122</c:f>
                <c:numCache>
                  <c:formatCode>General</c:formatCode>
                  <c:ptCount val="3"/>
                  <c:pt idx="0">
                    <c:v>1.3</c:v>
                  </c:pt>
                  <c:pt idx="1">
                    <c:v>0.8</c:v>
                  </c:pt>
                  <c:pt idx="2">
                    <c:v>0.55000000000000004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List1!$R$119:$T$119</c:f>
              <c:numCache>
                <c:formatCode>General</c:formatCode>
                <c:ptCount val="3"/>
                <c:pt idx="0" formatCode="0.00">
                  <c:v>11.68</c:v>
                </c:pt>
                <c:pt idx="1">
                  <c:v>8.83</c:v>
                </c:pt>
                <c:pt idx="2">
                  <c:v>8.1300000000000008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E61-48A2-ACAD-B4013439B199}"/>
            </c:ext>
          </c:extLst>
        </c:ser>
        <c:ser>
          <c:idx val="9"/>
          <c:order val="9"/>
          <c:tx>
            <c:strRef>
              <c:f>List1!$M$120</c:f>
              <c:strCache>
                <c:ptCount val="1"/>
                <c:pt idx="0">
                  <c:v>SCE - EtOH cosolvent (250 bar / 40 °C)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List1!$R$123:$T$123</c:f>
                <c:numCache>
                  <c:formatCode>General</c:formatCode>
                  <c:ptCount val="3"/>
                  <c:pt idx="0">
                    <c:v>0.9</c:v>
                  </c:pt>
                  <c:pt idx="1">
                    <c:v>0.53</c:v>
                  </c:pt>
                  <c:pt idx="2">
                    <c:v>0.41</c:v>
                  </c:pt>
                </c:numCache>
              </c:numRef>
            </c:plus>
            <c:minus>
              <c:numRef>
                <c:f>List1!$R$123:$T$123</c:f>
                <c:numCache>
                  <c:formatCode>General</c:formatCode>
                  <c:ptCount val="3"/>
                  <c:pt idx="0">
                    <c:v>0.9</c:v>
                  </c:pt>
                  <c:pt idx="1">
                    <c:v>0.53</c:v>
                  </c:pt>
                  <c:pt idx="2">
                    <c:v>0.41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val>
            <c:numRef>
              <c:f>List1!$R$120:$T$120</c:f>
              <c:numCache>
                <c:formatCode>General</c:formatCode>
                <c:ptCount val="3"/>
                <c:pt idx="0">
                  <c:v>9.23</c:v>
                </c:pt>
                <c:pt idx="1">
                  <c:v>6.77</c:v>
                </c:pt>
                <c:pt idx="2">
                  <c:v>9.01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9E61-48A2-ACAD-B4013439B1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0080864"/>
        <c:axId val="56987850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List1!$C$8</c15:sqref>
                        </c15:formulaRef>
                      </c:ext>
                    </c:extLst>
                    <c:strCache>
                      <c:ptCount val="1"/>
                      <c:pt idx="0">
                        <c:v>red grapes skin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6r2="http://schemas.microsoft.com/office/drawing/2015/06/chart">
                        <c:ext uri="{02D57815-91ED-43cb-92C2-25804820EDAC}">
                          <c15:formulaRef>
                            <c15:sqref>List1!$I$8:$I$10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2</c:v>
                        </c:pt>
                        <c:pt idx="1">
                          <c:v>1.5</c:v>
                        </c:pt>
                        <c:pt idx="2">
                          <c:v>0.5</c:v>
                        </c:pt>
                      </c:numCache>
                    </c:numRef>
                  </c:plus>
                  <c:minus>
                    <c:numRef>
                      <c:extLst xmlns:c16r2="http://schemas.microsoft.com/office/drawing/2015/06/chart">
                        <c:ext uri="{02D57815-91ED-43cb-92C2-25804820EDAC}">
                          <c15:formulaRef>
                            <c15:sqref>List1!$I$8:$I$10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2</c:v>
                        </c:pt>
                        <c:pt idx="1">
                          <c:v>1.5</c:v>
                        </c:pt>
                        <c:pt idx="2">
                          <c:v>0.5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List1!$C$67:$C$69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2.75</c:v>
                      </c:pt>
                      <c:pt idx="1">
                        <c:v>6.98</c:v>
                      </c:pt>
                      <c:pt idx="2">
                        <c:v>8.83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8-9E61-48A2-ACAD-B4013439B19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2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2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List1!$I$12:$I$14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1.2</c:v>
                        </c:pt>
                        <c:pt idx="1">
                          <c:v>1.1000000000000001</c:v>
                        </c:pt>
                        <c:pt idx="2">
                          <c:v>0.8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List1!$I$12:$I$14</c15:sqref>
                          </c15:formulaRef>
                        </c:ext>
                      </c:extLst>
                      <c:numCache>
                        <c:formatCode>General</c:formatCode>
                        <c:ptCount val="3"/>
                        <c:pt idx="0">
                          <c:v>1.2</c:v>
                        </c:pt>
                        <c:pt idx="1">
                          <c:v>1.1000000000000001</c:v>
                        </c:pt>
                        <c:pt idx="2">
                          <c:v>0.8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List1!$C$67:$C$69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2.75</c:v>
                      </c:pt>
                      <c:pt idx="1">
                        <c:v>6.98</c:v>
                      </c:pt>
                      <c:pt idx="2">
                        <c:v>8.83</c:v>
                      </c:pt>
                    </c:numCache>
                  </c:numRef>
                </c:val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9-9E61-48A2-ACAD-B4013439B19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List1!$C$16</c15:sqref>
                        </c15:formulaRef>
                      </c:ext>
                    </c:extLst>
                    <c:strCache>
                      <c:ptCount val="1"/>
                      <c:pt idx="0">
                        <c:v>dog rose </c:v>
                      </c:pt>
                    </c:strCache>
                  </c:strRef>
                </c:tx>
                <c:spPr>
                  <a:solidFill>
                    <a:srgbClr val="FF5050"/>
                  </a:soli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List1!$I$16:$I$19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1.7</c:v>
                        </c:pt>
                        <c:pt idx="1">
                          <c:v>0.7</c:v>
                        </c:pt>
                        <c:pt idx="3">
                          <c:v>1.1000000000000001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List1!$I$16:$I$19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1.7</c:v>
                        </c:pt>
                        <c:pt idx="1">
                          <c:v>0.7</c:v>
                        </c:pt>
                        <c:pt idx="3">
                          <c:v>1.1000000000000001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List1!$H$16:$H$19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27.25</c:v>
                      </c:pt>
                      <c:pt idx="1">
                        <c:v>65</c:v>
                      </c:pt>
                      <c:pt idx="3">
                        <c:v>54.2</c:v>
                      </c:pt>
                    </c:numCache>
                  </c:numRef>
                </c:val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A-9E61-48A2-ACAD-B4013439B19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List1!$C$21</c15:sqref>
                        </c15:formulaRef>
                      </c:ext>
                    </c:extLst>
                    <c:strCache>
                      <c:ptCount val="1"/>
                      <c:pt idx="0">
                        <c:v>dog rose shell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errBars>
                  <c:errBarType val="both"/>
                  <c:errValType val="cust"/>
                  <c:noEndCap val="0"/>
                  <c:pl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List1!$I$21:$I$24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1.3</c:v>
                        </c:pt>
                        <c:pt idx="1">
                          <c:v>1.7</c:v>
                        </c:pt>
                        <c:pt idx="3">
                          <c:v>0.9</c:v>
                        </c:pt>
                      </c:numCache>
                    </c:numRef>
                  </c:plus>
                  <c:minus>
                    <c:numRef>
                      <c:extLst xmlns:c15="http://schemas.microsoft.com/office/drawing/2012/chart" xmlns:c16r2="http://schemas.microsoft.com/office/drawing/2015/06/chart">
                        <c:ext xmlns:c15="http://schemas.microsoft.com/office/drawing/2012/chart" uri="{02D57815-91ED-43cb-92C2-25804820EDAC}">
                          <c15:formulaRef>
                            <c15:sqref>List1!$I$21:$I$24</c15:sqref>
                          </c15:formulaRef>
                        </c:ext>
                      </c:extLst>
                      <c:numCache>
                        <c:formatCode>General</c:formatCode>
                        <c:ptCount val="4"/>
                        <c:pt idx="0">
                          <c:v>1.3</c:v>
                        </c:pt>
                        <c:pt idx="1">
                          <c:v>1.7</c:v>
                        </c:pt>
                        <c:pt idx="3">
                          <c:v>0.9</c:v>
                        </c:pt>
                      </c:numCache>
                    </c:numRef>
                  </c:minus>
                  <c:spPr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round/>
                    </a:ln>
                    <a:effectLst/>
                  </c:spPr>
                </c:errBars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List1!$B$67:$B$69</c15:sqref>
                        </c15:formulaRef>
                      </c:ext>
                    </c:extLst>
                    <c:strCache>
                      <c:ptCount val="3"/>
                      <c:pt idx="0">
                        <c:v>red grapes skin</c:v>
                      </c:pt>
                      <c:pt idx="1">
                        <c:v>white grapes skin</c:v>
                      </c:pt>
                      <c:pt idx="2">
                        <c:v>rosehip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List1!$H$21:$H$24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26.37</c:v>
                      </c:pt>
                      <c:pt idx="1">
                        <c:v>49</c:v>
                      </c:pt>
                      <c:pt idx="3">
                        <c:v>47.2</c:v>
                      </c:pt>
                    </c:numCache>
                  </c:numRef>
                </c:val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B-9E61-48A2-ACAD-B4013439B199}"/>
                  </c:ext>
                </c:extLst>
              </c15:ser>
            </c15:filteredBarSeries>
          </c:ext>
        </c:extLst>
      </c:barChart>
      <c:catAx>
        <c:axId val="50008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9878504"/>
        <c:crosses val="autoZero"/>
        <c:auto val="1"/>
        <c:lblAlgn val="ctr"/>
        <c:lblOffset val="100"/>
        <c:noMultiLvlLbl val="0"/>
      </c:catAx>
      <c:valAx>
        <c:axId val="569878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 i="1"/>
                  <a:t>DPPH</a:t>
                </a:r>
                <a:r>
                  <a:rPr lang="sl-SI" i="1" baseline="0"/>
                  <a:t> </a:t>
                </a:r>
                <a:r>
                  <a:rPr lang="en-US"/>
                  <a:t>[%]</a:t>
                </a:r>
              </a:p>
            </c:rich>
          </c:tx>
          <c:layout>
            <c:manualLayout>
              <c:xMode val="edge"/>
              <c:yMode val="edge"/>
              <c:x val="1.0049533277744511E-2"/>
              <c:y val="0.329459204869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0080864"/>
        <c:crosses val="autoZero"/>
        <c:crossBetween val="between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8.934525243168133E-2"/>
          <c:y val="0.84544531355508767"/>
          <c:w val="0.84388531727651694"/>
          <c:h val="0.15337969447081115"/>
        </c:manualLayout>
      </c:layout>
      <c:overlay val="0"/>
      <c:spPr>
        <a:noFill/>
        <a:ln>
          <a:solidFill>
            <a:schemeClr val="bg2">
              <a:lumMod val="9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A1A3A4-B7DF-4713-887F-38C78D4D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Kravanja</dc:creator>
  <cp:keywords/>
  <dc:description/>
  <cp:lastModifiedBy>Maša Knez Hrnčič</cp:lastModifiedBy>
  <cp:revision>6</cp:revision>
  <dcterms:created xsi:type="dcterms:W3CDTF">2019-03-25T10:11:00Z</dcterms:created>
  <dcterms:modified xsi:type="dcterms:W3CDTF">2019-03-26T10:08:00Z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zotero-version="5.0.61"&gt;&lt;session id="cFxFupnp"/&gt;&lt;style id="http://www.zotero.org/styles/chemical-society-reviews"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