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ED" w:rsidRPr="000A056B" w:rsidRDefault="007439F3" w:rsidP="007439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The studies present the </w:t>
      </w:r>
      <w:r w:rsidR="005626D1" w:rsidRPr="000A056B">
        <w:rPr>
          <w:rFonts w:ascii="Times New Roman" w:hAnsi="Times New Roman" w:cs="Times New Roman"/>
          <w:sz w:val="24"/>
          <w:szCs w:val="24"/>
          <w:lang w:val="en-GB"/>
        </w:rPr>
        <w:t>coordination</w:t>
      </w:r>
      <w:r w:rsidR="003D3403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E25685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iron(III) and </w:t>
      </w:r>
      <w:proofErr w:type="spellStart"/>
      <w:r w:rsidR="00E25685" w:rsidRPr="000A056B">
        <w:rPr>
          <w:rFonts w:ascii="Times New Roman" w:hAnsi="Times New Roman" w:cs="Times New Roman"/>
          <w:sz w:val="24"/>
          <w:szCs w:val="24"/>
          <w:lang w:val="en-GB"/>
        </w:rPr>
        <w:t>oxovanadium</w:t>
      </w:r>
      <w:proofErr w:type="spellEnd"/>
      <w:r w:rsidR="00E25685" w:rsidRPr="000A056B">
        <w:rPr>
          <w:rFonts w:ascii="Times New Roman" w:hAnsi="Times New Roman" w:cs="Times New Roman"/>
          <w:sz w:val="24"/>
          <w:szCs w:val="24"/>
          <w:lang w:val="en-GB"/>
        </w:rPr>
        <w:t>(IV</w:t>
      </w:r>
      <w:r w:rsidR="003D3403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) ions </w:t>
      </w:r>
      <w:r w:rsidR="00D43097" w:rsidRPr="000A056B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biologically active</w:t>
      </w:r>
      <w:r w:rsidR="00D43097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2-picolinehydroxamic acid </w:t>
      </w:r>
      <w:r w:rsidR="00D43097" w:rsidRPr="000A056B">
        <w:rPr>
          <w:rFonts w:ascii="Times New Roman" w:hAnsi="Times New Roman" w:cs="Times New Roman"/>
          <w:sz w:val="24"/>
          <w:szCs w:val="24"/>
          <w:lang w:val="en-US"/>
        </w:rPr>
        <w:t>in aqueous solution</w:t>
      </w:r>
      <w:r w:rsidR="003D3403" w:rsidRPr="000A056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6445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63006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demonstrating the protective </w:t>
      </w:r>
      <w:r w:rsidR="00296445" w:rsidRPr="000A056B">
        <w:rPr>
          <w:rFonts w:ascii="Times New Roman" w:hAnsi="Times New Roman" w:cs="Times New Roman"/>
          <w:sz w:val="24"/>
          <w:szCs w:val="24"/>
          <w:lang w:val="en-US"/>
        </w:rPr>
        <w:t>role of</w:t>
      </w:r>
      <w:r w:rsidR="00F63006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96445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ligand against excess of metal ions.</w:t>
      </w:r>
      <w:r w:rsidR="00296445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2C69" w:rsidRPr="000A056B">
        <w:rPr>
          <w:rFonts w:ascii="Times New Roman" w:hAnsi="Times New Roman" w:cs="Times New Roman"/>
          <w:sz w:val="24"/>
          <w:szCs w:val="24"/>
          <w:lang w:val="en-US"/>
        </w:rPr>
        <w:t>The UV-Vis spectrophotometric method</w:t>
      </w:r>
      <w:r w:rsidR="00DE2C69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2C69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enabled </w:t>
      </w:r>
      <w:r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the determination of </w:t>
      </w:r>
      <w:r w:rsidR="00DE2C69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the stability constant values </w:t>
      </w:r>
      <w:r w:rsidR="003D3403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D3403" w:rsidRPr="000A056B">
        <w:rPr>
          <w:rFonts w:ascii="Times New Roman" w:hAnsi="Times New Roman" w:cs="Times New Roman"/>
          <w:sz w:val="24"/>
          <w:szCs w:val="24"/>
          <w:lang w:val="en-GB"/>
        </w:rPr>
        <w:t>mononuclear complexes</w:t>
      </w:r>
      <w:r w:rsidR="006F652A" w:rsidRPr="000A05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6224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This allowed </w:t>
      </w:r>
      <w:r w:rsidR="00740183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224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propose </w:t>
      </w:r>
      <w:r w:rsidR="00740183" w:rsidRPr="000A056B">
        <w:rPr>
          <w:rFonts w:ascii="Times New Roman" w:hAnsi="Times New Roman" w:cs="Times New Roman"/>
          <w:sz w:val="24"/>
          <w:szCs w:val="24"/>
          <w:lang w:val="en-US"/>
        </w:rPr>
        <w:t>coordination mode</w:t>
      </w:r>
      <w:r w:rsidR="00DF16AA" w:rsidRPr="000A056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6224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of the complexes and </w:t>
      </w:r>
      <w:r w:rsidR="00740183" w:rsidRPr="000A056B">
        <w:rPr>
          <w:rFonts w:ascii="Times New Roman" w:hAnsi="Times New Roman" w:cs="Times New Roman"/>
          <w:sz w:val="24"/>
          <w:szCs w:val="24"/>
          <w:lang w:val="en-US"/>
        </w:rPr>
        <w:t>to prove</w:t>
      </w:r>
      <w:r w:rsidR="00B1461E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461E" w:rsidRPr="000A056B">
        <w:rPr>
          <w:rFonts w:ascii="Times New Roman" w:hAnsi="Times New Roman" w:cs="Times New Roman"/>
          <w:sz w:val="24"/>
          <w:szCs w:val="24"/>
          <w:lang w:val="en-US"/>
        </w:rPr>
        <w:t>more effective</w:t>
      </w:r>
      <w:r w:rsidR="003A6224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binding</w:t>
      </w:r>
      <w:r w:rsidR="00E25685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ability of</w:t>
      </w:r>
      <w:r w:rsidR="00E25685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5685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Fe(III) </w:t>
      </w:r>
      <w:r w:rsidR="00B1461E" w:rsidRPr="000A056B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16AA" w:rsidRPr="000A056B">
        <w:rPr>
          <w:rFonts w:ascii="Times New Roman" w:hAnsi="Times New Roman" w:cs="Times New Roman"/>
          <w:sz w:val="24"/>
          <w:szCs w:val="24"/>
          <w:lang w:val="en-US"/>
        </w:rPr>
        <w:t xml:space="preserve"> VO(IV)</w:t>
      </w:r>
      <w:r w:rsidR="00E25685" w:rsidRPr="000A056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40183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>ESI-MS studies</w:t>
      </w:r>
      <w:r w:rsidR="00F34CF2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confirmed the mononuclear complexes with 2-picolinehydroxamic acid </w:t>
      </w:r>
      <w:r w:rsidR="00DF16AA" w:rsidRPr="000A056B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suggest</w:t>
      </w:r>
      <w:r w:rsidR="00F34CF2" w:rsidRPr="000A056B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subsequent types in both metal systems.</w:t>
      </w:r>
      <w:r w:rsidR="00006D6F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>The complexes show</w:t>
      </w:r>
      <w:r w:rsidR="00F34CF2" w:rsidRPr="000A056B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reversibility to the aqua-ion and free ligand, indicating the </w:t>
      </w:r>
      <w:proofErr w:type="spellStart"/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>siderophoric</w:t>
      </w:r>
      <w:proofErr w:type="spellEnd"/>
      <w:r w:rsidR="00177BED" w:rsidRPr="000A056B">
        <w:rPr>
          <w:rFonts w:ascii="Times New Roman" w:hAnsi="Times New Roman" w:cs="Times New Roman"/>
          <w:sz w:val="24"/>
          <w:szCs w:val="24"/>
          <w:lang w:val="en-GB"/>
        </w:rPr>
        <w:t xml:space="preserve"> character of 2-picolinehydroxamic acid.</w:t>
      </w:r>
    </w:p>
    <w:sectPr w:rsidR="00177BED" w:rsidRPr="000A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8A"/>
    <w:rsid w:val="00006D6F"/>
    <w:rsid w:val="000A056B"/>
    <w:rsid w:val="000B1ED3"/>
    <w:rsid w:val="00177BED"/>
    <w:rsid w:val="00296445"/>
    <w:rsid w:val="003A6224"/>
    <w:rsid w:val="003D3403"/>
    <w:rsid w:val="00421B8E"/>
    <w:rsid w:val="004770DC"/>
    <w:rsid w:val="004E5626"/>
    <w:rsid w:val="005626D1"/>
    <w:rsid w:val="00645FEC"/>
    <w:rsid w:val="00660842"/>
    <w:rsid w:val="006F652A"/>
    <w:rsid w:val="00723AF0"/>
    <w:rsid w:val="00740183"/>
    <w:rsid w:val="007439F3"/>
    <w:rsid w:val="00882C63"/>
    <w:rsid w:val="009528F8"/>
    <w:rsid w:val="00B1461E"/>
    <w:rsid w:val="00CD2261"/>
    <w:rsid w:val="00D43097"/>
    <w:rsid w:val="00D7198A"/>
    <w:rsid w:val="00DE2C69"/>
    <w:rsid w:val="00DF16AA"/>
    <w:rsid w:val="00E25685"/>
    <w:rsid w:val="00F34CF2"/>
    <w:rsid w:val="00F63006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645FEC"/>
  </w:style>
  <w:style w:type="character" w:customStyle="1" w:styleId="shorttext">
    <w:name w:val="short_text"/>
    <w:rsid w:val="0064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645FEC"/>
  </w:style>
  <w:style w:type="character" w:customStyle="1" w:styleId="shorttext">
    <w:name w:val="short_text"/>
    <w:rsid w:val="0064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2019-04-05T12:17:00Z</cp:lastPrinted>
  <dcterms:created xsi:type="dcterms:W3CDTF">2019-04-05T10:37:00Z</dcterms:created>
  <dcterms:modified xsi:type="dcterms:W3CDTF">2019-04-11T12:14:00Z</dcterms:modified>
</cp:coreProperties>
</file>