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89A" w:rsidRPr="00CB700F" w:rsidRDefault="00CB700F" w:rsidP="00CB700F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B700F">
        <w:rPr>
          <w:rFonts w:ascii="Times New Roman" w:hAnsi="Times New Roman" w:cs="Times New Roman"/>
          <w:b/>
          <w:noProof/>
          <w:sz w:val="28"/>
          <w:szCs w:val="28"/>
        </w:rPr>
        <w:t>Supplementary Material</w:t>
      </w:r>
    </w:p>
    <w:p w:rsidR="00CB700F" w:rsidRPr="00CB700F" w:rsidRDefault="00CB700F">
      <w:pPr>
        <w:rPr>
          <w:rFonts w:ascii="Times New Roman" w:hAnsi="Times New Roman" w:cs="Times New Roman"/>
          <w:noProof/>
          <w:sz w:val="24"/>
          <w:szCs w:val="24"/>
        </w:rPr>
      </w:pPr>
    </w:p>
    <w:p w:rsidR="00B643A3" w:rsidRPr="00B80436" w:rsidRDefault="00B643A3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43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Supplementary data 1. </w:t>
      </w:r>
      <w:r w:rsidR="006125F4" w:rsidRPr="00B643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Synthesis of ligands (L</w:t>
      </w:r>
      <w:r w:rsidR="006125F4" w:rsidRPr="00B643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1</w:t>
      </w:r>
      <w:r w:rsidR="006125F4" w:rsidRPr="00B643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-L</w:t>
      </w:r>
      <w:r w:rsidR="006125F4" w:rsidRPr="00B643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6</w:t>
      </w:r>
      <w:r w:rsidR="006125F4" w:rsidRPr="00B643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Synthesis of 4-(4-fluorophenyl)-2-(furan-2-yl)-6-p-tolylpyridine [L</w:t>
      </w: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vertAlign w:val="superscript"/>
        </w:rPr>
        <w:t>1</w:t>
      </w: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]</w:t>
      </w: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Substituted 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enones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synthesized by the reaction of </w:t>
      </w:r>
      <w:r w:rsidRPr="008863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fluorobenzaldehyde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</w:t>
      </w:r>
      <w:r w:rsidRPr="008863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methylacetophenone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was refluxed with 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pyridinium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salt of 2-acetylfuran in presence of ammonium acetate for 6h. The reaction mixture was allowed to cool at room temperature. 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 xml:space="preserve">The solid product obtained was washed with cold methanol and recrystallized from ethyl 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>acetate</w:t>
      </w:r>
      <w:proofErr w:type="gram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>:hexane</w:t>
      </w:r>
      <w:proofErr w:type="spellEnd"/>
      <w:proofErr w:type="gram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IN"/>
        </w:rPr>
        <w:t xml:space="preserve"> (1:9), in which only ligand is soluble while interference settle down at bottom. By carefully decanting solvent, only single spot ligand product was isolated.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Yield: 53%, 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m.p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.: 115-119 °C,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Anal. Calc. for C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22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16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FNO (329.37):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Calc. (%):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C, 80.23; H, 4.90; N, 4.25. Found (%): C, 80.21; H, 4.93; N, 4.27.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  <w:lang w:val="en-IN"/>
        </w:rPr>
        <w:t>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H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NMR (CDCl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, 400 MHz):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IN"/>
        </w:rPr>
        <w:t xml:space="preserve">δ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(ppm) 8.068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8.064 (d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2'′,6'′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7.823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7.819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7.765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7.730 (complex, 3H,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3′′,5′′,5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7.590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7.584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7.345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7.325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3'′',5'''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7.284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7.209 (complex, 3H,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2′′',6'′′,4'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6.606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6.593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), 2.456 (s, 3H, 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CH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IR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KBr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4000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400cm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-1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): 3032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proofErr w:type="gram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ar</w:t>
      </w:r>
      <w:proofErr w:type="spellEnd"/>
      <w:proofErr w:type="gram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 1543 v(C=C); 1497 v(C=N); 1220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F); 1304 pyridine skeleton band; 740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H); 918, 818(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-substituted ring).</w:t>
      </w:r>
    </w:p>
    <w:p w:rsidR="00B643A3" w:rsidRDefault="00B643A3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Synthesis of 4-(4-chlorophenyl)-2-(furan-2-yl)-6-p-tolylpyridine [L</w:t>
      </w: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vertAlign w:val="superscript"/>
        </w:rPr>
        <w:t>2</w:t>
      </w: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]</w:t>
      </w: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It has been synthesized using the 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chalcone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prepared from the reaction between </w:t>
      </w:r>
      <w:r w:rsidRPr="008863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chlorobenzaldehyde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</w:t>
      </w:r>
      <w:r w:rsidRPr="008863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methylacetophenone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Yield: 59%, 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m.p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.: 110-112 °C,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Anal. Calc. for C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22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16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ClNO (345.82):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Calc. (%):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C, 76.41; H, 4.66; N, 4.05. Found (%): C, 76.44; H, 4.67; N, 4.08.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  <w:lang w:val="en-IN"/>
        </w:rPr>
        <w:t>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H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NMR (CDCl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, 400 MHz):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IN"/>
        </w:rPr>
        <w:t xml:space="preserve">δ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(ppm) 8.064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8.044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2'′,6'′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7.823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7.821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5'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7.757 (s,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7.714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7.693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3′′',5'′′,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7.588 (s,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7.524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7.503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3′′,5'′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7.345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7.325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2′′′,6'′′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7.284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7.271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4′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6.606-6.594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), 2.456 (s, 3H, 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lastRenderedPageBreak/>
        <w:t>CH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IR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KBr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4000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400cm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-1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): 3063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proofErr w:type="gram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ar</w:t>
      </w:r>
      <w:proofErr w:type="spellEnd"/>
      <w:proofErr w:type="gram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 1543 v(C=C); 1489 v(C=N); 1040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Cl); 1327 pyridine skeleton band; 733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H); 987, 810(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-substituted ring).</w:t>
      </w:r>
    </w:p>
    <w:p w:rsidR="00B643A3" w:rsidRDefault="00B643A3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Synthesis of 4-(4-bromophenyl)-2-(furan-2-yl)-6-p-tolylpyridine [L</w:t>
      </w: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vertAlign w:val="superscript"/>
        </w:rPr>
        <w:t>3</w:t>
      </w:r>
      <w:r w:rsidRPr="008863D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]</w:t>
      </w: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It has been synthesized using the 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chalcone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prepared from the reaction between </w:t>
      </w:r>
      <w:r w:rsidRPr="008863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bromobenzaldehyde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</w:t>
      </w:r>
      <w:r w:rsidRPr="008863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methylacetophenone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Yield: 49%, </w:t>
      </w:r>
      <w:proofErr w:type="spellStart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m.p</w:t>
      </w:r>
      <w:proofErr w:type="spellEnd"/>
      <w:r w:rsidRPr="008863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.: 129-132 °C,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Anal. Calc. for C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22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16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BrNO (390.27):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Calc. (%):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C, 67.71; H, 4.13; N, 3.59. Found (%): C, 67.74; H, 4.17; N, 3.61.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  <w:lang w:val="en-IN"/>
        </w:rPr>
        <w:t>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H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NMR (CDCl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, 400 MHz):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IN"/>
        </w:rPr>
        <w:t xml:space="preserve">δ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(ppm) 8.071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8.051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2'′,6'′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7.968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7.948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, 1,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5'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7.831 (s,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7.792 (s,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7.580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7.539(t, 3H,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2''′,6''',3′′′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),7.500 (s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5′′′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7.335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7.240(complex, 3H,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3′′,5′′,4′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6.607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6.597(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), 2.420 (s, 3H, 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CH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IR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KBr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4000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400cm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-1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): 3044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proofErr w:type="gram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ar</w:t>
      </w:r>
      <w:proofErr w:type="spellEnd"/>
      <w:proofErr w:type="gram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 1543 v(C=C); 1487 v(C=N); 1050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Br); 1373 pyridine skeleton band; 771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H); 920, 818(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-substituted ring).</w:t>
      </w:r>
    </w:p>
    <w:p w:rsidR="00B643A3" w:rsidRDefault="00B643A3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Synthesis of 4-(3-fluorophenyl)-2-(furan-2-yl)-6-p-tolylpyridine [L</w:t>
      </w: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perscript"/>
        </w:rPr>
        <w:t>4</w:t>
      </w: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]</w:t>
      </w: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It has been synthesized using the 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chalcone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prepared from the reaction between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fluorobenzaldehyde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and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methylacetophenone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Yield: 59%, 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m.p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.: 89-92 °C, Anal. Calc. for: C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22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16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FNO (329.37):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Calc. (%):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C, 80.23; H, 4.90; N, 4.25. Found (%): C, 80.24; H, 4.88; N, 4.27.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  <w:lang w:val="en-IN"/>
        </w:rPr>
        <w:t>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H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NMR (CDCl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, 400 MHz):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IN"/>
        </w:rPr>
        <w:t xml:space="preserve">δ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(ppm) 8.075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8.054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2'′,6'′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7.839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7.836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7.774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7.771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7.597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7.593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5'′′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7.566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7.454 (complex, 3H,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2′′',6'′′,4'′′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),7.350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7.330(d,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3′′,5′′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),7.283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7.274(d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),7.211-7.164 (t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4′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6.610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6.592(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), 2.459(s, 3H, 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CH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IR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KBr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4000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400cm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-1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): 3063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proofErr w:type="gram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ar</w:t>
      </w:r>
      <w:proofErr w:type="spellEnd"/>
      <w:proofErr w:type="gram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 1551 v(C=C); 1489 v(C=N); 1222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F); 1381 pyridine skeleton band; 748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H); 926, 864(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-substituted ring).</w:t>
      </w:r>
    </w:p>
    <w:p w:rsidR="00B643A3" w:rsidRDefault="00B643A3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Synthesis of 4-(3-chlorophenyl)-2-(furan-2-yl)-6-p-tolylpyridine [L</w:t>
      </w: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perscript"/>
        </w:rPr>
        <w:t>5</w:t>
      </w: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]</w:t>
      </w: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It has been synthesized using the 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chalcone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prepared from the reaction between </w:t>
      </w:r>
    </w:p>
    <w:p w:rsidR="006125F4" w:rsidRPr="008863DB" w:rsidRDefault="006125F4" w:rsidP="006125F4">
      <w:pPr>
        <w:spacing w:after="0" w:line="48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proofErr w:type="gramStart"/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chlorobenzaldehyde</w:t>
      </w:r>
      <w:proofErr w:type="spellEnd"/>
      <w:proofErr w:type="gram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and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methylacetophenone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Yield: 70%, 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m.p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.: 78-80 °C, Anal. Calc. for C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22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16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ClNO (345.82):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Calc. (%):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C, 76.41; H, 4.66; N, 4.05. Found (%): C, 76.40; H, 4.68; N, 4.04.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  <w:lang w:val="en-IN"/>
        </w:rPr>
        <w:t>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H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NMR (CDCl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, 400 MHz):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IN"/>
        </w:rPr>
        <w:t xml:space="preserve">δ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(ppm) 8.072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8.052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2'′,6'′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7.910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7.901(t,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),7.820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7.817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7.756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7.753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7.700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7.681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6'′′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),7.630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7.595(complex,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3′′′,5′′′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),7.433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7.394(t,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4′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7.348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7.329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3′′,5′′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7.248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7.275(d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6.609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6.597(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), 2.458(s, 3H, 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CH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).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IR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KBr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4000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400cm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-1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): 3063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H)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ar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 1551 v(C=C); 1489 v(C=N); 1225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Cl); 1381 pyridine skeleton band; 748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H); 926, 864(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-substituted ring).</w:t>
      </w:r>
    </w:p>
    <w:p w:rsidR="00B643A3" w:rsidRDefault="00B643A3" w:rsidP="006125F4">
      <w:pPr>
        <w:tabs>
          <w:tab w:val="left" w:pos="2621"/>
        </w:tabs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6125F4" w:rsidRPr="008863DB" w:rsidRDefault="006125F4" w:rsidP="006125F4">
      <w:pPr>
        <w:tabs>
          <w:tab w:val="left" w:pos="2621"/>
        </w:tabs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Synthesis of 4-(3-bromophenyl)-2-(furan-2-yl)-6-p-tolylpyridine [L</w:t>
      </w: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perscript"/>
        </w:rPr>
        <w:t>6</w:t>
      </w:r>
      <w:r w:rsidRPr="008863D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]</w:t>
      </w:r>
    </w:p>
    <w:p w:rsidR="006125F4" w:rsidRPr="008863DB" w:rsidRDefault="006125F4" w:rsidP="006125F4">
      <w:pPr>
        <w:tabs>
          <w:tab w:val="left" w:pos="2621"/>
        </w:tabs>
        <w:spacing w:after="0" w:line="48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It has been synthesized using the 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chalcone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prepared from the reaction between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bromobenzaldehyde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and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methylacetophenone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Yield: 38%, 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m.p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.: 88-89 °C, Anal. Calc. for C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22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16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BrNO (390.27):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SG"/>
        </w:rPr>
        <w:t xml:space="preserve">Calc. (%):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C, 67.71; H, 4.13; N, 3.59. Found (%): C, 67.75; H, 4.14; N, 3.58.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  <w:lang w:val="en-IN"/>
        </w:rPr>
        <w:t>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H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NMR (CDCl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, 400 MHz):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IN"/>
        </w:rPr>
        <w:t xml:space="preserve">δ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(ppm) 8.073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8.053 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2'′,6'′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7.830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7.827 (d,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),7.765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7.750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poor resolved, 2H, 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2'′′,6'′′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7.660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7.634 (complex,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4'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7.596-7.594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7.480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7.464(complex,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3′′′,5′′′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),7.349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7.329(d, 2H,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3′′,5′′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),7.288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7.284 (d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poor resolved,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5′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), 6.610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6.597(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dd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, 1H, 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3′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 xml:space="preserve">), 2.458(s, 3H, 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CH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  <w:lang w:val="en-IN"/>
        </w:rPr>
        <w:t>3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IN"/>
        </w:rPr>
        <w:t>).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IR (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KBr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4000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400cm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-1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): 3063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H)</w:t>
      </w:r>
      <w:proofErr w:type="spellStart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ar</w:t>
      </w:r>
      <w:proofErr w:type="spellEnd"/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 1543 v(C=C); 1497 v(C=N); 1369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Br); 1381 pyridine skeleton band; 733 v(C</w:t>
      </w:r>
      <w:r w:rsidRPr="008863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H); 918, 813( </w:t>
      </w:r>
      <w:r w:rsidRPr="008863D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8863D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-substituted ring).</w:t>
      </w:r>
    </w:p>
    <w:p w:rsidR="006125F4" w:rsidRDefault="006125F4" w:rsidP="00CB700F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00F" w:rsidRPr="00CB700F" w:rsidRDefault="00CB700F" w:rsidP="00CB700F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data</w:t>
      </w:r>
      <w:r w:rsidR="00B643A3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CB7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00F">
        <w:rPr>
          <w:rFonts w:ascii="Times New Roman" w:hAnsi="Times New Roman" w:cs="Times New Roman"/>
          <w:sz w:val="24"/>
          <w:szCs w:val="24"/>
        </w:rPr>
        <w:t>Thermogram</w:t>
      </w:r>
      <w:proofErr w:type="spellEnd"/>
      <w:r w:rsidRPr="00CB700F">
        <w:rPr>
          <w:rFonts w:ascii="Times New Roman" w:hAnsi="Times New Roman" w:cs="Times New Roman"/>
          <w:sz w:val="24"/>
          <w:szCs w:val="24"/>
        </w:rPr>
        <w:t xml:space="preserve"> of complex</w:t>
      </w:r>
      <w:r w:rsidRPr="00CB700F">
        <w:rPr>
          <w:rFonts w:ascii="Times New Roman" w:hAnsi="Times New Roman" w:cs="Times New Roman"/>
          <w:b/>
          <w:sz w:val="24"/>
          <w:szCs w:val="24"/>
        </w:rPr>
        <w:t>–1</w:t>
      </w: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  <w:r w:rsidRPr="00CB70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4D99F4" wp14:editId="7617C410">
            <wp:extent cx="5207225" cy="4023360"/>
            <wp:effectExtent l="0" t="0" r="0" b="0"/>
            <wp:docPr id="1" name="Picture 1" descr="D:\Work\Communications of Article\Communications of articles final\Parag\JJNPP\Fig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\Communications of Article\Communications of articles final\Parag\JJNPP\Fig 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225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B643A3" w:rsidRDefault="00B643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B700F" w:rsidRPr="00CB700F" w:rsidRDefault="00CB700F" w:rsidP="00CB700F">
      <w:pPr>
        <w:spacing w:before="24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data</w:t>
      </w:r>
      <w:r w:rsidR="00B643A3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Pr="00CB700F">
        <w:rPr>
          <w:rFonts w:ascii="Times New Roman" w:hAnsi="Times New Roman" w:cs="Times New Roman"/>
          <w:sz w:val="24"/>
          <w:szCs w:val="24"/>
        </w:rPr>
        <w:t xml:space="preserve"> LC–MS spectrum of complex</w:t>
      </w:r>
      <w:r w:rsidRPr="00CB700F">
        <w:rPr>
          <w:rFonts w:ascii="Times New Roman" w:hAnsi="Times New Roman" w:cs="Times New Roman"/>
          <w:b/>
          <w:sz w:val="24"/>
          <w:szCs w:val="24"/>
        </w:rPr>
        <w:t>–1</w:t>
      </w: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  <w:r w:rsidRPr="00CB70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427429"/>
            <wp:effectExtent l="0" t="0" r="0" b="0"/>
            <wp:docPr id="2" name="Picture 2" descr="D:\Work\Communications of Article\Communications of articles final\Parag\JJNPP\Fig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ork\Communications of Article\Communications of articles final\Parag\JJNPP\Fig 2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2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CB700F">
      <w:pPr>
        <w:rPr>
          <w:rFonts w:ascii="Times New Roman" w:hAnsi="Times New Roman" w:cs="Times New Roman"/>
          <w:sz w:val="24"/>
          <w:szCs w:val="24"/>
        </w:rPr>
      </w:pPr>
    </w:p>
    <w:p w:rsidR="00CB700F" w:rsidRPr="00CB700F" w:rsidRDefault="00B643A3" w:rsidP="00CB700F">
      <w:pPr>
        <w:spacing w:before="24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data 4.</w:t>
      </w:r>
      <w:r w:rsidR="00CB700F" w:rsidRPr="00CB700F">
        <w:rPr>
          <w:rFonts w:ascii="Times New Roman" w:hAnsi="Times New Roman" w:cs="Times New Roman"/>
          <w:sz w:val="24"/>
          <w:szCs w:val="24"/>
        </w:rPr>
        <w:t xml:space="preserve"> Fragmentation pattern of complex</w:t>
      </w:r>
      <w:r w:rsidR="00CB700F" w:rsidRPr="00CB700F">
        <w:rPr>
          <w:rFonts w:ascii="Times New Roman" w:hAnsi="Times New Roman" w:cs="Times New Roman"/>
          <w:b/>
          <w:bCs/>
          <w:iCs/>
          <w:sz w:val="24"/>
          <w:szCs w:val="24"/>
        </w:rPr>
        <w:t>–1</w:t>
      </w:r>
      <w:r w:rsidR="00CB700F" w:rsidRPr="00CB70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700F" w:rsidRPr="00CB70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700F" w:rsidRDefault="00CB700F">
      <w:pPr>
        <w:rPr>
          <w:rFonts w:ascii="Times New Roman" w:hAnsi="Times New Roman" w:cs="Times New Roman"/>
          <w:sz w:val="24"/>
          <w:szCs w:val="24"/>
        </w:rPr>
      </w:pPr>
      <w:r w:rsidRPr="00CB70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3440" cy="6945715"/>
            <wp:effectExtent l="0" t="0" r="3810" b="7620"/>
            <wp:docPr id="3" name="Picture 3" descr="D:\Work\Communications of Article\Communications of articles final\Parag\JJNPP\Schem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\Communications of Article\Communications of articles final\Parag\JJNPP\Scheme 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694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436" w:rsidRDefault="00B80436">
      <w:pPr>
        <w:rPr>
          <w:rFonts w:ascii="Times New Roman" w:hAnsi="Times New Roman" w:cs="Times New Roman"/>
          <w:sz w:val="24"/>
          <w:szCs w:val="24"/>
        </w:rPr>
      </w:pPr>
    </w:p>
    <w:p w:rsidR="00B80436" w:rsidRDefault="00B80436">
      <w:pPr>
        <w:rPr>
          <w:rFonts w:ascii="Times New Roman" w:hAnsi="Times New Roman" w:cs="Times New Roman"/>
          <w:sz w:val="24"/>
          <w:szCs w:val="24"/>
        </w:rPr>
      </w:pPr>
    </w:p>
    <w:p w:rsidR="00B80436" w:rsidRPr="00B80436" w:rsidRDefault="00B80436" w:rsidP="00B80436">
      <w:pPr>
        <w:spacing w:before="24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data 5.</w:t>
      </w:r>
      <w:r w:rsidRPr="00CB700F">
        <w:rPr>
          <w:rFonts w:ascii="Times New Roman" w:hAnsi="Times New Roman" w:cs="Times New Roman"/>
          <w:sz w:val="24"/>
          <w:szCs w:val="24"/>
        </w:rPr>
        <w:t xml:space="preserve"> </w:t>
      </w:r>
      <w:r w:rsidRPr="00B80436">
        <w:rPr>
          <w:rFonts w:ascii="Times New Roman" w:hAnsi="Times New Roman" w:cs="Times New Roman"/>
          <w:sz w:val="24"/>
          <w:szCs w:val="24"/>
        </w:rPr>
        <w:t>IR spectra of the complexes.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"/>
        <w:gridCol w:w="1254"/>
        <w:gridCol w:w="1254"/>
        <w:gridCol w:w="1299"/>
        <w:gridCol w:w="1275"/>
        <w:gridCol w:w="1410"/>
        <w:gridCol w:w="2151"/>
      </w:tblGrid>
      <w:tr w:rsidR="00B80436" w:rsidRPr="00B80436" w:rsidTr="00CF70BC">
        <w:trPr>
          <w:jc w:val="center"/>
        </w:trPr>
        <w:tc>
          <w:tcPr>
            <w:tcW w:w="383" w:type="pct"/>
            <w:tcBorders>
              <w:top w:val="single" w:sz="12" w:space="0" w:color="auto"/>
              <w:bottom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  <w:proofErr w:type="spellEnd"/>
          </w:p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670" w:type="pct"/>
            <w:tcBorders>
              <w:top w:val="single" w:sz="12" w:space="0" w:color="auto"/>
              <w:bottom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bscript"/>
              </w:rPr>
            </w:pPr>
            <w:r w:rsidRPr="00B804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ν</w:t>
            </w:r>
            <w:r w:rsidRPr="00B804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(C=N)</w:t>
            </w:r>
            <w:proofErr w:type="spellStart"/>
            <w:r w:rsidRPr="00B804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bscript"/>
              </w:rPr>
              <w:t>ar</w:t>
            </w:r>
            <w:proofErr w:type="spellEnd"/>
          </w:p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cm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670" w:type="pct"/>
            <w:tcBorders>
              <w:top w:val="single" w:sz="12" w:space="0" w:color="auto"/>
              <w:bottom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bscript"/>
              </w:rPr>
            </w:pPr>
            <w:r w:rsidRPr="00B804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ν</w:t>
            </w:r>
            <w:r w:rsidRPr="00B804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(C=C)</w:t>
            </w:r>
            <w:proofErr w:type="spellStart"/>
            <w:r w:rsidRPr="00B804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bscript"/>
              </w:rPr>
              <w:t>ar</w:t>
            </w:r>
            <w:proofErr w:type="spellEnd"/>
          </w:p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cm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694" w:type="pct"/>
            <w:tcBorders>
              <w:top w:val="single" w:sz="12" w:space="0" w:color="auto"/>
              <w:bottom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bscript"/>
              </w:rPr>
            </w:pPr>
            <w:r w:rsidRPr="00B804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ν</w:t>
            </w:r>
            <w:r w:rsidRPr="00B804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(C–H)</w:t>
            </w:r>
            <w:proofErr w:type="spellStart"/>
            <w:r w:rsidRPr="00B804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bscript"/>
              </w:rPr>
              <w:t>ar</w:t>
            </w:r>
            <w:proofErr w:type="spellEnd"/>
          </w:p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cm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681" w:type="pct"/>
            <w:tcBorders>
              <w:top w:val="single" w:sz="12" w:space="0" w:color="auto"/>
              <w:bottom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ν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(Ru</w:t>
            </w:r>
            <w:r w:rsidRPr="00B804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–</w:t>
            </w:r>
            <w:r w:rsidR="009339C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cm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753" w:type="pct"/>
            <w:tcBorders>
              <w:top w:val="single" w:sz="12" w:space="0" w:color="auto"/>
              <w:bottom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ν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(Ru</w:t>
            </w:r>
            <w:r w:rsidRPr="00B804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–</w:t>
            </w:r>
            <w:r w:rsidR="009339C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cm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149" w:type="pct"/>
            <w:tcBorders>
              <w:top w:val="single" w:sz="12" w:space="0" w:color="auto"/>
              <w:bottom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PPh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</w:p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cm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</w:p>
        </w:tc>
      </w:tr>
      <w:tr w:rsidR="00B80436" w:rsidRPr="00B80436" w:rsidTr="00CF70BC">
        <w:trPr>
          <w:jc w:val="center"/>
        </w:trPr>
        <w:tc>
          <w:tcPr>
            <w:tcW w:w="383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670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670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694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3030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753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1149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1454, 1032, 698</w:t>
            </w:r>
          </w:p>
        </w:tc>
      </w:tr>
      <w:tr w:rsidR="00B80436" w:rsidRPr="00B80436" w:rsidTr="00CF70BC">
        <w:trPr>
          <w:jc w:val="center"/>
        </w:trPr>
        <w:tc>
          <w:tcPr>
            <w:tcW w:w="383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670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670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1541</w:t>
            </w:r>
          </w:p>
        </w:tc>
        <w:tc>
          <w:tcPr>
            <w:tcW w:w="694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3038</w:t>
            </w:r>
          </w:p>
        </w:tc>
        <w:tc>
          <w:tcPr>
            <w:tcW w:w="681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753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149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1458, 1029, 689</w:t>
            </w:r>
          </w:p>
        </w:tc>
      </w:tr>
      <w:tr w:rsidR="00B80436" w:rsidRPr="00B80436" w:rsidTr="00CF70BC">
        <w:trPr>
          <w:jc w:val="center"/>
        </w:trPr>
        <w:tc>
          <w:tcPr>
            <w:tcW w:w="383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670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670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1541</w:t>
            </w:r>
          </w:p>
        </w:tc>
        <w:tc>
          <w:tcPr>
            <w:tcW w:w="694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681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753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149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1462, 1029, 694</w:t>
            </w:r>
          </w:p>
        </w:tc>
      </w:tr>
      <w:tr w:rsidR="00B80436" w:rsidRPr="00B80436" w:rsidTr="00CF70BC">
        <w:trPr>
          <w:jc w:val="center"/>
        </w:trPr>
        <w:tc>
          <w:tcPr>
            <w:tcW w:w="383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670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670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1549</w:t>
            </w:r>
          </w:p>
        </w:tc>
        <w:tc>
          <w:tcPr>
            <w:tcW w:w="694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3033</w:t>
            </w:r>
          </w:p>
        </w:tc>
        <w:tc>
          <w:tcPr>
            <w:tcW w:w="681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753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149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1456,  1021, 697</w:t>
            </w:r>
          </w:p>
        </w:tc>
      </w:tr>
      <w:tr w:rsidR="00B80436" w:rsidRPr="00B80436" w:rsidTr="00CF70BC">
        <w:trPr>
          <w:jc w:val="center"/>
        </w:trPr>
        <w:tc>
          <w:tcPr>
            <w:tcW w:w="383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670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670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1543</w:t>
            </w:r>
          </w:p>
        </w:tc>
        <w:tc>
          <w:tcPr>
            <w:tcW w:w="694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3054</w:t>
            </w:r>
          </w:p>
        </w:tc>
        <w:tc>
          <w:tcPr>
            <w:tcW w:w="681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753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149" w:type="pct"/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1443, 1024, 692</w:t>
            </w:r>
          </w:p>
        </w:tc>
      </w:tr>
      <w:tr w:rsidR="00B80436" w:rsidRPr="00B80436" w:rsidTr="00CF70BC">
        <w:trPr>
          <w:jc w:val="center"/>
        </w:trPr>
        <w:tc>
          <w:tcPr>
            <w:tcW w:w="383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(6)</w:t>
            </w:r>
          </w:p>
        </w:tc>
        <w:tc>
          <w:tcPr>
            <w:tcW w:w="670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670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</w:tc>
        <w:tc>
          <w:tcPr>
            <w:tcW w:w="694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3063</w:t>
            </w:r>
          </w:p>
        </w:tc>
        <w:tc>
          <w:tcPr>
            <w:tcW w:w="681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753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149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before="240" w:after="160" w:line="48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1443, 1027, 690</w:t>
            </w:r>
          </w:p>
        </w:tc>
      </w:tr>
    </w:tbl>
    <w:p w:rsidR="00B80436" w:rsidRPr="00B80436" w:rsidRDefault="00B80436" w:rsidP="00B80436">
      <w:pPr>
        <w:spacing w:before="24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80436" w:rsidRPr="00CB700F" w:rsidRDefault="00B80436" w:rsidP="00B80436">
      <w:pPr>
        <w:spacing w:before="24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80436" w:rsidRDefault="00B80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80436" w:rsidRPr="00B80436" w:rsidRDefault="00B80436" w:rsidP="00B804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data 6. </w:t>
      </w:r>
      <w:r w:rsidRPr="00B80436">
        <w:rPr>
          <w:rFonts w:ascii="Times New Roman" w:hAnsi="Times New Roman" w:cs="Times New Roman"/>
          <w:sz w:val="24"/>
          <w:szCs w:val="24"/>
        </w:rPr>
        <w:t>MIC values of ligands [L</w:t>
      </w:r>
      <w:r w:rsidRPr="00B804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80436">
        <w:rPr>
          <w:rFonts w:ascii="Times New Roman" w:hAnsi="Times New Roman" w:cs="Times New Roman"/>
          <w:sz w:val="24"/>
          <w:szCs w:val="24"/>
        </w:rPr>
        <w:t>-L</w:t>
      </w:r>
      <w:r w:rsidRPr="00B80436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B80436">
        <w:rPr>
          <w:rFonts w:ascii="Times New Roman" w:hAnsi="Times New Roman" w:cs="Times New Roman"/>
          <w:sz w:val="24"/>
          <w:szCs w:val="24"/>
        </w:rPr>
        <w:t>] and complexes (1-6)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1640"/>
        <w:gridCol w:w="1460"/>
        <w:gridCol w:w="1915"/>
        <w:gridCol w:w="2001"/>
        <w:gridCol w:w="1505"/>
      </w:tblGrid>
      <w:tr w:rsidR="00B80436" w:rsidRPr="00B80436" w:rsidTr="00CF70BC">
        <w:trPr>
          <w:jc w:val="center"/>
        </w:trPr>
        <w:tc>
          <w:tcPr>
            <w:tcW w:w="448" w:type="pct"/>
            <w:vMerge w:val="restart"/>
            <w:tcBorders>
              <w:top w:val="single" w:sz="12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Sr.</w:t>
            </w:r>
          </w:p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552" w:type="pct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MIC Values (µM)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  <w:vMerge/>
            <w:tcBorders>
              <w:bottom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36" w:rsidRPr="00F91DFF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FF">
              <w:rPr>
                <w:rFonts w:ascii="Times New Roman" w:hAnsi="Times New Roman" w:cs="Times New Roman"/>
                <w:b/>
                <w:sz w:val="24"/>
                <w:szCs w:val="24"/>
              </w:rPr>
              <w:t>Gram</w:t>
            </w:r>
            <w:r w:rsidR="00BE3E77" w:rsidRPr="00F91DFF">
              <w:rPr>
                <w:rFonts w:ascii="Times New Roman" w:hAnsi="Times New Roman" w:cs="Times New Roman"/>
                <w:b/>
                <w:sz w:val="24"/>
                <w:szCs w:val="24"/>
              </w:rPr>
              <w:t>-p</w:t>
            </w:r>
            <w:r w:rsidRPr="00F91DFF">
              <w:rPr>
                <w:rFonts w:ascii="Times New Roman" w:hAnsi="Times New Roman" w:cs="Times New Roman"/>
                <w:b/>
                <w:sz w:val="24"/>
                <w:szCs w:val="24"/>
              </w:rPr>
              <w:t>ositive</w:t>
            </w:r>
          </w:p>
        </w:tc>
        <w:tc>
          <w:tcPr>
            <w:tcW w:w="2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436" w:rsidRPr="00F91DFF" w:rsidRDefault="00BE3E77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FF">
              <w:rPr>
                <w:rFonts w:ascii="Times New Roman" w:hAnsi="Times New Roman" w:cs="Times New Roman"/>
                <w:b/>
                <w:sz w:val="24"/>
                <w:szCs w:val="24"/>
              </w:rPr>
              <w:t>Gram-n</w:t>
            </w:r>
            <w:r w:rsidR="00514ADF" w:rsidRPr="00F91DFF">
              <w:rPr>
                <w:rFonts w:ascii="Times New Roman" w:hAnsi="Times New Roman" w:cs="Times New Roman"/>
                <w:b/>
                <w:sz w:val="24"/>
                <w:szCs w:val="24"/>
              </w:rPr>
              <w:t>ega</w:t>
            </w:r>
            <w:r w:rsidR="00B80436" w:rsidRPr="00F91DFF">
              <w:rPr>
                <w:rFonts w:ascii="Times New Roman" w:hAnsi="Times New Roman" w:cs="Times New Roman"/>
                <w:b/>
                <w:sz w:val="24"/>
                <w:szCs w:val="24"/>
              </w:rPr>
              <w:t>tive</w:t>
            </w:r>
            <w:bookmarkStart w:id="0" w:name="_GoBack"/>
            <w:bookmarkEnd w:id="0"/>
          </w:p>
        </w:tc>
      </w:tr>
      <w:tr w:rsidR="00B80436" w:rsidRPr="00B80436" w:rsidTr="00CF70BC">
        <w:trPr>
          <w:jc w:val="center"/>
        </w:trPr>
        <w:tc>
          <w:tcPr>
            <w:tcW w:w="44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 aureus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B. subtilis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S. </w:t>
            </w:r>
            <w:proofErr w:type="spellStart"/>
            <w:r w:rsidRPr="00B80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marcescens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P. aeruginosa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E. coli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[L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876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80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023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03" w:type="pct"/>
            <w:tcBorders>
              <w:top w:val="single" w:sz="4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[L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[L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[L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[L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[L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876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80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2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69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03" w:type="pct"/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80436" w:rsidRPr="00B80436" w:rsidTr="00CF70BC">
        <w:trPr>
          <w:jc w:val="center"/>
        </w:trPr>
        <w:tc>
          <w:tcPr>
            <w:tcW w:w="448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b/>
                <w:sz w:val="24"/>
                <w:szCs w:val="24"/>
              </w:rPr>
              <w:t>(6)</w:t>
            </w:r>
          </w:p>
        </w:tc>
        <w:tc>
          <w:tcPr>
            <w:tcW w:w="876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80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023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69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03" w:type="pct"/>
            <w:tcBorders>
              <w:bottom w:val="single" w:sz="12" w:space="0" w:color="auto"/>
            </w:tcBorders>
          </w:tcPr>
          <w:p w:rsidR="00B80436" w:rsidRPr="00B80436" w:rsidRDefault="00B80436" w:rsidP="00B804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43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</w:tbl>
    <w:p w:rsidR="00B80436" w:rsidRPr="00B80436" w:rsidRDefault="00B80436" w:rsidP="00B80436">
      <w:pPr>
        <w:rPr>
          <w:rFonts w:ascii="Times New Roman" w:hAnsi="Times New Roman" w:cs="Times New Roman"/>
          <w:b/>
          <w:sz w:val="24"/>
          <w:szCs w:val="24"/>
        </w:rPr>
      </w:pPr>
    </w:p>
    <w:p w:rsidR="00B80436" w:rsidRDefault="00B80436">
      <w:pPr>
        <w:rPr>
          <w:rFonts w:ascii="Times New Roman" w:hAnsi="Times New Roman" w:cs="Times New Roman"/>
          <w:sz w:val="24"/>
          <w:szCs w:val="24"/>
        </w:rPr>
      </w:pPr>
    </w:p>
    <w:p w:rsidR="00B80436" w:rsidRDefault="00B80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80436" w:rsidRPr="00B80436" w:rsidRDefault="00B80436" w:rsidP="00B80436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lastRenderedPageBreak/>
        <w:t>Supplementary data 7</w:t>
      </w:r>
      <w:r w:rsidRPr="00B80436">
        <w:rPr>
          <w:rFonts w:ascii="Times New Roman" w:hAnsi="Times New Roman" w:cs="Times New Roman"/>
          <w:b/>
          <w:sz w:val="24"/>
          <w:szCs w:val="24"/>
          <w:lang w:val="en-IN"/>
        </w:rPr>
        <w:t>.</w:t>
      </w:r>
      <w:r w:rsidRPr="00B80436">
        <w:rPr>
          <w:rFonts w:ascii="Times New Roman" w:hAnsi="Times New Roman" w:cs="Times New Roman"/>
          <w:sz w:val="24"/>
          <w:szCs w:val="24"/>
          <w:lang w:val="en-IN"/>
        </w:rPr>
        <w:t xml:space="preserve"> Effect on relative viscosity of DNA under the influence of increasing amount of complexes at 37±0.1 °C in phosphate buffer (Na</w:t>
      </w:r>
      <w:r w:rsidRPr="00B80436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Pr="00B80436">
        <w:rPr>
          <w:rFonts w:ascii="Times New Roman" w:hAnsi="Times New Roman" w:cs="Times New Roman"/>
          <w:sz w:val="24"/>
          <w:szCs w:val="24"/>
          <w:lang w:val="en-IN"/>
        </w:rPr>
        <w:t>HPO</w:t>
      </w:r>
      <w:r w:rsidRPr="00B80436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4</w:t>
      </w:r>
      <w:r w:rsidRPr="00B80436">
        <w:rPr>
          <w:rFonts w:ascii="Times New Roman" w:hAnsi="Times New Roman" w:cs="Times New Roman"/>
          <w:sz w:val="24"/>
          <w:szCs w:val="24"/>
          <w:lang w:val="en-IN"/>
        </w:rPr>
        <w:t>/NaH</w:t>
      </w:r>
      <w:r w:rsidRPr="00B80436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2</w:t>
      </w:r>
      <w:r w:rsidRPr="00B80436">
        <w:rPr>
          <w:rFonts w:ascii="Times New Roman" w:hAnsi="Times New Roman" w:cs="Times New Roman"/>
          <w:sz w:val="24"/>
          <w:szCs w:val="24"/>
          <w:lang w:val="en-IN"/>
        </w:rPr>
        <w:t>PO</w:t>
      </w:r>
      <w:r w:rsidRPr="00B80436">
        <w:rPr>
          <w:rFonts w:ascii="Times New Roman" w:hAnsi="Times New Roman" w:cs="Times New Roman"/>
          <w:sz w:val="24"/>
          <w:szCs w:val="24"/>
          <w:vertAlign w:val="subscript"/>
          <w:lang w:val="en-IN"/>
        </w:rPr>
        <w:t>4</w:t>
      </w:r>
      <w:r w:rsidRPr="00B80436">
        <w:rPr>
          <w:rFonts w:ascii="Times New Roman" w:hAnsi="Times New Roman" w:cs="Times New Roman"/>
          <w:sz w:val="24"/>
          <w:szCs w:val="24"/>
          <w:lang w:val="en-IN"/>
        </w:rPr>
        <w:t>, pH 7.2)</w:t>
      </w:r>
    </w:p>
    <w:p w:rsidR="00B80436" w:rsidRDefault="00B80436">
      <w:pPr>
        <w:rPr>
          <w:rFonts w:ascii="Times New Roman" w:hAnsi="Times New Roman" w:cs="Times New Roman"/>
          <w:sz w:val="24"/>
          <w:szCs w:val="24"/>
        </w:rPr>
      </w:pPr>
    </w:p>
    <w:p w:rsidR="00B80436" w:rsidRPr="00CB700F" w:rsidRDefault="00B80436">
      <w:pPr>
        <w:rPr>
          <w:rFonts w:ascii="Times New Roman" w:hAnsi="Times New Roman" w:cs="Times New Roman"/>
          <w:sz w:val="24"/>
          <w:szCs w:val="24"/>
        </w:rPr>
      </w:pPr>
      <w:r w:rsidRPr="00B8043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81400" cy="2865120"/>
            <wp:effectExtent l="0" t="0" r="0" b="0"/>
            <wp:docPr id="4" name="Picture 4" descr="D:\Work\Communications of Article\Communications of articles final\Parag\JJNPP\Figur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\Communications of Article\Communications of articles final\Parag\JJNPP\Figure 2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855" cy="286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0436" w:rsidRPr="00CB7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48"/>
    <w:rsid w:val="002E4316"/>
    <w:rsid w:val="00470548"/>
    <w:rsid w:val="004E089A"/>
    <w:rsid w:val="00514ADF"/>
    <w:rsid w:val="005954F8"/>
    <w:rsid w:val="005A4814"/>
    <w:rsid w:val="006125F4"/>
    <w:rsid w:val="009339C5"/>
    <w:rsid w:val="00AA4D92"/>
    <w:rsid w:val="00B643A3"/>
    <w:rsid w:val="00B80436"/>
    <w:rsid w:val="00B81AF2"/>
    <w:rsid w:val="00BA369C"/>
    <w:rsid w:val="00BE3E77"/>
    <w:rsid w:val="00CB700F"/>
    <w:rsid w:val="00F9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43922-38B8-42C1-8541-71B498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B700F"/>
    <w:rPr>
      <w:color w:val="0000FF"/>
      <w:u w:val="single"/>
    </w:rPr>
  </w:style>
  <w:style w:type="table" w:styleId="TableGrid">
    <w:name w:val="Table Grid"/>
    <w:basedOn w:val="TableNormal"/>
    <w:uiPriority w:val="39"/>
    <w:rsid w:val="00B8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</dc:creator>
  <cp:keywords/>
  <dc:description/>
  <cp:lastModifiedBy>Windows User</cp:lastModifiedBy>
  <cp:revision>17</cp:revision>
  <dcterms:created xsi:type="dcterms:W3CDTF">2018-07-23T11:21:00Z</dcterms:created>
  <dcterms:modified xsi:type="dcterms:W3CDTF">2019-06-15T03:08:00Z</dcterms:modified>
</cp:coreProperties>
</file>