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9A" w:rsidRPr="00CB700F" w:rsidRDefault="00CB700F" w:rsidP="00CB700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B700F">
        <w:rPr>
          <w:rFonts w:ascii="Times New Roman" w:hAnsi="Times New Roman" w:cs="Times New Roman"/>
          <w:b/>
          <w:noProof/>
          <w:sz w:val="28"/>
          <w:szCs w:val="28"/>
        </w:rPr>
        <w:t>Supplementary Material</w:t>
      </w:r>
    </w:p>
    <w:p w:rsidR="00CB700F" w:rsidRPr="00CB700F" w:rsidRDefault="00CB700F">
      <w:pPr>
        <w:rPr>
          <w:rFonts w:ascii="Times New Roman" w:hAnsi="Times New Roman" w:cs="Times New Roman"/>
          <w:noProof/>
          <w:sz w:val="24"/>
          <w:szCs w:val="24"/>
        </w:rPr>
      </w:pPr>
    </w:p>
    <w:p w:rsidR="00B643A3" w:rsidRPr="00B80436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data 1. 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Synthesis of ligands (L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-L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6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Synthesis of 4-(4-fluorophenyl)-2-(furan-2-yl)-6-p-tolylpyridine [L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1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Substituted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enones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synthesized by the reaction of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fluorobenzaldehyde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was refluxed with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pyridinium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salt of 2-acetylfuran in presence of ammonium acetate for 6h. The reaction mixture was allowed to cool at room temperature. 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The solid product obtained was washed with cold methanol and recrystallized from ethyl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>acetate</w:t>
      </w:r>
      <w:proofErr w:type="gram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>:hexane</w:t>
      </w:r>
      <w:proofErr w:type="spellEnd"/>
      <w:proofErr w:type="gram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 (1:9), in which only ligand is soluble while interference settle down at bottom. By carefully decanting solvent, only single spot ligand product was isolated.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Yield: 53%,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.: 115-119 °C,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FNO (329.37):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C, 80.23; H, 4.90; N, 4.25. Found (%): C, 80.21; H, 4.93; N, 4.27.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8.068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8.064 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7.823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7.819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7.765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7.730 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3′′,5′′,5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7.590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7.584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7.345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7.325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3'′',5'''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7.284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7.209 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2′′',6'′′,4'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6.606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6.593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2.456 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3032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proofErr w:type="gram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proofErr w:type="gram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1543 v(C=C); 1497 v(C=N); 1220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F); 1304 pyridine skeleton band; 740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918, 818(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Synthesis of 4-(4-chlorophenyl)-2-(furan-2-yl)-6-p-tolylpyridine [L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2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 has been synthesized using the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chalcone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prepared from the reaction between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chlorobenzaldehyde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Yield: 59%,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.: 110-112 °C,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ClNO (345.82):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76.41; H, 4.66; N, 4.05. Found (%): C, 76.44; H, 4.67; N, 4.08.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8.064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8.044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7.823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7.821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7.757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7.714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7.693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3′′',5'′′,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7.588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7.524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7.503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7.345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7.325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2′′′,6'′′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7.284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7.271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6.606-6.594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2.456 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lastRenderedPageBreak/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proofErr w:type="gram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proofErr w:type="gram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1543 v(C=C); 1489 v(C=N); 1040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Cl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); 1327 pyridine skeleton band; 733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987, 810(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Synthesis of 4-(4-bromophenyl)-2-(furan-2-yl)-6-p-tolylpyridine [L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3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 has been synthesized using the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chalcone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prepared from the reaction between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bromobenzaldehyde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Yield: 49%,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.: 129-132 °C,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BrNO (390.27):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67.71; H, 4.13; N, 3.59. Found (%): C, 67.74; H, 4.17; N, 3.61.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8.071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8.051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7.968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7.948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7.831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7.792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7.580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7.539(t, 3H,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2''′,6''',3′′′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),7.500 (s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7.335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7.240(complex,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3′′,5′′,4′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6.607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6.597(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2.420 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3044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proofErr w:type="gram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proofErr w:type="gram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1543 v(C=C); 1487 v(C=N); 1050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Br); 1373 pyridine skeleton band; 771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920, 818(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Synthesis of 4-(3-fluorophenyl)-2-(furan-2-yl)-6-p-tolylpyridine [L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4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It has been synthesized using the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chalcone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prepared from the reaction between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fluorobenzaldehyde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Yield: 59%,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.: 89-92 °C, Anal. Calc. for: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FNO (329.37):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80.23; H, 4.90; N, 4.25. Found (%): C, 80.24; H, 4.88; N, 4.27.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8.054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7.839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7.836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7.774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7.771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7.597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7.593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7.566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7.454 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2′′',6'′′,4'′′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),7.350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7.330(d,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),7.283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7.274(d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),7.211-7.164 (t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6.610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6.592(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2.459(s,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proofErr w:type="gram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proofErr w:type="gram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1551 v(C=C); 1489 v(C=N); 1222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F); 1381 pyridine skeleton band; 748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926, 864(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Synthesis of 4-(3-chlorophenyl)-2-(furan-2-yl)-6-p-tolylpyridine [L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5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It has been synthesized using the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chalcone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prepared from the reaction between 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gramStart"/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chlorobenzaldehyde</w:t>
      </w:r>
      <w:proofErr w:type="spellEnd"/>
      <w:proofErr w:type="gram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Yield: 70%,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.: 78-80 °C, 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ClNO (345.82):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76.41; H, 4.66; N, 4.05. Found (%): C, 76.40; H, 4.68; N, 4.04.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8.072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8.052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7.910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7.901(t,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),7.820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7.817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7.756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7.753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7.681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6'′′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),7.630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7.595(complex,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3′′′,5′′′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),7.433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7.394(t,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7.348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7.329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7.248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7.275(d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6.609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6.597(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2.458(s,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1551 v(C=C); 1489 v(C=N); 1225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Cl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); 1381 pyridine skeleton band; 748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926, 864(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tabs>
          <w:tab w:val="left" w:pos="2621"/>
        </w:tabs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tabs>
          <w:tab w:val="left" w:pos="2621"/>
        </w:tabs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Synthesis of 4-(3-bromophenyl)-2-(furan-2-yl)-6-p-tolylpyridine [L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6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tabs>
          <w:tab w:val="left" w:pos="2621"/>
        </w:tabs>
        <w:spacing w:after="0" w:line="48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It has been synthesized using the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chalcone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prepared from the reaction between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bromobenzaldehyde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Yield: 38%,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.: 88-89 °C, 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BrNO (390.27):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C, 67.71; H, 4.13; N, 3.59. Found (%): C, 67.75; H, 4.14; N, 3.58.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8.053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7.830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7.827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),7.765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7.750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poor resolved, 2H,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2'′′,6'′′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7.660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7.634 (complex,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7.596-7.594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7.480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7.464(complex,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3′′′,5′′′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),7.349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7.329(d,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),7.288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7.284 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6.610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6.597(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2.458(s,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1543 v(C=C); 1497 v(C=N); 1369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Br); 1381 pyridine skeleton band; 733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918, 813(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6125F4" w:rsidRDefault="006125F4" w:rsidP="00CB700F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00F" w:rsidRPr="00CB700F" w:rsidRDefault="00CB700F" w:rsidP="00CB700F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</w:t>
      </w:r>
      <w:r w:rsidR="00B643A3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CB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0F">
        <w:rPr>
          <w:rFonts w:ascii="Times New Roman" w:hAnsi="Times New Roman" w:cs="Times New Roman"/>
          <w:sz w:val="24"/>
          <w:szCs w:val="24"/>
        </w:rPr>
        <w:t>Thermogram</w:t>
      </w:r>
      <w:proofErr w:type="spellEnd"/>
      <w:r w:rsidRPr="00CB700F">
        <w:rPr>
          <w:rFonts w:ascii="Times New Roman" w:hAnsi="Times New Roman" w:cs="Times New Roman"/>
          <w:sz w:val="24"/>
          <w:szCs w:val="24"/>
        </w:rPr>
        <w:t xml:space="preserve"> of complex</w:t>
      </w:r>
      <w:r w:rsidRPr="00CB700F">
        <w:rPr>
          <w:rFonts w:ascii="Times New Roman" w:hAnsi="Times New Roman" w:cs="Times New Roman"/>
          <w:b/>
          <w:sz w:val="24"/>
          <w:szCs w:val="24"/>
        </w:rPr>
        <w:t>–1</w:t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  <w:r w:rsidRPr="00CB70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4D99F4" wp14:editId="7617C410">
            <wp:extent cx="5207225" cy="4023360"/>
            <wp:effectExtent l="0" t="0" r="0" b="0"/>
            <wp:docPr id="1" name="Picture 1" descr="D:\Work\Communications of Article\Communications of articles final\Parag\JJNPP\Fig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Communications of Article\Communications of articles final\Parag\JJNPP\Fig 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225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B643A3" w:rsidRDefault="00B643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700F" w:rsidRPr="00CB700F" w:rsidRDefault="00CB700F" w:rsidP="00CB700F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</w:t>
      </w:r>
      <w:r w:rsidR="00B643A3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CB700F">
        <w:rPr>
          <w:rFonts w:ascii="Times New Roman" w:hAnsi="Times New Roman" w:cs="Times New Roman"/>
          <w:sz w:val="24"/>
          <w:szCs w:val="24"/>
        </w:rPr>
        <w:t xml:space="preserve"> LC–MS spectrum of complex</w:t>
      </w:r>
      <w:r w:rsidRPr="00CB700F">
        <w:rPr>
          <w:rFonts w:ascii="Times New Roman" w:hAnsi="Times New Roman" w:cs="Times New Roman"/>
          <w:b/>
          <w:sz w:val="24"/>
          <w:szCs w:val="24"/>
        </w:rPr>
        <w:t>–1</w:t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  <w:r w:rsidRPr="00CB70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427429"/>
            <wp:effectExtent l="0" t="0" r="0" b="0"/>
            <wp:docPr id="2" name="Picture 2" descr="D:\Work\Communications of Article\Communications of articles final\Parag\JJNPP\Fig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Communications of Article\Communications of articles final\Parag\JJNPP\Fig 2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B643A3" w:rsidP="00CB700F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 4.</w:t>
      </w:r>
      <w:r w:rsidR="00CB700F" w:rsidRPr="00CB700F">
        <w:rPr>
          <w:rFonts w:ascii="Times New Roman" w:hAnsi="Times New Roman" w:cs="Times New Roman"/>
          <w:sz w:val="24"/>
          <w:szCs w:val="24"/>
        </w:rPr>
        <w:t xml:space="preserve"> Fragmentation pattern of complex</w:t>
      </w:r>
      <w:r w:rsidR="00CB700F" w:rsidRPr="00CB700F">
        <w:rPr>
          <w:rFonts w:ascii="Times New Roman" w:hAnsi="Times New Roman" w:cs="Times New Roman"/>
          <w:b/>
          <w:bCs/>
          <w:iCs/>
          <w:sz w:val="24"/>
          <w:szCs w:val="24"/>
        </w:rPr>
        <w:t>–1</w:t>
      </w:r>
      <w:r w:rsidR="00CB700F" w:rsidRPr="00CB70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700F" w:rsidRPr="00CB70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700F" w:rsidRDefault="00CB700F">
      <w:pPr>
        <w:rPr>
          <w:rFonts w:ascii="Times New Roman" w:hAnsi="Times New Roman" w:cs="Times New Roman"/>
          <w:sz w:val="24"/>
          <w:szCs w:val="24"/>
        </w:rPr>
      </w:pPr>
      <w:r w:rsidRPr="00CB70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3440" cy="6945715"/>
            <wp:effectExtent l="0" t="0" r="3810" b="7620"/>
            <wp:docPr id="3" name="Picture 3" descr="D:\Work\Communications of Article\Communications of articles final\Parag\JJNPP\Schem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Communications of Article\Communications of articles final\Parag\JJNPP\Scheme 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69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Pr="00B80436" w:rsidRDefault="00B80436" w:rsidP="00B80436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 5.</w:t>
      </w:r>
      <w:r w:rsidRPr="00CB700F">
        <w:rPr>
          <w:rFonts w:ascii="Times New Roman" w:hAnsi="Times New Roman" w:cs="Times New Roman"/>
          <w:sz w:val="24"/>
          <w:szCs w:val="24"/>
        </w:rPr>
        <w:t xml:space="preserve"> </w:t>
      </w:r>
      <w:r w:rsidRPr="00B80436">
        <w:rPr>
          <w:rFonts w:ascii="Times New Roman" w:hAnsi="Times New Roman" w:cs="Times New Roman"/>
          <w:sz w:val="24"/>
          <w:szCs w:val="24"/>
        </w:rPr>
        <w:t>IR spectra of the complexes.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1254"/>
        <w:gridCol w:w="1254"/>
        <w:gridCol w:w="1299"/>
        <w:gridCol w:w="1275"/>
        <w:gridCol w:w="1410"/>
        <w:gridCol w:w="2151"/>
      </w:tblGrid>
      <w:tr w:rsidR="00B80436" w:rsidRPr="00B80436" w:rsidTr="00CF70BC">
        <w:trPr>
          <w:jc w:val="center"/>
        </w:trPr>
        <w:tc>
          <w:tcPr>
            <w:tcW w:w="383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70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</w:pPr>
            <w:r w:rsidRPr="00B80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ν</w:t>
            </w:r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(C=N)</w:t>
            </w:r>
            <w:proofErr w:type="spellStart"/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ar</w:t>
            </w:r>
            <w:proofErr w:type="spellEnd"/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670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</w:pPr>
            <w:r w:rsidRPr="00B80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ν</w:t>
            </w:r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(C=C)</w:t>
            </w:r>
            <w:proofErr w:type="spellStart"/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ar</w:t>
            </w:r>
            <w:proofErr w:type="spellEnd"/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</w:pPr>
            <w:r w:rsidRPr="00B80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ν</w:t>
            </w:r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(C–H)</w:t>
            </w:r>
            <w:proofErr w:type="spellStart"/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ar</w:t>
            </w:r>
            <w:proofErr w:type="spellEnd"/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681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ν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–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N)</w:t>
            </w:r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753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ν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–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O)</w:t>
            </w:r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149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PPh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149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1454, 1032, 698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694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3038</w:t>
            </w:r>
          </w:p>
        </w:tc>
        <w:tc>
          <w:tcPr>
            <w:tcW w:w="681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75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49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1458, 1029, 689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694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681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75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149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1462, 1029, 694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694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</w:p>
        </w:tc>
        <w:tc>
          <w:tcPr>
            <w:tcW w:w="681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75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149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1456,  1021, 697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694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3054</w:t>
            </w:r>
          </w:p>
        </w:tc>
        <w:tc>
          <w:tcPr>
            <w:tcW w:w="681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75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49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1443, 1024, 692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670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670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694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3063</w:t>
            </w:r>
          </w:p>
        </w:tc>
        <w:tc>
          <w:tcPr>
            <w:tcW w:w="681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753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49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1443, 1027, 690</w:t>
            </w:r>
          </w:p>
        </w:tc>
      </w:tr>
    </w:tbl>
    <w:p w:rsidR="00B80436" w:rsidRPr="00B80436" w:rsidRDefault="00B80436" w:rsidP="00B80436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80436" w:rsidRPr="00CB700F" w:rsidRDefault="00B80436" w:rsidP="00B80436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0436" w:rsidRPr="00B80436" w:rsidRDefault="00B80436" w:rsidP="00B804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data 6. </w:t>
      </w:r>
      <w:r w:rsidRPr="00B80436">
        <w:rPr>
          <w:rFonts w:ascii="Times New Roman" w:hAnsi="Times New Roman" w:cs="Times New Roman"/>
          <w:sz w:val="24"/>
          <w:szCs w:val="24"/>
        </w:rPr>
        <w:t>MIC values of ligands [L</w:t>
      </w:r>
      <w:r w:rsidRPr="00B804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0436">
        <w:rPr>
          <w:rFonts w:ascii="Times New Roman" w:hAnsi="Times New Roman" w:cs="Times New Roman"/>
          <w:sz w:val="24"/>
          <w:szCs w:val="24"/>
        </w:rPr>
        <w:t>-L</w:t>
      </w:r>
      <w:r w:rsidRPr="00B8043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80436">
        <w:rPr>
          <w:rFonts w:ascii="Times New Roman" w:hAnsi="Times New Roman" w:cs="Times New Roman"/>
          <w:sz w:val="24"/>
          <w:szCs w:val="24"/>
        </w:rPr>
        <w:t>] and complexes (1-6)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1640"/>
        <w:gridCol w:w="1460"/>
        <w:gridCol w:w="1915"/>
        <w:gridCol w:w="2001"/>
        <w:gridCol w:w="1505"/>
      </w:tblGrid>
      <w:tr w:rsidR="00B80436" w:rsidRPr="00B80436" w:rsidTr="00CF70BC">
        <w:trPr>
          <w:jc w:val="center"/>
        </w:trPr>
        <w:tc>
          <w:tcPr>
            <w:tcW w:w="448" w:type="pct"/>
            <w:vMerge w:val="restart"/>
            <w:tcBorders>
              <w:top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Sr.</w:t>
            </w:r>
          </w:p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552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MIC Values (µM)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Gram Positive</w:t>
            </w:r>
          </w:p>
        </w:tc>
        <w:tc>
          <w:tcPr>
            <w:tcW w:w="2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Gram </w:t>
            </w:r>
            <w:proofErr w:type="spellStart"/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Negetive</w:t>
            </w:r>
            <w:proofErr w:type="spellEnd"/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S. </w:t>
            </w:r>
            <w:proofErr w:type="spellStart"/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B. </w:t>
            </w:r>
            <w:proofErr w:type="spellStart"/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subtilis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S. </w:t>
            </w:r>
            <w:proofErr w:type="spellStart"/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marcescens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P. </w:t>
            </w:r>
            <w:proofErr w:type="spellStart"/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aeruginosa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E. coli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876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80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023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69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B80436" w:rsidRPr="00B80436" w:rsidRDefault="00B80436" w:rsidP="00B80436">
      <w:pPr>
        <w:rPr>
          <w:rFonts w:ascii="Times New Roman" w:hAnsi="Times New Roman" w:cs="Times New Roman"/>
          <w:b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0436" w:rsidRPr="00B80436" w:rsidRDefault="00B80436" w:rsidP="00B80436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lastRenderedPageBreak/>
        <w:t>Supplementary data 7</w:t>
      </w:r>
      <w:r w:rsidRPr="00B80436">
        <w:rPr>
          <w:rFonts w:ascii="Times New Roman" w:hAnsi="Times New Roman" w:cs="Times New Roman"/>
          <w:b/>
          <w:sz w:val="24"/>
          <w:szCs w:val="24"/>
          <w:lang w:val="en-IN"/>
        </w:rPr>
        <w:t>.</w:t>
      </w:r>
      <w:r w:rsidRPr="00B80436">
        <w:rPr>
          <w:rFonts w:ascii="Times New Roman" w:hAnsi="Times New Roman" w:cs="Times New Roman"/>
          <w:sz w:val="24"/>
          <w:szCs w:val="24"/>
          <w:lang w:val="en-IN"/>
        </w:rPr>
        <w:t xml:space="preserve"> Effect on relative viscosity of DNA under the influence of increasing amount of complexes at 37±0.1 °C in phosphate buffer (Na</w:t>
      </w:r>
      <w:r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B80436">
        <w:rPr>
          <w:rFonts w:ascii="Times New Roman" w:hAnsi="Times New Roman" w:cs="Times New Roman"/>
          <w:sz w:val="24"/>
          <w:szCs w:val="24"/>
          <w:lang w:val="en-IN"/>
        </w:rPr>
        <w:t>HPO</w:t>
      </w:r>
      <w:r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Pr="00B80436">
        <w:rPr>
          <w:rFonts w:ascii="Times New Roman" w:hAnsi="Times New Roman" w:cs="Times New Roman"/>
          <w:sz w:val="24"/>
          <w:szCs w:val="24"/>
          <w:lang w:val="en-IN"/>
        </w:rPr>
        <w:t>/NaH</w:t>
      </w:r>
      <w:r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B80436">
        <w:rPr>
          <w:rFonts w:ascii="Times New Roman" w:hAnsi="Times New Roman" w:cs="Times New Roman"/>
          <w:sz w:val="24"/>
          <w:szCs w:val="24"/>
          <w:lang w:val="en-IN"/>
        </w:rPr>
        <w:t>PO</w:t>
      </w:r>
      <w:r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Pr="00B80436">
        <w:rPr>
          <w:rFonts w:ascii="Times New Roman" w:hAnsi="Times New Roman" w:cs="Times New Roman"/>
          <w:sz w:val="24"/>
          <w:szCs w:val="24"/>
          <w:lang w:val="en-IN"/>
        </w:rPr>
        <w:t>, pH 7.2)</w:t>
      </w: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Pr="00CB700F" w:rsidRDefault="00B80436">
      <w:pPr>
        <w:rPr>
          <w:rFonts w:ascii="Times New Roman" w:hAnsi="Times New Roman" w:cs="Times New Roman"/>
          <w:sz w:val="24"/>
          <w:szCs w:val="24"/>
        </w:rPr>
      </w:pPr>
      <w:r w:rsidRPr="00B804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1400" cy="2865120"/>
            <wp:effectExtent l="0" t="0" r="0" b="0"/>
            <wp:docPr id="4" name="Picture 4" descr="D:\Work\Communications of Article\Communications of articles final\Parag\JJNPP\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Communications of Article\Communications of articles final\Parag\JJNPP\Figure 2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855" cy="286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436" w:rsidRPr="00CB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48"/>
    <w:rsid w:val="002E4316"/>
    <w:rsid w:val="00470548"/>
    <w:rsid w:val="004E089A"/>
    <w:rsid w:val="005954F8"/>
    <w:rsid w:val="006125F4"/>
    <w:rsid w:val="00B643A3"/>
    <w:rsid w:val="00B80436"/>
    <w:rsid w:val="00B81AF2"/>
    <w:rsid w:val="00BA369C"/>
    <w:rsid w:val="00CB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43922-38B8-42C1-8541-71B498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B700F"/>
    <w:rPr>
      <w:color w:val="0000FF"/>
      <w:u w:val="single"/>
    </w:rPr>
  </w:style>
  <w:style w:type="table" w:styleId="TableGrid">
    <w:name w:val="Table Grid"/>
    <w:basedOn w:val="TableNormal"/>
    <w:uiPriority w:val="39"/>
    <w:rsid w:val="00B8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CHEMISTRY</cp:lastModifiedBy>
  <cp:revision>12</cp:revision>
  <dcterms:created xsi:type="dcterms:W3CDTF">2018-07-23T11:21:00Z</dcterms:created>
  <dcterms:modified xsi:type="dcterms:W3CDTF">2018-09-26T12:37:00Z</dcterms:modified>
</cp:coreProperties>
</file>