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24D3C" w14:textId="77777777" w:rsidR="00497DB4" w:rsidRDefault="00423215" w:rsidP="008C337C">
      <w:pPr>
        <w:jc w:val="center"/>
        <w:rPr>
          <w:rFonts w:ascii="Times New Roman" w:hAnsi="Times New Roman" w:cs="Times New Roman"/>
          <w:b/>
          <w:sz w:val="48"/>
          <w:szCs w:val="48"/>
          <w:u w:val="single"/>
          <w:lang w:val="en-GB"/>
        </w:rPr>
      </w:pPr>
      <w:bookmarkStart w:id="0" w:name="_GoBack"/>
      <w:bookmarkEnd w:id="0"/>
      <w:r w:rsidRPr="008C337C">
        <w:rPr>
          <w:rFonts w:ascii="Times New Roman" w:hAnsi="Times New Roman" w:cs="Times New Roman"/>
          <w:b/>
          <w:sz w:val="48"/>
          <w:szCs w:val="48"/>
          <w:u w:val="single"/>
          <w:lang w:val="en-GB"/>
        </w:rPr>
        <w:t>Supplementa</w:t>
      </w:r>
      <w:r>
        <w:rPr>
          <w:rFonts w:ascii="Times New Roman" w:hAnsi="Times New Roman" w:cs="Times New Roman"/>
          <w:b/>
          <w:sz w:val="48"/>
          <w:szCs w:val="48"/>
          <w:u w:val="single"/>
          <w:lang w:val="en-GB"/>
        </w:rPr>
        <w:t>ry</w:t>
      </w:r>
      <w:r w:rsidRPr="008C337C">
        <w:rPr>
          <w:rFonts w:ascii="Times New Roman" w:hAnsi="Times New Roman" w:cs="Times New Roman"/>
          <w:b/>
          <w:sz w:val="48"/>
          <w:szCs w:val="48"/>
          <w:u w:val="single"/>
          <w:lang w:val="en-GB"/>
        </w:rPr>
        <w:t xml:space="preserve"> </w:t>
      </w:r>
      <w:r w:rsidR="00FC20BD" w:rsidRPr="008C337C">
        <w:rPr>
          <w:rFonts w:ascii="Times New Roman" w:hAnsi="Times New Roman" w:cs="Times New Roman"/>
          <w:b/>
          <w:sz w:val="48"/>
          <w:szCs w:val="48"/>
          <w:u w:val="single"/>
          <w:lang w:val="en-GB"/>
        </w:rPr>
        <w:t>online material</w:t>
      </w:r>
    </w:p>
    <w:p w14:paraId="3E0E8F9B" w14:textId="6EC818BB" w:rsidR="008C337C" w:rsidRDefault="008C337C" w:rsidP="00E75CDE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FA80D97" w14:textId="77777777" w:rsidR="008C337C" w:rsidRDefault="008C337C" w:rsidP="000F39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C337C">
        <w:rPr>
          <w:rFonts w:ascii="Times New Roman" w:hAnsi="Times New Roman" w:cs="Times New Roman"/>
          <w:b/>
          <w:sz w:val="28"/>
          <w:szCs w:val="28"/>
          <w:lang w:val="en-GB"/>
        </w:rPr>
        <w:t xml:space="preserve">Comparison of </w:t>
      </w:r>
      <w:r w:rsidR="00423215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Pr="008C337C">
        <w:rPr>
          <w:rFonts w:ascii="Times New Roman" w:hAnsi="Times New Roman" w:cs="Times New Roman"/>
          <w:b/>
          <w:sz w:val="28"/>
          <w:szCs w:val="28"/>
          <w:lang w:val="en-GB"/>
        </w:rPr>
        <w:t xml:space="preserve">NMR and </w:t>
      </w:r>
      <w:r w:rsidR="00423215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Pr="008C337C">
        <w:rPr>
          <w:rFonts w:ascii="Times New Roman" w:hAnsi="Times New Roman" w:cs="Times New Roman"/>
          <w:b/>
          <w:sz w:val="28"/>
          <w:szCs w:val="28"/>
          <w:lang w:val="en-GB"/>
        </w:rPr>
        <w:t>Acid Value Determination Method</w:t>
      </w:r>
      <w:r w:rsidR="003E5B9C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Pr="008C337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for Quality Control of Input Polysorbates</w:t>
      </w:r>
    </w:p>
    <w:p w14:paraId="7D1E435A" w14:textId="77777777" w:rsidR="008C337C" w:rsidRDefault="008C337C" w:rsidP="008C337C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0D0ACA4F" w14:textId="4151AFDA" w:rsidR="008C337C" w:rsidRDefault="008C337C" w:rsidP="00932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37C">
        <w:rPr>
          <w:rFonts w:ascii="Times New Roman" w:hAnsi="Times New Roman" w:cs="Times New Roman"/>
          <w:sz w:val="28"/>
          <w:szCs w:val="28"/>
        </w:rPr>
        <w:t>Ema Valentina Brovč</w:t>
      </w:r>
      <w:r w:rsidRPr="008C337C">
        <w:rPr>
          <w:rFonts w:ascii="Times New Roman" w:hAnsi="Times New Roman" w:cs="Times New Roman"/>
          <w:sz w:val="28"/>
          <w:szCs w:val="28"/>
          <w:vertAlign w:val="superscript"/>
        </w:rPr>
        <w:t>a,b</w:t>
      </w:r>
      <w:r w:rsidRPr="008C337C">
        <w:rPr>
          <w:rFonts w:ascii="Times New Roman" w:hAnsi="Times New Roman" w:cs="Times New Roman"/>
          <w:sz w:val="28"/>
          <w:szCs w:val="28"/>
        </w:rPr>
        <w:t>, Stane Pajk</w:t>
      </w:r>
      <w:r w:rsidRPr="008C337C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8C337C">
        <w:rPr>
          <w:rFonts w:ascii="Times New Roman" w:hAnsi="Times New Roman" w:cs="Times New Roman"/>
          <w:sz w:val="28"/>
          <w:szCs w:val="28"/>
        </w:rPr>
        <w:t xml:space="preserve">, </w:t>
      </w:r>
      <w:r w:rsidR="00857EF0" w:rsidRPr="008C337C">
        <w:rPr>
          <w:rFonts w:ascii="Times New Roman" w:hAnsi="Times New Roman" w:cs="Times New Roman"/>
          <w:sz w:val="28"/>
          <w:szCs w:val="28"/>
        </w:rPr>
        <w:t>Roman Šink</w:t>
      </w:r>
      <w:r w:rsidR="00857EF0" w:rsidRPr="008C337C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="0093234D" w:rsidRPr="0093234D">
        <w:rPr>
          <w:rFonts w:ascii="Times New Roman" w:hAnsi="Times New Roman" w:cs="Times New Roman"/>
          <w:sz w:val="28"/>
          <w:szCs w:val="28"/>
        </w:rPr>
        <w:t xml:space="preserve">, </w:t>
      </w:r>
      <w:r w:rsidR="0093234D" w:rsidRPr="008C337C">
        <w:rPr>
          <w:rFonts w:ascii="Times New Roman" w:hAnsi="Times New Roman" w:cs="Times New Roman"/>
          <w:sz w:val="28"/>
          <w:szCs w:val="28"/>
        </w:rPr>
        <w:t>Janez Mravljak</w:t>
      </w:r>
      <w:r w:rsidR="0093234D" w:rsidRPr="008C337C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="0093234D" w:rsidRPr="00D042EF">
        <w:rPr>
          <w:rFonts w:ascii="Times New Roman" w:hAnsi="Times New Roman" w:cs="Times New Roman"/>
          <w:sz w:val="28"/>
          <w:szCs w:val="28"/>
          <w:vertAlign w:val="superscript"/>
        </w:rPr>
        <w:t>,*</w:t>
      </w:r>
    </w:p>
    <w:p w14:paraId="720000DA" w14:textId="77777777" w:rsidR="008C337C" w:rsidRDefault="008C337C" w:rsidP="008C3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C70A8" w14:textId="77777777" w:rsidR="00966EB7" w:rsidRPr="007C041E" w:rsidRDefault="00966EB7" w:rsidP="00966EB7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C041E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a</w:t>
      </w:r>
      <w:r w:rsidRPr="007C041E">
        <w:rPr>
          <w:rFonts w:ascii="Times New Roman" w:hAnsi="Times New Roman" w:cs="Times New Roman"/>
          <w:i/>
          <w:sz w:val="24"/>
          <w:szCs w:val="24"/>
          <w:lang w:val="en-GB"/>
        </w:rPr>
        <w:t>The Chair of Pharmaceutical Chemistry, University of Ljubljana, Faculty of Pharmacy, Aškerčeva 7, SI-1000 Ljubljana, Slovenia</w:t>
      </w:r>
    </w:p>
    <w:p w14:paraId="516ADAC3" w14:textId="77777777" w:rsidR="00966EB7" w:rsidRPr="00CF181D" w:rsidRDefault="00966EB7" w:rsidP="00966EB7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81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b</w:t>
      </w:r>
      <w:r w:rsidRPr="00CF181D">
        <w:rPr>
          <w:rFonts w:ascii="Times New Roman" w:hAnsi="Times New Roman" w:cs="Times New Roman"/>
          <w:i/>
          <w:sz w:val="24"/>
          <w:szCs w:val="24"/>
          <w:lang w:val="en-US"/>
        </w:rPr>
        <w:t>Drug Product Analytical Development, Lek d.d., Kolodvorska 27, SI-1234 Mengeš, Slovenia</w:t>
      </w:r>
    </w:p>
    <w:p w14:paraId="3836A03E" w14:textId="77777777" w:rsidR="00594C26" w:rsidRDefault="00594C26" w:rsidP="00594C26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05F4010" w14:textId="77777777" w:rsidR="00D042EF" w:rsidRPr="00D042EF" w:rsidRDefault="00D042EF" w:rsidP="00D042EF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042EF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*</w:t>
      </w:r>
      <w:r w:rsidRPr="00D042EF">
        <w:rPr>
          <w:rFonts w:ascii="Times New Roman" w:hAnsi="Times New Roman" w:cs="Times New Roman"/>
          <w:i/>
          <w:sz w:val="24"/>
          <w:szCs w:val="24"/>
          <w:lang w:val="en-GB"/>
        </w:rPr>
        <w:t>Corresponding author. phone.: +386 1 4769500; fax: +386 1 4258031.</w:t>
      </w:r>
    </w:p>
    <w:p w14:paraId="6129693F" w14:textId="29C58AE4" w:rsidR="00D042EF" w:rsidRDefault="00D042EF" w:rsidP="00D042EF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042EF">
        <w:rPr>
          <w:rFonts w:ascii="Times New Roman" w:hAnsi="Times New Roman" w:cs="Times New Roman"/>
          <w:i/>
          <w:sz w:val="24"/>
          <w:szCs w:val="24"/>
          <w:lang w:val="en-GB"/>
        </w:rPr>
        <w:t>E-mail address: janez.mravljak@ffa.uni-lj.si (J. Mravljak).</w:t>
      </w:r>
    </w:p>
    <w:p w14:paraId="51337B32" w14:textId="77777777" w:rsidR="00594C26" w:rsidRDefault="00753467" w:rsidP="00594C26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Corresponding author</w:t>
      </w:r>
    </w:p>
    <w:p w14:paraId="158EA30E" w14:textId="77777777" w:rsidR="00594C26" w:rsidRDefault="00594C26" w:rsidP="00594C26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F8B3367" w14:textId="7CBDA611" w:rsidR="00594C26" w:rsidRDefault="00594C26" w:rsidP="00D042EF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77037312" w14:textId="28944470" w:rsidR="00403158" w:rsidRDefault="00403158" w:rsidP="00E75CD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A626C67" w14:textId="77777777" w:rsidR="008C337C" w:rsidRPr="008C337C" w:rsidRDefault="008C337C" w:rsidP="008C33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8C337C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 xml:space="preserve">Contents </w:t>
      </w:r>
    </w:p>
    <w:p w14:paraId="0CE596CB" w14:textId="77777777" w:rsidR="008C337C" w:rsidRPr="008C337C" w:rsidRDefault="008C337C" w:rsidP="008C337C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ED6A862" w14:textId="77777777" w:rsidR="00001ECC" w:rsidRDefault="00001ECC" w:rsidP="008C337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</w:pPr>
    </w:p>
    <w:p w14:paraId="6C06B21B" w14:textId="1138B324" w:rsidR="008C337C" w:rsidRPr="006A3BD9" w:rsidRDefault="00F27F1C" w:rsidP="008C337C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Spiked </w:t>
      </w:r>
      <w:r w:rsidR="008C337C" w:rsidRPr="006A3BD9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1</w:t>
      </w:r>
      <w:r w:rsidR="006B7D97">
        <w:rPr>
          <w:rFonts w:ascii="Times New Roman" w:hAnsi="Times New Roman" w:cs="Times New Roman"/>
          <w:b/>
          <w:sz w:val="24"/>
          <w:szCs w:val="24"/>
          <w:lang w:val="en-IN"/>
        </w:rPr>
        <w:t>H NMR spectra</w:t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ab/>
        <w:t>2</w:t>
      </w:r>
      <w:r w:rsidR="004C2FA2">
        <w:rPr>
          <w:rFonts w:ascii="Times New Roman" w:hAnsi="Times New Roman" w:cs="Times New Roman"/>
          <w:b/>
          <w:sz w:val="24"/>
          <w:szCs w:val="24"/>
          <w:lang w:val="en-IN"/>
        </w:rPr>
        <w:t>, 3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8C337C" w:rsidRPr="006A3BD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14:paraId="57EBB556" w14:textId="77777777" w:rsidR="00001ECC" w:rsidRDefault="00001ECC" w:rsidP="00001EC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</w:pPr>
    </w:p>
    <w:p w14:paraId="08988414" w14:textId="7CB0965E" w:rsidR="00001ECC" w:rsidRPr="006A3BD9" w:rsidRDefault="00001ECC" w:rsidP="00001ECC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Solvent comparison</w:t>
      </w:r>
      <w:r w:rsidR="00423215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E2332E" w:rsidRPr="00E2332E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1</w:t>
      </w:r>
      <w:r w:rsidR="006B7D97">
        <w:rPr>
          <w:rFonts w:ascii="Times New Roman" w:hAnsi="Times New Roman" w:cs="Times New Roman"/>
          <w:b/>
          <w:sz w:val="24"/>
          <w:szCs w:val="24"/>
          <w:lang w:val="en-IN"/>
        </w:rPr>
        <w:t>H NMR spectra</w:t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E2332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C2FA2">
        <w:rPr>
          <w:rFonts w:ascii="Times New Roman" w:hAnsi="Times New Roman" w:cs="Times New Roman"/>
          <w:b/>
          <w:sz w:val="24"/>
          <w:szCs w:val="24"/>
          <w:lang w:val="en-IN"/>
        </w:rPr>
        <w:t>4</w:t>
      </w:r>
      <w:r w:rsidRPr="006A3BD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– </w:t>
      </w:r>
      <w:r w:rsidR="004C2FA2">
        <w:rPr>
          <w:rFonts w:ascii="Times New Roman" w:hAnsi="Times New Roman" w:cs="Times New Roman"/>
          <w:b/>
          <w:sz w:val="24"/>
          <w:szCs w:val="24"/>
          <w:lang w:val="en-IN"/>
        </w:rPr>
        <w:t>7</w:t>
      </w:r>
      <w:r w:rsidRPr="006A3BD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14:paraId="5E0FB2F4" w14:textId="77777777" w:rsidR="008C337C" w:rsidRPr="006A3BD9" w:rsidRDefault="008C337C" w:rsidP="008C337C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1B51239E" w14:textId="25C1D317" w:rsidR="008C337C" w:rsidRPr="00001ECC" w:rsidRDefault="00001ECC" w:rsidP="008C337C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Free fatty acid determination</w:t>
      </w:r>
      <w:r w:rsidR="00423215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="008D401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8D4017" w:rsidRPr="008D4017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1</w:t>
      </w:r>
      <w:r w:rsidR="008D4017">
        <w:rPr>
          <w:rFonts w:ascii="Times New Roman" w:hAnsi="Times New Roman" w:cs="Times New Roman"/>
          <w:b/>
          <w:sz w:val="24"/>
          <w:szCs w:val="24"/>
          <w:lang w:val="en-IN"/>
        </w:rPr>
        <w:t>H NMR</w:t>
      </w:r>
      <w:r w:rsidR="00AE60D5">
        <w:rPr>
          <w:rFonts w:ascii="Times New Roman" w:hAnsi="Times New Roman" w:cs="Times New Roman"/>
          <w:b/>
          <w:sz w:val="24"/>
          <w:szCs w:val="24"/>
          <w:lang w:val="en-IN"/>
        </w:rPr>
        <w:t xml:space="preserve"> spectra</w:t>
      </w:r>
      <w:r w:rsidR="009902B3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    </w:t>
      </w:r>
      <w:r w:rsidR="008D401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4C2FA2">
        <w:rPr>
          <w:rFonts w:ascii="Times New Roman" w:hAnsi="Times New Roman" w:cs="Times New Roman"/>
          <w:b/>
          <w:sz w:val="24"/>
          <w:szCs w:val="24"/>
          <w:lang w:val="en-IN"/>
        </w:rPr>
        <w:t>8</w:t>
      </w:r>
      <w:r w:rsidR="00BC232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A3BD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14:paraId="12D02A3C" w14:textId="77777777" w:rsidR="008C337C" w:rsidRPr="006A3BD9" w:rsidRDefault="008C337C" w:rsidP="008C337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C8D74A8" w14:textId="2D06E671" w:rsidR="008C337C" w:rsidRPr="00594C26" w:rsidRDefault="006B7D97" w:rsidP="00594C26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Acid value determination</w:t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001EC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B6354B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</w:t>
      </w:r>
      <w:r w:rsidR="004C2FA2">
        <w:rPr>
          <w:rFonts w:ascii="Times New Roman" w:hAnsi="Times New Roman" w:cs="Times New Roman"/>
          <w:b/>
          <w:sz w:val="24"/>
          <w:szCs w:val="24"/>
          <w:lang w:val="en-IN"/>
        </w:rPr>
        <w:t>8, 9</w:t>
      </w:r>
      <w:r w:rsidR="008C337C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79C10A0C" w14:textId="4EA275D0" w:rsidR="009F47E5" w:rsidRDefault="009E1AE7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E1AE7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H NMR</w:t>
      </w:r>
    </w:p>
    <w:p w14:paraId="7DAB7753" w14:textId="24690F79" w:rsidR="006C2335" w:rsidRDefault="008B51FC" w:rsidP="009E083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inline distT="0" distB="0" distL="0" distR="0" wp14:anchorId="6D834B94" wp14:editId="7C568648">
            <wp:extent cx="5731510" cy="40659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ACDB" w14:textId="72D9430E" w:rsidR="00C7735C" w:rsidRPr="00C17A1F" w:rsidRDefault="00155440" w:rsidP="009E0837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55440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497DB4" w:rsidRPr="001554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026CF" w:rsidRPr="00155440">
        <w:rPr>
          <w:rFonts w:ascii="Times New Roman" w:hAnsi="Times New Roman" w:cs="Times New Roman"/>
          <w:b/>
          <w:sz w:val="24"/>
          <w:szCs w:val="24"/>
          <w:lang w:val="en-GB"/>
        </w:rPr>
        <w:t>S1</w:t>
      </w:r>
      <w:r w:rsidR="007A2904" w:rsidRPr="0015544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497D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97DB4" w:rsidRPr="00CC72B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497DB4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497DB4" w:rsidRPr="00907340">
        <w:rPr>
          <w:rFonts w:ascii="Times New Roman" w:hAnsi="Times New Roman" w:cs="Times New Roman"/>
          <w:sz w:val="24"/>
          <w:szCs w:val="24"/>
          <w:lang w:val="en-GB"/>
        </w:rPr>
        <w:t xml:space="preserve"> NMR spectra of PS 20 samples with LA spiking</w:t>
      </w:r>
      <w:r w:rsidR="00FF42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97DB4" w:rsidRPr="00907340">
        <w:rPr>
          <w:rFonts w:ascii="Times New Roman" w:hAnsi="Times New Roman" w:cs="Times New Roman"/>
          <w:sz w:val="24"/>
          <w:szCs w:val="24"/>
          <w:lang w:val="en-GB"/>
        </w:rPr>
        <w:t xml:space="preserve"> recorded in CD</w:t>
      </w:r>
      <w:r w:rsidR="00497DB4" w:rsidRPr="0090734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497DB4" w:rsidRPr="00907340">
        <w:rPr>
          <w:rFonts w:ascii="Times New Roman" w:hAnsi="Times New Roman" w:cs="Times New Roman"/>
          <w:sz w:val="24"/>
          <w:szCs w:val="24"/>
          <w:lang w:val="en-GB"/>
        </w:rPr>
        <w:t>OD.</w:t>
      </w:r>
    </w:p>
    <w:p w14:paraId="45AD1138" w14:textId="1F40C44C" w:rsidR="00497DB4" w:rsidRDefault="009A4F75" w:rsidP="00AA507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lastRenderedPageBreak/>
        <w:drawing>
          <wp:inline distT="0" distB="0" distL="0" distR="0" wp14:anchorId="12B74AB7" wp14:editId="2637ADB2">
            <wp:extent cx="5731510" cy="4298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6C02" w14:textId="6C24CEE7" w:rsidR="005D4908" w:rsidRDefault="00155440" w:rsidP="001D7EA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55440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9F47E5" w:rsidRPr="001554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026CF" w:rsidRPr="00155440">
        <w:rPr>
          <w:rFonts w:ascii="Times New Roman" w:hAnsi="Times New Roman" w:cs="Times New Roman"/>
          <w:b/>
          <w:sz w:val="24"/>
          <w:szCs w:val="24"/>
          <w:lang w:val="en-GB"/>
        </w:rPr>
        <w:t>S2</w:t>
      </w:r>
      <w:r w:rsidR="00417D0F" w:rsidRPr="0015544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9F47E5" w:rsidRPr="009F47E5">
        <w:rPr>
          <w:rFonts w:ascii="Times New Roman" w:hAnsi="Times New Roman" w:cs="Times New Roman"/>
          <w:sz w:val="24"/>
          <w:szCs w:val="24"/>
          <w:lang w:val="en-GB"/>
        </w:rPr>
        <w:t xml:space="preserve"> 1H NMR spectra of PS 80 samples with OA spiking</w:t>
      </w:r>
      <w:r w:rsidR="00FF42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F47E5" w:rsidRPr="009F47E5">
        <w:rPr>
          <w:rFonts w:ascii="Times New Roman" w:hAnsi="Times New Roman" w:cs="Times New Roman"/>
          <w:sz w:val="24"/>
          <w:szCs w:val="24"/>
          <w:lang w:val="en-GB"/>
        </w:rPr>
        <w:t xml:space="preserve"> recorded in CD</w:t>
      </w:r>
      <w:r w:rsidR="009F47E5" w:rsidRPr="007951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9F47E5" w:rsidRPr="009F47E5">
        <w:rPr>
          <w:rFonts w:ascii="Times New Roman" w:hAnsi="Times New Roman" w:cs="Times New Roman"/>
          <w:sz w:val="24"/>
          <w:szCs w:val="24"/>
          <w:lang w:val="en-GB"/>
        </w:rPr>
        <w:t>OD.</w:t>
      </w:r>
    </w:p>
    <w:p w14:paraId="410F5204" w14:textId="03CA40D1" w:rsidR="009A4F75" w:rsidRDefault="009A4F75">
      <w:pPr>
        <w:rPr>
          <w:rFonts w:ascii="Times New Roman" w:hAnsi="Times New Roman" w:cs="Times New Roman"/>
          <w:b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br w:type="page"/>
      </w:r>
    </w:p>
    <w:p w14:paraId="308D7C15" w14:textId="0572A6B9" w:rsidR="00796791" w:rsidRDefault="005D4908" w:rsidP="00796791">
      <w:pPr>
        <w:rPr>
          <w:rFonts w:ascii="Times New Roman" w:hAnsi="Times New Roman" w:cs="Times New Roman"/>
          <w:b/>
          <w:noProof/>
          <w:sz w:val="28"/>
          <w:szCs w:val="28"/>
          <w:lang w:eastAsia="sl-SI"/>
        </w:rPr>
      </w:pPr>
      <w:r w:rsidRPr="005D4908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lastRenderedPageBreak/>
        <w:t>Solvent comparison</w:t>
      </w:r>
    </w:p>
    <w:p w14:paraId="6F131EA6" w14:textId="55C2A713" w:rsidR="005D4908" w:rsidRPr="008C6073" w:rsidRDefault="008C6073" w:rsidP="008C6073">
      <w:pPr>
        <w:rPr>
          <w:rFonts w:ascii="Times New Roman" w:hAnsi="Times New Roman" w:cs="Times New Roman"/>
          <w:b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inline distT="0" distB="0" distL="0" distR="0" wp14:anchorId="7B85EAD0" wp14:editId="78508C04">
            <wp:extent cx="5731510" cy="4298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AC0F" w14:textId="3992DE5C" w:rsidR="005D4908" w:rsidRDefault="00155440" w:rsidP="00B5048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55440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F27F12" w:rsidRPr="001554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913B6" w:rsidRPr="00155440">
        <w:rPr>
          <w:rFonts w:ascii="Times New Roman" w:hAnsi="Times New Roman" w:cs="Times New Roman"/>
          <w:b/>
          <w:sz w:val="24"/>
          <w:szCs w:val="24"/>
          <w:lang w:val="en-GB"/>
        </w:rPr>
        <w:t>S3</w:t>
      </w:r>
      <w:r w:rsidR="00B5048D" w:rsidRPr="0015544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F27F12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7F12" w:rsidRPr="007965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F27F12" w:rsidRPr="00F27F12">
        <w:rPr>
          <w:rFonts w:ascii="Times New Roman" w:hAnsi="Times New Roman" w:cs="Times New Roman"/>
          <w:sz w:val="24"/>
          <w:szCs w:val="24"/>
          <w:lang w:val="en-GB"/>
        </w:rPr>
        <w:t>H NMR spectra of PS 20 samples</w:t>
      </w:r>
      <w:r w:rsidR="002F75F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27F12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7F12">
        <w:rPr>
          <w:rFonts w:ascii="Times New Roman" w:hAnsi="Times New Roman" w:cs="Times New Roman"/>
          <w:sz w:val="24"/>
          <w:szCs w:val="24"/>
          <w:lang w:val="en-GB"/>
        </w:rPr>
        <w:t>recorded in DMSO-</w:t>
      </w:r>
      <w:r w:rsidR="00F27F12" w:rsidRPr="00B60FF7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="00F27F12" w:rsidRPr="00F27F1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F27F12" w:rsidRPr="00F27F1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5488B3" w14:textId="0EC329A3" w:rsidR="00776931" w:rsidRDefault="00776931" w:rsidP="00926B6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CFD78D5" w14:textId="702E711A" w:rsidR="001247CB" w:rsidRDefault="001247CB" w:rsidP="00926B6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40B5ED07" wp14:editId="720D9968">
            <wp:extent cx="5731510" cy="4298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4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1F47" w14:textId="21CD23D9" w:rsidR="005D4908" w:rsidRDefault="006E4725" w:rsidP="00926B6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E4725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776931" w:rsidRPr="006E47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913B6" w:rsidRPr="006E4725">
        <w:rPr>
          <w:rFonts w:ascii="Times New Roman" w:hAnsi="Times New Roman" w:cs="Times New Roman"/>
          <w:b/>
          <w:sz w:val="24"/>
          <w:szCs w:val="24"/>
          <w:lang w:val="en-GB"/>
        </w:rPr>
        <w:t>S4</w:t>
      </w:r>
      <w:r w:rsidR="0052191A" w:rsidRPr="006E472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776931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931" w:rsidRPr="007965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421E42">
        <w:rPr>
          <w:rFonts w:ascii="Times New Roman" w:hAnsi="Times New Roman" w:cs="Times New Roman"/>
          <w:sz w:val="24"/>
          <w:szCs w:val="24"/>
          <w:lang w:val="en-GB"/>
        </w:rPr>
        <w:t>H NMR spectra of PS 8</w:t>
      </w:r>
      <w:r w:rsidR="00776931" w:rsidRPr="00F27F12">
        <w:rPr>
          <w:rFonts w:ascii="Times New Roman" w:hAnsi="Times New Roman" w:cs="Times New Roman"/>
          <w:sz w:val="24"/>
          <w:szCs w:val="24"/>
          <w:lang w:val="en-GB"/>
        </w:rPr>
        <w:t>0 samples</w:t>
      </w:r>
      <w:r w:rsidR="00FF42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76931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931">
        <w:rPr>
          <w:rFonts w:ascii="Times New Roman" w:hAnsi="Times New Roman" w:cs="Times New Roman"/>
          <w:sz w:val="24"/>
          <w:szCs w:val="24"/>
          <w:lang w:val="en-GB"/>
        </w:rPr>
        <w:t>recorded in DMSO-</w:t>
      </w:r>
      <w:r w:rsidR="00776931" w:rsidRPr="00B60FF7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="00776931" w:rsidRPr="00F27F1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776931" w:rsidRPr="00F27F1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21199E" w14:textId="77777777" w:rsidR="001247CB" w:rsidRPr="00776931" w:rsidRDefault="001247CB" w:rsidP="00926B6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875E859" w14:textId="072C3A46" w:rsidR="005D4908" w:rsidRDefault="005D4908" w:rsidP="009A16F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AD8E3BC" w14:textId="3E3D763A" w:rsidR="00DB5B67" w:rsidRDefault="00DB5B67" w:rsidP="009A16F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56ED66BC" wp14:editId="318CF1FD">
            <wp:extent cx="5731510" cy="4298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5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540F" w14:textId="5CAE711F" w:rsidR="005D4908" w:rsidRDefault="000B78D8" w:rsidP="007F61F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B78D8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9913B6" w:rsidRPr="000B78D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S5</w:t>
      </w:r>
      <w:r w:rsidR="00DA411B" w:rsidRPr="000B78D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455652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5652" w:rsidRPr="007965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455652" w:rsidRPr="00F27F12">
        <w:rPr>
          <w:rFonts w:ascii="Times New Roman" w:hAnsi="Times New Roman" w:cs="Times New Roman"/>
          <w:sz w:val="24"/>
          <w:szCs w:val="24"/>
          <w:lang w:val="en-GB"/>
        </w:rPr>
        <w:t>H NMR spectra of PS 20 samples</w:t>
      </w:r>
      <w:r w:rsidR="00FF42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55652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5652">
        <w:rPr>
          <w:rFonts w:ascii="Times New Roman" w:hAnsi="Times New Roman" w:cs="Times New Roman"/>
          <w:sz w:val="24"/>
          <w:szCs w:val="24"/>
          <w:lang w:val="en-GB"/>
        </w:rPr>
        <w:t>recorded in CDCl</w:t>
      </w:r>
      <w:r w:rsidR="00455652" w:rsidRPr="0045565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455652" w:rsidRPr="00F27F1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E0C692" w14:textId="77777777" w:rsidR="001247CB" w:rsidRDefault="001247CB" w:rsidP="007F61F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A2EB8C4" w14:textId="77777777" w:rsidR="001247CB" w:rsidRDefault="001247CB" w:rsidP="007F61F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A287FFE" w14:textId="471F683A" w:rsidR="009A16FA" w:rsidRDefault="009A16FA" w:rsidP="009448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6C44E38" w14:textId="49F2D285" w:rsidR="00DB5B67" w:rsidRDefault="00DB5B67" w:rsidP="009448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038318C1" wp14:editId="1831BCA9">
            <wp:extent cx="5731510" cy="4298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6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F2BA" w14:textId="76CCB4B7" w:rsidR="005D4908" w:rsidRDefault="000B78D8" w:rsidP="009448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B78D8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9A16FA" w:rsidRPr="000B78D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D254F" w:rsidRPr="000B78D8">
        <w:rPr>
          <w:rFonts w:ascii="Times New Roman" w:hAnsi="Times New Roman" w:cs="Times New Roman"/>
          <w:b/>
          <w:sz w:val="24"/>
          <w:szCs w:val="24"/>
          <w:lang w:val="en-GB"/>
        </w:rPr>
        <w:t>S6</w:t>
      </w:r>
      <w:r w:rsidR="007D4C6C" w:rsidRPr="000B78D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9A16FA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16FA" w:rsidRPr="007965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9A16FA">
        <w:rPr>
          <w:rFonts w:ascii="Times New Roman" w:hAnsi="Times New Roman" w:cs="Times New Roman"/>
          <w:sz w:val="24"/>
          <w:szCs w:val="24"/>
          <w:lang w:val="en-GB"/>
        </w:rPr>
        <w:t>H NMR spectra of PS 8</w:t>
      </w:r>
      <w:r w:rsidR="009A16FA" w:rsidRPr="00F27F12">
        <w:rPr>
          <w:rFonts w:ascii="Times New Roman" w:hAnsi="Times New Roman" w:cs="Times New Roman"/>
          <w:sz w:val="24"/>
          <w:szCs w:val="24"/>
          <w:lang w:val="en-GB"/>
        </w:rPr>
        <w:t>0 samples</w:t>
      </w:r>
      <w:r w:rsidR="00FF426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A16FA" w:rsidRPr="00F27F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16FA">
        <w:rPr>
          <w:rFonts w:ascii="Times New Roman" w:hAnsi="Times New Roman" w:cs="Times New Roman"/>
          <w:sz w:val="24"/>
          <w:szCs w:val="24"/>
          <w:lang w:val="en-GB"/>
        </w:rPr>
        <w:t>recorded in CDCl</w:t>
      </w:r>
      <w:r w:rsidR="009A16FA" w:rsidRPr="0045565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9A16FA" w:rsidRPr="00F27F1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D490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26499EC4" w14:textId="77777777" w:rsidR="009C6B90" w:rsidRPr="009C6B90" w:rsidRDefault="009C6B90" w:rsidP="00A8105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9C6B90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lastRenderedPageBreak/>
        <w:t>Free fatty acid determination</w:t>
      </w:r>
    </w:p>
    <w:p w14:paraId="715C8CD5" w14:textId="4C51A08D" w:rsidR="00A8105D" w:rsidRPr="00A8105D" w:rsidRDefault="00A8105D" w:rsidP="00A810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Equation </w:t>
      </w:r>
      <w:r w:rsidR="005B28A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4545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1.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Calculation of the proportion of FFA molecules relative to the </w:t>
      </w:r>
      <w:r w:rsidR="002F75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total </w:t>
      </w:r>
      <w:r w:rsidR="002F75F3"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content of 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FA molecules [%].</w:t>
      </w:r>
    </w:p>
    <w:p w14:paraId="0693BA19" w14:textId="77777777" w:rsidR="00A8105D" w:rsidRPr="00926288" w:rsidRDefault="00A8105D" w:rsidP="00A8105D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  <w:szCs w:val="24"/>
            </w:rPr>
            <m:t>% FA=</m:t>
          </m:r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000000" w:themeColor="text1"/>
                          <w:sz w:val="24"/>
                          <w:szCs w:val="24"/>
                        </w:rPr>
                        <m:t>∫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FFA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000000" w:themeColor="text1"/>
                          <w:sz w:val="24"/>
                          <w:szCs w:val="24"/>
                        </w:rPr>
                        <m:t>∫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FFA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000000" w:themeColor="text1"/>
                          <w:sz w:val="24"/>
                          <w:szCs w:val="24"/>
                        </w:rPr>
                        <m:t>∫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estrified FA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  <w:szCs w:val="24"/>
            </w:rPr>
            <m:t>∙100</m:t>
          </m:r>
        </m:oMath>
      </m:oMathPara>
    </w:p>
    <w:p w14:paraId="6C570827" w14:textId="77777777" w:rsidR="00A8105D" w:rsidRPr="00A8105D" w:rsidRDefault="00A8105D" w:rsidP="00D803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∫ FFA = integral value for free fatty acids [/]</w:t>
      </w:r>
    </w:p>
    <w:p w14:paraId="61E0AD69" w14:textId="1A590AC1" w:rsidR="00A8105D" w:rsidRDefault="00A8105D" w:rsidP="00D803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∫ esterified FA = integral value for esterified fatty acids = 1 [/]</w:t>
      </w:r>
    </w:p>
    <w:p w14:paraId="03698F0F" w14:textId="77777777" w:rsidR="00D803D0" w:rsidRDefault="00D803D0" w:rsidP="00D803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3A1D3DF" w14:textId="32ED9F54" w:rsidR="00A8105D" w:rsidRPr="00A8105D" w:rsidRDefault="00A8105D" w:rsidP="00A810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Table</w:t>
      </w:r>
      <w:r w:rsidR="00DB30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DF559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S1</w:t>
      </w:r>
      <w:r w:rsidR="004545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Values of </w:t>
      </w:r>
      <w:r w:rsidR="00794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FFAs</w:t>
      </w:r>
      <w:r w:rsidR="004D2E9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D2E96" w:rsidRPr="00A8105D">
        <w:rPr>
          <w:rFonts w:ascii="Times New Roman" w:hAnsi="Times New Roman" w:cs="Times New Roman"/>
          <w:sz w:val="24"/>
          <w:szCs w:val="24"/>
          <w:lang w:val="en-GB"/>
        </w:rPr>
        <w:t>∫</w:t>
      </w:r>
      <w:r w:rsidR="00794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 of the proportions</w:t>
      </w:r>
      <w:r w:rsidR="00907F2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07F2B"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FFA 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 samples of PS 20 with different</w:t>
      </w:r>
      <w:r w:rsidR="00907F2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levels of</w:t>
      </w:r>
      <w:r w:rsidRPr="00A810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LA spiking.</w:t>
      </w:r>
    </w:p>
    <w:tbl>
      <w:tblPr>
        <w:tblStyle w:val="Tabelamrea1"/>
        <w:tblW w:w="4310" w:type="pct"/>
        <w:tblLook w:val="04A0" w:firstRow="1" w:lastRow="0" w:firstColumn="1" w:lastColumn="0" w:noHBand="0" w:noVBand="1"/>
      </w:tblPr>
      <w:tblGrid>
        <w:gridCol w:w="2869"/>
        <w:gridCol w:w="2231"/>
        <w:gridCol w:w="2867"/>
      </w:tblGrid>
      <w:tr w:rsidR="00DB3078" w:rsidRPr="00A8105D" w14:paraId="69B8A042" w14:textId="77777777" w:rsidTr="00DB3078">
        <w:trPr>
          <w:cantSplit/>
          <w:trHeight w:hRule="exact" w:val="409"/>
        </w:trPr>
        <w:tc>
          <w:tcPr>
            <w:tcW w:w="1801" w:type="pct"/>
            <w:shd w:val="clear" w:color="auto" w:fill="D9D9D9"/>
            <w:vAlign w:val="center"/>
          </w:tcPr>
          <w:p w14:paraId="7249C5EF" w14:textId="77777777" w:rsidR="00DB3078" w:rsidRPr="00A8105D" w:rsidRDefault="00DB3078" w:rsidP="00DB307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% spiked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FA</w:t>
            </w: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in PS 20</w:t>
            </w:r>
          </w:p>
        </w:tc>
        <w:tc>
          <w:tcPr>
            <w:tcW w:w="1400" w:type="pct"/>
            <w:shd w:val="clear" w:color="auto" w:fill="D9D9D9"/>
            <w:vAlign w:val="center"/>
          </w:tcPr>
          <w:p w14:paraId="133B5D4F" w14:textId="77777777" w:rsidR="00DB3078" w:rsidRPr="00A8105D" w:rsidRDefault="00DB3078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∫ for FFA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1799" w:type="pct"/>
            <w:shd w:val="clear" w:color="auto" w:fill="D9D9D9"/>
            <w:vAlign w:val="center"/>
          </w:tcPr>
          <w:p w14:paraId="6777605C" w14:textId="77777777" w:rsidR="00DB3078" w:rsidRPr="00A8105D" w:rsidRDefault="00DB3078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% FFAs</w:t>
            </w:r>
          </w:p>
        </w:tc>
      </w:tr>
      <w:tr w:rsidR="00DB3078" w:rsidRPr="00A8105D" w14:paraId="03CD0134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6AE8E0F6" w14:textId="660EB6D6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00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030B272C" w14:textId="1B98E174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052</w:t>
            </w:r>
          </w:p>
        </w:tc>
        <w:tc>
          <w:tcPr>
            <w:tcW w:w="1799" w:type="pct"/>
            <w:vAlign w:val="center"/>
          </w:tcPr>
          <w:p w14:paraId="5DEA6261" w14:textId="47156491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94</w:t>
            </w:r>
          </w:p>
        </w:tc>
      </w:tr>
      <w:tr w:rsidR="00DB3078" w:rsidRPr="00A8105D" w14:paraId="22146B92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6AB3E9D3" w14:textId="6D52AA06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131E3DDD" w14:textId="36DB328C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113</w:t>
            </w:r>
          </w:p>
        </w:tc>
        <w:tc>
          <w:tcPr>
            <w:tcW w:w="1799" w:type="pct"/>
            <w:vAlign w:val="center"/>
          </w:tcPr>
          <w:p w14:paraId="0A380495" w14:textId="68A759E6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DB3078" w:rsidRPr="00A8105D" w14:paraId="6F348C46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046F96A9" w14:textId="2EEFB4CE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03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47F383F9" w14:textId="3A1F80C1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170</w:t>
            </w:r>
          </w:p>
        </w:tc>
        <w:tc>
          <w:tcPr>
            <w:tcW w:w="1799" w:type="pct"/>
            <w:vAlign w:val="center"/>
          </w:tcPr>
          <w:p w14:paraId="641AB23C" w14:textId="16FCEADD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14.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53</w:t>
            </w:r>
          </w:p>
        </w:tc>
      </w:tr>
      <w:tr w:rsidR="00DB3078" w:rsidRPr="00A8105D" w14:paraId="05723053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4DF64986" w14:textId="11353B47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01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7C6F6953" w14:textId="3F579999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239</w:t>
            </w:r>
          </w:p>
        </w:tc>
        <w:tc>
          <w:tcPr>
            <w:tcW w:w="1799" w:type="pct"/>
            <w:vAlign w:val="center"/>
          </w:tcPr>
          <w:p w14:paraId="59289893" w14:textId="428F76F3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19.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29</w:t>
            </w:r>
          </w:p>
        </w:tc>
      </w:tr>
      <w:tr w:rsidR="00DB3078" w:rsidRPr="00A8105D" w14:paraId="0AE5F9F8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08B4895E" w14:textId="40A1D689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11068AE2" w14:textId="239E1377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313</w:t>
            </w:r>
          </w:p>
        </w:tc>
        <w:tc>
          <w:tcPr>
            <w:tcW w:w="1799" w:type="pct"/>
            <w:vAlign w:val="center"/>
          </w:tcPr>
          <w:p w14:paraId="430AA843" w14:textId="07578D12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23.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84</w:t>
            </w:r>
          </w:p>
        </w:tc>
      </w:tr>
      <w:tr w:rsidR="00DB3078" w:rsidRPr="00A8105D" w14:paraId="386B6E27" w14:textId="77777777" w:rsidTr="00DB3078">
        <w:trPr>
          <w:cantSplit/>
          <w:trHeight w:hRule="exact" w:val="409"/>
        </w:trPr>
        <w:tc>
          <w:tcPr>
            <w:tcW w:w="1801" w:type="pct"/>
            <w:vAlign w:val="center"/>
          </w:tcPr>
          <w:p w14:paraId="33B35A97" w14:textId="501B0570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99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02A70EE1" w14:textId="394CC0C6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393</w:t>
            </w:r>
          </w:p>
        </w:tc>
        <w:tc>
          <w:tcPr>
            <w:tcW w:w="1799" w:type="pct"/>
            <w:vAlign w:val="center"/>
          </w:tcPr>
          <w:p w14:paraId="5DF26DCE" w14:textId="4CB9AC48" w:rsidR="00DB3078" w:rsidRPr="00A8105D" w:rsidRDefault="004F64D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28.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21</w:t>
            </w:r>
          </w:p>
        </w:tc>
      </w:tr>
    </w:tbl>
    <w:p w14:paraId="0C6D9162" w14:textId="77777777" w:rsidR="00A8105D" w:rsidRPr="00A8105D" w:rsidRDefault="00A8105D" w:rsidP="00A8105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26F0D74" w14:textId="45A8DE3B" w:rsidR="00A8105D" w:rsidRPr="00A8105D" w:rsidRDefault="00A8105D" w:rsidP="00A8105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Table </w:t>
      </w:r>
      <w:r w:rsidR="00DF559B">
        <w:rPr>
          <w:rFonts w:ascii="Times New Roman" w:hAnsi="Times New Roman" w:cs="Times New Roman"/>
          <w:sz w:val="24"/>
          <w:szCs w:val="24"/>
          <w:lang w:val="en-GB"/>
        </w:rPr>
        <w:t>S2</w:t>
      </w:r>
      <w:r w:rsidR="00666D1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 Values of </w:t>
      </w:r>
      <w:r w:rsidR="00794FE9">
        <w:rPr>
          <w:rFonts w:ascii="Times New Roman" w:hAnsi="Times New Roman" w:cs="Times New Roman"/>
          <w:sz w:val="24"/>
          <w:szCs w:val="24"/>
          <w:lang w:val="en-GB"/>
        </w:rPr>
        <w:t xml:space="preserve">FFAs </w:t>
      </w:r>
      <w:r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∫ and of the proportions </w:t>
      </w:r>
      <w:r w:rsidR="003D55EE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D55EE"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FFA </w:t>
      </w:r>
      <w:r w:rsidRPr="00A8105D">
        <w:rPr>
          <w:rFonts w:ascii="Times New Roman" w:hAnsi="Times New Roman" w:cs="Times New Roman"/>
          <w:sz w:val="24"/>
          <w:szCs w:val="24"/>
          <w:lang w:val="en-GB"/>
        </w:rPr>
        <w:t>in samples of PS 80 with</w:t>
      </w:r>
      <w:r w:rsidR="00907F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different </w:t>
      </w:r>
      <w:r w:rsidR="00907F2B">
        <w:rPr>
          <w:rFonts w:ascii="Times New Roman" w:hAnsi="Times New Roman" w:cs="Times New Roman"/>
          <w:sz w:val="24"/>
          <w:szCs w:val="24"/>
          <w:lang w:val="en-GB"/>
        </w:rPr>
        <w:t>levels of</w:t>
      </w:r>
      <w:r w:rsidR="00907F2B" w:rsidRPr="00A810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8105D">
        <w:rPr>
          <w:rFonts w:ascii="Times New Roman" w:hAnsi="Times New Roman" w:cs="Times New Roman"/>
          <w:sz w:val="24"/>
          <w:szCs w:val="24"/>
          <w:lang w:val="en-GB"/>
        </w:rPr>
        <w:t>OA spiking.</w:t>
      </w:r>
    </w:p>
    <w:tbl>
      <w:tblPr>
        <w:tblStyle w:val="Tabelamrea2"/>
        <w:tblW w:w="4310" w:type="pct"/>
        <w:tblLook w:val="04A0" w:firstRow="1" w:lastRow="0" w:firstColumn="1" w:lastColumn="0" w:noHBand="0" w:noVBand="1"/>
      </w:tblPr>
      <w:tblGrid>
        <w:gridCol w:w="2869"/>
        <w:gridCol w:w="2231"/>
        <w:gridCol w:w="2867"/>
      </w:tblGrid>
      <w:tr w:rsidR="00DB3078" w:rsidRPr="00A8105D" w14:paraId="30FB0930" w14:textId="77777777" w:rsidTr="00DB3078">
        <w:trPr>
          <w:cantSplit/>
          <w:trHeight w:hRule="exact" w:val="383"/>
        </w:trPr>
        <w:tc>
          <w:tcPr>
            <w:tcW w:w="1801" w:type="pct"/>
            <w:shd w:val="clear" w:color="auto" w:fill="D9D9D9"/>
            <w:vAlign w:val="center"/>
          </w:tcPr>
          <w:p w14:paraId="59640576" w14:textId="77777777" w:rsidR="00DB3078" w:rsidRPr="00A8105D" w:rsidRDefault="00DB3078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%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spiked</w:t>
            </w: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FA PS 80</w:t>
            </w:r>
          </w:p>
        </w:tc>
        <w:tc>
          <w:tcPr>
            <w:tcW w:w="1400" w:type="pct"/>
            <w:shd w:val="clear" w:color="auto" w:fill="D9D9D9"/>
            <w:vAlign w:val="center"/>
          </w:tcPr>
          <w:p w14:paraId="6D327667" w14:textId="77777777" w:rsidR="00DB3078" w:rsidRPr="00A8105D" w:rsidRDefault="00DB3078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810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∫ for FFA</w:t>
            </w:r>
            <w:r w:rsidR="0055613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1799" w:type="pct"/>
            <w:shd w:val="clear" w:color="auto" w:fill="D9D9D9"/>
            <w:vAlign w:val="center"/>
          </w:tcPr>
          <w:p w14:paraId="43F534E5" w14:textId="77777777" w:rsidR="00DB3078" w:rsidRPr="00A8105D" w:rsidRDefault="0055613E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% FFAs</w:t>
            </w:r>
          </w:p>
        </w:tc>
      </w:tr>
      <w:tr w:rsidR="00DB3078" w:rsidRPr="00A8105D" w14:paraId="40562D73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299C41AB" w14:textId="6C8E4296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00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6A8FFEAE" w14:textId="3C6AEB53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097</w:t>
            </w:r>
          </w:p>
        </w:tc>
        <w:tc>
          <w:tcPr>
            <w:tcW w:w="1799" w:type="pct"/>
            <w:vAlign w:val="center"/>
          </w:tcPr>
          <w:p w14:paraId="312A56F1" w14:textId="4F10C44D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84</w:t>
            </w:r>
          </w:p>
        </w:tc>
      </w:tr>
      <w:tr w:rsidR="00DB3078" w:rsidRPr="00A8105D" w14:paraId="5617F439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451A5CB5" w14:textId="37C9EDEB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81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1F6373FB" w14:textId="54EC1A21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131</w:t>
            </w:r>
          </w:p>
        </w:tc>
        <w:tc>
          <w:tcPr>
            <w:tcW w:w="1799" w:type="pct"/>
            <w:vAlign w:val="center"/>
          </w:tcPr>
          <w:p w14:paraId="4565310F" w14:textId="2C57055F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58</w:t>
            </w:r>
          </w:p>
        </w:tc>
      </w:tr>
      <w:tr w:rsidR="00DB3078" w:rsidRPr="00A8105D" w14:paraId="369E71B1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70011E7F" w14:textId="53ABFEBE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98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75FBEEA3" w14:textId="0812B411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161</w:t>
            </w:r>
          </w:p>
        </w:tc>
        <w:tc>
          <w:tcPr>
            <w:tcW w:w="1799" w:type="pct"/>
            <w:vAlign w:val="center"/>
          </w:tcPr>
          <w:p w14:paraId="5CFED0D5" w14:textId="72AC4D5E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87</w:t>
            </w:r>
          </w:p>
        </w:tc>
      </w:tr>
      <w:tr w:rsidR="00DB3078" w:rsidRPr="00A8105D" w14:paraId="45A3F995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777C65DE" w14:textId="4D31A253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01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7A5CFC4B" w14:textId="34FB2D68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193</w:t>
            </w:r>
          </w:p>
        </w:tc>
        <w:tc>
          <w:tcPr>
            <w:tcW w:w="1799" w:type="pct"/>
            <w:vAlign w:val="center"/>
          </w:tcPr>
          <w:p w14:paraId="5C47B2D2" w14:textId="2E2F567A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18</w:t>
            </w:r>
          </w:p>
        </w:tc>
      </w:tr>
      <w:tr w:rsidR="00DB3078" w:rsidRPr="00A8105D" w14:paraId="40E9D218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3EAA940F" w14:textId="513B0AEC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98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30FECF81" w14:textId="109C2DB1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257</w:t>
            </w:r>
          </w:p>
        </w:tc>
        <w:tc>
          <w:tcPr>
            <w:tcW w:w="1799" w:type="pct"/>
            <w:vAlign w:val="center"/>
          </w:tcPr>
          <w:p w14:paraId="3A6B495A" w14:textId="364E8B86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45</w:t>
            </w:r>
          </w:p>
        </w:tc>
      </w:tr>
      <w:tr w:rsidR="00DB3078" w:rsidRPr="00A8105D" w14:paraId="010AA80E" w14:textId="77777777" w:rsidTr="00DB3078">
        <w:trPr>
          <w:cantSplit/>
          <w:trHeight w:hRule="exact" w:val="383"/>
        </w:trPr>
        <w:tc>
          <w:tcPr>
            <w:tcW w:w="1801" w:type="pct"/>
            <w:vAlign w:val="center"/>
          </w:tcPr>
          <w:p w14:paraId="652DB8BC" w14:textId="7717D360" w:rsidR="00DB3078" w:rsidRPr="00A8105D" w:rsidRDefault="00CE667B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400" w:type="pct"/>
            <w:vAlign w:val="center"/>
          </w:tcPr>
          <w:p w14:paraId="2614F238" w14:textId="00B200AA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294</w:t>
            </w:r>
          </w:p>
        </w:tc>
        <w:tc>
          <w:tcPr>
            <w:tcW w:w="1799" w:type="pct"/>
            <w:vAlign w:val="center"/>
          </w:tcPr>
          <w:p w14:paraId="0C9D13BB" w14:textId="656F452F" w:rsidR="00DB3078" w:rsidRPr="00A8105D" w:rsidRDefault="00FF7017" w:rsidP="00A810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22.</w:t>
            </w:r>
            <w:r w:rsidR="00DB3078" w:rsidRPr="00A8105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72</w:t>
            </w:r>
          </w:p>
        </w:tc>
      </w:tr>
    </w:tbl>
    <w:p w14:paraId="10DDE0A1" w14:textId="77777777" w:rsidR="00A8105D" w:rsidRDefault="00A8105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FF352A" w14:textId="77777777" w:rsidR="00274B4C" w:rsidRPr="00274B4C" w:rsidRDefault="00274B4C" w:rsidP="00274B4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74B4C">
        <w:rPr>
          <w:rFonts w:ascii="Times New Roman" w:hAnsi="Times New Roman" w:cs="Times New Roman"/>
          <w:b/>
          <w:sz w:val="28"/>
          <w:szCs w:val="28"/>
          <w:lang w:val="en-GB"/>
        </w:rPr>
        <w:t>Acid value determination</w:t>
      </w:r>
    </w:p>
    <w:p w14:paraId="1BA765D6" w14:textId="538CDF0A" w:rsidR="00C1607B" w:rsidRPr="00274B4C" w:rsidRDefault="00B21040" w:rsidP="00274B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Equation S2.</w:t>
      </w:r>
      <w:r w:rsidR="005B22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75F3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3E5B9C">
        <w:rPr>
          <w:rFonts w:ascii="Times New Roman" w:hAnsi="Times New Roman" w:cs="Times New Roman"/>
          <w:sz w:val="24"/>
          <w:szCs w:val="24"/>
          <w:lang w:val="en-GB"/>
        </w:rPr>
        <w:t>alues of</w:t>
      </w:r>
      <w:r w:rsidR="003E5B9C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4B4C" w:rsidRPr="00274B4C">
        <w:rPr>
          <w:rFonts w:ascii="Times New Roman" w:hAnsi="Times New Roman" w:cs="Times New Roman"/>
          <w:sz w:val="24"/>
          <w:szCs w:val="24"/>
        </w:rPr>
        <w:t>I</w:t>
      </w:r>
      <w:r w:rsidR="00274B4C" w:rsidRPr="00274B4C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274B4C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were calculated </w:t>
      </w:r>
      <w:r w:rsidR="002F75F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F75F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sing the </w:t>
      </w:r>
      <w:r w:rsidR="002F75F3">
        <w:rPr>
          <w:rFonts w:ascii="Times New Roman" w:hAnsi="Times New Roman" w:cs="Times New Roman"/>
          <w:sz w:val="24"/>
          <w:szCs w:val="24"/>
          <w:lang w:val="en-GB"/>
        </w:rPr>
        <w:t>following</w:t>
      </w:r>
      <w:r w:rsidR="002F75F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equation</w:t>
      </w:r>
      <w:r w:rsidR="002F75F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F75F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4B4C" w:rsidRPr="00274B4C">
        <w:rPr>
          <w:rFonts w:ascii="Times New Roman" w:hAnsi="Times New Roman" w:cs="Times New Roman"/>
          <w:sz w:val="24"/>
          <w:szCs w:val="24"/>
          <w:lang w:val="en-GB"/>
        </w:rPr>
        <w:t>considering the mass of weighed samples and the consumption of 0.1 M NaOH solution.</w:t>
      </w:r>
    </w:p>
    <w:p w14:paraId="7FFA8F34" w14:textId="7FEB7F1E" w:rsidR="00274B4C" w:rsidRPr="00274B4C" w:rsidRDefault="004F5C3D" w:rsidP="00274B4C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5.610∙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NaOH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∙f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14:paraId="4A54B8E3" w14:textId="06B27B29" w:rsidR="00274B4C" w:rsidRPr="00274B4C" w:rsidRDefault="00274B4C" w:rsidP="00274B4C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>V</w:t>
      </w:r>
      <w:r w:rsidRPr="00274B4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>NaOH</w:t>
      </w:r>
      <w:r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volume of 0</w:t>
      </w:r>
      <w:r w:rsidR="00CF181D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>1 M NaOH solution [mL]</w:t>
      </w:r>
    </w:p>
    <w:p w14:paraId="2F45A96B" w14:textId="77777777" w:rsidR="00274B4C" w:rsidRPr="00274B4C" w:rsidRDefault="00274B4C" w:rsidP="00274B4C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>f = factor of the volumetric NaOH solution [/]</w:t>
      </w:r>
    </w:p>
    <w:p w14:paraId="1E813641" w14:textId="486F96A5" w:rsidR="00274B4C" w:rsidRPr="00274B4C" w:rsidRDefault="00F63F2E" w:rsidP="00274B4C">
      <w:pPr>
        <w:spacing w:after="2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m </w:t>
      </w:r>
      <w:r w:rsidR="00274B4C" w:rsidRPr="00274B4C">
        <w:rPr>
          <w:rFonts w:ascii="Times New Roman" w:eastAsiaTheme="minorEastAsia" w:hAnsi="Times New Roman" w:cs="Times New Roman"/>
          <w:sz w:val="24"/>
          <w:szCs w:val="24"/>
          <w:lang w:val="en-GB"/>
        </w:rPr>
        <w:t>= weight of the individual sample [g]</w:t>
      </w:r>
    </w:p>
    <w:p w14:paraId="79E7599D" w14:textId="77777777" w:rsidR="00196620" w:rsidRDefault="00274B4C" w:rsidP="00274B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When calculating </w:t>
      </w:r>
      <w:r w:rsidR="0079541F">
        <w:rPr>
          <w:rFonts w:ascii="Times New Roman" w:hAnsi="Times New Roman" w:cs="Times New Roman"/>
          <w:sz w:val="24"/>
          <w:szCs w:val="24"/>
          <w:lang w:val="en-GB"/>
        </w:rPr>
        <w:t>values of</w:t>
      </w:r>
      <w:r w:rsidR="0079541F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</w:rPr>
        <w:t>I</w:t>
      </w:r>
      <w:r w:rsidRPr="00274B4C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, the factor of the volumetric NaOH solution </w:t>
      </w:r>
      <w:r w:rsidR="00E07593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E0759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>represents the ratio between the prepared and the required concentration of the NaOH solution</w:t>
      </w:r>
      <w:r w:rsidR="00E07593" w:rsidRPr="00E075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7593" w:rsidRPr="00274B4C">
        <w:rPr>
          <w:rFonts w:ascii="Times New Roman" w:hAnsi="Times New Roman" w:cs="Times New Roman"/>
          <w:sz w:val="24"/>
          <w:szCs w:val="24"/>
          <w:lang w:val="en-GB"/>
        </w:rPr>
        <w:t>was taken into account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>. Three repetitions of the determination</w:t>
      </w:r>
      <w:r w:rsidR="00E07593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7593" w:rsidRPr="00274B4C">
        <w:rPr>
          <w:rFonts w:ascii="Times New Roman" w:hAnsi="Times New Roman" w:cs="Times New Roman"/>
          <w:sz w:val="24"/>
          <w:szCs w:val="24"/>
        </w:rPr>
        <w:t>I</w:t>
      </w:r>
      <w:r w:rsidR="00E07593" w:rsidRPr="00274B4C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E0759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>for each sample were carried out</w:t>
      </w:r>
      <w:r w:rsidR="00E07593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7593">
        <w:rPr>
          <w:rFonts w:ascii="Times New Roman" w:hAnsi="Times New Roman" w:cs="Times New Roman"/>
          <w:sz w:val="24"/>
          <w:szCs w:val="24"/>
          <w:lang w:val="en-GB"/>
        </w:rPr>
        <w:t>the average of three</w:t>
      </w:r>
      <w:r w:rsidR="00E07593"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measurements</w:t>
      </w:r>
      <w:r w:rsidR="00E07593">
        <w:rPr>
          <w:rFonts w:ascii="Times New Roman" w:hAnsi="Times New Roman" w:cs="Times New Roman"/>
          <w:sz w:val="24"/>
          <w:szCs w:val="24"/>
          <w:lang w:val="en-GB"/>
        </w:rPr>
        <w:t xml:space="preserve"> taken.</w:t>
      </w:r>
      <w:r w:rsidR="00E07593" w:rsidRPr="00274B4C" w:rsidDel="00E075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BFAD83F" w14:textId="0728509E"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74B4C">
        <w:rPr>
          <w:rFonts w:ascii="Times New Roman" w:hAnsi="Times New Roman" w:cs="Times New Roman"/>
          <w:sz w:val="24"/>
          <w:szCs w:val="24"/>
          <w:lang w:val="en-GB"/>
        </w:rPr>
        <w:t>Table</w:t>
      </w:r>
      <w:r w:rsidR="00DF559B">
        <w:rPr>
          <w:rFonts w:ascii="Times New Roman" w:hAnsi="Times New Roman" w:cs="Times New Roman"/>
          <w:sz w:val="24"/>
          <w:szCs w:val="24"/>
          <w:lang w:val="en-GB"/>
        </w:rPr>
        <w:t xml:space="preserve"> S3</w:t>
      </w:r>
      <w:r w:rsidR="0089607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Pr="00274B4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A 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>values of the PS 20 samples with LA spiking.</w:t>
      </w:r>
    </w:p>
    <w:tbl>
      <w:tblPr>
        <w:tblStyle w:val="Tabelamrea3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2268"/>
      </w:tblGrid>
      <w:tr w:rsidR="007C4C55" w:rsidRPr="00274B4C" w14:paraId="62A86EEB" w14:textId="77777777" w:rsidTr="00C12051">
        <w:trPr>
          <w:cantSplit/>
          <w:trHeight w:hRule="exact" w:val="329"/>
        </w:trPr>
        <w:tc>
          <w:tcPr>
            <w:tcW w:w="2551" w:type="dxa"/>
            <w:shd w:val="clear" w:color="auto" w:fill="D9D9D9"/>
            <w:vAlign w:val="center"/>
          </w:tcPr>
          <w:p w14:paraId="65160F61" w14:textId="77777777" w:rsidR="007C4C55" w:rsidRPr="00274B4C" w:rsidRDefault="007C4C55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% spiked LA in PS 20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A58FB2B" w14:textId="77777777" w:rsidR="007C4C55" w:rsidRPr="00274B4C" w:rsidRDefault="007C4C55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GB"/>
              </w:rPr>
              <w:t>A</w:t>
            </w: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en-GB"/>
                </w:rPr>
                <w:id w:val="-89548795"/>
                <w:placeholder>
                  <w:docPart w:val="4F013657A56A4EE58D77B930282283D7"/>
                </w:placeholder>
                <w:temporary/>
                <w:showingPlcHdr/>
                <w:equation/>
              </w:sdtPr>
              <w:sdtEndPr/>
              <w:sdtContent>
                <m:oMath>
                  <m:r>
                    <m:rPr>
                      <m:sty m:val="p"/>
                    </m:rPr>
                    <w:rPr>
                      <w:rStyle w:val="PlaceholderText"/>
                      <w:rFonts w:ascii="Cambria Math" w:hAnsi="Cambria Math"/>
                    </w:rPr>
                    <m:t>Tukaj vnesite enačbo.</m:t>
                  </m:r>
                </m:oMath>
              </w:sdtContent>
            </w:sdt>
          </w:p>
        </w:tc>
      </w:tr>
      <w:tr w:rsidR="007C4C55" w:rsidRPr="00274B4C" w14:paraId="12271415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04341E5D" w14:textId="0B3C9EEF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00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5E7D90C1" w14:textId="0EFF7A2C" w:rsidR="007C4C55" w:rsidRPr="00274B4C" w:rsidRDefault="002C7263" w:rsidP="00FF6E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9A16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7C4C55" w:rsidRPr="00274B4C" w14:paraId="1EDD6D11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51E5962F" w14:textId="2599B19E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6FBF744C" w14:textId="30B1D6A0" w:rsidR="007C4C55" w:rsidRPr="00274B4C" w:rsidRDefault="002C7263" w:rsidP="00FF6E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9A16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7C4C55" w:rsidRPr="00274B4C" w14:paraId="1F212930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3B0CD3F6" w14:textId="6FBB19F5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03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762C5E0E" w14:textId="7EA648A5" w:rsidR="007C4C55" w:rsidRPr="00274B4C" w:rsidRDefault="002C7263" w:rsidP="009A16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</w:t>
            </w:r>
            <w:r w:rsidR="009A16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7C4C55" w:rsidRPr="00274B4C" w14:paraId="45D79242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69BADA3A" w14:textId="6036B896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01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4052DC3B" w14:textId="2CA90A16" w:rsidR="007C4C55" w:rsidRPr="00274B4C" w:rsidRDefault="002C7263" w:rsidP="00FF6E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</w:t>
            </w:r>
            <w:r w:rsidR="009A16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7C4C55" w:rsidRPr="00274B4C" w14:paraId="730CF358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3E06E8E8" w14:textId="7262DA70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2A21F050" w14:textId="7F96967A" w:rsidR="007C4C55" w:rsidRPr="00274B4C" w:rsidRDefault="009A169C" w:rsidP="00FF6E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12.0</w:t>
            </w:r>
          </w:p>
        </w:tc>
      </w:tr>
      <w:tr w:rsidR="007C4C55" w:rsidRPr="00274B4C" w14:paraId="7068B8DE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04B68DDC" w14:textId="51680CC3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99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6A6CF10F" w14:textId="679C5D4A" w:rsidR="007C4C55" w:rsidRPr="00274B4C" w:rsidRDefault="002C7263" w:rsidP="00FF6E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14.</w:t>
            </w:r>
            <w:r w:rsidR="009A16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</w:tr>
    </w:tbl>
    <w:p w14:paraId="7C89167A" w14:textId="77777777"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305403" w14:textId="2AE0915B"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74B4C">
        <w:rPr>
          <w:rFonts w:ascii="Times New Roman" w:hAnsi="Times New Roman" w:cs="Times New Roman"/>
          <w:sz w:val="24"/>
          <w:szCs w:val="24"/>
          <w:lang w:val="en-GB"/>
        </w:rPr>
        <w:t>Table</w:t>
      </w:r>
      <w:r w:rsidR="005324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559B">
        <w:rPr>
          <w:rFonts w:ascii="Times New Roman" w:hAnsi="Times New Roman" w:cs="Times New Roman"/>
          <w:sz w:val="24"/>
          <w:szCs w:val="24"/>
          <w:lang w:val="en-GB"/>
        </w:rPr>
        <w:t>S4</w:t>
      </w:r>
      <w:r w:rsidR="00F700A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Pr="00274B4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A </w:t>
      </w:r>
      <w:r w:rsidRPr="00274B4C">
        <w:rPr>
          <w:rFonts w:ascii="Times New Roman" w:hAnsi="Times New Roman" w:cs="Times New Roman"/>
          <w:sz w:val="24"/>
          <w:szCs w:val="24"/>
          <w:lang w:val="en-GB"/>
        </w:rPr>
        <w:t>values of the PS 80 samples with OA spiking.</w:t>
      </w:r>
    </w:p>
    <w:tbl>
      <w:tblPr>
        <w:tblStyle w:val="Tabelamrea3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2268"/>
      </w:tblGrid>
      <w:tr w:rsidR="007C4C55" w:rsidRPr="00274B4C" w14:paraId="5641A1B8" w14:textId="77777777" w:rsidTr="00C12051">
        <w:trPr>
          <w:cantSplit/>
          <w:trHeight w:hRule="exact" w:val="329"/>
        </w:trPr>
        <w:tc>
          <w:tcPr>
            <w:tcW w:w="2551" w:type="dxa"/>
            <w:shd w:val="clear" w:color="auto" w:fill="D9D9D9"/>
            <w:vAlign w:val="center"/>
          </w:tcPr>
          <w:p w14:paraId="274C2E47" w14:textId="77777777" w:rsidR="007C4C55" w:rsidRPr="00274B4C" w:rsidRDefault="007C4C55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GB"/>
              </w:rPr>
            </w:pP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% spiked OA in PS 80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0981A9C" w14:textId="7E2BEC61" w:rsidR="007C4C55" w:rsidRPr="00274B4C" w:rsidRDefault="007C4C55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GB"/>
              </w:rPr>
              <w:t>A</w:t>
            </w:r>
            <w:r w:rsidRPr="00274B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7C4C55" w:rsidRPr="00274B4C" w14:paraId="57C1B583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48E32679" w14:textId="6B7D0EC8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00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4D47D4F6" w14:textId="03B420BA" w:rsidR="007C4C55" w:rsidRPr="00274B4C" w:rsidRDefault="002C7263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C4C55" w:rsidRPr="00274B4C" w14:paraId="393087ED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3CCA3ACC" w14:textId="016E2A25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81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353E7C3A" w14:textId="1D2601E6" w:rsidR="007C4C55" w:rsidRPr="00274B4C" w:rsidRDefault="002C7263" w:rsidP="0053249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7C4C55" w:rsidRPr="00274B4C" w14:paraId="59AF001F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1A3954AF" w14:textId="726B532F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98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24728D9A" w14:textId="0A1A4B56" w:rsidR="007C4C55" w:rsidRPr="00274B4C" w:rsidRDefault="002C7263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7C4C55" w:rsidRPr="00274B4C" w14:paraId="0A5BBD66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2705F61C" w14:textId="6B5016BE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01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2ABF5CE6" w14:textId="6F12A88F" w:rsidR="007C4C55" w:rsidRPr="00274B4C" w:rsidRDefault="002C7263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7C4C55" w:rsidRPr="00274B4C" w14:paraId="55907119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7A0AD22C" w14:textId="6C7566AA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98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0C2DD6A7" w14:textId="5386A4EF" w:rsidR="007C4C55" w:rsidRPr="00274B4C" w:rsidRDefault="002C7263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7C4C55" w:rsidRPr="00274B4C" w14:paraId="3BAE3338" w14:textId="77777777" w:rsidTr="00C12051">
        <w:trPr>
          <w:cantSplit/>
          <w:trHeight w:hRule="exact" w:val="329"/>
        </w:trPr>
        <w:tc>
          <w:tcPr>
            <w:tcW w:w="2551" w:type="dxa"/>
            <w:vAlign w:val="center"/>
          </w:tcPr>
          <w:p w14:paraId="0BB65135" w14:textId="192D21B1" w:rsidR="007C4C55" w:rsidRPr="00274B4C" w:rsidRDefault="002C7263" w:rsidP="00274B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</w:t>
            </w:r>
            <w:r w:rsidR="00CF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02</w:t>
            </w:r>
            <w:r w:rsidR="007C4C55" w:rsidRPr="00274B4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2268" w:type="dxa"/>
            <w:vAlign w:val="center"/>
          </w:tcPr>
          <w:p w14:paraId="6C560943" w14:textId="26BBE8B1" w:rsidR="007C4C55" w:rsidRPr="00274B4C" w:rsidRDefault="002C7263" w:rsidP="00C636A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</w:t>
            </w:r>
            <w:r w:rsidR="00C636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14:paraId="24EFCA21" w14:textId="77777777" w:rsidR="00274B4C" w:rsidRPr="009F47E5" w:rsidRDefault="00274B4C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274B4C" w:rsidRPr="009F47E5" w:rsidSect="004910C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20666" w14:textId="77777777" w:rsidR="0008483F" w:rsidRDefault="0008483F" w:rsidP="00573C44">
      <w:pPr>
        <w:spacing w:after="0" w:line="240" w:lineRule="auto"/>
      </w:pPr>
      <w:r>
        <w:separator/>
      </w:r>
    </w:p>
  </w:endnote>
  <w:endnote w:type="continuationSeparator" w:id="0">
    <w:p w14:paraId="662F4888" w14:textId="77777777" w:rsidR="0008483F" w:rsidRDefault="0008483F" w:rsidP="0057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722619"/>
      <w:docPartObj>
        <w:docPartGallery w:val="Page Numbers (Bottom of Page)"/>
        <w:docPartUnique/>
      </w:docPartObj>
    </w:sdtPr>
    <w:sdtEndPr/>
    <w:sdtContent>
      <w:p w14:paraId="68AF57B9" w14:textId="0AF3D9A8" w:rsidR="00573C44" w:rsidRDefault="00573C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C3D">
          <w:rPr>
            <w:noProof/>
          </w:rPr>
          <w:t>1</w:t>
        </w:r>
        <w:r>
          <w:fldChar w:fldCharType="end"/>
        </w:r>
      </w:p>
    </w:sdtContent>
  </w:sdt>
  <w:p w14:paraId="29C54E58" w14:textId="77777777" w:rsidR="00573C44" w:rsidRDefault="00573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44EC9" w14:textId="77777777" w:rsidR="0008483F" w:rsidRDefault="0008483F" w:rsidP="00573C44">
      <w:pPr>
        <w:spacing w:after="0" w:line="240" w:lineRule="auto"/>
      </w:pPr>
      <w:r>
        <w:separator/>
      </w:r>
    </w:p>
  </w:footnote>
  <w:footnote w:type="continuationSeparator" w:id="0">
    <w:p w14:paraId="29664C41" w14:textId="77777777" w:rsidR="0008483F" w:rsidRDefault="0008483F" w:rsidP="0057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BD"/>
    <w:rsid w:val="000010F8"/>
    <w:rsid w:val="00001ECC"/>
    <w:rsid w:val="000344BD"/>
    <w:rsid w:val="00044E2F"/>
    <w:rsid w:val="00063C2C"/>
    <w:rsid w:val="0008483F"/>
    <w:rsid w:val="000B189E"/>
    <w:rsid w:val="000B78D8"/>
    <w:rsid w:val="000E2211"/>
    <w:rsid w:val="000F39F2"/>
    <w:rsid w:val="00122611"/>
    <w:rsid w:val="001247CB"/>
    <w:rsid w:val="00150A61"/>
    <w:rsid w:val="00155440"/>
    <w:rsid w:val="00160977"/>
    <w:rsid w:val="00173D3F"/>
    <w:rsid w:val="00194E51"/>
    <w:rsid w:val="00196620"/>
    <w:rsid w:val="001D25F6"/>
    <w:rsid w:val="001D38FD"/>
    <w:rsid w:val="001D7EA4"/>
    <w:rsid w:val="001E4BC3"/>
    <w:rsid w:val="0022318A"/>
    <w:rsid w:val="002333AD"/>
    <w:rsid w:val="00274B4C"/>
    <w:rsid w:val="002C57F9"/>
    <w:rsid w:val="002C7263"/>
    <w:rsid w:val="002D73FD"/>
    <w:rsid w:val="002F4FF0"/>
    <w:rsid w:val="002F75F3"/>
    <w:rsid w:val="00354526"/>
    <w:rsid w:val="0038246A"/>
    <w:rsid w:val="003944DA"/>
    <w:rsid w:val="003C6471"/>
    <w:rsid w:val="003D254F"/>
    <w:rsid w:val="003D55EE"/>
    <w:rsid w:val="003E5B9C"/>
    <w:rsid w:val="00403158"/>
    <w:rsid w:val="00417D0F"/>
    <w:rsid w:val="00421E42"/>
    <w:rsid w:val="00423215"/>
    <w:rsid w:val="00436366"/>
    <w:rsid w:val="004545D3"/>
    <w:rsid w:val="00455652"/>
    <w:rsid w:val="00483526"/>
    <w:rsid w:val="004910CE"/>
    <w:rsid w:val="00497DB4"/>
    <w:rsid w:val="00497E42"/>
    <w:rsid w:val="004C2FA2"/>
    <w:rsid w:val="004D2E96"/>
    <w:rsid w:val="004D41B9"/>
    <w:rsid w:val="004D66DC"/>
    <w:rsid w:val="004E2E47"/>
    <w:rsid w:val="004E4C45"/>
    <w:rsid w:val="004F2EB1"/>
    <w:rsid w:val="004F5C3D"/>
    <w:rsid w:val="004F64D7"/>
    <w:rsid w:val="004F6AA7"/>
    <w:rsid w:val="0052191A"/>
    <w:rsid w:val="0053249A"/>
    <w:rsid w:val="005341EE"/>
    <w:rsid w:val="0055613E"/>
    <w:rsid w:val="00560E39"/>
    <w:rsid w:val="00572DA8"/>
    <w:rsid w:val="00573C44"/>
    <w:rsid w:val="00583259"/>
    <w:rsid w:val="00594C26"/>
    <w:rsid w:val="005B22A9"/>
    <w:rsid w:val="005B28A9"/>
    <w:rsid w:val="005B35EA"/>
    <w:rsid w:val="005C6539"/>
    <w:rsid w:val="005D4908"/>
    <w:rsid w:val="005E626A"/>
    <w:rsid w:val="005F2512"/>
    <w:rsid w:val="0062143D"/>
    <w:rsid w:val="006223E1"/>
    <w:rsid w:val="00636703"/>
    <w:rsid w:val="006453BA"/>
    <w:rsid w:val="00654AD1"/>
    <w:rsid w:val="00666D1F"/>
    <w:rsid w:val="00671DD6"/>
    <w:rsid w:val="006A3BD9"/>
    <w:rsid w:val="006B7D97"/>
    <w:rsid w:val="006C21C0"/>
    <w:rsid w:val="006C2335"/>
    <w:rsid w:val="006E4725"/>
    <w:rsid w:val="007005C9"/>
    <w:rsid w:val="0073397F"/>
    <w:rsid w:val="00753467"/>
    <w:rsid w:val="00776931"/>
    <w:rsid w:val="00783EF8"/>
    <w:rsid w:val="00794FE9"/>
    <w:rsid w:val="0079513E"/>
    <w:rsid w:val="0079541F"/>
    <w:rsid w:val="007965AA"/>
    <w:rsid w:val="00796791"/>
    <w:rsid w:val="007A2904"/>
    <w:rsid w:val="007B0287"/>
    <w:rsid w:val="007C42EE"/>
    <w:rsid w:val="007C4C55"/>
    <w:rsid w:val="007D388F"/>
    <w:rsid w:val="007D4C6C"/>
    <w:rsid w:val="007F61F3"/>
    <w:rsid w:val="00813E90"/>
    <w:rsid w:val="00842802"/>
    <w:rsid w:val="00845F93"/>
    <w:rsid w:val="00857EF0"/>
    <w:rsid w:val="008815F5"/>
    <w:rsid w:val="00885007"/>
    <w:rsid w:val="0089607F"/>
    <w:rsid w:val="008A0D96"/>
    <w:rsid w:val="008B51FC"/>
    <w:rsid w:val="008C337C"/>
    <w:rsid w:val="008C6073"/>
    <w:rsid w:val="008C6FF4"/>
    <w:rsid w:val="008D4017"/>
    <w:rsid w:val="00907F2B"/>
    <w:rsid w:val="00926288"/>
    <w:rsid w:val="00926B65"/>
    <w:rsid w:val="0093234D"/>
    <w:rsid w:val="0094483C"/>
    <w:rsid w:val="0094749C"/>
    <w:rsid w:val="00956D1A"/>
    <w:rsid w:val="00966EB7"/>
    <w:rsid w:val="009776BA"/>
    <w:rsid w:val="00984271"/>
    <w:rsid w:val="009902B3"/>
    <w:rsid w:val="00990ACF"/>
    <w:rsid w:val="009913B6"/>
    <w:rsid w:val="009A169C"/>
    <w:rsid w:val="009A16FA"/>
    <w:rsid w:val="009A4F75"/>
    <w:rsid w:val="009C6B90"/>
    <w:rsid w:val="009E0837"/>
    <w:rsid w:val="009E1AE7"/>
    <w:rsid w:val="009E7994"/>
    <w:rsid w:val="009F47E5"/>
    <w:rsid w:val="009F508D"/>
    <w:rsid w:val="00A15701"/>
    <w:rsid w:val="00A40EE2"/>
    <w:rsid w:val="00A61ADD"/>
    <w:rsid w:val="00A8105D"/>
    <w:rsid w:val="00A9077C"/>
    <w:rsid w:val="00AA507E"/>
    <w:rsid w:val="00AA64E3"/>
    <w:rsid w:val="00AB2270"/>
    <w:rsid w:val="00AC47E4"/>
    <w:rsid w:val="00AE60D5"/>
    <w:rsid w:val="00B07329"/>
    <w:rsid w:val="00B20B89"/>
    <w:rsid w:val="00B21040"/>
    <w:rsid w:val="00B5048D"/>
    <w:rsid w:val="00B60FF7"/>
    <w:rsid w:val="00B6354B"/>
    <w:rsid w:val="00B93BF6"/>
    <w:rsid w:val="00BA5F5B"/>
    <w:rsid w:val="00BC2321"/>
    <w:rsid w:val="00BE03C1"/>
    <w:rsid w:val="00BE27FD"/>
    <w:rsid w:val="00C026CF"/>
    <w:rsid w:val="00C1125E"/>
    <w:rsid w:val="00C1607B"/>
    <w:rsid w:val="00C17A1F"/>
    <w:rsid w:val="00C25DDF"/>
    <w:rsid w:val="00C5435C"/>
    <w:rsid w:val="00C636A4"/>
    <w:rsid w:val="00C702D7"/>
    <w:rsid w:val="00C7735C"/>
    <w:rsid w:val="00CE09D8"/>
    <w:rsid w:val="00CE667B"/>
    <w:rsid w:val="00CF181D"/>
    <w:rsid w:val="00D006DE"/>
    <w:rsid w:val="00D042EF"/>
    <w:rsid w:val="00D274E1"/>
    <w:rsid w:val="00D803D0"/>
    <w:rsid w:val="00DA411B"/>
    <w:rsid w:val="00DB3078"/>
    <w:rsid w:val="00DB5B67"/>
    <w:rsid w:val="00DF559B"/>
    <w:rsid w:val="00E07593"/>
    <w:rsid w:val="00E10B7D"/>
    <w:rsid w:val="00E20547"/>
    <w:rsid w:val="00E2332E"/>
    <w:rsid w:val="00E35113"/>
    <w:rsid w:val="00E35263"/>
    <w:rsid w:val="00E434D0"/>
    <w:rsid w:val="00E45DC4"/>
    <w:rsid w:val="00E50CE8"/>
    <w:rsid w:val="00E528A0"/>
    <w:rsid w:val="00E75CDE"/>
    <w:rsid w:val="00F27F12"/>
    <w:rsid w:val="00F27F1C"/>
    <w:rsid w:val="00F55BD2"/>
    <w:rsid w:val="00F618D6"/>
    <w:rsid w:val="00F63F2E"/>
    <w:rsid w:val="00F700AF"/>
    <w:rsid w:val="00F86EC9"/>
    <w:rsid w:val="00FC13B0"/>
    <w:rsid w:val="00FC1999"/>
    <w:rsid w:val="00FC20BD"/>
    <w:rsid w:val="00FC6F0A"/>
    <w:rsid w:val="00FC70A8"/>
    <w:rsid w:val="00FD2D11"/>
    <w:rsid w:val="00FF426F"/>
    <w:rsid w:val="00FF6E5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0529C"/>
  <w15:docId w15:val="{271392F7-5C5E-4716-B409-47B92653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mrea1">
    <w:name w:val="Tabela – mreža1"/>
    <w:basedOn w:val="TableNormal"/>
    <w:next w:val="TableGrid"/>
    <w:uiPriority w:val="59"/>
    <w:rsid w:val="00A8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uiPriority w:val="59"/>
    <w:rsid w:val="00A8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next w:val="TableGrid"/>
    <w:uiPriority w:val="59"/>
    <w:rsid w:val="0027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6E5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3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44"/>
  </w:style>
  <w:style w:type="paragraph" w:styleId="Footer">
    <w:name w:val="footer"/>
    <w:basedOn w:val="Normal"/>
    <w:link w:val="FooterChar"/>
    <w:uiPriority w:val="99"/>
    <w:unhideWhenUsed/>
    <w:rsid w:val="00573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44"/>
  </w:style>
  <w:style w:type="paragraph" w:styleId="BalloonText">
    <w:name w:val="Balloon Text"/>
    <w:basedOn w:val="Normal"/>
    <w:link w:val="BalloonTextChar"/>
    <w:uiPriority w:val="99"/>
    <w:semiHidden/>
    <w:unhideWhenUsed/>
    <w:rsid w:val="0070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5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013657A56A4EE58D77B930282283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8B31EC-A484-4E5B-8BE2-7CBC9D3653D8}"/>
      </w:docPartPr>
      <w:docPartBody>
        <w:p w:rsidR="00D13EA5" w:rsidRDefault="007C41D4" w:rsidP="007C41D4">
          <w:pPr>
            <w:pStyle w:val="4F013657A56A4EE58D77B930282283D7"/>
          </w:pPr>
          <w:r w:rsidRPr="007368A8">
            <w:rPr>
              <w:rStyle w:val="PlaceholderText"/>
            </w:rPr>
            <w:t>Tukaj vnesite enačbo.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46"/>
    <w:rsid w:val="000C21A6"/>
    <w:rsid w:val="00193E48"/>
    <w:rsid w:val="001E7F46"/>
    <w:rsid w:val="0028426F"/>
    <w:rsid w:val="00305796"/>
    <w:rsid w:val="00314F4E"/>
    <w:rsid w:val="003964C9"/>
    <w:rsid w:val="003C03BE"/>
    <w:rsid w:val="003D6AE6"/>
    <w:rsid w:val="004120B5"/>
    <w:rsid w:val="00505E2B"/>
    <w:rsid w:val="00564FE9"/>
    <w:rsid w:val="007C41D4"/>
    <w:rsid w:val="007D053F"/>
    <w:rsid w:val="008C0B6C"/>
    <w:rsid w:val="009114FF"/>
    <w:rsid w:val="009B098E"/>
    <w:rsid w:val="00A42858"/>
    <w:rsid w:val="00AD226B"/>
    <w:rsid w:val="00B13C8C"/>
    <w:rsid w:val="00C52B38"/>
    <w:rsid w:val="00D13EA5"/>
    <w:rsid w:val="00F41124"/>
    <w:rsid w:val="00F51C85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1D4"/>
    <w:rPr>
      <w:color w:val="808080"/>
    </w:rPr>
  </w:style>
  <w:style w:type="paragraph" w:customStyle="1" w:styleId="70D94A57B95549B795CF3789FC06B20F">
    <w:name w:val="70D94A57B95549B795CF3789FC06B20F"/>
    <w:rsid w:val="001E7F46"/>
  </w:style>
  <w:style w:type="paragraph" w:customStyle="1" w:styleId="4F013657A56A4EE58D77B930282283D7">
    <w:name w:val="4F013657A56A4EE58D77B930282283D7"/>
    <w:rsid w:val="007C41D4"/>
  </w:style>
  <w:style w:type="paragraph" w:customStyle="1" w:styleId="15A3569E68324F9E896007B06A627D36">
    <w:name w:val="15A3569E68324F9E896007B06A627D36"/>
    <w:rsid w:val="007C4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A0AA63-585B-4DB0-8CCF-96608BE2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464</Words>
  <Characters>2648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Valentina Sajovic</dc:creator>
  <cp:lastModifiedBy>Mravljak, Janez</cp:lastModifiedBy>
  <cp:revision>2</cp:revision>
  <dcterms:created xsi:type="dcterms:W3CDTF">2019-07-23T11:54:00Z</dcterms:created>
  <dcterms:modified xsi:type="dcterms:W3CDTF">2019-07-23T11:54:00Z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http://www.zotero.org/styles/chicago-author-date-16th-edition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