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A1" w:rsidRPr="00570D99" w:rsidRDefault="00D25FA1" w:rsidP="00570D99">
      <w:pPr>
        <w:pStyle w:val="Helv-Manuscripttitle"/>
        <w:rPr>
          <w:rFonts w:ascii="Times New Roman" w:hAnsi="Times New Roman"/>
          <w:sz w:val="24"/>
          <w:szCs w:val="24"/>
        </w:rPr>
      </w:pPr>
      <w:r w:rsidRPr="00570D99">
        <w:rPr>
          <w:rFonts w:ascii="Times New Roman" w:hAnsi="Times New Roman"/>
          <w:sz w:val="24"/>
          <w:szCs w:val="24"/>
          <w:lang w:val="en-GB"/>
        </w:rPr>
        <w:t>Alteration in the Chemical Composition of</w:t>
      </w:r>
      <w:r w:rsidRPr="00570D99">
        <w:rPr>
          <w:rFonts w:ascii="Times New Roman" w:hAnsi="Times New Roman"/>
          <w:sz w:val="24"/>
          <w:szCs w:val="24"/>
        </w:rPr>
        <w:t xml:space="preserve"> Immortelle, Silver Fir and Prickly Juniper Essential Oils Induced by Light</w:t>
      </w:r>
    </w:p>
    <w:p w:rsidR="00D25FA1" w:rsidRPr="00570D99" w:rsidRDefault="00D25FA1" w:rsidP="00570D99">
      <w:pPr>
        <w:pStyle w:val="Helv-Authors"/>
        <w:rPr>
          <w:rFonts w:ascii="Times New Roman" w:hAnsi="Times New Roman"/>
          <w:sz w:val="24"/>
          <w:vertAlign w:val="superscript"/>
        </w:rPr>
      </w:pPr>
      <w:r w:rsidRPr="00570D99">
        <w:rPr>
          <w:rFonts w:ascii="Times New Roman" w:hAnsi="Times New Roman"/>
          <w:sz w:val="24"/>
        </w:rPr>
        <w:t>Ilijana Odak</w:t>
      </w:r>
      <w:r w:rsidRPr="00570D99">
        <w:rPr>
          <w:rFonts w:ascii="Times New Roman" w:hAnsi="Times New Roman"/>
          <w:sz w:val="24"/>
          <w:vertAlign w:val="superscript"/>
        </w:rPr>
        <w:t>a</w:t>
      </w:r>
      <w:r w:rsidRPr="00570D99">
        <w:rPr>
          <w:rFonts w:ascii="Times New Roman" w:hAnsi="Times New Roman"/>
          <w:sz w:val="24"/>
        </w:rPr>
        <w:t>*, Irena Škorić</w:t>
      </w:r>
      <w:r w:rsidRPr="00570D99">
        <w:rPr>
          <w:rFonts w:ascii="Times New Roman" w:hAnsi="Times New Roman"/>
          <w:sz w:val="24"/>
          <w:vertAlign w:val="superscript"/>
        </w:rPr>
        <w:t>b</w:t>
      </w:r>
      <w:r w:rsidRPr="00570D99">
        <w:rPr>
          <w:rFonts w:ascii="Times New Roman" w:hAnsi="Times New Roman"/>
          <w:sz w:val="24"/>
        </w:rPr>
        <w:t>, Daria Grbavac</w:t>
      </w:r>
      <w:r w:rsidRPr="00570D99">
        <w:rPr>
          <w:rFonts w:ascii="Times New Roman" w:hAnsi="Times New Roman"/>
          <w:sz w:val="24"/>
          <w:vertAlign w:val="superscript"/>
        </w:rPr>
        <w:t>a</w:t>
      </w:r>
      <w:r w:rsidRPr="00570D99">
        <w:rPr>
          <w:rFonts w:ascii="Times New Roman" w:hAnsi="Times New Roman"/>
          <w:sz w:val="24"/>
        </w:rPr>
        <w:t>, Ana Ratković</w:t>
      </w:r>
      <w:r w:rsidRPr="00570D99">
        <w:rPr>
          <w:rFonts w:ascii="Times New Roman" w:hAnsi="Times New Roman"/>
          <w:sz w:val="24"/>
          <w:vertAlign w:val="superscript"/>
        </w:rPr>
        <w:t>b</w:t>
      </w:r>
      <w:r w:rsidRPr="00570D99">
        <w:rPr>
          <w:rFonts w:ascii="Times New Roman" w:hAnsi="Times New Roman"/>
          <w:sz w:val="24"/>
        </w:rPr>
        <w:t xml:space="preserve"> and Ivana Šagud</w:t>
      </w:r>
      <w:r w:rsidRPr="00570D99">
        <w:rPr>
          <w:rFonts w:ascii="Times New Roman" w:hAnsi="Times New Roman"/>
          <w:sz w:val="24"/>
          <w:vertAlign w:val="superscript"/>
        </w:rPr>
        <w:t>b</w:t>
      </w:r>
    </w:p>
    <w:p w:rsidR="00D25FA1" w:rsidRPr="00570D99" w:rsidRDefault="00D25FA1" w:rsidP="00570D99">
      <w:pPr>
        <w:pStyle w:val="Helv-Adress"/>
        <w:rPr>
          <w:rFonts w:ascii="Times New Roman" w:hAnsi="Times New Roman"/>
          <w:i/>
          <w:sz w:val="24"/>
          <w:szCs w:val="24"/>
          <w:lang w:val="de-DE"/>
        </w:rPr>
      </w:pPr>
      <w:r w:rsidRPr="00570D99">
        <w:rPr>
          <w:rFonts w:ascii="Times New Roman" w:hAnsi="Times New Roman"/>
          <w:sz w:val="24"/>
          <w:szCs w:val="24"/>
          <w:vertAlign w:val="superscript"/>
        </w:rPr>
        <w:t>a</w:t>
      </w:r>
      <w:r w:rsidRPr="00570D99">
        <w:rPr>
          <w:rFonts w:ascii="Times New Roman" w:hAnsi="Times New Roman"/>
          <w:i/>
          <w:sz w:val="24"/>
          <w:szCs w:val="24"/>
          <w:lang w:val="de-DE"/>
        </w:rPr>
        <w:t>Department of Chemistry, Faculty of Science and Education, University of Mostar, Matice hrvatske bb, 88000 Mostar, Bosnia and Herzegovina</w:t>
      </w:r>
      <w:r w:rsidR="00570D99">
        <w:rPr>
          <w:rFonts w:ascii="Times New Roman" w:hAnsi="Times New Roman"/>
          <w:i/>
          <w:sz w:val="24"/>
          <w:szCs w:val="24"/>
          <w:lang w:val="de-DE"/>
        </w:rPr>
        <w:t>.</w:t>
      </w:r>
    </w:p>
    <w:p w:rsidR="00D25FA1" w:rsidRPr="00570D99" w:rsidRDefault="00D25FA1" w:rsidP="00570D99">
      <w:pPr>
        <w:pStyle w:val="Helv-Adress"/>
        <w:rPr>
          <w:rFonts w:ascii="Times New Roman" w:hAnsi="Times New Roman"/>
          <w:i/>
          <w:sz w:val="24"/>
          <w:szCs w:val="24"/>
          <w:lang w:val="de-DE"/>
        </w:rPr>
      </w:pPr>
      <w:r w:rsidRPr="00570D99">
        <w:rPr>
          <w:rFonts w:ascii="Times New Roman" w:hAnsi="Times New Roman"/>
          <w:sz w:val="24"/>
          <w:szCs w:val="24"/>
          <w:vertAlign w:val="superscript"/>
        </w:rPr>
        <w:t>b</w:t>
      </w:r>
      <w:r w:rsidRPr="00570D99">
        <w:rPr>
          <w:rFonts w:ascii="Times New Roman" w:hAnsi="Times New Roman"/>
          <w:i/>
          <w:sz w:val="24"/>
          <w:szCs w:val="24"/>
          <w:lang w:val="de-DE"/>
        </w:rPr>
        <w:t>Department of Organic Chemistry, Faculty of Chemical Engineering and Technology, University of Zagreb, Marulićev trg 19, 10000 Zagreb, Croatia</w:t>
      </w:r>
    </w:p>
    <w:p w:rsidR="00F51138" w:rsidRDefault="00570D99" w:rsidP="00F77B06">
      <w:pPr>
        <w:spacing w:after="0" w:line="360" w:lineRule="auto"/>
        <w:jc w:val="center"/>
      </w:pPr>
      <w:r w:rsidRPr="00570D99">
        <w:rPr>
          <w:rFonts w:cs="Times New Roman"/>
          <w:sz w:val="24"/>
          <w:szCs w:val="24"/>
          <w:lang w:val="en-US"/>
        </w:rPr>
        <w:t>*Corresponding author</w:t>
      </w:r>
      <w:r>
        <w:rPr>
          <w:rFonts w:cs="Times New Roman"/>
          <w:sz w:val="24"/>
          <w:szCs w:val="24"/>
          <w:lang w:val="en-US"/>
        </w:rPr>
        <w:t xml:space="preserve">: </w:t>
      </w:r>
      <w:r w:rsidRPr="00570D99">
        <w:rPr>
          <w:rFonts w:cs="Times New Roman"/>
          <w:sz w:val="24"/>
          <w:szCs w:val="24"/>
          <w:lang w:val="en-US"/>
        </w:rPr>
        <w:t xml:space="preserve">e-mail: </w:t>
      </w:r>
      <w:hyperlink r:id="rId7" w:history="1">
        <w:r w:rsidRPr="008E1C49">
          <w:rPr>
            <w:rStyle w:val="Hiperveza"/>
            <w:rFonts w:cs="Times New Roman"/>
            <w:sz w:val="24"/>
            <w:szCs w:val="24"/>
            <w:lang w:val="en-US"/>
          </w:rPr>
          <w:t>ilijana.odak@fpmoz.sum.ba</w:t>
        </w:r>
      </w:hyperlink>
    </w:p>
    <w:p w:rsidR="00F77B06" w:rsidRDefault="00F77B06" w:rsidP="00570D99">
      <w:pPr>
        <w:spacing w:line="360" w:lineRule="auto"/>
        <w:jc w:val="center"/>
      </w:pPr>
      <w:r>
        <w:t>Tel: +38736445478, Fax:+3873</w:t>
      </w:r>
      <w:r w:rsidR="006E58E8">
        <w:t>63</w:t>
      </w:r>
      <w:r>
        <w:t>5545</w:t>
      </w:r>
      <w:r w:rsidR="00D33D0A">
        <w:t>8</w:t>
      </w:r>
    </w:p>
    <w:p w:rsidR="00F77B06" w:rsidRPr="00570D99" w:rsidRDefault="00F77B06" w:rsidP="00570D99">
      <w:pPr>
        <w:spacing w:line="360" w:lineRule="auto"/>
        <w:jc w:val="center"/>
        <w:rPr>
          <w:rFonts w:cs="Times New Roman"/>
          <w:sz w:val="24"/>
          <w:szCs w:val="24"/>
          <w:lang w:val="en-US"/>
        </w:rPr>
      </w:pPr>
    </w:p>
    <w:p w:rsidR="00570D99" w:rsidRPr="00570D99" w:rsidRDefault="00570D99" w:rsidP="00570D99">
      <w:pPr>
        <w:pStyle w:val="Helv-Abstract"/>
        <w:rPr>
          <w:rFonts w:ascii="Times New Roman" w:hAnsi="Times New Roman"/>
          <w:b/>
          <w:sz w:val="24"/>
          <w:szCs w:val="24"/>
        </w:rPr>
      </w:pPr>
      <w:r w:rsidRPr="00570D99">
        <w:rPr>
          <w:rFonts w:ascii="Times New Roman" w:hAnsi="Times New Roman"/>
          <w:b/>
          <w:sz w:val="24"/>
          <w:szCs w:val="24"/>
        </w:rPr>
        <w:t>Abstract</w:t>
      </w:r>
    </w:p>
    <w:p w:rsidR="00D25FA1" w:rsidRPr="00B136A9" w:rsidRDefault="00570D99" w:rsidP="00570D99">
      <w:pPr>
        <w:pStyle w:val="Helv-Abstract"/>
        <w:rPr>
          <w:rFonts w:ascii="Times New Roman" w:hAnsi="Times New Roman"/>
          <w:sz w:val="24"/>
          <w:szCs w:val="24"/>
        </w:rPr>
      </w:pPr>
      <w:r w:rsidRPr="00B136A9">
        <w:rPr>
          <w:rFonts w:ascii="Times New Roman" w:hAnsi="Times New Roman"/>
          <w:sz w:val="24"/>
          <w:szCs w:val="24"/>
        </w:rPr>
        <w:t xml:space="preserve">The objective of this study was to evaluate impact of light and available oxygen on </w:t>
      </w:r>
      <w:r w:rsidR="00B136A9" w:rsidRPr="00B136A9">
        <w:rPr>
          <w:rFonts w:ascii="Times New Roman" w:hAnsi="Times New Roman"/>
          <w:sz w:val="24"/>
          <w:szCs w:val="24"/>
        </w:rPr>
        <w:t xml:space="preserve">the chemical composition </w:t>
      </w:r>
      <w:r w:rsidRPr="00B136A9">
        <w:rPr>
          <w:rFonts w:ascii="Times New Roman" w:hAnsi="Times New Roman"/>
          <w:sz w:val="24"/>
          <w:szCs w:val="24"/>
        </w:rPr>
        <w:t>of three selected essential oils</w:t>
      </w:r>
      <w:r w:rsidR="00B136A9" w:rsidRPr="00B136A9">
        <w:rPr>
          <w:rFonts w:ascii="Times New Roman" w:hAnsi="Times New Roman"/>
          <w:sz w:val="24"/>
          <w:szCs w:val="24"/>
        </w:rPr>
        <w:t>.</w:t>
      </w:r>
      <w:r w:rsidRPr="00B136A9">
        <w:rPr>
          <w:rFonts w:ascii="Times New Roman" w:hAnsi="Times New Roman"/>
          <w:sz w:val="24"/>
          <w:szCs w:val="24"/>
        </w:rPr>
        <w:t xml:space="preserve"> </w:t>
      </w:r>
      <w:r w:rsidR="00D25FA1" w:rsidRPr="00B136A9">
        <w:rPr>
          <w:rFonts w:ascii="Times New Roman" w:hAnsi="Times New Roman"/>
          <w:sz w:val="24"/>
          <w:szCs w:val="24"/>
        </w:rPr>
        <w:t>Aliquots of immortelle, silver fir and prickly juniper essential oils were exposed to UV-A irradiation</w:t>
      </w:r>
      <w:r w:rsidR="00D25FA1" w:rsidRPr="00570D99">
        <w:rPr>
          <w:rFonts w:ascii="Times New Roman" w:hAnsi="Times New Roman"/>
          <w:sz w:val="24"/>
          <w:szCs w:val="24"/>
        </w:rPr>
        <w:t xml:space="preserve"> in the presence of atmospheric oxygen as well as in the presence of inert gas. The compositions of fresh and irradiated samples were studied by GC/MS. Each</w:t>
      </w:r>
      <w:bookmarkStart w:id="0" w:name="_GoBack"/>
      <w:bookmarkEnd w:id="0"/>
      <w:r w:rsidR="00D25FA1" w:rsidRPr="00570D99">
        <w:rPr>
          <w:rFonts w:ascii="Times New Roman" w:hAnsi="Times New Roman"/>
          <w:sz w:val="24"/>
          <w:szCs w:val="24"/>
        </w:rPr>
        <w:t xml:space="preserve"> oil showed an individual response to the applied conditions. In immortelle oil, dominant process was phototransformation of </w:t>
      </w:r>
      <w:r w:rsidR="00D25FA1" w:rsidRPr="00570D99">
        <w:rPr>
          <w:rFonts w:ascii="Times New Roman" w:hAnsi="Times New Roman"/>
          <w:i/>
          <w:sz w:val="24"/>
          <w:szCs w:val="24"/>
        </w:rPr>
        <w:sym w:font="Symbol" w:char="F067"/>
      </w:r>
      <w:r w:rsidR="00D25FA1" w:rsidRPr="00570D99">
        <w:rPr>
          <w:rFonts w:ascii="Times New Roman" w:hAnsi="Times New Roman"/>
          <w:sz w:val="24"/>
          <w:szCs w:val="24"/>
        </w:rPr>
        <w:t xml:space="preserve">-curcumene to italicene, isoitalicene and </w:t>
      </w:r>
      <w:r w:rsidR="00D25FA1" w:rsidRPr="00570D99">
        <w:rPr>
          <w:rFonts w:ascii="Times New Roman" w:hAnsi="Times New Roman"/>
          <w:i/>
          <w:sz w:val="24"/>
          <w:szCs w:val="24"/>
        </w:rPr>
        <w:t>α</w:t>
      </w:r>
      <w:r w:rsidR="00D25FA1" w:rsidRPr="00570D99">
        <w:rPr>
          <w:rFonts w:ascii="Times New Roman" w:hAnsi="Times New Roman"/>
          <w:sz w:val="24"/>
          <w:szCs w:val="24"/>
        </w:rPr>
        <w:t xml:space="preserve">-curcumene. Since </w:t>
      </w:r>
      <w:r w:rsidR="00D25FA1" w:rsidRPr="00570D99">
        <w:rPr>
          <w:rFonts w:ascii="Times New Roman" w:hAnsi="Times New Roman"/>
          <w:i/>
          <w:sz w:val="24"/>
          <w:szCs w:val="24"/>
        </w:rPr>
        <w:sym w:font="Symbol" w:char="F067"/>
      </w:r>
      <w:r w:rsidR="00D25FA1" w:rsidRPr="00570D99">
        <w:rPr>
          <w:rFonts w:ascii="Times New Roman" w:hAnsi="Times New Roman"/>
          <w:sz w:val="24"/>
          <w:szCs w:val="24"/>
        </w:rPr>
        <w:t xml:space="preserve">-curcumene is one of the major components of immortelle essential oil, exposure of this oil to light can cause significant changes in primary composition and thus quality. In silver fir and prickly juniper oil irradiation caused only slight changes among sesquiterpenes that are present as minor components. Both oils were found to </w:t>
      </w:r>
      <w:r w:rsidR="00D25FA1" w:rsidRPr="00B136A9">
        <w:rPr>
          <w:rFonts w:ascii="Times New Roman" w:hAnsi="Times New Roman"/>
          <w:sz w:val="24"/>
          <w:szCs w:val="24"/>
        </w:rPr>
        <w:t>be photostabile and insensitive to the presence of atmospheric oxygen.</w:t>
      </w:r>
    </w:p>
    <w:p w:rsidR="00D25FA1" w:rsidRPr="00B136A9" w:rsidRDefault="00D25FA1" w:rsidP="00570D99">
      <w:pPr>
        <w:spacing w:line="360" w:lineRule="auto"/>
        <w:jc w:val="both"/>
        <w:rPr>
          <w:rFonts w:cs="Times New Roman"/>
          <w:sz w:val="24"/>
          <w:szCs w:val="24"/>
          <w:lang w:val="en-US"/>
        </w:rPr>
      </w:pPr>
      <w:r w:rsidRPr="00B136A9">
        <w:rPr>
          <w:rFonts w:cs="Times New Roman"/>
          <w:b/>
          <w:sz w:val="24"/>
          <w:szCs w:val="24"/>
          <w:lang w:val="en-US"/>
        </w:rPr>
        <w:t>Keywords:</w:t>
      </w:r>
      <w:r w:rsidRPr="00B136A9">
        <w:rPr>
          <w:rFonts w:cs="Times New Roman"/>
          <w:sz w:val="24"/>
          <w:szCs w:val="24"/>
          <w:lang w:val="en-US"/>
        </w:rPr>
        <w:t xml:space="preserve"> essential oil, photostability, phototransformation, </w:t>
      </w:r>
      <w:r w:rsidR="00B136A9" w:rsidRPr="00B136A9">
        <w:rPr>
          <w:rFonts w:cs="Times New Roman"/>
          <w:sz w:val="24"/>
          <w:szCs w:val="24"/>
          <w:lang w:val="en-US"/>
        </w:rPr>
        <w:t xml:space="preserve">cycloaddition, dehydrogenation, </w:t>
      </w:r>
      <w:r w:rsidRPr="00B136A9">
        <w:rPr>
          <w:rFonts w:cs="Times New Roman"/>
          <w:sz w:val="24"/>
          <w:szCs w:val="24"/>
          <w:lang w:val="en-US"/>
        </w:rPr>
        <w:t>UV-Vis promoted deterioration</w:t>
      </w:r>
    </w:p>
    <w:p w:rsidR="00D25FA1" w:rsidRPr="00570D99" w:rsidRDefault="00B136A9" w:rsidP="00570D99">
      <w:pPr>
        <w:spacing w:line="360" w:lineRule="auto"/>
        <w:jc w:val="both"/>
        <w:rPr>
          <w:rFonts w:cs="Times New Roman"/>
          <w:b/>
          <w:sz w:val="24"/>
          <w:szCs w:val="24"/>
          <w:lang w:val="en-US"/>
        </w:rPr>
      </w:pPr>
      <w:r>
        <w:rPr>
          <w:rFonts w:cs="Times New Roman"/>
          <w:b/>
          <w:sz w:val="24"/>
          <w:szCs w:val="24"/>
          <w:lang w:val="en-US"/>
        </w:rPr>
        <w:t xml:space="preserve">1. </w:t>
      </w:r>
      <w:r w:rsidR="00D25FA1" w:rsidRPr="00570D99">
        <w:rPr>
          <w:rFonts w:cs="Times New Roman"/>
          <w:b/>
          <w:sz w:val="24"/>
          <w:szCs w:val="24"/>
          <w:lang w:val="en-US"/>
        </w:rPr>
        <w:t>Introduction</w:t>
      </w:r>
    </w:p>
    <w:p w:rsidR="00D25FA1" w:rsidRPr="00570D99" w:rsidRDefault="00D25FA1" w:rsidP="00570D99">
      <w:pPr>
        <w:spacing w:line="360" w:lineRule="auto"/>
        <w:jc w:val="both"/>
        <w:rPr>
          <w:rFonts w:cs="Times New Roman"/>
          <w:sz w:val="24"/>
          <w:szCs w:val="24"/>
          <w:lang w:val="en-US"/>
        </w:rPr>
      </w:pPr>
      <w:r w:rsidRPr="00570D99">
        <w:rPr>
          <w:rFonts w:cs="Times New Roman"/>
          <w:sz w:val="24"/>
          <w:szCs w:val="24"/>
          <w:lang w:val="en-US"/>
        </w:rPr>
        <w:t xml:space="preserve">Phytochemicals have long history of usage in nutrition, medicine and cosmetics due to the wide range of beneficial properties they possess. Nowadays, the interest in phytochemicals is continuously growing, whether for healthy food, natural pharmaceuticals or personal care and household products. This can be attributed to the consumer’s increased awareness regarding the “green” products and an overall greater health consciousness. Important class of natural </w:t>
      </w:r>
      <w:r w:rsidRPr="00570D99">
        <w:rPr>
          <w:rFonts w:cs="Times New Roman"/>
          <w:sz w:val="24"/>
          <w:szCs w:val="24"/>
          <w:lang w:val="en-US"/>
        </w:rPr>
        <w:lastRenderedPageBreak/>
        <w:t>products in food and cosmetics industries as well as in folk medicine are essential oils. These classes of products are highly volatile and aromatic secondary plant metabolites, extracted by water or steam distillation from plant material. Usages of essential oils overcame the traditional medicinal practices and nowadays they are widely applied in the cosmetics, pharmaceutical and food industries.</w:t>
      </w:r>
      <w:r w:rsidRPr="00570D99">
        <w:rPr>
          <w:rFonts w:cs="Times New Roman"/>
          <w:sz w:val="24"/>
          <w:szCs w:val="24"/>
          <w:vertAlign w:val="superscript"/>
          <w:lang w:val="en-US"/>
        </w:rPr>
        <w:t>1–3</w:t>
      </w:r>
      <w:r w:rsidRPr="00570D99">
        <w:rPr>
          <w:rFonts w:cs="Times New Roman"/>
          <w:sz w:val="24"/>
          <w:szCs w:val="24"/>
          <w:lang w:val="en-US"/>
        </w:rPr>
        <w:t xml:space="preserve"> Such various areas of essential oils application result from the differences in their chemical composition which range from very simple to highly complex, containing more than 100 constituents. Specific features of essential oils, such as antioxidant properties or odor, do not depend only on the major components but also on the synergism between these components and the structure and properties of each. Components of essential oils including terpenes, esters, aromatic hydrocarbons and phenols, may undergo changes when exposed to air, heat or light. They can be transformed into one another by oxidation, isomerization, cyclization or dehydrogenation or may be transformed into other products by the same reactions as well as by polymerization and degradation.</w:t>
      </w:r>
      <w:r w:rsidRPr="00570D99">
        <w:rPr>
          <w:rFonts w:cs="Times New Roman"/>
          <w:sz w:val="24"/>
          <w:szCs w:val="24"/>
          <w:vertAlign w:val="superscript"/>
          <w:lang w:val="en-US"/>
        </w:rPr>
        <w:t>4</w:t>
      </w:r>
      <w:r w:rsidRPr="00570D99">
        <w:rPr>
          <w:rFonts w:cs="Times New Roman"/>
          <w:sz w:val="24"/>
          <w:szCs w:val="24"/>
          <w:lang w:val="en-US"/>
        </w:rPr>
        <w:t xml:space="preserve"> Changes in the composition of the starting material can lead to the decline in quality and its biological properties</w:t>
      </w:r>
      <w:r w:rsidRPr="00570D99">
        <w:rPr>
          <w:rFonts w:cs="Times New Roman"/>
          <w:sz w:val="24"/>
          <w:szCs w:val="24"/>
          <w:vertAlign w:val="superscript"/>
          <w:lang w:val="en-US"/>
        </w:rPr>
        <w:t>5</w:t>
      </w:r>
      <w:r w:rsidRPr="00570D99">
        <w:rPr>
          <w:rFonts w:cs="Times New Roman"/>
          <w:sz w:val="24"/>
          <w:szCs w:val="24"/>
          <w:lang w:val="en-US"/>
        </w:rPr>
        <w:t xml:space="preserve"> and even lead to compunds that can cause harm to the user.</w:t>
      </w:r>
      <w:r w:rsidRPr="00570D99">
        <w:rPr>
          <w:rFonts w:cs="Times New Roman"/>
          <w:sz w:val="24"/>
          <w:szCs w:val="24"/>
          <w:vertAlign w:val="superscript"/>
          <w:lang w:val="en-US"/>
        </w:rPr>
        <w:t>6,</w:t>
      </w:r>
      <w:r w:rsidR="00B136A9">
        <w:rPr>
          <w:rFonts w:cs="Times New Roman"/>
          <w:sz w:val="24"/>
          <w:szCs w:val="24"/>
          <w:vertAlign w:val="superscript"/>
          <w:lang w:val="en-US"/>
        </w:rPr>
        <w:t xml:space="preserve"> </w:t>
      </w:r>
      <w:r w:rsidRPr="00570D99">
        <w:rPr>
          <w:rFonts w:cs="Times New Roman"/>
          <w:sz w:val="24"/>
          <w:szCs w:val="24"/>
          <w:vertAlign w:val="superscript"/>
          <w:lang w:val="en-US"/>
        </w:rPr>
        <w:t>7</w:t>
      </w:r>
      <w:r w:rsidRPr="00570D99">
        <w:rPr>
          <w:rFonts w:cs="Times New Roman"/>
          <w:sz w:val="24"/>
          <w:szCs w:val="24"/>
          <w:lang w:val="en-US"/>
        </w:rPr>
        <w:t xml:space="preserve"> In order to develop efficient use of essential oils in various areas of applications, it is necessary to carry out research regarding their properties, chemical composition as well as photostability or changes in the composition during storage and usage. Ultraviolet and visible light is found to cause faster compositional changes through the reaction of oxidation, photocycloaddition and isomerization. </w:t>
      </w:r>
      <w:r w:rsidRPr="00B136A9">
        <w:rPr>
          <w:rFonts w:cs="Times New Roman"/>
          <w:sz w:val="24"/>
          <w:szCs w:val="24"/>
          <w:lang w:val="en-US"/>
        </w:rPr>
        <w:t>Mieting et al.</w:t>
      </w:r>
      <w:r w:rsidRPr="00570D99">
        <w:rPr>
          <w:rFonts w:cs="Times New Roman"/>
          <w:sz w:val="24"/>
          <w:szCs w:val="24"/>
          <w:vertAlign w:val="superscript"/>
          <w:lang w:val="en-US"/>
        </w:rPr>
        <w:t>8</w:t>
      </w:r>
      <w:r w:rsidRPr="00570D99">
        <w:rPr>
          <w:rFonts w:cs="Times New Roman"/>
          <w:sz w:val="24"/>
          <w:szCs w:val="24"/>
          <w:lang w:val="en-US"/>
        </w:rPr>
        <w:t xml:space="preserve"> found photoanethole in stored essential oil from anis, as a result of photocycloaddition between anethole and anisaldehyde. In sweet fennel oil, </w:t>
      </w:r>
      <w:r w:rsidRPr="00570D99">
        <w:rPr>
          <w:rFonts w:cs="Times New Roman"/>
          <w:i/>
          <w:sz w:val="24"/>
          <w:szCs w:val="24"/>
          <w:lang w:val="en-US"/>
        </w:rPr>
        <w:t>trans</w:t>
      </w:r>
      <w:r w:rsidRPr="00570D99">
        <w:rPr>
          <w:rFonts w:cs="Times New Roman"/>
          <w:sz w:val="24"/>
          <w:szCs w:val="24"/>
          <w:lang w:val="en-US"/>
        </w:rPr>
        <w:t xml:space="preserve">-anethole isomerizes to </w:t>
      </w:r>
      <w:r w:rsidRPr="00570D99">
        <w:rPr>
          <w:rFonts w:cs="Times New Roman"/>
          <w:i/>
          <w:sz w:val="24"/>
          <w:szCs w:val="24"/>
          <w:lang w:val="en-US"/>
        </w:rPr>
        <w:t>cis</w:t>
      </w:r>
      <w:r w:rsidRPr="00570D99">
        <w:rPr>
          <w:rFonts w:cs="Times New Roman"/>
          <w:sz w:val="24"/>
          <w:szCs w:val="24"/>
          <w:lang w:val="en-US"/>
        </w:rPr>
        <w:t>-anethole and oxidizes to anisaldehyde under the influence of light.</w:t>
      </w:r>
      <w:r w:rsidRPr="00570D99">
        <w:rPr>
          <w:rFonts w:cs="Times New Roman"/>
          <w:sz w:val="24"/>
          <w:szCs w:val="24"/>
          <w:vertAlign w:val="superscript"/>
          <w:lang w:val="en-US"/>
        </w:rPr>
        <w:t>9</w:t>
      </w:r>
      <w:r w:rsidRPr="00570D99">
        <w:rPr>
          <w:rFonts w:cs="Times New Roman"/>
          <w:sz w:val="24"/>
          <w:szCs w:val="24"/>
          <w:lang w:val="en-US"/>
        </w:rPr>
        <w:t xml:space="preserve"> </w:t>
      </w:r>
      <w:r w:rsidRPr="00B136A9">
        <w:rPr>
          <w:rFonts w:cs="Times New Roman"/>
          <w:sz w:val="24"/>
          <w:szCs w:val="24"/>
          <w:lang w:val="en-US"/>
        </w:rPr>
        <w:t>Turek and Stintzing</w:t>
      </w:r>
      <w:r w:rsidR="00B136A9">
        <w:rPr>
          <w:rFonts w:cs="Times New Roman"/>
          <w:sz w:val="24"/>
          <w:szCs w:val="24"/>
          <w:vertAlign w:val="superscript"/>
          <w:lang w:val="en-US"/>
        </w:rPr>
        <w:t xml:space="preserve">10, </w:t>
      </w:r>
      <w:r w:rsidRPr="00570D99">
        <w:rPr>
          <w:rFonts w:cs="Times New Roman"/>
          <w:sz w:val="24"/>
          <w:szCs w:val="24"/>
          <w:vertAlign w:val="superscript"/>
          <w:lang w:val="en-US"/>
        </w:rPr>
        <w:t>11</w:t>
      </w:r>
      <w:r w:rsidRPr="00570D99">
        <w:rPr>
          <w:rFonts w:cs="Times New Roman"/>
          <w:sz w:val="24"/>
          <w:szCs w:val="24"/>
          <w:lang w:val="en-US"/>
        </w:rPr>
        <w:t xml:space="preserve"> found degradation of some monoterpenes in rosemary oil under the influence of light while thyme oil does not show significant changes when exposed to daylight.</w:t>
      </w:r>
    </w:p>
    <w:p w:rsidR="00D25FA1" w:rsidRPr="00570D99" w:rsidRDefault="00D25FA1" w:rsidP="00570D99">
      <w:pPr>
        <w:spacing w:line="360" w:lineRule="auto"/>
        <w:jc w:val="both"/>
        <w:rPr>
          <w:rFonts w:cs="Times New Roman"/>
          <w:sz w:val="24"/>
          <w:szCs w:val="24"/>
          <w:lang w:val="en-US"/>
        </w:rPr>
      </w:pPr>
      <w:r w:rsidRPr="00570D99">
        <w:rPr>
          <w:rFonts w:cs="Times New Roman"/>
          <w:sz w:val="24"/>
          <w:szCs w:val="24"/>
          <w:lang w:val="en-US"/>
        </w:rPr>
        <w:t xml:space="preserve">In this paper, three commercially available essential oils from Bosnia and Herzegovina (B&amp;H) were studied in order to determine their photostability. Territory of B&amp;H is characterized by high floristic diversity. A large number of medicinal and aromatic plant species are native to B&amp;H and represent an important economic resource. B&amp;H is covered with coniferous woods, which has resulted in widespread usage of products derived from this species. Essential oils from </w:t>
      </w:r>
      <w:r w:rsidRPr="00570D99">
        <w:rPr>
          <w:rFonts w:cs="Times New Roman"/>
          <w:i/>
          <w:sz w:val="24"/>
          <w:szCs w:val="24"/>
          <w:lang w:val="en-US"/>
        </w:rPr>
        <w:t>Abies alba</w:t>
      </w:r>
      <w:r w:rsidRPr="00570D99">
        <w:rPr>
          <w:rFonts w:cs="Times New Roman"/>
          <w:sz w:val="24"/>
          <w:szCs w:val="24"/>
          <w:lang w:val="en-US"/>
        </w:rPr>
        <w:t xml:space="preserve"> is industrially one of the most important in B&amp;H. Silver fir oil is used commercially in cosmetic and fragrance industries as well as household products.</w:t>
      </w:r>
      <w:r w:rsidRPr="00570D99">
        <w:rPr>
          <w:rFonts w:cs="Times New Roman"/>
          <w:sz w:val="24"/>
          <w:szCs w:val="24"/>
          <w:vertAlign w:val="superscript"/>
          <w:lang w:val="en-US"/>
        </w:rPr>
        <w:t>12</w:t>
      </w:r>
      <w:r w:rsidRPr="00570D99">
        <w:rPr>
          <w:rFonts w:cs="Times New Roman"/>
          <w:sz w:val="24"/>
          <w:szCs w:val="24"/>
          <w:lang w:val="en-US"/>
        </w:rPr>
        <w:t xml:space="preserve"> Another important conifer is </w:t>
      </w:r>
      <w:r w:rsidRPr="00570D99">
        <w:rPr>
          <w:rFonts w:cs="Times New Roman"/>
          <w:i/>
          <w:sz w:val="24"/>
          <w:szCs w:val="24"/>
          <w:lang w:val="en-US"/>
        </w:rPr>
        <w:t>Juniperus oxycedrus</w:t>
      </w:r>
      <w:r w:rsidRPr="00570D99">
        <w:rPr>
          <w:rFonts w:cs="Times New Roman"/>
          <w:sz w:val="24"/>
          <w:szCs w:val="24"/>
          <w:lang w:val="en-US"/>
        </w:rPr>
        <w:t xml:space="preserve"> (prickly juniper) and its </w:t>
      </w:r>
      <w:r w:rsidRPr="00570D99">
        <w:rPr>
          <w:rFonts w:cs="Times New Roman"/>
          <w:sz w:val="24"/>
          <w:szCs w:val="24"/>
          <w:lang w:val="en-US"/>
        </w:rPr>
        <w:lastRenderedPageBreak/>
        <w:t>essential oil which is used in many pharmaceutical skin preparations and veterinary medicine. One of the most cultivated aromatic plants in Herzegovina</w:t>
      </w:r>
      <w:r w:rsidRPr="00570D99">
        <w:rPr>
          <w:rFonts w:cs="Times New Roman"/>
          <w:i/>
          <w:sz w:val="24"/>
          <w:szCs w:val="24"/>
          <w:lang w:val="en-US"/>
        </w:rPr>
        <w:t xml:space="preserve"> </w:t>
      </w:r>
      <w:r w:rsidRPr="00570D99">
        <w:rPr>
          <w:rFonts w:cs="Times New Roman"/>
          <w:sz w:val="24"/>
          <w:szCs w:val="24"/>
          <w:lang w:val="en-US"/>
        </w:rPr>
        <w:t>is</w:t>
      </w:r>
      <w:r w:rsidRPr="00570D99">
        <w:rPr>
          <w:rFonts w:cs="Times New Roman"/>
          <w:i/>
          <w:sz w:val="24"/>
          <w:szCs w:val="24"/>
          <w:lang w:val="en-US"/>
        </w:rPr>
        <w:t xml:space="preserve"> Helichrysum italicum</w:t>
      </w:r>
      <w:r w:rsidRPr="00570D99">
        <w:rPr>
          <w:rFonts w:cs="Times New Roman"/>
          <w:sz w:val="24"/>
          <w:szCs w:val="24"/>
          <w:lang w:val="en-US"/>
        </w:rPr>
        <w:t xml:space="preserve"> subsp. </w:t>
      </w:r>
      <w:r w:rsidRPr="00570D99">
        <w:rPr>
          <w:rFonts w:cs="Times New Roman"/>
          <w:i/>
          <w:sz w:val="24"/>
          <w:szCs w:val="24"/>
          <w:lang w:val="en-US"/>
        </w:rPr>
        <w:t>italicum</w:t>
      </w:r>
      <w:r w:rsidRPr="00570D99">
        <w:rPr>
          <w:rFonts w:cs="Times New Roman"/>
          <w:sz w:val="24"/>
          <w:szCs w:val="24"/>
          <w:lang w:val="en-US"/>
        </w:rPr>
        <w:t xml:space="preserve"> (immortelle) due to the economic value of its essential oil. It is a highly valued oil with a complex chemical composition, used in perfume and cosmetics industry.</w:t>
      </w:r>
      <w:r w:rsidRPr="00570D99">
        <w:rPr>
          <w:rFonts w:cs="Times New Roman"/>
          <w:sz w:val="24"/>
          <w:szCs w:val="24"/>
          <w:vertAlign w:val="superscript"/>
          <w:lang w:val="en-US"/>
        </w:rPr>
        <w:t>13</w:t>
      </w:r>
      <w:r w:rsidRPr="00570D99">
        <w:rPr>
          <w:rFonts w:cs="Times New Roman"/>
          <w:sz w:val="24"/>
          <w:szCs w:val="24"/>
          <w:lang w:val="en-US"/>
        </w:rPr>
        <w:t xml:space="preserve"> </w:t>
      </w:r>
    </w:p>
    <w:p w:rsidR="00D25FA1" w:rsidRDefault="00D25FA1" w:rsidP="00570D99">
      <w:pPr>
        <w:spacing w:line="360" w:lineRule="auto"/>
        <w:jc w:val="both"/>
        <w:rPr>
          <w:rFonts w:cs="Times New Roman"/>
          <w:sz w:val="24"/>
          <w:szCs w:val="24"/>
          <w:lang w:val="en-US"/>
        </w:rPr>
      </w:pPr>
      <w:r w:rsidRPr="00570D99">
        <w:rPr>
          <w:rFonts w:cs="Times New Roman"/>
          <w:sz w:val="24"/>
          <w:szCs w:val="24"/>
          <w:lang w:val="en-US"/>
        </w:rPr>
        <w:t>The influence of light on the chemical changes of selected essential oils has been studied in the conditions that cause accelerated changes induced by light. Irradiated samples were analyzed by GC/MS and compared to the fresh ones in order to evaluate potential changes in chemical composition.</w:t>
      </w:r>
    </w:p>
    <w:p w:rsidR="00B136A9" w:rsidRPr="00B136A9" w:rsidRDefault="00B136A9" w:rsidP="00570D99">
      <w:pPr>
        <w:spacing w:line="360" w:lineRule="auto"/>
        <w:jc w:val="both"/>
        <w:rPr>
          <w:rFonts w:cs="Times New Roman"/>
          <w:b/>
          <w:sz w:val="24"/>
          <w:szCs w:val="24"/>
          <w:lang w:val="en-US"/>
        </w:rPr>
      </w:pPr>
      <w:r w:rsidRPr="00B136A9">
        <w:rPr>
          <w:rFonts w:cs="Times New Roman"/>
          <w:b/>
          <w:sz w:val="24"/>
          <w:szCs w:val="24"/>
          <w:lang w:val="en-US"/>
        </w:rPr>
        <w:t>2. Experimental</w:t>
      </w:r>
    </w:p>
    <w:p w:rsidR="00D25FA1" w:rsidRPr="00B136A9" w:rsidRDefault="00D25FA1" w:rsidP="00B136A9">
      <w:pPr>
        <w:rPr>
          <w:rFonts w:cs="Times New Roman"/>
          <w:b/>
          <w:lang w:val="en-US"/>
        </w:rPr>
      </w:pPr>
      <w:r w:rsidRPr="00B136A9">
        <w:rPr>
          <w:rFonts w:cs="Times New Roman"/>
          <w:b/>
          <w:lang w:val="en-US"/>
        </w:rPr>
        <w:t>2.1. Chemicals and plant material</w:t>
      </w:r>
    </w:p>
    <w:p w:rsidR="00D25FA1" w:rsidRPr="00570D99" w:rsidRDefault="00D25FA1" w:rsidP="00B136A9">
      <w:pPr>
        <w:pStyle w:val="Paragraph"/>
        <w:spacing w:before="0" w:after="200" w:line="360" w:lineRule="auto"/>
        <w:jc w:val="both"/>
        <w:rPr>
          <w:lang w:val="en-US"/>
        </w:rPr>
      </w:pPr>
      <w:r w:rsidRPr="00570D99">
        <w:rPr>
          <w:lang w:val="en-US"/>
        </w:rPr>
        <w:t xml:space="preserve">Fresh samples of immortelle, silver fir and prickly juniper essential oils were obtained from distillery plant Roing Ltd. (B&amp;H, </w:t>
      </w:r>
      <w:hyperlink r:id="rId8" w:history="1">
        <w:r w:rsidRPr="00570D99">
          <w:rPr>
            <w:rStyle w:val="Hiperveza"/>
            <w:lang w:val="en-US"/>
          </w:rPr>
          <w:t>http://www.essential-oils.ba/</w:t>
        </w:r>
      </w:hyperlink>
      <w:r w:rsidRPr="00570D99">
        <w:rPr>
          <w:lang w:val="en-US"/>
        </w:rPr>
        <w:t>). Oils were obtained by steam distillation of the corresponding plants, all harvested in Herzegovina region</w:t>
      </w:r>
      <w:r w:rsidR="00C53B2A">
        <w:rPr>
          <w:lang w:val="en-US"/>
        </w:rPr>
        <w:t xml:space="preserve"> in 2017.</w:t>
      </w:r>
      <w:r w:rsidRPr="00570D99">
        <w:rPr>
          <w:lang w:val="en-US"/>
        </w:rPr>
        <w:t>, and dried over anhydrous sodium sulphate. Pentane was obtained from Sigma-Aldrich (St. Louis, MO, USA).</w:t>
      </w:r>
    </w:p>
    <w:p w:rsidR="00D25FA1" w:rsidRPr="00B136A9" w:rsidRDefault="00D25FA1" w:rsidP="00B136A9">
      <w:pPr>
        <w:rPr>
          <w:b/>
          <w:lang w:val="en-US"/>
        </w:rPr>
      </w:pPr>
      <w:r w:rsidRPr="00B136A9">
        <w:rPr>
          <w:b/>
          <w:lang w:val="en-US"/>
        </w:rPr>
        <w:t>2.2. Photochemical testing</w:t>
      </w:r>
    </w:p>
    <w:p w:rsidR="00D25FA1" w:rsidRPr="00570D99" w:rsidRDefault="00D25FA1" w:rsidP="00B136A9">
      <w:pPr>
        <w:pStyle w:val="Paragraph"/>
        <w:spacing w:before="0" w:after="200" w:line="360" w:lineRule="auto"/>
        <w:jc w:val="both"/>
        <w:rPr>
          <w:lang w:val="en-US"/>
        </w:rPr>
      </w:pPr>
      <w:r w:rsidRPr="00570D99">
        <w:rPr>
          <w:lang w:val="en-US"/>
        </w:rPr>
        <w:t>Essential oil samples were prepared as follows: aliquots of 1 ml were filled in 2 ml clear glass vials and closed with sealing plugs with the air left in the headspace (conditions A). The second set of samples was prepared in the same way but flushed with pure nitrogen (conditions B). The sealed vials were irradiated for 48 hours (or more) at 25 °C in a Luzchem CCP-ICH2 photoreactor equipped with 16 lamps of the 366 nm wavelength. After irradiation, oil samples were analyzed using GC-MS system.</w:t>
      </w:r>
    </w:p>
    <w:p w:rsidR="00D25FA1" w:rsidRPr="00B136A9" w:rsidRDefault="00D25FA1" w:rsidP="00B136A9">
      <w:pPr>
        <w:rPr>
          <w:b/>
          <w:lang w:val="en-US"/>
        </w:rPr>
      </w:pPr>
      <w:r w:rsidRPr="00B136A9">
        <w:rPr>
          <w:b/>
          <w:lang w:val="en-US"/>
        </w:rPr>
        <w:t>2.3. Gas Chromatography‒Mass Spectrometry analysis</w:t>
      </w:r>
    </w:p>
    <w:p w:rsidR="00D25FA1" w:rsidRPr="00570D99" w:rsidRDefault="00D25FA1" w:rsidP="00570D99">
      <w:pPr>
        <w:pStyle w:val="Paragraph"/>
        <w:spacing w:line="360" w:lineRule="auto"/>
        <w:jc w:val="both"/>
        <w:rPr>
          <w:lang w:val="en-US"/>
        </w:rPr>
      </w:pPr>
      <w:r w:rsidRPr="00570D99">
        <w:rPr>
          <w:lang w:val="en-US"/>
        </w:rPr>
        <w:t xml:space="preserve">The analysis of the oils was carried out using Shimadzu GC/MS QP2010 system equipped with an AOC‒20i autosampler, using fused silica capillary column Inert Cap (5% diphenyl ‒ 95% dimethylpolysiloxane, 30 m × 0.25 mm i.d., film thickness 0.25 </w:t>
      </w:r>
      <w:r w:rsidRPr="00570D99">
        <w:rPr>
          <w:lang w:val="en-US"/>
        </w:rPr>
        <w:sym w:font="Symbol" w:char="F06D"/>
      </w:r>
      <w:r w:rsidRPr="00570D99">
        <w:rPr>
          <w:lang w:val="en-US"/>
        </w:rPr>
        <w:t xml:space="preserve">m). 1.0 </w:t>
      </w:r>
      <w:r w:rsidRPr="00570D99">
        <w:rPr>
          <w:lang w:val="en-US"/>
        </w:rPr>
        <w:sym w:font="Symbol" w:char="F06D"/>
      </w:r>
      <w:r w:rsidRPr="00570D99">
        <w:rPr>
          <w:lang w:val="en-US"/>
        </w:rPr>
        <w:t xml:space="preserve">l of solution diluted 1:500 </w:t>
      </w:r>
      <w:r w:rsidRPr="00570D99">
        <w:rPr>
          <w:i/>
          <w:lang w:val="en-US"/>
        </w:rPr>
        <w:t>v/v</w:t>
      </w:r>
      <w:r w:rsidRPr="00570D99">
        <w:rPr>
          <w:lang w:val="en-US"/>
        </w:rPr>
        <w:t xml:space="preserve"> in pentane was injected in splitless mode with helium as carrier gas. For immortelle essential oil, the operating conditions were as follows: injection temperature 250 °C; helium flow rate, 1.15 ml/min; oven temperature program: 60 °C (1.5 min), 60 ‒ 120 °C (5 °C/min), 120 ‒ 240 °C (4 °C min), 240 °C (2 min). MS (EI) conditions: ion source temperature: 250 °C, interface temperature: 250 °C, ionization voltage: 70 eV, mass range: </w:t>
      </w:r>
      <w:r w:rsidRPr="00570D99">
        <w:rPr>
          <w:lang w:val="en-US"/>
        </w:rPr>
        <w:lastRenderedPageBreak/>
        <w:t>m/z 40 ‒ 400 u, scan time: 0.5 sec. For silver fir oil, the operating conditions were as follows: injection temperature 260 °C; helium flow rate, 1.11 ml/min; oven temperature  program: 50 °C (5 min), 50 ‒ 260 °C (3 °C/min), 260 °C (15 min). MS (EI) conditions: ion source temperature: 200 °C, interface temperature: 280 °C, ionization voltage: 70 eV, mass range: m/z 40 ‒ 400 u, scan time: 0.5 sec. The operating conditions for prickly juniper oil were as follows: injection temperature 250 °C; helium flow rate, 1.06 ml/min; oven temperature program: 60 °C (2 min), 60 ‒ 200 °C (3 °C/min), 200 °C (10 min). MS (EI) conditions: ion source temperature: 200 °C, interface temperature: 250 °C, ionization voltage: 70 eV, mass range: m/z 40 ‒ 400 u; scan time: 0.5 sec. GCMSolution 2.5 (Shimadzu) was used to handle data. GC-MS analyses were performed in triplicate and the results are represented as mean values.</w:t>
      </w:r>
    </w:p>
    <w:p w:rsidR="00D25FA1" w:rsidRPr="00570D99" w:rsidRDefault="00D25FA1" w:rsidP="00B136A9">
      <w:pPr>
        <w:pStyle w:val="Newparagraph"/>
        <w:spacing w:after="200" w:line="360" w:lineRule="auto"/>
        <w:ind w:firstLine="0"/>
        <w:jc w:val="both"/>
        <w:rPr>
          <w:lang w:val="en-US"/>
        </w:rPr>
      </w:pPr>
      <w:r w:rsidRPr="00570D99">
        <w:rPr>
          <w:lang w:val="en-US"/>
        </w:rPr>
        <w:t xml:space="preserve">Identification of oil components was based on (a) retention indices on a non-polar column relative to a homologous series of </w:t>
      </w:r>
      <w:r w:rsidRPr="00570D99">
        <w:rPr>
          <w:i/>
          <w:lang w:val="en-US"/>
        </w:rPr>
        <w:t>n</w:t>
      </w:r>
      <w:r w:rsidRPr="00570D99">
        <w:rPr>
          <w:lang w:val="en-US"/>
        </w:rPr>
        <w:t>-alkanes (C</w:t>
      </w:r>
      <w:r w:rsidRPr="00570D99">
        <w:rPr>
          <w:vertAlign w:val="subscript"/>
          <w:lang w:val="en-US"/>
        </w:rPr>
        <w:t xml:space="preserve">8 </w:t>
      </w:r>
      <w:r w:rsidRPr="00570D99">
        <w:rPr>
          <w:lang w:val="en-US"/>
        </w:rPr>
        <w:t>‒ C</w:t>
      </w:r>
      <w:r w:rsidRPr="00570D99">
        <w:rPr>
          <w:vertAlign w:val="subscript"/>
          <w:lang w:val="en-US"/>
        </w:rPr>
        <w:t>40</w:t>
      </w:r>
      <w:r w:rsidRPr="00570D99">
        <w:rPr>
          <w:lang w:val="en-US"/>
        </w:rPr>
        <w:t>) (b) on the comparison of their mass spectra and retention indices with the Wiley 7 and NIST spectra libraries and with those reported in the literature</w:t>
      </w:r>
      <w:r w:rsidR="00B136A9">
        <w:rPr>
          <w:lang w:val="en-US"/>
        </w:rPr>
        <w:t>.</w:t>
      </w:r>
      <w:r w:rsidRPr="00B136A9">
        <w:rPr>
          <w:vertAlign w:val="superscript"/>
          <w:lang w:val="en-US"/>
        </w:rPr>
        <w:t>14, 15, 16, 17</w:t>
      </w:r>
    </w:p>
    <w:p w:rsidR="00D25FA1" w:rsidRPr="00B136A9" w:rsidRDefault="00D25FA1" w:rsidP="00B136A9">
      <w:pPr>
        <w:rPr>
          <w:b/>
          <w:lang w:val="en-US"/>
        </w:rPr>
      </w:pPr>
      <w:r w:rsidRPr="00B136A9">
        <w:rPr>
          <w:b/>
          <w:lang w:val="en-US"/>
        </w:rPr>
        <w:t>3. Results and discussion</w:t>
      </w:r>
    </w:p>
    <w:p w:rsidR="00D25FA1" w:rsidRPr="00570D99" w:rsidRDefault="00D25FA1" w:rsidP="00570D99">
      <w:pPr>
        <w:pStyle w:val="Paragraph"/>
        <w:spacing w:line="360" w:lineRule="auto"/>
        <w:jc w:val="both"/>
        <w:rPr>
          <w:lang w:val="en-US"/>
        </w:rPr>
      </w:pPr>
      <w:r w:rsidRPr="00570D99">
        <w:rPr>
          <w:lang w:val="en-US"/>
        </w:rPr>
        <w:t xml:space="preserve">The influence of the light was assessed by brief irradiation in the photochemical reactor at a wavelength of 366 nm in order to imitate UV-A fraction of sunlight. Samples of fresh oils were kept in photoreactor under air (sample A) and under nitrogen (sample B) for 48 hours or longer. Table 1 show compounds from particular oil whose percentage is changed during irradiation, while complete tables with full chemical composition of each </w:t>
      </w:r>
      <w:r w:rsidR="00122F5E">
        <w:rPr>
          <w:lang w:val="en-US"/>
        </w:rPr>
        <w:t xml:space="preserve">freshly distilled </w:t>
      </w:r>
      <w:r w:rsidRPr="00570D99">
        <w:rPr>
          <w:lang w:val="en-US"/>
        </w:rPr>
        <w:t xml:space="preserve">oil can be found in </w:t>
      </w:r>
      <w:r w:rsidR="00122F5E">
        <w:rPr>
          <w:lang w:val="en-US"/>
        </w:rPr>
        <w:t>Appendix</w:t>
      </w:r>
      <w:r w:rsidRPr="00570D99">
        <w:rPr>
          <w:lang w:val="en-US"/>
        </w:rPr>
        <w:t xml:space="preserve">. Changes higher than 0.2 in relative peak area were considered relevant. </w:t>
      </w:r>
    </w:p>
    <w:p w:rsidR="00D25FA1" w:rsidRPr="00C343C2" w:rsidRDefault="00D25FA1" w:rsidP="00570D99">
      <w:pPr>
        <w:pStyle w:val="Naslov2"/>
        <w:jc w:val="both"/>
        <w:rPr>
          <w:rFonts w:cs="Times New Roman"/>
          <w:i w:val="0"/>
          <w:szCs w:val="24"/>
          <w:lang w:val="en-US"/>
        </w:rPr>
      </w:pPr>
      <w:r w:rsidRPr="00C343C2">
        <w:rPr>
          <w:rFonts w:cs="Times New Roman"/>
          <w:i w:val="0"/>
          <w:szCs w:val="24"/>
          <w:lang w:val="en-US"/>
        </w:rPr>
        <w:t>3.1. Immortelle oil</w:t>
      </w:r>
    </w:p>
    <w:p w:rsidR="00D25FA1" w:rsidRDefault="00D25FA1" w:rsidP="00C343C2">
      <w:pPr>
        <w:pStyle w:val="Paragraph"/>
        <w:spacing w:before="0" w:after="200" w:line="360" w:lineRule="auto"/>
        <w:jc w:val="both"/>
        <w:rPr>
          <w:lang w:val="en-US"/>
        </w:rPr>
      </w:pPr>
      <w:r w:rsidRPr="00570D99">
        <w:rPr>
          <w:lang w:val="en-US"/>
        </w:rPr>
        <w:t xml:space="preserve">Essential oil of immortelle contained 70 components (Table A.1). </w:t>
      </w:r>
      <w:r w:rsidRPr="00570D99">
        <w:rPr>
          <w:i/>
          <w:lang w:val="en-US"/>
        </w:rPr>
        <w:t>α</w:t>
      </w:r>
      <w:r w:rsidRPr="00570D99">
        <w:rPr>
          <w:lang w:val="en-US"/>
        </w:rPr>
        <w:t xml:space="preserve">-Pinene (28.5%), </w:t>
      </w:r>
      <w:r w:rsidRPr="00570D99">
        <w:rPr>
          <w:i/>
          <w:lang w:val="en-US"/>
        </w:rPr>
        <w:sym w:font="Symbol" w:char="F067"/>
      </w:r>
      <w:r w:rsidRPr="00570D99">
        <w:rPr>
          <w:lang w:val="en-US"/>
        </w:rPr>
        <w:t xml:space="preserve">-curcumene (9.8%), </w:t>
      </w:r>
      <w:r w:rsidRPr="00570D99">
        <w:rPr>
          <w:i/>
          <w:lang w:val="en-US"/>
        </w:rPr>
        <w:sym w:font="Symbol" w:char="F062"/>
      </w:r>
      <w:r w:rsidRPr="00570D99">
        <w:rPr>
          <w:lang w:val="en-US"/>
        </w:rPr>
        <w:t>-selinene (6.3%) and italicene (5.0%) were the major components. Stability of immortelle essential oil was studied earlier by us in realistic sto</w:t>
      </w:r>
      <w:r w:rsidR="00C343C2">
        <w:rPr>
          <w:lang w:val="en-US"/>
        </w:rPr>
        <w:t>rage conditions</w:t>
      </w:r>
      <w:r w:rsidRPr="00570D99">
        <w:rPr>
          <w:lang w:val="en-US"/>
        </w:rPr>
        <w:t>.</w:t>
      </w:r>
      <w:r w:rsidR="00C343C2">
        <w:rPr>
          <w:vertAlign w:val="superscript"/>
          <w:lang w:val="en-US"/>
        </w:rPr>
        <w:t>18</w:t>
      </w:r>
      <w:r w:rsidRPr="00570D99">
        <w:rPr>
          <w:lang w:val="en-US"/>
        </w:rPr>
        <w:t xml:space="preserve"> The samples were left during a period of 12 months in the dark and daylight in presence and absence of oxygen. The only significant change was a decrease in </w:t>
      </w:r>
      <w:r w:rsidRPr="00570D99">
        <w:rPr>
          <w:i/>
          <w:lang w:val="en-US"/>
        </w:rPr>
        <w:sym w:font="Symbol" w:char="F067"/>
      </w:r>
      <w:r w:rsidRPr="00570D99">
        <w:rPr>
          <w:lang w:val="en-US"/>
        </w:rPr>
        <w:t xml:space="preserve">-curcumene percentage. Test in the photoreactor confirmed photochemical transformations that occurred during realistic storage conditions. Irradiation causes the transformation of </w:t>
      </w:r>
      <w:r w:rsidRPr="00570D99">
        <w:rPr>
          <w:i/>
          <w:lang w:val="en-US"/>
        </w:rPr>
        <w:sym w:font="Symbol" w:char="F067"/>
      </w:r>
      <w:r w:rsidRPr="00570D99">
        <w:rPr>
          <w:lang w:val="en-US"/>
        </w:rPr>
        <w:t xml:space="preserve">-curcumene mostly to italicene and isoitalicene as a result of [2+2]-photocycloaddition and to the </w:t>
      </w:r>
      <w:r w:rsidRPr="00570D99">
        <w:rPr>
          <w:i/>
          <w:lang w:val="en-US"/>
        </w:rPr>
        <w:t>α</w:t>
      </w:r>
      <w:r w:rsidRPr="00570D99">
        <w:rPr>
          <w:lang w:val="en-US"/>
        </w:rPr>
        <w:t xml:space="preserve">-curcumene via </w:t>
      </w:r>
      <w:r w:rsidRPr="00570D99">
        <w:rPr>
          <w:lang w:val="en-US"/>
        </w:rPr>
        <w:lastRenderedPageBreak/>
        <w:t xml:space="preserve">dehydrogenation/aromatization (Scheme 1, Table 1). Dehydrogenation to </w:t>
      </w:r>
      <w:r w:rsidRPr="00570D99">
        <w:rPr>
          <w:i/>
          <w:lang w:val="en-US"/>
        </w:rPr>
        <w:t>α</w:t>
      </w:r>
      <w:r w:rsidRPr="00570D99">
        <w:rPr>
          <w:lang w:val="en-US"/>
        </w:rPr>
        <w:t>-curcumene is more favored when the oxygen is present in a headspace. Changes induced by light are more pronounced when the oil is flushed with inert gas rather then left in the air atmosphere. Since UV and Vis light accelerate autoxidation</w:t>
      </w:r>
      <w:r w:rsidR="00C343C2">
        <w:rPr>
          <w:vertAlign w:val="superscript"/>
          <w:lang w:val="en-US"/>
        </w:rPr>
        <w:t>19</w:t>
      </w:r>
      <w:r w:rsidRPr="00570D99">
        <w:rPr>
          <w:lang w:val="en-US"/>
        </w:rPr>
        <w:t xml:space="preserve"> and polymerization processes, absence of oxygen allows photochemical transformations, such as cyclization, to take place in a greater extent.</w:t>
      </w:r>
    </w:p>
    <w:p w:rsidR="00C343C2" w:rsidRPr="00C343C2" w:rsidRDefault="00C343C2" w:rsidP="00C343C2">
      <w:pPr>
        <w:spacing w:line="360" w:lineRule="auto"/>
        <w:rPr>
          <w:lang w:val="en-US"/>
        </w:rPr>
      </w:pPr>
      <w:r w:rsidRPr="00C343C2">
        <w:rPr>
          <w:b/>
          <w:lang w:val="en-US"/>
        </w:rPr>
        <w:t xml:space="preserve">Table 1. </w:t>
      </w:r>
      <w:r w:rsidRPr="00C343C2">
        <w:rPr>
          <w:lang w:val="en-US"/>
        </w:rPr>
        <w:t>Changes in GC-MS relative peak area of characteristic compounds during exposure of essential oils to various conditions</w:t>
      </w:r>
    </w:p>
    <w:tbl>
      <w:tblPr>
        <w:tblStyle w:val="Svijetlosjenanje1"/>
        <w:tblW w:w="5000" w:type="pct"/>
        <w:tblLook w:val="06A0"/>
      </w:tblPr>
      <w:tblGrid>
        <w:gridCol w:w="4195"/>
        <w:gridCol w:w="1083"/>
        <w:gridCol w:w="1337"/>
        <w:gridCol w:w="1337"/>
        <w:gridCol w:w="1336"/>
      </w:tblGrid>
      <w:tr w:rsidR="00C343C2" w:rsidRPr="007A05E0" w:rsidTr="00C343C2">
        <w:trPr>
          <w:cnfStyle w:val="100000000000"/>
          <w:trHeight w:val="405"/>
        </w:trPr>
        <w:tc>
          <w:tcPr>
            <w:cnfStyle w:val="001000000000"/>
            <w:tcW w:w="2258" w:type="pct"/>
            <w:noWrap/>
            <w:hideMark/>
          </w:tcPr>
          <w:p w:rsidR="00C343C2" w:rsidRPr="007A05E0" w:rsidRDefault="00C343C2" w:rsidP="00EE3ECC">
            <w:pPr>
              <w:spacing w:after="200"/>
              <w:rPr>
                <w:lang w:val="en-US"/>
              </w:rPr>
            </w:pPr>
            <w:r w:rsidRPr="007A05E0">
              <w:rPr>
                <w:lang w:val="en-US"/>
              </w:rPr>
              <w:t>Compound</w:t>
            </w:r>
          </w:p>
        </w:tc>
        <w:tc>
          <w:tcPr>
            <w:tcW w:w="583" w:type="pct"/>
          </w:tcPr>
          <w:p w:rsidR="00C343C2" w:rsidRPr="007A05E0" w:rsidRDefault="00C343C2" w:rsidP="00EE3ECC">
            <w:pPr>
              <w:spacing w:after="200"/>
              <w:cnfStyle w:val="100000000000"/>
              <w:rPr>
                <w:lang w:val="en-US"/>
              </w:rPr>
            </w:pPr>
            <w:r w:rsidRPr="007A05E0">
              <w:rPr>
                <w:lang w:val="en-US"/>
              </w:rPr>
              <w:t>RI</w:t>
            </w:r>
            <w:r w:rsidRPr="007A05E0">
              <w:rPr>
                <w:vertAlign w:val="superscript"/>
                <w:lang w:val="en-US"/>
              </w:rPr>
              <w:t>a</w:t>
            </w:r>
          </w:p>
        </w:tc>
        <w:tc>
          <w:tcPr>
            <w:tcW w:w="720" w:type="pct"/>
            <w:noWrap/>
            <w:hideMark/>
          </w:tcPr>
          <w:p w:rsidR="00C343C2" w:rsidRPr="007A05E0" w:rsidRDefault="00C343C2" w:rsidP="00EE3ECC">
            <w:pPr>
              <w:spacing w:after="200"/>
              <w:cnfStyle w:val="100000000000"/>
              <w:rPr>
                <w:lang w:val="en-US"/>
              </w:rPr>
            </w:pPr>
            <w:r w:rsidRPr="007A05E0">
              <w:rPr>
                <w:lang w:val="en-US"/>
              </w:rPr>
              <w:t>% Fresh</w:t>
            </w:r>
          </w:p>
        </w:tc>
        <w:tc>
          <w:tcPr>
            <w:tcW w:w="1439" w:type="pct"/>
            <w:gridSpan w:val="2"/>
          </w:tcPr>
          <w:p w:rsidR="00C343C2" w:rsidRPr="007A05E0" w:rsidRDefault="00C343C2" w:rsidP="00EE3ECC">
            <w:pPr>
              <w:spacing w:after="200"/>
              <w:jc w:val="center"/>
              <w:cnfStyle w:val="100000000000"/>
              <w:rPr>
                <w:lang w:val="en-US"/>
              </w:rPr>
            </w:pPr>
            <w:r w:rsidRPr="007A05E0">
              <w:rPr>
                <w:lang w:val="en-US"/>
              </w:rPr>
              <w:t>Changes in relative peak area</w:t>
            </w:r>
          </w:p>
        </w:tc>
      </w:tr>
      <w:tr w:rsidR="00C343C2" w:rsidRPr="007A05E0" w:rsidTr="00C343C2">
        <w:trPr>
          <w:trHeight w:val="255"/>
        </w:trPr>
        <w:tc>
          <w:tcPr>
            <w:cnfStyle w:val="001000000000"/>
            <w:tcW w:w="2841" w:type="pct"/>
            <w:gridSpan w:val="2"/>
            <w:noWrap/>
            <w:hideMark/>
          </w:tcPr>
          <w:p w:rsidR="00C343C2" w:rsidRPr="004F1D4D" w:rsidRDefault="00C343C2" w:rsidP="00EE3ECC">
            <w:pPr>
              <w:spacing w:after="200"/>
              <w:rPr>
                <w:b w:val="0"/>
                <w:lang w:val="en-US"/>
              </w:rPr>
            </w:pPr>
            <w:r w:rsidRPr="004F1D4D">
              <w:rPr>
                <w:b w:val="0"/>
                <w:i/>
                <w:lang w:val="en-US"/>
              </w:rPr>
              <w:t>Immortelle oil</w:t>
            </w:r>
          </w:p>
        </w:tc>
        <w:tc>
          <w:tcPr>
            <w:tcW w:w="720" w:type="pct"/>
            <w:noWrap/>
            <w:hideMark/>
          </w:tcPr>
          <w:p w:rsidR="00C343C2" w:rsidRPr="007A05E0" w:rsidRDefault="00C343C2" w:rsidP="00EE3ECC">
            <w:pPr>
              <w:spacing w:after="200"/>
              <w:cnfStyle w:val="000000000000"/>
              <w:rPr>
                <w:lang w:val="en-US"/>
              </w:rPr>
            </w:pPr>
          </w:p>
        </w:tc>
        <w:tc>
          <w:tcPr>
            <w:tcW w:w="720" w:type="pct"/>
          </w:tcPr>
          <w:p w:rsidR="00C343C2" w:rsidRPr="007A05E0" w:rsidRDefault="00C343C2" w:rsidP="00EE3ECC">
            <w:pPr>
              <w:spacing w:after="200"/>
              <w:cnfStyle w:val="000000000000"/>
              <w:rPr>
                <w:b/>
                <w:vertAlign w:val="superscript"/>
                <w:lang w:val="en-US"/>
              </w:rPr>
            </w:pPr>
            <w:r w:rsidRPr="007A05E0">
              <w:rPr>
                <w:b/>
                <w:lang w:val="en-US"/>
              </w:rPr>
              <w:t>A</w:t>
            </w:r>
            <w:r w:rsidRPr="007A05E0">
              <w:rPr>
                <w:vertAlign w:val="superscript"/>
                <w:lang w:val="en-US"/>
              </w:rPr>
              <w:t>b</w:t>
            </w:r>
          </w:p>
        </w:tc>
        <w:tc>
          <w:tcPr>
            <w:tcW w:w="719" w:type="pct"/>
          </w:tcPr>
          <w:p w:rsidR="00C343C2" w:rsidRPr="007A05E0" w:rsidRDefault="00C343C2" w:rsidP="00EE3ECC">
            <w:pPr>
              <w:spacing w:after="200"/>
              <w:cnfStyle w:val="000000000000"/>
              <w:rPr>
                <w:b/>
                <w:vertAlign w:val="superscript"/>
                <w:lang w:val="en-US"/>
              </w:rPr>
            </w:pPr>
            <w:r w:rsidRPr="007A05E0">
              <w:rPr>
                <w:b/>
                <w:lang w:val="en-US"/>
              </w:rPr>
              <w:t>B</w:t>
            </w:r>
            <w:r w:rsidRPr="007A05E0">
              <w:rPr>
                <w:vertAlign w:val="superscript"/>
                <w:lang w:val="en-US"/>
              </w:rPr>
              <w:t>b</w:t>
            </w:r>
          </w:p>
        </w:tc>
      </w:tr>
      <w:tr w:rsidR="00C343C2" w:rsidRPr="007A05E0" w:rsidTr="00C343C2">
        <w:trPr>
          <w:trHeight w:val="255"/>
        </w:trPr>
        <w:tc>
          <w:tcPr>
            <w:cnfStyle w:val="001000000000"/>
            <w:tcW w:w="2258" w:type="pct"/>
            <w:noWrap/>
            <w:hideMark/>
          </w:tcPr>
          <w:p w:rsidR="00C343C2" w:rsidRPr="004F1D4D" w:rsidRDefault="00C343C2" w:rsidP="00EE3ECC">
            <w:pPr>
              <w:spacing w:after="200"/>
              <w:rPr>
                <w:b w:val="0"/>
                <w:lang w:val="en-US"/>
              </w:rPr>
            </w:pPr>
            <w:r w:rsidRPr="004F1D4D">
              <w:rPr>
                <w:b w:val="0"/>
                <w:lang w:val="en-US"/>
              </w:rPr>
              <w:t>Isoitalicene</w:t>
            </w:r>
          </w:p>
        </w:tc>
        <w:tc>
          <w:tcPr>
            <w:tcW w:w="583" w:type="pct"/>
          </w:tcPr>
          <w:p w:rsidR="00C343C2" w:rsidRPr="007A05E0" w:rsidRDefault="00C343C2" w:rsidP="00EE3ECC">
            <w:pPr>
              <w:spacing w:after="200"/>
              <w:cnfStyle w:val="000000000000"/>
              <w:rPr>
                <w:lang w:val="en-US"/>
              </w:rPr>
            </w:pPr>
            <w:r w:rsidRPr="007A05E0">
              <w:rPr>
                <w:lang w:val="en-US"/>
              </w:rPr>
              <w:t>1376</w:t>
            </w:r>
          </w:p>
        </w:tc>
        <w:tc>
          <w:tcPr>
            <w:tcW w:w="720" w:type="pct"/>
            <w:noWrap/>
            <w:hideMark/>
          </w:tcPr>
          <w:p w:rsidR="00C343C2" w:rsidRPr="007A05E0" w:rsidRDefault="00C343C2" w:rsidP="00EE3ECC">
            <w:pPr>
              <w:spacing w:after="200"/>
              <w:cnfStyle w:val="000000000000"/>
              <w:rPr>
                <w:lang w:val="en-US"/>
              </w:rPr>
            </w:pPr>
            <w:r w:rsidRPr="007A05E0">
              <w:rPr>
                <w:lang w:val="en-US"/>
              </w:rPr>
              <w:t>0.7</w:t>
            </w:r>
          </w:p>
        </w:tc>
        <w:tc>
          <w:tcPr>
            <w:tcW w:w="720" w:type="pct"/>
          </w:tcPr>
          <w:p w:rsidR="00C343C2" w:rsidRPr="007A05E0" w:rsidRDefault="00C343C2" w:rsidP="00EE3ECC">
            <w:pPr>
              <w:spacing w:after="200"/>
              <w:cnfStyle w:val="000000000000"/>
              <w:rPr>
                <w:lang w:val="en-US"/>
              </w:rPr>
            </w:pPr>
            <w:r w:rsidRPr="007A05E0">
              <w:rPr>
                <w:lang w:val="en-US"/>
              </w:rPr>
              <w:t>+0.3</w:t>
            </w:r>
          </w:p>
        </w:tc>
        <w:tc>
          <w:tcPr>
            <w:tcW w:w="719" w:type="pct"/>
          </w:tcPr>
          <w:p w:rsidR="00C343C2" w:rsidRPr="007A05E0" w:rsidRDefault="00C343C2" w:rsidP="00EE3ECC">
            <w:pPr>
              <w:spacing w:after="200"/>
              <w:cnfStyle w:val="000000000000"/>
              <w:rPr>
                <w:lang w:val="en-US"/>
              </w:rPr>
            </w:pPr>
            <w:r w:rsidRPr="007A05E0">
              <w:rPr>
                <w:lang w:val="en-US"/>
              </w:rPr>
              <w:t>+1.0</w:t>
            </w:r>
          </w:p>
        </w:tc>
      </w:tr>
      <w:tr w:rsidR="00C343C2" w:rsidRPr="007A05E0" w:rsidTr="00C343C2">
        <w:trPr>
          <w:trHeight w:val="255"/>
        </w:trPr>
        <w:tc>
          <w:tcPr>
            <w:cnfStyle w:val="001000000000"/>
            <w:tcW w:w="2258" w:type="pct"/>
            <w:noWrap/>
            <w:hideMark/>
          </w:tcPr>
          <w:p w:rsidR="00C343C2" w:rsidRPr="004F1D4D" w:rsidRDefault="00C343C2" w:rsidP="00EE3ECC">
            <w:pPr>
              <w:spacing w:after="200"/>
              <w:rPr>
                <w:b w:val="0"/>
                <w:lang w:val="en-US"/>
              </w:rPr>
            </w:pPr>
            <w:r w:rsidRPr="004F1D4D">
              <w:rPr>
                <w:b w:val="0"/>
                <w:lang w:val="en-US"/>
              </w:rPr>
              <w:t>Italicene</w:t>
            </w:r>
          </w:p>
        </w:tc>
        <w:tc>
          <w:tcPr>
            <w:tcW w:w="583" w:type="pct"/>
          </w:tcPr>
          <w:p w:rsidR="00C343C2" w:rsidRPr="007A05E0" w:rsidRDefault="00C343C2" w:rsidP="00EE3ECC">
            <w:pPr>
              <w:spacing w:after="200"/>
              <w:cnfStyle w:val="000000000000"/>
              <w:rPr>
                <w:lang w:val="en-US"/>
              </w:rPr>
            </w:pPr>
            <w:r w:rsidRPr="007A05E0">
              <w:rPr>
                <w:lang w:val="en-US"/>
              </w:rPr>
              <w:t>1405</w:t>
            </w:r>
          </w:p>
        </w:tc>
        <w:tc>
          <w:tcPr>
            <w:tcW w:w="720" w:type="pct"/>
            <w:noWrap/>
            <w:hideMark/>
          </w:tcPr>
          <w:p w:rsidR="00C343C2" w:rsidRPr="007A05E0" w:rsidRDefault="00C343C2" w:rsidP="00EE3ECC">
            <w:pPr>
              <w:spacing w:after="200"/>
              <w:cnfStyle w:val="000000000000"/>
              <w:rPr>
                <w:lang w:val="en-US"/>
              </w:rPr>
            </w:pPr>
            <w:r w:rsidRPr="007A05E0">
              <w:rPr>
                <w:lang w:val="en-US"/>
              </w:rPr>
              <w:t>5.0</w:t>
            </w:r>
          </w:p>
        </w:tc>
        <w:tc>
          <w:tcPr>
            <w:tcW w:w="720" w:type="pct"/>
          </w:tcPr>
          <w:p w:rsidR="00C343C2" w:rsidRPr="007A05E0" w:rsidRDefault="00C343C2" w:rsidP="00EE3ECC">
            <w:pPr>
              <w:spacing w:after="200"/>
              <w:cnfStyle w:val="000000000000"/>
              <w:rPr>
                <w:lang w:val="en-US"/>
              </w:rPr>
            </w:pPr>
            <w:r w:rsidRPr="007A05E0">
              <w:rPr>
                <w:lang w:val="en-US"/>
              </w:rPr>
              <w:t>+2.4</w:t>
            </w:r>
          </w:p>
        </w:tc>
        <w:tc>
          <w:tcPr>
            <w:tcW w:w="719" w:type="pct"/>
          </w:tcPr>
          <w:p w:rsidR="00C343C2" w:rsidRPr="007A05E0" w:rsidRDefault="00C343C2" w:rsidP="00EE3ECC">
            <w:pPr>
              <w:spacing w:after="200"/>
              <w:cnfStyle w:val="000000000000"/>
              <w:rPr>
                <w:lang w:val="en-US"/>
              </w:rPr>
            </w:pPr>
            <w:r w:rsidRPr="007A05E0">
              <w:rPr>
                <w:lang w:val="en-US"/>
              </w:rPr>
              <w:t>+2.7</w:t>
            </w:r>
          </w:p>
        </w:tc>
      </w:tr>
      <w:tr w:rsidR="00C343C2" w:rsidRPr="007A05E0" w:rsidTr="00C343C2">
        <w:trPr>
          <w:trHeight w:val="255"/>
        </w:trPr>
        <w:tc>
          <w:tcPr>
            <w:cnfStyle w:val="001000000000"/>
            <w:tcW w:w="2258" w:type="pct"/>
            <w:noWrap/>
            <w:hideMark/>
          </w:tcPr>
          <w:p w:rsidR="00C343C2" w:rsidRPr="004F1D4D" w:rsidRDefault="00C343C2" w:rsidP="00EE3ECC">
            <w:pPr>
              <w:spacing w:after="200"/>
              <w:rPr>
                <w:b w:val="0"/>
                <w:lang w:val="en-US"/>
              </w:rPr>
            </w:pPr>
            <w:r>
              <w:rPr>
                <w:rFonts w:ascii="Symbol" w:hAnsi="Symbol"/>
                <w:b w:val="0"/>
                <w:i/>
                <w:lang w:val="en-US"/>
              </w:rPr>
              <w:sym w:font="Symbol" w:char="F067"/>
            </w:r>
            <w:r w:rsidRPr="004F1D4D">
              <w:rPr>
                <w:b w:val="0"/>
                <w:lang w:val="en-US"/>
              </w:rPr>
              <w:t>-Curcumene</w:t>
            </w:r>
          </w:p>
        </w:tc>
        <w:tc>
          <w:tcPr>
            <w:tcW w:w="583" w:type="pct"/>
          </w:tcPr>
          <w:p w:rsidR="00C343C2" w:rsidRPr="007A05E0" w:rsidRDefault="00C343C2" w:rsidP="00EE3ECC">
            <w:pPr>
              <w:spacing w:after="200"/>
              <w:cnfStyle w:val="000000000000"/>
              <w:rPr>
                <w:lang w:val="en-US"/>
              </w:rPr>
            </w:pPr>
            <w:r w:rsidRPr="007A05E0">
              <w:rPr>
                <w:lang w:val="en-US"/>
              </w:rPr>
              <w:t>1477</w:t>
            </w:r>
          </w:p>
        </w:tc>
        <w:tc>
          <w:tcPr>
            <w:tcW w:w="720" w:type="pct"/>
            <w:noWrap/>
            <w:hideMark/>
          </w:tcPr>
          <w:p w:rsidR="00C343C2" w:rsidRPr="007A05E0" w:rsidRDefault="00C343C2" w:rsidP="00EE3ECC">
            <w:pPr>
              <w:spacing w:after="200"/>
              <w:cnfStyle w:val="000000000000"/>
              <w:rPr>
                <w:lang w:val="en-US"/>
              </w:rPr>
            </w:pPr>
            <w:r w:rsidRPr="007A05E0">
              <w:rPr>
                <w:lang w:val="en-US"/>
              </w:rPr>
              <w:t>9.8</w:t>
            </w:r>
          </w:p>
        </w:tc>
        <w:tc>
          <w:tcPr>
            <w:tcW w:w="720" w:type="pct"/>
          </w:tcPr>
          <w:p w:rsidR="00C343C2" w:rsidRPr="007A05E0" w:rsidRDefault="00C343C2" w:rsidP="00EE3ECC">
            <w:pPr>
              <w:spacing w:after="200"/>
              <w:cnfStyle w:val="000000000000"/>
              <w:rPr>
                <w:lang w:val="en-US"/>
              </w:rPr>
            </w:pPr>
            <w:r w:rsidRPr="007A05E0">
              <w:rPr>
                <w:lang w:val="en-US"/>
              </w:rPr>
              <w:t>-3.3</w:t>
            </w:r>
          </w:p>
        </w:tc>
        <w:tc>
          <w:tcPr>
            <w:tcW w:w="719" w:type="pct"/>
          </w:tcPr>
          <w:p w:rsidR="00C343C2" w:rsidRPr="007A05E0" w:rsidRDefault="00C343C2" w:rsidP="00EE3ECC">
            <w:pPr>
              <w:spacing w:after="200"/>
              <w:cnfStyle w:val="000000000000"/>
              <w:rPr>
                <w:lang w:val="en-US"/>
              </w:rPr>
            </w:pPr>
            <w:r w:rsidRPr="007A05E0">
              <w:rPr>
                <w:lang w:val="en-US"/>
              </w:rPr>
              <w:t>-3.7</w:t>
            </w:r>
          </w:p>
        </w:tc>
      </w:tr>
      <w:tr w:rsidR="00C343C2" w:rsidRPr="007A05E0" w:rsidTr="00C343C2">
        <w:trPr>
          <w:trHeight w:val="255"/>
        </w:trPr>
        <w:tc>
          <w:tcPr>
            <w:cnfStyle w:val="001000000000"/>
            <w:tcW w:w="2258" w:type="pct"/>
            <w:noWrap/>
            <w:hideMark/>
          </w:tcPr>
          <w:p w:rsidR="00C343C2" w:rsidRPr="004F1D4D" w:rsidRDefault="00C343C2" w:rsidP="00EE3ECC">
            <w:pPr>
              <w:spacing w:after="200"/>
              <w:rPr>
                <w:b w:val="0"/>
                <w:lang w:val="en-US"/>
              </w:rPr>
            </w:pPr>
            <w:r>
              <w:rPr>
                <w:rFonts w:cs="Times New Roman"/>
                <w:b w:val="0"/>
                <w:i/>
                <w:lang w:val="en-US"/>
              </w:rPr>
              <w:t>α</w:t>
            </w:r>
            <w:r w:rsidRPr="004F1D4D">
              <w:rPr>
                <w:b w:val="0"/>
                <w:lang w:val="en-US"/>
              </w:rPr>
              <w:t>-Curcumene</w:t>
            </w:r>
          </w:p>
        </w:tc>
        <w:tc>
          <w:tcPr>
            <w:tcW w:w="583" w:type="pct"/>
          </w:tcPr>
          <w:p w:rsidR="00C343C2" w:rsidRPr="007A05E0" w:rsidRDefault="00C343C2" w:rsidP="00EE3ECC">
            <w:pPr>
              <w:spacing w:after="200"/>
              <w:cnfStyle w:val="000000000000"/>
              <w:rPr>
                <w:lang w:val="en-US"/>
              </w:rPr>
            </w:pPr>
            <w:r w:rsidRPr="007A05E0">
              <w:rPr>
                <w:lang w:val="en-US"/>
              </w:rPr>
              <w:t>1482</w:t>
            </w:r>
          </w:p>
        </w:tc>
        <w:tc>
          <w:tcPr>
            <w:tcW w:w="720" w:type="pct"/>
            <w:noWrap/>
            <w:hideMark/>
          </w:tcPr>
          <w:p w:rsidR="00C343C2" w:rsidRPr="007A05E0" w:rsidRDefault="00C343C2" w:rsidP="00EE3ECC">
            <w:pPr>
              <w:spacing w:after="200"/>
              <w:cnfStyle w:val="000000000000"/>
              <w:rPr>
                <w:lang w:val="en-US"/>
              </w:rPr>
            </w:pPr>
            <w:r w:rsidRPr="007A05E0">
              <w:rPr>
                <w:lang w:val="en-US"/>
              </w:rPr>
              <w:t>2.7</w:t>
            </w:r>
          </w:p>
        </w:tc>
        <w:tc>
          <w:tcPr>
            <w:tcW w:w="720" w:type="pct"/>
          </w:tcPr>
          <w:p w:rsidR="00C343C2" w:rsidRPr="007A05E0" w:rsidRDefault="00C343C2" w:rsidP="00EE3ECC">
            <w:pPr>
              <w:spacing w:after="200"/>
              <w:cnfStyle w:val="000000000000"/>
              <w:rPr>
                <w:lang w:val="en-US"/>
              </w:rPr>
            </w:pPr>
            <w:r w:rsidRPr="007A05E0">
              <w:rPr>
                <w:lang w:val="en-US"/>
              </w:rPr>
              <w:t>+0.6</w:t>
            </w:r>
          </w:p>
        </w:tc>
        <w:tc>
          <w:tcPr>
            <w:tcW w:w="719" w:type="pct"/>
          </w:tcPr>
          <w:p w:rsidR="00C343C2" w:rsidRPr="007A05E0" w:rsidRDefault="00C343C2" w:rsidP="00EE3ECC">
            <w:pPr>
              <w:spacing w:after="200"/>
              <w:cnfStyle w:val="000000000000"/>
              <w:rPr>
                <w:lang w:val="en-US"/>
              </w:rPr>
            </w:pPr>
            <w:r w:rsidRPr="007A05E0">
              <w:rPr>
                <w:lang w:val="en-US"/>
              </w:rPr>
              <w:t>+0.2</w:t>
            </w:r>
          </w:p>
        </w:tc>
      </w:tr>
      <w:tr w:rsidR="00C343C2" w:rsidRPr="007A05E0" w:rsidTr="00C343C2">
        <w:trPr>
          <w:trHeight w:val="255"/>
        </w:trPr>
        <w:tc>
          <w:tcPr>
            <w:cnfStyle w:val="001000000000"/>
            <w:tcW w:w="2258" w:type="pct"/>
            <w:noWrap/>
          </w:tcPr>
          <w:p w:rsidR="00C343C2" w:rsidRPr="007A05E0" w:rsidRDefault="00C343C2" w:rsidP="00EE3ECC">
            <w:pPr>
              <w:rPr>
                <w:lang w:val="en-US"/>
              </w:rPr>
            </w:pPr>
          </w:p>
        </w:tc>
        <w:tc>
          <w:tcPr>
            <w:tcW w:w="583" w:type="pct"/>
          </w:tcPr>
          <w:p w:rsidR="00C343C2" w:rsidRPr="007A05E0" w:rsidRDefault="00C343C2" w:rsidP="00EE3ECC">
            <w:pPr>
              <w:spacing w:after="200"/>
              <w:cnfStyle w:val="000000000000"/>
              <w:rPr>
                <w:lang w:val="en-US"/>
              </w:rPr>
            </w:pPr>
          </w:p>
        </w:tc>
        <w:tc>
          <w:tcPr>
            <w:tcW w:w="720" w:type="pct"/>
            <w:noWrap/>
          </w:tcPr>
          <w:p w:rsidR="00C343C2" w:rsidRPr="007A05E0" w:rsidRDefault="00C343C2" w:rsidP="00EE3ECC">
            <w:pPr>
              <w:spacing w:after="200"/>
              <w:cnfStyle w:val="000000000000"/>
              <w:rPr>
                <w:lang w:val="en-US"/>
              </w:rPr>
            </w:pPr>
          </w:p>
        </w:tc>
        <w:tc>
          <w:tcPr>
            <w:tcW w:w="720" w:type="pct"/>
          </w:tcPr>
          <w:p w:rsidR="00C343C2" w:rsidRPr="007A05E0" w:rsidRDefault="00C343C2" w:rsidP="00EE3ECC">
            <w:pPr>
              <w:spacing w:after="200"/>
              <w:cnfStyle w:val="000000000000"/>
              <w:rPr>
                <w:lang w:val="en-US"/>
              </w:rPr>
            </w:pPr>
          </w:p>
        </w:tc>
        <w:tc>
          <w:tcPr>
            <w:tcW w:w="719" w:type="pct"/>
          </w:tcPr>
          <w:p w:rsidR="00C343C2" w:rsidRPr="007A05E0" w:rsidRDefault="00C343C2" w:rsidP="00EE3ECC">
            <w:pPr>
              <w:spacing w:after="200"/>
              <w:cnfStyle w:val="000000000000"/>
              <w:rPr>
                <w:lang w:val="en-US"/>
              </w:rPr>
            </w:pPr>
          </w:p>
        </w:tc>
      </w:tr>
      <w:tr w:rsidR="00C343C2" w:rsidRPr="007A05E0" w:rsidTr="00C343C2">
        <w:trPr>
          <w:trHeight w:val="255"/>
        </w:trPr>
        <w:tc>
          <w:tcPr>
            <w:cnfStyle w:val="001000000000"/>
            <w:tcW w:w="2258" w:type="pct"/>
            <w:noWrap/>
          </w:tcPr>
          <w:p w:rsidR="00C343C2" w:rsidRPr="004F1D4D" w:rsidRDefault="00C343C2" w:rsidP="00EE3ECC">
            <w:pPr>
              <w:rPr>
                <w:b w:val="0"/>
                <w:i/>
                <w:lang w:val="en-US"/>
              </w:rPr>
            </w:pPr>
            <w:r w:rsidRPr="004F1D4D">
              <w:rPr>
                <w:b w:val="0"/>
                <w:i/>
                <w:lang w:val="en-US"/>
              </w:rPr>
              <w:t>Silver fir oil</w:t>
            </w:r>
          </w:p>
        </w:tc>
        <w:tc>
          <w:tcPr>
            <w:tcW w:w="583" w:type="pct"/>
          </w:tcPr>
          <w:p w:rsidR="00C343C2" w:rsidRPr="007A05E0" w:rsidRDefault="00C343C2" w:rsidP="00EE3ECC">
            <w:pPr>
              <w:spacing w:after="200"/>
              <w:cnfStyle w:val="000000000000"/>
              <w:rPr>
                <w:lang w:val="en-US"/>
              </w:rPr>
            </w:pPr>
          </w:p>
        </w:tc>
        <w:tc>
          <w:tcPr>
            <w:tcW w:w="720" w:type="pct"/>
            <w:noWrap/>
          </w:tcPr>
          <w:p w:rsidR="00C343C2" w:rsidRPr="007A05E0" w:rsidRDefault="00C343C2" w:rsidP="00EE3ECC">
            <w:pPr>
              <w:spacing w:after="200"/>
              <w:cnfStyle w:val="000000000000"/>
              <w:rPr>
                <w:lang w:val="en-US"/>
              </w:rPr>
            </w:pPr>
          </w:p>
        </w:tc>
        <w:tc>
          <w:tcPr>
            <w:tcW w:w="720" w:type="pct"/>
          </w:tcPr>
          <w:p w:rsidR="00C343C2" w:rsidRPr="007A05E0" w:rsidRDefault="00C343C2" w:rsidP="00EE3ECC">
            <w:pPr>
              <w:spacing w:after="200"/>
              <w:cnfStyle w:val="000000000000"/>
              <w:rPr>
                <w:vertAlign w:val="superscript"/>
                <w:lang w:val="en-US"/>
              </w:rPr>
            </w:pPr>
            <w:r w:rsidRPr="007A05E0">
              <w:rPr>
                <w:b/>
                <w:lang w:val="en-US"/>
              </w:rPr>
              <w:t>A</w:t>
            </w:r>
            <w:r w:rsidRPr="007A05E0">
              <w:rPr>
                <w:vertAlign w:val="superscript"/>
                <w:lang w:val="en-US"/>
              </w:rPr>
              <w:t>c</w:t>
            </w:r>
          </w:p>
        </w:tc>
        <w:tc>
          <w:tcPr>
            <w:tcW w:w="719" w:type="pct"/>
          </w:tcPr>
          <w:p w:rsidR="00C343C2" w:rsidRPr="007A05E0" w:rsidRDefault="00C343C2" w:rsidP="00EE3ECC">
            <w:pPr>
              <w:spacing w:after="200"/>
              <w:cnfStyle w:val="000000000000"/>
              <w:rPr>
                <w:vertAlign w:val="superscript"/>
                <w:lang w:val="en-US"/>
              </w:rPr>
            </w:pPr>
            <w:r w:rsidRPr="007A05E0">
              <w:rPr>
                <w:b/>
                <w:lang w:val="en-US"/>
              </w:rPr>
              <w:t>B</w:t>
            </w:r>
            <w:r w:rsidRPr="007A05E0">
              <w:rPr>
                <w:vertAlign w:val="superscript"/>
                <w:lang w:val="en-US"/>
              </w:rPr>
              <w:t>c</w:t>
            </w:r>
          </w:p>
        </w:tc>
      </w:tr>
      <w:tr w:rsidR="00C343C2" w:rsidRPr="007A05E0" w:rsidTr="00C343C2">
        <w:trPr>
          <w:trHeight w:val="255"/>
        </w:trPr>
        <w:tc>
          <w:tcPr>
            <w:cnfStyle w:val="001000000000"/>
            <w:tcW w:w="2258" w:type="pct"/>
            <w:noWrap/>
          </w:tcPr>
          <w:p w:rsidR="00C343C2" w:rsidRPr="004F1D4D" w:rsidRDefault="00C343C2" w:rsidP="00EE3ECC">
            <w:pPr>
              <w:rPr>
                <w:b w:val="0"/>
                <w:lang w:val="en-US"/>
              </w:rPr>
            </w:pPr>
            <w:r w:rsidRPr="004F1D4D">
              <w:rPr>
                <w:b w:val="0"/>
                <w:bCs w:val="0"/>
                <w:lang w:val="en-US"/>
              </w:rPr>
              <w:t>Cary</w:t>
            </w:r>
            <w:r w:rsidRPr="004F1D4D">
              <w:rPr>
                <w:b w:val="0"/>
                <w:lang w:val="en-US"/>
              </w:rPr>
              <w:t>ophyllene</w:t>
            </w:r>
          </w:p>
        </w:tc>
        <w:tc>
          <w:tcPr>
            <w:tcW w:w="583" w:type="pct"/>
          </w:tcPr>
          <w:p w:rsidR="00C343C2" w:rsidRPr="007A05E0" w:rsidRDefault="00C343C2" w:rsidP="00EE3ECC">
            <w:pPr>
              <w:spacing w:after="200"/>
              <w:cnfStyle w:val="000000000000"/>
              <w:rPr>
                <w:lang w:val="en-US"/>
              </w:rPr>
            </w:pPr>
            <w:r w:rsidRPr="007A05E0">
              <w:rPr>
                <w:lang w:val="en-US"/>
              </w:rPr>
              <w:t>1413</w:t>
            </w:r>
          </w:p>
        </w:tc>
        <w:tc>
          <w:tcPr>
            <w:tcW w:w="720" w:type="pct"/>
            <w:noWrap/>
          </w:tcPr>
          <w:p w:rsidR="00C343C2" w:rsidRPr="007A05E0" w:rsidRDefault="00C343C2" w:rsidP="00EE3ECC">
            <w:pPr>
              <w:spacing w:after="200"/>
              <w:cnfStyle w:val="000000000000"/>
              <w:rPr>
                <w:lang w:val="en-US"/>
              </w:rPr>
            </w:pPr>
            <w:r w:rsidRPr="007A05E0">
              <w:rPr>
                <w:lang w:val="en-US"/>
              </w:rPr>
              <w:t>2.7</w:t>
            </w:r>
          </w:p>
        </w:tc>
        <w:tc>
          <w:tcPr>
            <w:tcW w:w="720" w:type="pct"/>
          </w:tcPr>
          <w:p w:rsidR="00C343C2" w:rsidRPr="007A05E0" w:rsidRDefault="00C343C2" w:rsidP="00EE3ECC">
            <w:pPr>
              <w:spacing w:after="200"/>
              <w:cnfStyle w:val="000000000000"/>
              <w:rPr>
                <w:lang w:val="en-US"/>
              </w:rPr>
            </w:pPr>
            <w:r w:rsidRPr="007A05E0">
              <w:rPr>
                <w:lang w:val="en-US"/>
              </w:rPr>
              <w:t>-0.5</w:t>
            </w:r>
          </w:p>
        </w:tc>
        <w:tc>
          <w:tcPr>
            <w:tcW w:w="719" w:type="pct"/>
          </w:tcPr>
          <w:p w:rsidR="00C343C2" w:rsidRPr="007A05E0" w:rsidRDefault="00C343C2" w:rsidP="00EE3ECC">
            <w:pPr>
              <w:spacing w:after="200"/>
              <w:cnfStyle w:val="000000000000"/>
              <w:rPr>
                <w:lang w:val="en-US"/>
              </w:rPr>
            </w:pPr>
            <w:r w:rsidRPr="007A05E0">
              <w:rPr>
                <w:lang w:val="en-US"/>
              </w:rPr>
              <w:t>-0.3</w:t>
            </w:r>
          </w:p>
        </w:tc>
      </w:tr>
      <w:tr w:rsidR="00C343C2" w:rsidRPr="007A05E0" w:rsidTr="00C343C2">
        <w:trPr>
          <w:trHeight w:val="255"/>
        </w:trPr>
        <w:tc>
          <w:tcPr>
            <w:cnfStyle w:val="001000000000"/>
            <w:tcW w:w="2258" w:type="pct"/>
            <w:noWrap/>
          </w:tcPr>
          <w:p w:rsidR="00C343C2" w:rsidRPr="004F1D4D" w:rsidRDefault="00C343C2" w:rsidP="00EE3ECC">
            <w:pPr>
              <w:rPr>
                <w:b w:val="0"/>
                <w:lang w:val="en-US"/>
              </w:rPr>
            </w:pPr>
            <w:r w:rsidRPr="004F1D4D">
              <w:rPr>
                <w:b w:val="0"/>
                <w:lang w:val="en-US"/>
              </w:rPr>
              <w:t>Himachala-2,4-diene</w:t>
            </w:r>
          </w:p>
        </w:tc>
        <w:tc>
          <w:tcPr>
            <w:tcW w:w="583" w:type="pct"/>
          </w:tcPr>
          <w:p w:rsidR="00C343C2" w:rsidRPr="007A05E0" w:rsidRDefault="00C343C2" w:rsidP="00EE3ECC">
            <w:pPr>
              <w:spacing w:after="200"/>
              <w:cnfStyle w:val="000000000000"/>
              <w:rPr>
                <w:lang w:val="en-US"/>
              </w:rPr>
            </w:pPr>
            <w:r w:rsidRPr="007A05E0">
              <w:rPr>
                <w:lang w:val="en-US"/>
              </w:rPr>
              <w:t>1418</w:t>
            </w:r>
          </w:p>
        </w:tc>
        <w:tc>
          <w:tcPr>
            <w:tcW w:w="720" w:type="pct"/>
            <w:noWrap/>
          </w:tcPr>
          <w:p w:rsidR="00C343C2" w:rsidRPr="007A05E0" w:rsidRDefault="00C343C2" w:rsidP="00EE3ECC">
            <w:pPr>
              <w:spacing w:after="200"/>
              <w:cnfStyle w:val="000000000000"/>
              <w:rPr>
                <w:lang w:val="en-US"/>
              </w:rPr>
            </w:pPr>
            <w:r w:rsidRPr="007A05E0">
              <w:rPr>
                <w:lang w:val="en-US"/>
              </w:rPr>
              <w:t>1.0</w:t>
            </w:r>
          </w:p>
        </w:tc>
        <w:tc>
          <w:tcPr>
            <w:tcW w:w="720" w:type="pct"/>
          </w:tcPr>
          <w:p w:rsidR="00C343C2" w:rsidRPr="007A05E0" w:rsidRDefault="00C343C2" w:rsidP="00EE3ECC">
            <w:pPr>
              <w:spacing w:after="200"/>
              <w:cnfStyle w:val="000000000000"/>
              <w:rPr>
                <w:lang w:val="en-US"/>
              </w:rPr>
            </w:pPr>
            <w:r w:rsidRPr="007A05E0">
              <w:rPr>
                <w:lang w:val="en-US"/>
              </w:rPr>
              <w:t>-0.5</w:t>
            </w:r>
          </w:p>
        </w:tc>
        <w:tc>
          <w:tcPr>
            <w:tcW w:w="719" w:type="pct"/>
          </w:tcPr>
          <w:p w:rsidR="00C343C2" w:rsidRPr="007A05E0" w:rsidRDefault="00C343C2" w:rsidP="00EE3ECC">
            <w:pPr>
              <w:spacing w:after="200"/>
              <w:cnfStyle w:val="000000000000"/>
              <w:rPr>
                <w:lang w:val="en-US"/>
              </w:rPr>
            </w:pPr>
            <w:r w:rsidRPr="007A05E0">
              <w:rPr>
                <w:lang w:val="en-US"/>
              </w:rPr>
              <w:t>-0.5</w:t>
            </w:r>
          </w:p>
        </w:tc>
      </w:tr>
      <w:tr w:rsidR="00C343C2" w:rsidRPr="007A05E0" w:rsidTr="00C343C2">
        <w:trPr>
          <w:trHeight w:val="255"/>
        </w:trPr>
        <w:tc>
          <w:tcPr>
            <w:cnfStyle w:val="001000000000"/>
            <w:tcW w:w="2258" w:type="pct"/>
            <w:noWrap/>
          </w:tcPr>
          <w:p w:rsidR="00C343C2" w:rsidRPr="004F1D4D" w:rsidRDefault="00C343C2" w:rsidP="00EE3ECC">
            <w:pPr>
              <w:rPr>
                <w:b w:val="0"/>
                <w:lang w:val="en-US"/>
              </w:rPr>
            </w:pPr>
          </w:p>
        </w:tc>
        <w:tc>
          <w:tcPr>
            <w:tcW w:w="583" w:type="pct"/>
          </w:tcPr>
          <w:p w:rsidR="00C343C2" w:rsidRPr="007A05E0" w:rsidRDefault="00C343C2" w:rsidP="00EE3ECC">
            <w:pPr>
              <w:spacing w:after="200"/>
              <w:cnfStyle w:val="000000000000"/>
              <w:rPr>
                <w:lang w:val="en-US"/>
              </w:rPr>
            </w:pPr>
          </w:p>
        </w:tc>
        <w:tc>
          <w:tcPr>
            <w:tcW w:w="720" w:type="pct"/>
            <w:noWrap/>
          </w:tcPr>
          <w:p w:rsidR="00C343C2" w:rsidRPr="007A05E0" w:rsidRDefault="00C343C2" w:rsidP="00EE3ECC">
            <w:pPr>
              <w:spacing w:after="200"/>
              <w:cnfStyle w:val="000000000000"/>
              <w:rPr>
                <w:lang w:val="en-US"/>
              </w:rPr>
            </w:pPr>
          </w:p>
        </w:tc>
        <w:tc>
          <w:tcPr>
            <w:tcW w:w="720" w:type="pct"/>
          </w:tcPr>
          <w:p w:rsidR="00C343C2" w:rsidRPr="007A05E0" w:rsidRDefault="00C343C2" w:rsidP="00EE3ECC">
            <w:pPr>
              <w:spacing w:after="200"/>
              <w:cnfStyle w:val="000000000000"/>
              <w:rPr>
                <w:lang w:val="en-US"/>
              </w:rPr>
            </w:pPr>
          </w:p>
        </w:tc>
        <w:tc>
          <w:tcPr>
            <w:tcW w:w="719" w:type="pct"/>
          </w:tcPr>
          <w:p w:rsidR="00C343C2" w:rsidRPr="007A05E0" w:rsidRDefault="00C343C2" w:rsidP="00EE3ECC">
            <w:pPr>
              <w:spacing w:after="200"/>
              <w:cnfStyle w:val="000000000000"/>
              <w:rPr>
                <w:lang w:val="en-US"/>
              </w:rPr>
            </w:pPr>
          </w:p>
        </w:tc>
      </w:tr>
      <w:tr w:rsidR="00C343C2" w:rsidRPr="007A05E0" w:rsidTr="00C343C2">
        <w:trPr>
          <w:trHeight w:val="255"/>
        </w:trPr>
        <w:tc>
          <w:tcPr>
            <w:cnfStyle w:val="001000000000"/>
            <w:tcW w:w="2258" w:type="pct"/>
            <w:noWrap/>
          </w:tcPr>
          <w:p w:rsidR="00C343C2" w:rsidRPr="004F1D4D" w:rsidRDefault="00C343C2" w:rsidP="00EE3ECC">
            <w:pPr>
              <w:rPr>
                <w:b w:val="0"/>
                <w:i/>
                <w:lang w:val="en-US"/>
              </w:rPr>
            </w:pPr>
            <w:r w:rsidRPr="004F1D4D">
              <w:rPr>
                <w:b w:val="0"/>
                <w:i/>
                <w:lang w:val="en-US"/>
              </w:rPr>
              <w:t>Prickly juniper oil</w:t>
            </w:r>
          </w:p>
        </w:tc>
        <w:tc>
          <w:tcPr>
            <w:tcW w:w="583" w:type="pct"/>
          </w:tcPr>
          <w:p w:rsidR="00C343C2" w:rsidRPr="007A05E0" w:rsidRDefault="00C343C2" w:rsidP="00EE3ECC">
            <w:pPr>
              <w:spacing w:after="200"/>
              <w:cnfStyle w:val="000000000000"/>
              <w:rPr>
                <w:lang w:val="en-US"/>
              </w:rPr>
            </w:pPr>
          </w:p>
        </w:tc>
        <w:tc>
          <w:tcPr>
            <w:tcW w:w="720" w:type="pct"/>
            <w:noWrap/>
          </w:tcPr>
          <w:p w:rsidR="00C343C2" w:rsidRPr="007A05E0" w:rsidRDefault="00C343C2" w:rsidP="00EE3ECC">
            <w:pPr>
              <w:spacing w:after="200"/>
              <w:cnfStyle w:val="000000000000"/>
              <w:rPr>
                <w:lang w:val="en-US"/>
              </w:rPr>
            </w:pPr>
          </w:p>
        </w:tc>
        <w:tc>
          <w:tcPr>
            <w:tcW w:w="720" w:type="pct"/>
          </w:tcPr>
          <w:p w:rsidR="00C343C2" w:rsidRPr="007A05E0" w:rsidRDefault="00C343C2" w:rsidP="00EE3ECC">
            <w:pPr>
              <w:spacing w:after="200"/>
              <w:cnfStyle w:val="000000000000"/>
              <w:rPr>
                <w:vertAlign w:val="superscript"/>
                <w:lang w:val="en-US"/>
              </w:rPr>
            </w:pPr>
            <w:r w:rsidRPr="007A05E0">
              <w:rPr>
                <w:b/>
                <w:lang w:val="en-US"/>
              </w:rPr>
              <w:t>A</w:t>
            </w:r>
            <w:r w:rsidRPr="007A05E0">
              <w:rPr>
                <w:vertAlign w:val="superscript"/>
                <w:lang w:val="en-US"/>
              </w:rPr>
              <w:t>b</w:t>
            </w:r>
          </w:p>
        </w:tc>
        <w:tc>
          <w:tcPr>
            <w:tcW w:w="719" w:type="pct"/>
          </w:tcPr>
          <w:p w:rsidR="00C343C2" w:rsidRPr="007A05E0" w:rsidRDefault="00C343C2" w:rsidP="00EE3ECC">
            <w:pPr>
              <w:spacing w:after="200"/>
              <w:cnfStyle w:val="000000000000"/>
              <w:rPr>
                <w:vertAlign w:val="superscript"/>
                <w:lang w:val="en-US"/>
              </w:rPr>
            </w:pPr>
            <w:r w:rsidRPr="007A05E0">
              <w:rPr>
                <w:b/>
                <w:lang w:val="en-US"/>
              </w:rPr>
              <w:t>B</w:t>
            </w:r>
            <w:r w:rsidRPr="007A05E0">
              <w:rPr>
                <w:vertAlign w:val="superscript"/>
                <w:lang w:val="en-US"/>
              </w:rPr>
              <w:t>b</w:t>
            </w:r>
          </w:p>
        </w:tc>
      </w:tr>
      <w:tr w:rsidR="00C343C2" w:rsidRPr="007A05E0" w:rsidTr="00C343C2">
        <w:trPr>
          <w:trHeight w:val="255"/>
        </w:trPr>
        <w:tc>
          <w:tcPr>
            <w:cnfStyle w:val="001000000000"/>
            <w:tcW w:w="2258" w:type="pct"/>
            <w:noWrap/>
          </w:tcPr>
          <w:p w:rsidR="00C343C2" w:rsidRPr="004F1D4D" w:rsidRDefault="00C343C2" w:rsidP="00EE3ECC">
            <w:pPr>
              <w:rPr>
                <w:b w:val="0"/>
                <w:lang w:val="en-US"/>
              </w:rPr>
            </w:pPr>
            <w:r w:rsidRPr="004F1D4D">
              <w:rPr>
                <w:b w:val="0"/>
                <w:lang w:val="en-US"/>
              </w:rPr>
              <w:t>Bourbonene</w:t>
            </w:r>
          </w:p>
        </w:tc>
        <w:tc>
          <w:tcPr>
            <w:tcW w:w="583" w:type="pct"/>
          </w:tcPr>
          <w:p w:rsidR="00C343C2" w:rsidRPr="007A05E0" w:rsidRDefault="00C343C2" w:rsidP="00EE3ECC">
            <w:pPr>
              <w:spacing w:after="200"/>
              <w:cnfStyle w:val="000000000000"/>
              <w:rPr>
                <w:lang w:val="en-US"/>
              </w:rPr>
            </w:pPr>
            <w:r w:rsidRPr="007A05E0">
              <w:rPr>
                <w:lang w:val="en-US"/>
              </w:rPr>
              <w:t>1379</w:t>
            </w:r>
          </w:p>
        </w:tc>
        <w:tc>
          <w:tcPr>
            <w:tcW w:w="720" w:type="pct"/>
            <w:noWrap/>
          </w:tcPr>
          <w:p w:rsidR="00C343C2" w:rsidRPr="007A05E0" w:rsidRDefault="00C343C2" w:rsidP="00EE3ECC">
            <w:pPr>
              <w:spacing w:after="200"/>
              <w:cnfStyle w:val="000000000000"/>
              <w:rPr>
                <w:lang w:val="en-US"/>
              </w:rPr>
            </w:pPr>
            <w:r w:rsidRPr="007A05E0">
              <w:rPr>
                <w:lang w:val="en-US"/>
              </w:rPr>
              <w:t>tr</w:t>
            </w:r>
          </w:p>
        </w:tc>
        <w:tc>
          <w:tcPr>
            <w:tcW w:w="720" w:type="pct"/>
          </w:tcPr>
          <w:p w:rsidR="00C343C2" w:rsidRPr="007A05E0" w:rsidRDefault="00C343C2" w:rsidP="00EE3ECC">
            <w:pPr>
              <w:spacing w:after="200"/>
              <w:cnfStyle w:val="000000000000"/>
              <w:rPr>
                <w:lang w:val="en-US"/>
              </w:rPr>
            </w:pPr>
            <w:r w:rsidRPr="007A05E0">
              <w:rPr>
                <w:lang w:val="en-US"/>
              </w:rPr>
              <w:t>+0.3</w:t>
            </w:r>
          </w:p>
        </w:tc>
        <w:tc>
          <w:tcPr>
            <w:tcW w:w="719" w:type="pct"/>
          </w:tcPr>
          <w:p w:rsidR="00C343C2" w:rsidRPr="007A05E0" w:rsidRDefault="00C343C2" w:rsidP="00EE3ECC">
            <w:pPr>
              <w:spacing w:after="200"/>
              <w:cnfStyle w:val="000000000000"/>
              <w:rPr>
                <w:lang w:val="en-US"/>
              </w:rPr>
            </w:pPr>
            <w:r w:rsidRPr="007A05E0">
              <w:rPr>
                <w:lang w:val="en-US"/>
              </w:rPr>
              <w:t>+0.4</w:t>
            </w:r>
          </w:p>
        </w:tc>
      </w:tr>
      <w:tr w:rsidR="00C343C2" w:rsidRPr="007A05E0" w:rsidTr="00C343C2">
        <w:trPr>
          <w:trHeight w:val="255"/>
        </w:trPr>
        <w:tc>
          <w:tcPr>
            <w:cnfStyle w:val="001000000000"/>
            <w:tcW w:w="2258" w:type="pct"/>
            <w:noWrap/>
          </w:tcPr>
          <w:p w:rsidR="00C343C2" w:rsidRPr="004F1D4D" w:rsidRDefault="00C343C2" w:rsidP="00EE3ECC">
            <w:pPr>
              <w:spacing w:after="200"/>
              <w:rPr>
                <w:b w:val="0"/>
                <w:lang w:val="en-US"/>
              </w:rPr>
            </w:pPr>
            <w:r w:rsidRPr="004F1D4D">
              <w:rPr>
                <w:b w:val="0"/>
                <w:lang w:val="en-US"/>
              </w:rPr>
              <w:t>Germacrene D</w:t>
            </w:r>
          </w:p>
        </w:tc>
        <w:tc>
          <w:tcPr>
            <w:tcW w:w="583" w:type="pct"/>
          </w:tcPr>
          <w:p w:rsidR="00C343C2" w:rsidRPr="007A05E0" w:rsidRDefault="00C343C2" w:rsidP="00EE3ECC">
            <w:pPr>
              <w:spacing w:after="200"/>
              <w:cnfStyle w:val="000000000000"/>
              <w:rPr>
                <w:lang w:val="en-US"/>
              </w:rPr>
            </w:pPr>
            <w:r w:rsidRPr="007A05E0">
              <w:rPr>
                <w:lang w:val="en-US"/>
              </w:rPr>
              <w:t>1476</w:t>
            </w:r>
          </w:p>
        </w:tc>
        <w:tc>
          <w:tcPr>
            <w:tcW w:w="720" w:type="pct"/>
            <w:noWrap/>
          </w:tcPr>
          <w:p w:rsidR="00C343C2" w:rsidRPr="007A05E0" w:rsidRDefault="00C343C2" w:rsidP="00EE3ECC">
            <w:pPr>
              <w:spacing w:after="200"/>
              <w:cnfStyle w:val="000000000000"/>
              <w:rPr>
                <w:lang w:val="en-US"/>
              </w:rPr>
            </w:pPr>
            <w:r w:rsidRPr="007A05E0">
              <w:rPr>
                <w:lang w:val="en-US"/>
              </w:rPr>
              <w:t>1.9</w:t>
            </w:r>
          </w:p>
        </w:tc>
        <w:tc>
          <w:tcPr>
            <w:tcW w:w="720" w:type="pct"/>
          </w:tcPr>
          <w:p w:rsidR="00C343C2" w:rsidRPr="007A05E0" w:rsidRDefault="00C343C2" w:rsidP="00EE3ECC">
            <w:pPr>
              <w:spacing w:after="200"/>
              <w:cnfStyle w:val="000000000000"/>
              <w:rPr>
                <w:lang w:val="en-US"/>
              </w:rPr>
            </w:pPr>
            <w:r w:rsidRPr="007A05E0">
              <w:rPr>
                <w:lang w:val="en-US"/>
              </w:rPr>
              <w:t>-0.3</w:t>
            </w:r>
          </w:p>
        </w:tc>
        <w:tc>
          <w:tcPr>
            <w:tcW w:w="719" w:type="pct"/>
          </w:tcPr>
          <w:p w:rsidR="00C343C2" w:rsidRPr="007A05E0" w:rsidRDefault="00C343C2" w:rsidP="00EE3ECC">
            <w:pPr>
              <w:spacing w:after="200"/>
              <w:cnfStyle w:val="000000000000"/>
              <w:rPr>
                <w:lang w:val="en-US"/>
              </w:rPr>
            </w:pPr>
            <w:r w:rsidRPr="007A05E0">
              <w:rPr>
                <w:lang w:val="en-US"/>
              </w:rPr>
              <w:t>-0.4</w:t>
            </w:r>
          </w:p>
        </w:tc>
      </w:tr>
    </w:tbl>
    <w:p w:rsidR="00C343C2" w:rsidRPr="00C343C2" w:rsidRDefault="00C343C2" w:rsidP="00C343C2">
      <w:r w:rsidRPr="00C343C2">
        <w:rPr>
          <w:vertAlign w:val="superscript"/>
          <w:lang w:val="en-US"/>
        </w:rPr>
        <w:t>a</w:t>
      </w:r>
      <w:r w:rsidRPr="00C343C2">
        <w:rPr>
          <w:lang w:val="en-US"/>
        </w:rPr>
        <w:t>RI</w:t>
      </w:r>
      <w:r w:rsidRPr="00C343C2">
        <w:t xml:space="preserve">: </w:t>
      </w:r>
      <w:r w:rsidRPr="00C343C2">
        <w:rPr>
          <w:lang w:val="en-US"/>
        </w:rPr>
        <w:t>retention</w:t>
      </w:r>
      <w:r w:rsidRPr="00C343C2">
        <w:t xml:space="preserve"> </w:t>
      </w:r>
      <w:r w:rsidRPr="00C343C2">
        <w:rPr>
          <w:lang w:val="en-US"/>
        </w:rPr>
        <w:t>indices</w:t>
      </w:r>
      <w:r w:rsidRPr="00C343C2">
        <w:t xml:space="preserve">. </w:t>
      </w:r>
      <w:r w:rsidRPr="00C343C2">
        <w:rPr>
          <w:vertAlign w:val="superscript"/>
          <w:lang w:val="en-US"/>
        </w:rPr>
        <w:t>b</w:t>
      </w:r>
      <w:r w:rsidRPr="00C343C2">
        <w:rPr>
          <w:lang w:val="en-US"/>
        </w:rPr>
        <w:t>Storage</w:t>
      </w:r>
      <w:r w:rsidRPr="00C343C2">
        <w:t xml:space="preserve"> </w:t>
      </w:r>
      <w:r w:rsidRPr="00C343C2">
        <w:rPr>
          <w:lang w:val="en-US"/>
        </w:rPr>
        <w:t>condition</w:t>
      </w:r>
      <w:r w:rsidRPr="00C343C2">
        <w:t xml:space="preserve"> </w:t>
      </w:r>
      <w:r w:rsidRPr="00C343C2">
        <w:rPr>
          <w:lang w:val="en-US"/>
        </w:rPr>
        <w:t>A</w:t>
      </w:r>
      <w:r w:rsidRPr="00C343C2">
        <w:t>: 48</w:t>
      </w:r>
      <w:r w:rsidRPr="00C343C2">
        <w:rPr>
          <w:lang w:val="en-US"/>
        </w:rPr>
        <w:t>h</w:t>
      </w:r>
      <w:r w:rsidRPr="00C343C2">
        <w:t xml:space="preserve">, </w:t>
      </w:r>
      <w:r w:rsidRPr="00C343C2">
        <w:rPr>
          <w:lang w:val="en-US"/>
        </w:rPr>
        <w:t>air</w:t>
      </w:r>
      <w:r w:rsidRPr="00C343C2">
        <w:t xml:space="preserve">; </w:t>
      </w:r>
      <w:r w:rsidRPr="00C343C2">
        <w:rPr>
          <w:lang w:val="en-US"/>
        </w:rPr>
        <w:t>B</w:t>
      </w:r>
      <w:r w:rsidRPr="00C343C2">
        <w:t>: 48</w:t>
      </w:r>
      <w:r w:rsidRPr="00C343C2">
        <w:rPr>
          <w:lang w:val="en-US"/>
        </w:rPr>
        <w:t>h</w:t>
      </w:r>
      <w:r w:rsidRPr="00C343C2">
        <w:t xml:space="preserve">, </w:t>
      </w:r>
      <w:r w:rsidRPr="00C343C2">
        <w:rPr>
          <w:lang w:val="en-US"/>
        </w:rPr>
        <w:t>nitrogen</w:t>
      </w:r>
      <w:r w:rsidRPr="00C343C2">
        <w:t xml:space="preserve">. </w:t>
      </w:r>
      <w:r w:rsidRPr="00C343C2">
        <w:rPr>
          <w:vertAlign w:val="superscript"/>
          <w:lang w:val="en-US"/>
        </w:rPr>
        <w:t>c</w:t>
      </w:r>
      <w:r w:rsidRPr="00C343C2">
        <w:t xml:space="preserve"> </w:t>
      </w:r>
      <w:r w:rsidRPr="00C343C2">
        <w:rPr>
          <w:lang w:val="en-US"/>
        </w:rPr>
        <w:t>Storage</w:t>
      </w:r>
      <w:r w:rsidRPr="00C343C2">
        <w:t xml:space="preserve"> </w:t>
      </w:r>
      <w:r w:rsidRPr="00C343C2">
        <w:rPr>
          <w:lang w:val="en-US"/>
        </w:rPr>
        <w:t>condition</w:t>
      </w:r>
      <w:r w:rsidRPr="00C343C2">
        <w:t xml:space="preserve"> </w:t>
      </w:r>
      <w:r w:rsidRPr="00C343C2">
        <w:rPr>
          <w:lang w:val="en-US"/>
        </w:rPr>
        <w:t>A</w:t>
      </w:r>
      <w:r w:rsidRPr="00C343C2">
        <w:t>: 146</w:t>
      </w:r>
      <w:r w:rsidRPr="00C343C2">
        <w:rPr>
          <w:lang w:val="en-US"/>
        </w:rPr>
        <w:t>h</w:t>
      </w:r>
      <w:r w:rsidRPr="00C343C2">
        <w:t xml:space="preserve">, </w:t>
      </w:r>
      <w:r w:rsidRPr="00C343C2">
        <w:rPr>
          <w:lang w:val="en-US"/>
        </w:rPr>
        <w:t>air</w:t>
      </w:r>
      <w:r w:rsidRPr="00C343C2">
        <w:t xml:space="preserve">; </w:t>
      </w:r>
      <w:r w:rsidRPr="00C343C2">
        <w:rPr>
          <w:lang w:val="en-US"/>
        </w:rPr>
        <w:t>B</w:t>
      </w:r>
      <w:r w:rsidRPr="00C343C2">
        <w:t>: 146</w:t>
      </w:r>
      <w:r w:rsidRPr="00C343C2">
        <w:rPr>
          <w:lang w:val="en-US"/>
        </w:rPr>
        <w:t>h</w:t>
      </w:r>
      <w:r w:rsidRPr="00C343C2">
        <w:t xml:space="preserve">, </w:t>
      </w:r>
      <w:r w:rsidRPr="00C343C2">
        <w:rPr>
          <w:lang w:val="en-US"/>
        </w:rPr>
        <w:t>nitrogen</w:t>
      </w:r>
      <w:r w:rsidRPr="00C343C2">
        <w:t>.</w:t>
      </w:r>
    </w:p>
    <w:p w:rsidR="00D25FA1" w:rsidRDefault="00D25FA1" w:rsidP="00C343C2">
      <w:pPr>
        <w:pStyle w:val="Newparagraph"/>
        <w:spacing w:line="360" w:lineRule="auto"/>
        <w:ind w:firstLine="0"/>
        <w:jc w:val="both"/>
        <w:rPr>
          <w:lang w:val="en-US"/>
        </w:rPr>
      </w:pPr>
      <w:r w:rsidRPr="00570D99">
        <w:rPr>
          <w:lang w:val="en-US"/>
        </w:rPr>
        <w:t xml:space="preserve">To confirm this particular transformation, the fraction from the immortelle oil with the </w:t>
      </w:r>
      <w:r w:rsidRPr="00570D99">
        <w:rPr>
          <w:i/>
          <w:lang w:val="en-US"/>
        </w:rPr>
        <w:sym w:font="Symbol" w:char="F067"/>
      </w:r>
      <w:r w:rsidRPr="00570D99">
        <w:rPr>
          <w:lang w:val="en-US"/>
        </w:rPr>
        <w:t xml:space="preserve">-curcumene as a major component was isolated by distillation, extraction and column chromatography. The GC/MS analysis of the irradiated fraction revealed that the </w:t>
      </w:r>
      <w:r w:rsidRPr="00570D99">
        <w:rPr>
          <w:i/>
          <w:lang w:val="en-US"/>
        </w:rPr>
        <w:sym w:font="Symbol" w:char="F067"/>
      </w:r>
      <w:r w:rsidRPr="00570D99">
        <w:rPr>
          <w:lang w:val="en-US"/>
        </w:rPr>
        <w:t xml:space="preserve">-curcumene completely disappears and is transformed to the before mentioned products. Among two cycloaddition products, italicene is formed in greater amount than isoitalicene because the conformation of </w:t>
      </w:r>
      <w:r w:rsidRPr="00570D99">
        <w:rPr>
          <w:i/>
          <w:lang w:val="en-US"/>
        </w:rPr>
        <w:sym w:font="Symbol" w:char="F067"/>
      </w:r>
      <w:r w:rsidRPr="00570D99">
        <w:rPr>
          <w:lang w:val="en-US"/>
        </w:rPr>
        <w:t>-curcumene that leads to italicene by suprafacial [2+2]-photocycloaddition is more favorable than the conformation that leads to isoitalicene by the same suprafacial [2+2]-photocycloaddition.</w:t>
      </w:r>
    </w:p>
    <w:p w:rsidR="00C343C2" w:rsidRPr="007A05E0" w:rsidRDefault="00C343C2" w:rsidP="00C343C2">
      <w:pPr>
        <w:rPr>
          <w:lang w:val="en-US"/>
        </w:rPr>
      </w:pPr>
    </w:p>
    <w:p w:rsidR="00C343C2" w:rsidRPr="007A05E0" w:rsidRDefault="00C343C2" w:rsidP="00C343C2">
      <w:pPr>
        <w:jc w:val="center"/>
        <w:rPr>
          <w:lang w:val="en-US"/>
        </w:rPr>
      </w:pPr>
      <w:r>
        <w:object w:dxaOrig="7231" w:dyaOrig="1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91.5pt" o:ole="">
            <v:imagedata r:id="rId9" o:title=""/>
          </v:shape>
          <o:OLEObject Type="Embed" ProgID="ChemDraw.Document.6.0" ShapeID="_x0000_i1025" DrawAspect="Content" ObjectID="_1613908243" r:id="rId10"/>
        </w:object>
      </w:r>
    </w:p>
    <w:p w:rsidR="00C343C2" w:rsidRPr="007A05E0" w:rsidRDefault="00C343C2" w:rsidP="00C343C2">
      <w:pPr>
        <w:jc w:val="center"/>
        <w:rPr>
          <w:lang w:val="en-US"/>
        </w:rPr>
      </w:pPr>
      <w:r w:rsidRPr="00C343C2">
        <w:rPr>
          <w:b/>
          <w:lang w:val="en-US"/>
        </w:rPr>
        <w:t>Scheme 1.</w:t>
      </w:r>
      <w:r w:rsidRPr="007A05E0">
        <w:rPr>
          <w:lang w:val="en-US"/>
        </w:rPr>
        <w:t xml:space="preserve"> Photochemical transformations of </w:t>
      </w:r>
      <w:r>
        <w:rPr>
          <w:rFonts w:ascii="Symbol" w:hAnsi="Symbol"/>
          <w:i/>
          <w:lang w:val="en-US"/>
        </w:rPr>
        <w:sym w:font="Symbol" w:char="F067"/>
      </w:r>
      <w:r w:rsidRPr="007A05E0">
        <w:rPr>
          <w:lang w:val="en-US"/>
        </w:rPr>
        <w:t>-curcumene</w:t>
      </w:r>
    </w:p>
    <w:p w:rsidR="00D25FA1" w:rsidRPr="00C343C2" w:rsidRDefault="00D25FA1" w:rsidP="00570D99">
      <w:pPr>
        <w:pStyle w:val="Naslov2"/>
        <w:jc w:val="both"/>
        <w:rPr>
          <w:rFonts w:cs="Times New Roman"/>
          <w:i w:val="0"/>
          <w:szCs w:val="24"/>
          <w:lang w:val="en-US"/>
        </w:rPr>
      </w:pPr>
      <w:r w:rsidRPr="00C343C2">
        <w:rPr>
          <w:rFonts w:cs="Times New Roman"/>
          <w:i w:val="0"/>
          <w:szCs w:val="24"/>
          <w:lang w:val="en-US"/>
        </w:rPr>
        <w:t>3.2. Silver fir oil</w:t>
      </w:r>
    </w:p>
    <w:p w:rsidR="00D25FA1" w:rsidRPr="00570D99" w:rsidRDefault="00D25FA1" w:rsidP="00570D99">
      <w:pPr>
        <w:pStyle w:val="Paragraph"/>
        <w:spacing w:line="360" w:lineRule="auto"/>
        <w:jc w:val="both"/>
        <w:rPr>
          <w:lang w:val="en-US"/>
        </w:rPr>
      </w:pPr>
      <w:r w:rsidRPr="00570D99">
        <w:rPr>
          <w:lang w:val="en-US"/>
        </w:rPr>
        <w:t xml:space="preserve">In fresh oil a total of 67 compounds was identified, representing 98,3% of the chemical composition (Table A.2). The major compounds present in silver fir oil were </w:t>
      </w:r>
      <w:r w:rsidRPr="00570D99">
        <w:rPr>
          <w:i/>
          <w:lang w:val="en-US"/>
        </w:rPr>
        <w:sym w:font="Symbol" w:char="F062"/>
      </w:r>
      <w:r w:rsidRPr="00570D99">
        <w:rPr>
          <w:lang w:val="en-US"/>
        </w:rPr>
        <w:t>-pinene (</w:t>
      </w:r>
      <w:r w:rsidRPr="00570D99">
        <w:rPr>
          <w:bCs/>
          <w:lang w:val="en-US"/>
        </w:rPr>
        <w:t>24,1%)</w:t>
      </w:r>
      <w:r w:rsidRPr="00570D99">
        <w:rPr>
          <w:lang w:val="en-US"/>
        </w:rPr>
        <w:t>, limonene (</w:t>
      </w:r>
      <w:r w:rsidRPr="00570D99">
        <w:rPr>
          <w:bCs/>
          <w:lang w:val="en-US"/>
        </w:rPr>
        <w:t>23,6%)</w:t>
      </w:r>
      <w:r w:rsidRPr="00570D99">
        <w:rPr>
          <w:lang w:val="en-US"/>
        </w:rPr>
        <w:t xml:space="preserve">, </w:t>
      </w:r>
      <w:r w:rsidRPr="00570D99">
        <w:rPr>
          <w:i/>
          <w:lang w:val="en-US"/>
        </w:rPr>
        <w:t>α</w:t>
      </w:r>
      <w:r w:rsidRPr="00570D99">
        <w:rPr>
          <w:lang w:val="en-US"/>
        </w:rPr>
        <w:t>-pinene (17,8%), camphene (9,1%) and bornyl acetate (9,0%). After 48 hours of irradiation in the atmosphere of air or nitrogen (samples A and B) the oil kept its original composition. Prolonged irradiation to 146 hours caused decline in caryophyllene and himachala-2,4-diene amount (Table 1). A few new peaks appeared among sesquiterpenes which were difficult to identify due to small amount. Oxygen presence or absence does not play any role in photochemical stability, so the observed changes cannot be attributed to oxidations.</w:t>
      </w:r>
    </w:p>
    <w:p w:rsidR="00D25FA1" w:rsidRPr="00C343C2" w:rsidRDefault="00D25FA1" w:rsidP="00570D99">
      <w:pPr>
        <w:pStyle w:val="Naslov2"/>
        <w:jc w:val="both"/>
        <w:rPr>
          <w:rFonts w:cs="Times New Roman"/>
          <w:i w:val="0"/>
          <w:szCs w:val="24"/>
          <w:lang w:val="en-US"/>
        </w:rPr>
      </w:pPr>
      <w:r w:rsidRPr="00C343C2">
        <w:rPr>
          <w:rFonts w:cs="Times New Roman"/>
          <w:i w:val="0"/>
          <w:szCs w:val="24"/>
          <w:lang w:val="en-US"/>
        </w:rPr>
        <w:t>3.3. Prickly juniper oil</w:t>
      </w:r>
    </w:p>
    <w:p w:rsidR="00D25FA1" w:rsidRDefault="00D25FA1" w:rsidP="00C343C2">
      <w:pPr>
        <w:pStyle w:val="Paragraph"/>
        <w:spacing w:before="0" w:after="200" w:line="360" w:lineRule="auto"/>
        <w:jc w:val="both"/>
        <w:rPr>
          <w:lang w:val="en-US"/>
        </w:rPr>
      </w:pPr>
      <w:r w:rsidRPr="00570D99">
        <w:rPr>
          <w:lang w:val="en-US"/>
        </w:rPr>
        <w:t xml:space="preserve">Analysis of fresh prickly juniper oil identified 46 compounds, representing 98.2% of the total oil (Table A.3). The predominant components in prickly juniper were </w:t>
      </w:r>
      <w:r w:rsidRPr="00570D99">
        <w:rPr>
          <w:i/>
          <w:lang w:val="en-US"/>
        </w:rPr>
        <w:sym w:font="Symbol" w:char="F062"/>
      </w:r>
      <w:r w:rsidRPr="00570D99">
        <w:rPr>
          <w:lang w:val="en-US"/>
        </w:rPr>
        <w:t xml:space="preserve">-myrcene (48.0%), </w:t>
      </w:r>
      <w:r w:rsidRPr="00570D99">
        <w:rPr>
          <w:i/>
          <w:lang w:val="en-US"/>
        </w:rPr>
        <w:t>α</w:t>
      </w:r>
      <w:r w:rsidRPr="00570D99">
        <w:rPr>
          <w:lang w:val="en-US"/>
        </w:rPr>
        <w:t>-pinene (24.7%) and limonene (9.0%). After 48 hours of irradiation the only noticeable change was a slight decrease of germacrene D, while other compounds were retained in its initial shares. This ten-membered ring with two double bonds is photochemically reactive as de</w:t>
      </w:r>
      <w:r w:rsidR="00B06D07">
        <w:rPr>
          <w:lang w:val="en-US"/>
        </w:rPr>
        <w:t>monstrated by Bulow et al.</w:t>
      </w:r>
      <w:r w:rsidRPr="00B06D07">
        <w:rPr>
          <w:vertAlign w:val="superscript"/>
          <w:lang w:val="en-US"/>
        </w:rPr>
        <w:t>20</w:t>
      </w:r>
      <w:r w:rsidRPr="00570D99">
        <w:rPr>
          <w:lang w:val="en-US"/>
        </w:rPr>
        <w:t xml:space="preserve"> in photochemically induced rearrangement experiments with isolated germacrene D. Bourbonene is one of the main photoproducts, and it was detected in chromatogram with increased amount after irradiation (Table 1). </w:t>
      </w:r>
    </w:p>
    <w:p w:rsidR="00D25FA1" w:rsidRPr="00570D99" w:rsidRDefault="00D25FA1" w:rsidP="00570D99">
      <w:pPr>
        <w:pStyle w:val="Newparagraph"/>
        <w:spacing w:line="360" w:lineRule="auto"/>
        <w:ind w:firstLine="0"/>
        <w:jc w:val="both"/>
        <w:rPr>
          <w:b/>
          <w:bCs/>
          <w:lang w:val="en-US"/>
        </w:rPr>
      </w:pPr>
      <w:r w:rsidRPr="00570D99">
        <w:rPr>
          <w:b/>
          <w:bCs/>
          <w:lang w:val="en-US"/>
        </w:rPr>
        <w:t>4. Conclusion</w:t>
      </w:r>
    </w:p>
    <w:p w:rsidR="00D25FA1" w:rsidRPr="00C343C2" w:rsidRDefault="00D25FA1" w:rsidP="00C343C2">
      <w:pPr>
        <w:pStyle w:val="Newparagraph"/>
        <w:spacing w:after="200" w:line="360" w:lineRule="auto"/>
        <w:ind w:firstLine="0"/>
        <w:jc w:val="both"/>
        <w:rPr>
          <w:bCs/>
          <w:lang w:val="en-US"/>
        </w:rPr>
      </w:pPr>
      <w:r w:rsidRPr="00570D99">
        <w:rPr>
          <w:bCs/>
          <w:lang w:val="en-US"/>
        </w:rPr>
        <w:t xml:space="preserve">Photostability investigation on the three selected essential oils demonstrated individual character of these oils in response to irradiation. </w:t>
      </w:r>
      <w:r w:rsidRPr="00570D99">
        <w:rPr>
          <w:bCs/>
          <w:i/>
          <w:lang w:val="en-US"/>
        </w:rPr>
        <w:sym w:font="Symbol" w:char="F067"/>
      </w:r>
      <w:r w:rsidRPr="00570D99">
        <w:rPr>
          <w:bCs/>
          <w:lang w:val="en-US"/>
        </w:rPr>
        <w:t>-Curcumene is rarely found in natural products in larger proportions due to its reactivity. Its relatively high content in immortelle oil makes this compound special in the chemical composition and contributes significantly to it</w:t>
      </w:r>
      <w:r w:rsidR="00B06D07">
        <w:rPr>
          <w:bCs/>
          <w:lang w:val="en-US"/>
        </w:rPr>
        <w:t xml:space="preserve">s </w:t>
      </w:r>
      <w:r w:rsidR="00B06D07">
        <w:rPr>
          <w:bCs/>
          <w:lang w:val="en-US"/>
        </w:rPr>
        <w:lastRenderedPageBreak/>
        <w:t>odor and biological activity</w:t>
      </w:r>
      <w:r w:rsidRPr="00570D99">
        <w:rPr>
          <w:bCs/>
          <w:lang w:val="en-US"/>
        </w:rPr>
        <w:t>.</w:t>
      </w:r>
      <w:r w:rsidR="00B06D07">
        <w:rPr>
          <w:bCs/>
          <w:vertAlign w:val="superscript"/>
          <w:lang w:val="en-US"/>
        </w:rPr>
        <w:t>21</w:t>
      </w:r>
      <w:r w:rsidRPr="00570D99">
        <w:rPr>
          <w:bCs/>
          <w:lang w:val="en-US"/>
        </w:rPr>
        <w:t xml:space="preserve"> It is showed that this reactive sesquiterpene is sensitive to light and undergoes photochemical transformation to another interesting structure, that of italicenes that contain a rare four-membered ring. Thus, if it is desired to maintain an original amount of </w:t>
      </w:r>
      <w:r w:rsidRPr="00570D99">
        <w:rPr>
          <w:bCs/>
          <w:i/>
          <w:lang w:val="en-US"/>
        </w:rPr>
        <w:sym w:font="Symbol" w:char="F067"/>
      </w:r>
      <w:r w:rsidRPr="00570D99">
        <w:rPr>
          <w:bCs/>
          <w:lang w:val="en-US"/>
        </w:rPr>
        <w:t>-curcumene, it is necessary to keep this oil in the dark. Tests in the photoreactor imitated well the real storage conditions. Silver fir oil is photochemically stabile regardless of oxygen availability. It is not necessary to store the oil in the dark and under the inert gas. Prickly juniper oil also showed good photostability, especially among monoterpenes share preservation. The amount of change</w:t>
      </w:r>
      <w:r w:rsidRPr="00570D99">
        <w:rPr>
          <w:b/>
          <w:bCs/>
          <w:lang w:val="en-US"/>
        </w:rPr>
        <w:t xml:space="preserve"> </w:t>
      </w:r>
      <w:r w:rsidRPr="00570D99">
        <w:rPr>
          <w:bCs/>
          <w:lang w:val="en-US"/>
        </w:rPr>
        <w:t>during exposure to UV light was very low under both sets of conditions.</w:t>
      </w:r>
    </w:p>
    <w:p w:rsidR="00D25FA1" w:rsidRPr="00570D99" w:rsidRDefault="00C343C2" w:rsidP="00570D99">
      <w:pPr>
        <w:pStyle w:val="Newparagraph"/>
        <w:spacing w:line="360" w:lineRule="auto"/>
        <w:ind w:firstLine="0"/>
        <w:jc w:val="both"/>
        <w:rPr>
          <w:b/>
          <w:bCs/>
          <w:lang w:val="en-US"/>
        </w:rPr>
      </w:pPr>
      <w:r>
        <w:rPr>
          <w:b/>
          <w:bCs/>
          <w:lang w:val="en-US"/>
        </w:rPr>
        <w:t xml:space="preserve">5. </w:t>
      </w:r>
      <w:r w:rsidR="00D25FA1" w:rsidRPr="00570D99">
        <w:rPr>
          <w:b/>
          <w:bCs/>
          <w:lang w:val="en-US"/>
        </w:rPr>
        <w:t xml:space="preserve">Acknowledgement </w:t>
      </w:r>
    </w:p>
    <w:p w:rsidR="00D25FA1" w:rsidRPr="00570D99" w:rsidRDefault="00D25FA1" w:rsidP="00C343C2">
      <w:pPr>
        <w:pStyle w:val="Newparagraph"/>
        <w:spacing w:after="200" w:line="360" w:lineRule="auto"/>
        <w:ind w:firstLine="0"/>
        <w:jc w:val="both"/>
        <w:rPr>
          <w:b/>
          <w:bCs/>
          <w:lang w:val="en-US"/>
        </w:rPr>
      </w:pPr>
      <w:r w:rsidRPr="00570D99">
        <w:t>This work was supported by Federal Ministry of Education and Science, Bosnia and</w:t>
      </w:r>
      <w:r w:rsidRPr="00570D99">
        <w:rPr>
          <w:b/>
          <w:bCs/>
          <w:lang w:val="en-US"/>
        </w:rPr>
        <w:t xml:space="preserve"> </w:t>
      </w:r>
      <w:r w:rsidRPr="00570D99">
        <w:t>Herzegovina [Grant No.05-39-3831-1/15].</w:t>
      </w:r>
    </w:p>
    <w:p w:rsidR="00D25FA1" w:rsidRPr="00570D99" w:rsidRDefault="00C343C2" w:rsidP="00570D99">
      <w:pPr>
        <w:pStyle w:val="Newparagraph"/>
        <w:spacing w:line="360" w:lineRule="auto"/>
        <w:ind w:firstLine="0"/>
        <w:jc w:val="both"/>
        <w:rPr>
          <w:b/>
          <w:bCs/>
          <w:lang w:val="en-US"/>
        </w:rPr>
      </w:pPr>
      <w:r>
        <w:rPr>
          <w:b/>
          <w:bCs/>
          <w:lang w:val="en-US"/>
        </w:rPr>
        <w:t xml:space="preserve">6. </w:t>
      </w:r>
      <w:r w:rsidR="00D01A1F">
        <w:rPr>
          <w:b/>
          <w:bCs/>
          <w:lang w:val="en-US"/>
        </w:rPr>
        <w:t>Appendix</w:t>
      </w:r>
    </w:p>
    <w:p w:rsidR="00D25FA1" w:rsidRPr="00570D99" w:rsidRDefault="00122F5E" w:rsidP="001F18E0">
      <w:pPr>
        <w:pStyle w:val="Newparagraph"/>
        <w:spacing w:after="200" w:line="360" w:lineRule="auto"/>
        <w:ind w:firstLine="0"/>
        <w:jc w:val="both"/>
        <w:rPr>
          <w:lang w:val="en-US"/>
        </w:rPr>
      </w:pPr>
      <w:r>
        <w:rPr>
          <w:lang w:val="en-US"/>
        </w:rPr>
        <w:t>C</w:t>
      </w:r>
      <w:r w:rsidR="00D25FA1" w:rsidRPr="00570D99">
        <w:rPr>
          <w:lang w:val="en-US"/>
        </w:rPr>
        <w:t>hemical</w:t>
      </w:r>
      <w:r>
        <w:rPr>
          <w:lang w:val="en-US"/>
        </w:rPr>
        <w:t xml:space="preserve"> composition of the freshly distilled</w:t>
      </w:r>
      <w:r w:rsidR="00D25FA1" w:rsidRPr="00570D99">
        <w:rPr>
          <w:lang w:val="en-US"/>
        </w:rPr>
        <w:t xml:space="preserve"> </w:t>
      </w:r>
      <w:r>
        <w:rPr>
          <w:lang w:val="en-US"/>
        </w:rPr>
        <w:t xml:space="preserve">immortelle, silver fir and prickly juniper </w:t>
      </w:r>
      <w:r w:rsidR="00D25FA1" w:rsidRPr="00570D99">
        <w:rPr>
          <w:lang w:val="en-US"/>
        </w:rPr>
        <w:t xml:space="preserve">essential oils </w:t>
      </w:r>
      <w:r>
        <w:rPr>
          <w:lang w:val="en-US"/>
        </w:rPr>
        <w:t>can be found in Appendix.</w:t>
      </w:r>
    </w:p>
    <w:p w:rsidR="00D25FA1" w:rsidRPr="00570D99" w:rsidRDefault="00C343C2" w:rsidP="00570D99">
      <w:pPr>
        <w:pStyle w:val="Newparagraph"/>
        <w:spacing w:line="360" w:lineRule="auto"/>
        <w:ind w:firstLine="0"/>
        <w:jc w:val="both"/>
        <w:rPr>
          <w:b/>
          <w:bCs/>
        </w:rPr>
      </w:pPr>
      <w:r>
        <w:rPr>
          <w:b/>
          <w:bCs/>
        </w:rPr>
        <w:t xml:space="preserve">7. </w:t>
      </w:r>
      <w:r w:rsidR="00D25FA1" w:rsidRPr="00570D99">
        <w:rPr>
          <w:b/>
          <w:bCs/>
        </w:rPr>
        <w:t>References</w:t>
      </w:r>
    </w:p>
    <w:p w:rsidR="00E53453" w:rsidRPr="001F18E0" w:rsidRDefault="001F18E0" w:rsidP="001F18E0">
      <w:pPr>
        <w:pStyle w:val="Newparagraph"/>
        <w:spacing w:line="360" w:lineRule="auto"/>
        <w:ind w:firstLine="0"/>
        <w:jc w:val="both"/>
        <w:rPr>
          <w:bCs/>
          <w:lang w:val="en-US"/>
        </w:rPr>
      </w:pPr>
      <w:r>
        <w:rPr>
          <w:bCs/>
          <w:lang w:val="en-US"/>
        </w:rPr>
        <w:t xml:space="preserve">1. </w:t>
      </w:r>
      <w:r w:rsidR="00E53453" w:rsidRPr="001F18E0">
        <w:rPr>
          <w:bCs/>
          <w:lang w:val="en-US"/>
        </w:rPr>
        <w:t>V. R. Preedy, Essential Oils in Food Preservation, Flavor and Safety</w:t>
      </w:r>
      <w:r w:rsidR="00E53453" w:rsidRPr="001F18E0">
        <w:rPr>
          <w:bCs/>
        </w:rPr>
        <w:t>,</w:t>
      </w:r>
      <w:r w:rsidR="00E53453" w:rsidRPr="001F18E0">
        <w:rPr>
          <w:bCs/>
          <w:lang w:val="en-US"/>
        </w:rPr>
        <w:t xml:space="preserve"> 1st Ed, Academic Press, Amsterdam, </w:t>
      </w:r>
      <w:r w:rsidR="00E53453" w:rsidRPr="001F18E0">
        <w:rPr>
          <w:b/>
          <w:bCs/>
          <w:lang w:val="en-US"/>
        </w:rPr>
        <w:t>2016</w:t>
      </w:r>
      <w:r w:rsidR="00E53453" w:rsidRPr="001F18E0">
        <w:rPr>
          <w:bCs/>
          <w:lang w:val="en-US"/>
        </w:rPr>
        <w:t xml:space="preserve">. </w:t>
      </w:r>
    </w:p>
    <w:p w:rsidR="00E53453" w:rsidRPr="001F18E0" w:rsidRDefault="001F18E0" w:rsidP="001F18E0">
      <w:pPr>
        <w:pStyle w:val="Newparagraph"/>
        <w:spacing w:line="360" w:lineRule="auto"/>
        <w:ind w:firstLine="0"/>
        <w:jc w:val="both"/>
        <w:rPr>
          <w:bCs/>
          <w:lang w:val="en-US"/>
        </w:rPr>
      </w:pPr>
      <w:r>
        <w:rPr>
          <w:bCs/>
          <w:lang w:val="en-US"/>
        </w:rPr>
        <w:t xml:space="preserve">2. </w:t>
      </w:r>
      <w:r w:rsidR="00E53453" w:rsidRPr="001F18E0">
        <w:rPr>
          <w:bCs/>
          <w:lang w:val="en-US"/>
        </w:rPr>
        <w:t>R. G. Berger, Flavours and Fragrances: Chemistry, Bioprocessing and Sustainability</w:t>
      </w:r>
      <w:r w:rsidR="00E53453" w:rsidRPr="001F18E0">
        <w:rPr>
          <w:bCs/>
        </w:rPr>
        <w:t xml:space="preserve">, </w:t>
      </w:r>
      <w:r w:rsidR="00E53453" w:rsidRPr="001F18E0">
        <w:rPr>
          <w:bCs/>
          <w:lang w:val="en-US"/>
        </w:rPr>
        <w:t xml:space="preserve">Springer-Verlag, Berlin Heidelberg, </w:t>
      </w:r>
      <w:r w:rsidR="00E53453" w:rsidRPr="001F18E0">
        <w:rPr>
          <w:b/>
          <w:bCs/>
          <w:lang w:val="en-US"/>
        </w:rPr>
        <w:t>2007</w:t>
      </w:r>
      <w:r w:rsidR="00E53453" w:rsidRPr="001F18E0">
        <w:rPr>
          <w:bCs/>
          <w:lang w:val="en-US"/>
        </w:rPr>
        <w:t xml:space="preserve">. </w:t>
      </w:r>
    </w:p>
    <w:p w:rsidR="00E53453" w:rsidRPr="001F18E0" w:rsidRDefault="001F18E0" w:rsidP="001F18E0">
      <w:pPr>
        <w:pStyle w:val="Newparagraph"/>
        <w:spacing w:line="360" w:lineRule="auto"/>
        <w:ind w:firstLine="0"/>
        <w:jc w:val="both"/>
        <w:rPr>
          <w:bCs/>
        </w:rPr>
      </w:pPr>
      <w:r>
        <w:rPr>
          <w:bCs/>
          <w:lang w:val="en-US"/>
        </w:rPr>
        <w:t xml:space="preserve">3. </w:t>
      </w:r>
      <w:r w:rsidR="00E53453" w:rsidRPr="001F18E0">
        <w:rPr>
          <w:bCs/>
        </w:rPr>
        <w:t xml:space="preserve">J. S. Raut, S. M. Karuppayil, </w:t>
      </w:r>
      <w:r w:rsidR="00E53453" w:rsidRPr="001F18E0">
        <w:rPr>
          <w:bCs/>
          <w:i/>
          <w:lang w:val="en-US"/>
        </w:rPr>
        <w:t>Ind. Crops Prod.</w:t>
      </w:r>
      <w:r w:rsidR="00E53453" w:rsidRPr="001F18E0">
        <w:rPr>
          <w:bCs/>
          <w:lang w:val="en-US"/>
        </w:rPr>
        <w:t xml:space="preserve"> </w:t>
      </w:r>
      <w:r w:rsidR="00E53453" w:rsidRPr="001F18E0">
        <w:rPr>
          <w:b/>
          <w:bCs/>
        </w:rPr>
        <w:t>2014</w:t>
      </w:r>
      <w:r w:rsidR="00E53453" w:rsidRPr="001F18E0">
        <w:rPr>
          <w:bCs/>
        </w:rPr>
        <w:t xml:space="preserve">, </w:t>
      </w:r>
      <w:r w:rsidR="00E53453" w:rsidRPr="001F18E0">
        <w:rPr>
          <w:bCs/>
          <w:i/>
        </w:rPr>
        <w:t>62</w:t>
      </w:r>
      <w:r w:rsidR="00E53453" w:rsidRPr="001F18E0">
        <w:rPr>
          <w:bCs/>
        </w:rPr>
        <w:t>, 250–264.</w:t>
      </w:r>
    </w:p>
    <w:p w:rsidR="00E53453" w:rsidRPr="001F18E0" w:rsidRDefault="001F18E0" w:rsidP="001F18E0">
      <w:pPr>
        <w:pStyle w:val="Newparagraph"/>
        <w:spacing w:line="360" w:lineRule="auto"/>
        <w:ind w:firstLine="0"/>
        <w:jc w:val="both"/>
        <w:rPr>
          <w:bCs/>
          <w:lang w:val="hr-HR"/>
        </w:rPr>
      </w:pPr>
      <w:r>
        <w:rPr>
          <w:bCs/>
          <w:lang w:val="en-US"/>
        </w:rPr>
        <w:t xml:space="preserve">4. </w:t>
      </w:r>
      <w:r w:rsidR="00E53453" w:rsidRPr="001F18E0">
        <w:rPr>
          <w:bCs/>
          <w:lang w:val="en-US"/>
        </w:rPr>
        <w:t xml:space="preserve">C. Turek, F. C. Stintzing, </w:t>
      </w:r>
      <w:r w:rsidR="00E53453" w:rsidRPr="001F18E0">
        <w:rPr>
          <w:bCs/>
          <w:i/>
          <w:lang w:val="en-US"/>
        </w:rPr>
        <w:t>Compr. Rev. Food Sci. Food Saf.</w:t>
      </w:r>
      <w:r w:rsidR="00E53453" w:rsidRPr="001F18E0">
        <w:rPr>
          <w:bCs/>
          <w:lang w:val="en-US"/>
        </w:rPr>
        <w:t xml:space="preserve"> </w:t>
      </w:r>
      <w:r w:rsidR="00E53453" w:rsidRPr="001F18E0">
        <w:rPr>
          <w:b/>
          <w:bCs/>
          <w:lang w:val="hr-HR"/>
        </w:rPr>
        <w:t>2013</w:t>
      </w:r>
      <w:r w:rsidR="00E53453" w:rsidRPr="001F18E0">
        <w:rPr>
          <w:bCs/>
          <w:lang w:val="hr-HR"/>
        </w:rPr>
        <w:t xml:space="preserve">, </w:t>
      </w:r>
      <w:r w:rsidR="00E53453" w:rsidRPr="001F18E0">
        <w:rPr>
          <w:bCs/>
          <w:i/>
          <w:lang w:val="en-US"/>
        </w:rPr>
        <w:t>12</w:t>
      </w:r>
      <w:r w:rsidR="00E53453" w:rsidRPr="001F18E0">
        <w:rPr>
          <w:bCs/>
          <w:lang w:val="en-US"/>
        </w:rPr>
        <w:t>, 40–53.</w:t>
      </w:r>
    </w:p>
    <w:p w:rsidR="00E53453" w:rsidRPr="001F18E0" w:rsidRDefault="001F18E0" w:rsidP="001F18E0">
      <w:pPr>
        <w:pStyle w:val="Newparagraph"/>
        <w:spacing w:line="360" w:lineRule="auto"/>
        <w:ind w:firstLine="0"/>
        <w:jc w:val="both"/>
        <w:rPr>
          <w:bCs/>
          <w:lang w:val="hr-HR"/>
        </w:rPr>
      </w:pPr>
      <w:r>
        <w:rPr>
          <w:bCs/>
          <w:lang w:val="hr-HR"/>
        </w:rPr>
        <w:t xml:space="preserve">5. </w:t>
      </w:r>
      <w:r w:rsidR="00E53453" w:rsidRPr="001F18E0">
        <w:rPr>
          <w:bCs/>
        </w:rPr>
        <w:t>K</w:t>
      </w:r>
      <w:r w:rsidR="00E53453" w:rsidRPr="001F18E0">
        <w:rPr>
          <w:bCs/>
          <w:lang w:val="hr-HR"/>
        </w:rPr>
        <w:t xml:space="preserve">. </w:t>
      </w:r>
      <w:r w:rsidR="00E53453" w:rsidRPr="001F18E0">
        <w:rPr>
          <w:bCs/>
        </w:rPr>
        <w:t>H</w:t>
      </w:r>
      <w:r w:rsidR="00E53453" w:rsidRPr="001F18E0">
        <w:rPr>
          <w:bCs/>
          <w:lang w:val="hr-HR"/>
        </w:rPr>
        <w:t xml:space="preserve">. </w:t>
      </w:r>
      <w:r w:rsidR="00E53453" w:rsidRPr="001F18E0">
        <w:rPr>
          <w:bCs/>
        </w:rPr>
        <w:t>Kubeczka</w:t>
      </w:r>
      <w:r w:rsidR="00E53453" w:rsidRPr="001F18E0">
        <w:rPr>
          <w:bCs/>
          <w:lang w:val="hr-HR"/>
        </w:rPr>
        <w:t xml:space="preserve">, </w:t>
      </w:r>
      <w:r w:rsidR="00E53453" w:rsidRPr="001F18E0">
        <w:rPr>
          <w:bCs/>
        </w:rPr>
        <w:t>in</w:t>
      </w:r>
      <w:r>
        <w:rPr>
          <w:bCs/>
        </w:rPr>
        <w:t>:</w:t>
      </w:r>
      <w:r w:rsidR="00E53453" w:rsidRPr="001F18E0">
        <w:rPr>
          <w:bCs/>
          <w:lang w:val="hr-HR"/>
        </w:rPr>
        <w:t xml:space="preserve"> </w:t>
      </w:r>
      <w:r w:rsidRPr="001F18E0">
        <w:rPr>
          <w:bCs/>
        </w:rPr>
        <w:t>R</w:t>
      </w:r>
      <w:r w:rsidRPr="001F18E0">
        <w:rPr>
          <w:bCs/>
          <w:lang w:val="hr-HR"/>
        </w:rPr>
        <w:t xml:space="preserve">. </w:t>
      </w:r>
      <w:r w:rsidRPr="001F18E0">
        <w:rPr>
          <w:bCs/>
        </w:rPr>
        <w:t>Carle</w:t>
      </w:r>
      <w:r w:rsidRPr="001F18E0">
        <w:rPr>
          <w:bCs/>
          <w:lang w:val="hr-HR"/>
        </w:rPr>
        <w:t xml:space="preserve"> </w:t>
      </w:r>
      <w:r>
        <w:rPr>
          <w:bCs/>
          <w:lang w:val="hr-HR"/>
        </w:rPr>
        <w:t>(</w:t>
      </w:r>
      <w:r w:rsidRPr="001F18E0">
        <w:rPr>
          <w:bCs/>
        </w:rPr>
        <w:t>Ed</w:t>
      </w:r>
      <w:r w:rsidRPr="001F18E0">
        <w:rPr>
          <w:bCs/>
          <w:lang w:val="hr-HR"/>
        </w:rPr>
        <w:t>.</w:t>
      </w:r>
      <w:r>
        <w:rPr>
          <w:bCs/>
          <w:lang w:val="hr-HR"/>
        </w:rPr>
        <w:t xml:space="preserve">): </w:t>
      </w:r>
      <w:r w:rsidR="00E53453" w:rsidRPr="001F18E0">
        <w:rPr>
          <w:bCs/>
        </w:rPr>
        <w:t>Atherische</w:t>
      </w:r>
      <w:r w:rsidR="00E53453" w:rsidRPr="001F18E0">
        <w:rPr>
          <w:bCs/>
          <w:lang w:val="hr-HR"/>
        </w:rPr>
        <w:t xml:space="preserve"> </w:t>
      </w:r>
      <w:r w:rsidR="00E53453" w:rsidRPr="001F18E0">
        <w:rPr>
          <w:bCs/>
        </w:rPr>
        <w:t>Ole</w:t>
      </w:r>
      <w:r w:rsidR="00E53453" w:rsidRPr="001F18E0">
        <w:rPr>
          <w:bCs/>
          <w:lang w:val="hr-HR"/>
        </w:rPr>
        <w:t xml:space="preserve"> – </w:t>
      </w:r>
      <w:r w:rsidR="00E53453" w:rsidRPr="001F18E0">
        <w:rPr>
          <w:bCs/>
        </w:rPr>
        <w:t>Anspruch</w:t>
      </w:r>
      <w:r w:rsidR="00E53453" w:rsidRPr="001F18E0">
        <w:rPr>
          <w:bCs/>
          <w:lang w:val="hr-HR"/>
        </w:rPr>
        <w:t xml:space="preserve"> </w:t>
      </w:r>
      <w:r w:rsidR="00E53453" w:rsidRPr="001F18E0">
        <w:rPr>
          <w:bCs/>
        </w:rPr>
        <w:t>und</w:t>
      </w:r>
      <w:r w:rsidR="00E53453" w:rsidRPr="001F18E0">
        <w:rPr>
          <w:bCs/>
          <w:lang w:val="hr-HR"/>
        </w:rPr>
        <w:t xml:space="preserve"> </w:t>
      </w:r>
      <w:r w:rsidR="00E53453" w:rsidRPr="001F18E0">
        <w:rPr>
          <w:bCs/>
        </w:rPr>
        <w:t>Wirklichkeit</w:t>
      </w:r>
      <w:r w:rsidR="00E53453" w:rsidRPr="001F18E0">
        <w:rPr>
          <w:bCs/>
          <w:lang w:val="hr-HR"/>
        </w:rPr>
        <w:t xml:space="preserve">, </w:t>
      </w:r>
      <w:r w:rsidR="00E53453" w:rsidRPr="001F18E0">
        <w:rPr>
          <w:bCs/>
        </w:rPr>
        <w:t>Wissenschaftliche</w:t>
      </w:r>
      <w:r w:rsidR="00E53453" w:rsidRPr="001F18E0">
        <w:rPr>
          <w:bCs/>
          <w:lang w:val="hr-HR"/>
        </w:rPr>
        <w:t xml:space="preserve"> </w:t>
      </w:r>
      <w:r w:rsidR="00E53453" w:rsidRPr="001F18E0">
        <w:rPr>
          <w:bCs/>
        </w:rPr>
        <w:t>Verlagsgesellschaft</w:t>
      </w:r>
      <w:r w:rsidR="00E53453" w:rsidRPr="001F18E0">
        <w:rPr>
          <w:bCs/>
          <w:lang w:val="hr-HR"/>
        </w:rPr>
        <w:t xml:space="preserve">, </w:t>
      </w:r>
      <w:r w:rsidR="00E53453" w:rsidRPr="001F18E0">
        <w:rPr>
          <w:bCs/>
        </w:rPr>
        <w:t>Stuttgart</w:t>
      </w:r>
      <w:r w:rsidR="00E53453" w:rsidRPr="001F18E0">
        <w:rPr>
          <w:bCs/>
          <w:lang w:val="hr-HR"/>
        </w:rPr>
        <w:t xml:space="preserve">,  </w:t>
      </w:r>
      <w:r w:rsidR="00E53453" w:rsidRPr="001F18E0">
        <w:rPr>
          <w:b/>
          <w:bCs/>
          <w:lang w:val="hr-HR"/>
        </w:rPr>
        <w:t>1993</w:t>
      </w:r>
      <w:r w:rsidR="00E53453" w:rsidRPr="001F18E0">
        <w:rPr>
          <w:bCs/>
          <w:lang w:val="hr-HR"/>
        </w:rPr>
        <w:t xml:space="preserve">, 85–102.  </w:t>
      </w:r>
    </w:p>
    <w:p w:rsidR="00E53453" w:rsidRPr="001F18E0" w:rsidRDefault="001F18E0" w:rsidP="001F18E0">
      <w:pPr>
        <w:pStyle w:val="Newparagraph"/>
        <w:spacing w:line="360" w:lineRule="auto"/>
        <w:ind w:firstLine="0"/>
        <w:jc w:val="both"/>
        <w:rPr>
          <w:bCs/>
        </w:rPr>
      </w:pPr>
      <w:r>
        <w:rPr>
          <w:bCs/>
          <w:lang w:val="en-US"/>
        </w:rPr>
        <w:t xml:space="preserve">6. </w:t>
      </w:r>
      <w:r w:rsidR="00E53453" w:rsidRPr="001F18E0">
        <w:rPr>
          <w:bCs/>
        </w:rPr>
        <w:t xml:space="preserve">M. Skold, L. Hagvall, A.T. Karlberg, </w:t>
      </w:r>
      <w:r w:rsidR="00E53453" w:rsidRPr="001F18E0">
        <w:rPr>
          <w:bCs/>
          <w:i/>
          <w:lang w:val="en-US"/>
        </w:rPr>
        <w:t>Contact Derm.</w:t>
      </w:r>
      <w:r w:rsidR="00E53453" w:rsidRPr="001F18E0">
        <w:rPr>
          <w:bCs/>
        </w:rPr>
        <w:t xml:space="preserve"> </w:t>
      </w:r>
      <w:r w:rsidR="00E53453" w:rsidRPr="001F18E0">
        <w:rPr>
          <w:b/>
          <w:bCs/>
        </w:rPr>
        <w:t>2008</w:t>
      </w:r>
      <w:r w:rsidR="00E53453" w:rsidRPr="001F18E0">
        <w:rPr>
          <w:bCs/>
        </w:rPr>
        <w:t xml:space="preserve">, </w:t>
      </w:r>
      <w:r w:rsidR="00E53453" w:rsidRPr="001F18E0">
        <w:rPr>
          <w:bCs/>
          <w:i/>
        </w:rPr>
        <w:t>58</w:t>
      </w:r>
      <w:r w:rsidR="00E53453" w:rsidRPr="001F18E0">
        <w:rPr>
          <w:bCs/>
        </w:rPr>
        <w:t>, 9–14.</w:t>
      </w:r>
    </w:p>
    <w:p w:rsidR="00E53453" w:rsidRPr="001F18E0" w:rsidRDefault="001F18E0" w:rsidP="001F18E0">
      <w:pPr>
        <w:pStyle w:val="Newparagraph"/>
        <w:spacing w:line="360" w:lineRule="auto"/>
        <w:ind w:firstLine="0"/>
        <w:jc w:val="both"/>
        <w:rPr>
          <w:bCs/>
          <w:lang w:val="en-US"/>
        </w:rPr>
      </w:pPr>
      <w:r>
        <w:rPr>
          <w:bCs/>
          <w:lang w:val="en-US"/>
        </w:rPr>
        <w:t xml:space="preserve">7. </w:t>
      </w:r>
      <w:r w:rsidR="00E53453" w:rsidRPr="001F18E0">
        <w:rPr>
          <w:bCs/>
        </w:rPr>
        <w:t>J. Brared-Christensson, M. Matura, B. Gruvberger, M. Bruze,</w:t>
      </w:r>
      <w:r>
        <w:rPr>
          <w:bCs/>
        </w:rPr>
        <w:t xml:space="preserve"> A.T. Karlberg, </w:t>
      </w:r>
      <w:r w:rsidR="00E53453" w:rsidRPr="001F18E0">
        <w:rPr>
          <w:bCs/>
          <w:i/>
          <w:lang w:val="en-US"/>
        </w:rPr>
        <w:t>Contact Derm.</w:t>
      </w:r>
      <w:r w:rsidR="00E53453" w:rsidRPr="001F18E0">
        <w:rPr>
          <w:bCs/>
        </w:rPr>
        <w:t xml:space="preserve"> </w:t>
      </w:r>
      <w:r w:rsidR="00E53453" w:rsidRPr="001F18E0">
        <w:rPr>
          <w:b/>
          <w:bCs/>
        </w:rPr>
        <w:t>2010</w:t>
      </w:r>
      <w:r w:rsidR="00E53453" w:rsidRPr="001F18E0">
        <w:rPr>
          <w:bCs/>
        </w:rPr>
        <w:t xml:space="preserve">, </w:t>
      </w:r>
      <w:r w:rsidR="00E53453" w:rsidRPr="001F18E0">
        <w:rPr>
          <w:bCs/>
          <w:i/>
        </w:rPr>
        <w:t>62</w:t>
      </w:r>
      <w:r w:rsidR="00E53453" w:rsidRPr="001F18E0">
        <w:rPr>
          <w:bCs/>
        </w:rPr>
        <w:t>, 32–41.</w:t>
      </w:r>
    </w:p>
    <w:p w:rsidR="00E53453" w:rsidRPr="001F18E0" w:rsidRDefault="001F18E0" w:rsidP="001F18E0">
      <w:pPr>
        <w:pStyle w:val="Newparagraph"/>
        <w:spacing w:line="360" w:lineRule="auto"/>
        <w:ind w:firstLine="0"/>
        <w:jc w:val="both"/>
        <w:rPr>
          <w:bCs/>
          <w:lang w:val="en-US"/>
        </w:rPr>
      </w:pPr>
      <w:r>
        <w:rPr>
          <w:bCs/>
          <w:lang w:val="en-US"/>
        </w:rPr>
        <w:t xml:space="preserve">8. </w:t>
      </w:r>
      <w:r w:rsidR="00E53453" w:rsidRPr="001F18E0">
        <w:rPr>
          <w:bCs/>
        </w:rPr>
        <w:t xml:space="preserve">H. Miething, V. Seger, R. Hansel, </w:t>
      </w:r>
      <w:r w:rsidR="00E53453" w:rsidRPr="001F18E0">
        <w:rPr>
          <w:bCs/>
          <w:i/>
          <w:lang w:val="en-US"/>
        </w:rPr>
        <w:t>Phytother. Res.</w:t>
      </w:r>
      <w:r w:rsidR="00E53453" w:rsidRPr="001F18E0">
        <w:rPr>
          <w:bCs/>
        </w:rPr>
        <w:t xml:space="preserve"> </w:t>
      </w:r>
      <w:r w:rsidR="00E53453" w:rsidRPr="001F18E0">
        <w:rPr>
          <w:b/>
          <w:bCs/>
        </w:rPr>
        <w:t>1990</w:t>
      </w:r>
      <w:r w:rsidR="00E53453" w:rsidRPr="001F18E0">
        <w:rPr>
          <w:bCs/>
        </w:rPr>
        <w:t xml:space="preserve">, </w:t>
      </w:r>
      <w:r w:rsidR="00E53453" w:rsidRPr="001F18E0">
        <w:rPr>
          <w:bCs/>
          <w:i/>
        </w:rPr>
        <w:t>4</w:t>
      </w:r>
      <w:r w:rsidR="00E53453" w:rsidRPr="001F18E0">
        <w:rPr>
          <w:bCs/>
        </w:rPr>
        <w:t>, 121–123.</w:t>
      </w:r>
    </w:p>
    <w:p w:rsidR="00E53453" w:rsidRPr="001F18E0" w:rsidRDefault="001F18E0" w:rsidP="001F18E0">
      <w:pPr>
        <w:pStyle w:val="Newparagraph"/>
        <w:spacing w:line="360" w:lineRule="auto"/>
        <w:ind w:firstLine="0"/>
        <w:jc w:val="both"/>
        <w:rPr>
          <w:bCs/>
          <w:lang w:val="en-US"/>
        </w:rPr>
      </w:pPr>
      <w:r>
        <w:rPr>
          <w:bCs/>
          <w:lang w:val="en-US"/>
        </w:rPr>
        <w:t xml:space="preserve">9. </w:t>
      </w:r>
      <w:r w:rsidR="00E53453" w:rsidRPr="001F18E0">
        <w:rPr>
          <w:bCs/>
        </w:rPr>
        <w:t xml:space="preserve">T. A. Misharina, A. N. Polshkov, </w:t>
      </w:r>
      <w:r w:rsidR="00E53453" w:rsidRPr="001F18E0">
        <w:rPr>
          <w:bCs/>
          <w:i/>
          <w:lang w:val="en-US"/>
        </w:rPr>
        <w:t>Appl. Biochem. Microbi</w:t>
      </w:r>
      <w:r w:rsidR="00E53453" w:rsidRPr="001F18E0">
        <w:rPr>
          <w:bCs/>
          <w:i/>
        </w:rPr>
        <w:t>ol.</w:t>
      </w:r>
      <w:r w:rsidR="00E53453" w:rsidRPr="001F18E0">
        <w:rPr>
          <w:bCs/>
        </w:rPr>
        <w:t xml:space="preserve"> </w:t>
      </w:r>
      <w:r w:rsidR="00E53453" w:rsidRPr="001F18E0">
        <w:rPr>
          <w:b/>
          <w:bCs/>
        </w:rPr>
        <w:t>2005</w:t>
      </w:r>
      <w:r w:rsidR="00E53453" w:rsidRPr="001F18E0">
        <w:rPr>
          <w:bCs/>
        </w:rPr>
        <w:t xml:space="preserve">, </w:t>
      </w:r>
      <w:r w:rsidR="00E53453" w:rsidRPr="001F18E0">
        <w:rPr>
          <w:bCs/>
          <w:i/>
        </w:rPr>
        <w:t>41</w:t>
      </w:r>
      <w:r w:rsidR="00E53453" w:rsidRPr="001F18E0">
        <w:rPr>
          <w:bCs/>
        </w:rPr>
        <w:t>, 693–702.</w:t>
      </w:r>
    </w:p>
    <w:p w:rsidR="00E53453" w:rsidRPr="001F18E0" w:rsidRDefault="001F18E0" w:rsidP="001F18E0">
      <w:pPr>
        <w:pStyle w:val="Newparagraph"/>
        <w:spacing w:line="360" w:lineRule="auto"/>
        <w:ind w:firstLine="0"/>
        <w:jc w:val="both"/>
        <w:rPr>
          <w:bCs/>
        </w:rPr>
      </w:pPr>
      <w:r>
        <w:rPr>
          <w:bCs/>
          <w:lang w:val="en-US"/>
        </w:rPr>
        <w:t xml:space="preserve">10. </w:t>
      </w:r>
      <w:r w:rsidR="00E53453" w:rsidRPr="001F18E0">
        <w:rPr>
          <w:bCs/>
        </w:rPr>
        <w:t xml:space="preserve">C. Turek, F. C. Stintzing, </w:t>
      </w:r>
      <w:r w:rsidR="00E53453" w:rsidRPr="001F18E0">
        <w:rPr>
          <w:bCs/>
          <w:i/>
          <w:lang w:val="en-US"/>
        </w:rPr>
        <w:t>J. Food Sci.</w:t>
      </w:r>
      <w:r w:rsidR="00E53453" w:rsidRPr="001F18E0">
        <w:rPr>
          <w:bCs/>
          <w:lang w:val="en-US"/>
        </w:rPr>
        <w:t xml:space="preserve"> </w:t>
      </w:r>
      <w:r w:rsidR="00E53453" w:rsidRPr="001F18E0">
        <w:rPr>
          <w:b/>
          <w:bCs/>
        </w:rPr>
        <w:t>2011</w:t>
      </w:r>
      <w:r w:rsidR="00E53453" w:rsidRPr="001F18E0">
        <w:rPr>
          <w:bCs/>
        </w:rPr>
        <w:t xml:space="preserve">, </w:t>
      </w:r>
      <w:r w:rsidR="00E53453" w:rsidRPr="001F18E0">
        <w:rPr>
          <w:bCs/>
          <w:i/>
        </w:rPr>
        <w:t>76</w:t>
      </w:r>
      <w:r w:rsidR="00E53453" w:rsidRPr="001F18E0">
        <w:rPr>
          <w:bCs/>
        </w:rPr>
        <w:t>, 1365–1375.</w:t>
      </w:r>
    </w:p>
    <w:p w:rsidR="00E53453" w:rsidRPr="001F18E0" w:rsidRDefault="001F18E0" w:rsidP="001F18E0">
      <w:pPr>
        <w:pStyle w:val="Newparagraph"/>
        <w:spacing w:line="360" w:lineRule="auto"/>
        <w:ind w:firstLine="0"/>
        <w:jc w:val="both"/>
        <w:rPr>
          <w:bCs/>
        </w:rPr>
      </w:pPr>
      <w:r>
        <w:rPr>
          <w:bCs/>
          <w:lang w:val="en-US"/>
        </w:rPr>
        <w:t xml:space="preserve">11. </w:t>
      </w:r>
      <w:r w:rsidR="00E53453" w:rsidRPr="001F18E0">
        <w:rPr>
          <w:bCs/>
        </w:rPr>
        <w:t xml:space="preserve">C. Turek, F. C. Stintzing, </w:t>
      </w:r>
      <w:r w:rsidR="00E53453" w:rsidRPr="001F18E0">
        <w:rPr>
          <w:bCs/>
          <w:i/>
          <w:lang w:val="en-US"/>
        </w:rPr>
        <w:t>Food Res. Int.</w:t>
      </w:r>
      <w:r w:rsidR="00E53453" w:rsidRPr="001F18E0">
        <w:rPr>
          <w:bCs/>
        </w:rPr>
        <w:t xml:space="preserve"> </w:t>
      </w:r>
      <w:r w:rsidR="00E53453" w:rsidRPr="001F18E0">
        <w:rPr>
          <w:b/>
          <w:bCs/>
        </w:rPr>
        <w:t>2012</w:t>
      </w:r>
      <w:r w:rsidR="00E53453" w:rsidRPr="001F18E0">
        <w:rPr>
          <w:bCs/>
        </w:rPr>
        <w:t xml:space="preserve">, </w:t>
      </w:r>
      <w:r w:rsidR="00E53453" w:rsidRPr="001F18E0">
        <w:rPr>
          <w:bCs/>
          <w:i/>
        </w:rPr>
        <w:t>46</w:t>
      </w:r>
      <w:r w:rsidR="00E53453" w:rsidRPr="001F18E0">
        <w:rPr>
          <w:bCs/>
        </w:rPr>
        <w:t>, 341–353.</w:t>
      </w:r>
    </w:p>
    <w:p w:rsidR="00E53453" w:rsidRPr="00C53B2A" w:rsidRDefault="001F18E0" w:rsidP="001F18E0">
      <w:pPr>
        <w:pStyle w:val="Newparagraph"/>
        <w:spacing w:line="360" w:lineRule="auto"/>
        <w:ind w:firstLine="0"/>
        <w:jc w:val="both"/>
        <w:rPr>
          <w:bCs/>
          <w:lang w:val="fr-CI"/>
        </w:rPr>
      </w:pPr>
      <w:r>
        <w:rPr>
          <w:bCs/>
          <w:lang w:val="en-US"/>
        </w:rPr>
        <w:lastRenderedPageBreak/>
        <w:t xml:space="preserve">12. </w:t>
      </w:r>
      <w:r w:rsidR="00E53453" w:rsidRPr="001F18E0">
        <w:rPr>
          <w:bCs/>
        </w:rPr>
        <w:t>A. Wajs-Bonikowskaa, M. Sienkiewicz, A. Stobiecka, A. Maciag, L. Szoka,</w:t>
      </w:r>
      <w:r>
        <w:rPr>
          <w:bCs/>
        </w:rPr>
        <w:t xml:space="preserve"> E. Karna, </w:t>
      </w:r>
      <w:r w:rsidR="00E53453" w:rsidRPr="001F18E0">
        <w:rPr>
          <w:bCs/>
          <w:i/>
          <w:lang w:val="en-US"/>
        </w:rPr>
        <w:t xml:space="preserve">Chem. </w:t>
      </w:r>
      <w:r w:rsidR="00E53453" w:rsidRPr="00C53B2A">
        <w:rPr>
          <w:bCs/>
          <w:i/>
          <w:lang w:val="fr-CI"/>
        </w:rPr>
        <w:t>Biodivers.</w:t>
      </w:r>
      <w:r w:rsidR="00E53453" w:rsidRPr="00C53B2A">
        <w:rPr>
          <w:bCs/>
          <w:lang w:val="fr-CI"/>
        </w:rPr>
        <w:t xml:space="preserve"> </w:t>
      </w:r>
      <w:r w:rsidR="00E53453" w:rsidRPr="00C53B2A">
        <w:rPr>
          <w:b/>
          <w:bCs/>
          <w:lang w:val="fr-CI"/>
        </w:rPr>
        <w:t>2015</w:t>
      </w:r>
      <w:r w:rsidR="00E53453" w:rsidRPr="00C53B2A">
        <w:rPr>
          <w:bCs/>
          <w:lang w:val="fr-CI"/>
        </w:rPr>
        <w:t xml:space="preserve">, </w:t>
      </w:r>
      <w:r w:rsidR="00E53453" w:rsidRPr="00C53B2A">
        <w:rPr>
          <w:bCs/>
          <w:i/>
          <w:lang w:val="fr-CI"/>
        </w:rPr>
        <w:t>12</w:t>
      </w:r>
      <w:r w:rsidR="00E53453" w:rsidRPr="00C53B2A">
        <w:rPr>
          <w:bCs/>
          <w:lang w:val="fr-CI"/>
        </w:rPr>
        <w:t>, 407–418.</w:t>
      </w:r>
    </w:p>
    <w:p w:rsidR="00E53453" w:rsidRPr="001F18E0" w:rsidRDefault="001F18E0" w:rsidP="001F18E0">
      <w:pPr>
        <w:pStyle w:val="Newparagraph"/>
        <w:spacing w:line="360" w:lineRule="auto"/>
        <w:ind w:firstLine="0"/>
        <w:jc w:val="both"/>
        <w:rPr>
          <w:bCs/>
          <w:lang w:val="de-DE"/>
        </w:rPr>
      </w:pPr>
      <w:r w:rsidRPr="001F18E0">
        <w:rPr>
          <w:bCs/>
          <w:lang w:val="fr-CI"/>
        </w:rPr>
        <w:t xml:space="preserve">13. </w:t>
      </w:r>
      <w:r w:rsidR="00E53453" w:rsidRPr="001F18E0">
        <w:rPr>
          <w:bCs/>
          <w:lang w:val="de-DE"/>
        </w:rPr>
        <w:t xml:space="preserve">D. A. Viegas, A. Palmiera-de-Oliveira, L. Salgueiro, J. Martinez-de-Oliveira, R. Palmiera-de-Oliveira, </w:t>
      </w:r>
      <w:r w:rsidR="00E53453" w:rsidRPr="001F18E0">
        <w:rPr>
          <w:bCs/>
          <w:i/>
          <w:lang w:val="fr-CI"/>
        </w:rPr>
        <w:t>J. Etnopharm.</w:t>
      </w:r>
      <w:r w:rsidR="00E53453" w:rsidRPr="001F18E0">
        <w:rPr>
          <w:bCs/>
          <w:lang w:val="fr-CI"/>
        </w:rPr>
        <w:t xml:space="preserve"> </w:t>
      </w:r>
      <w:r w:rsidR="00E53453" w:rsidRPr="001F18E0">
        <w:rPr>
          <w:b/>
          <w:bCs/>
        </w:rPr>
        <w:t>2014</w:t>
      </w:r>
      <w:r w:rsidR="00E53453" w:rsidRPr="001F18E0">
        <w:rPr>
          <w:bCs/>
        </w:rPr>
        <w:t xml:space="preserve">, </w:t>
      </w:r>
      <w:r w:rsidR="00E53453" w:rsidRPr="001F18E0">
        <w:rPr>
          <w:bCs/>
          <w:i/>
        </w:rPr>
        <w:t>151</w:t>
      </w:r>
      <w:r w:rsidR="00E53453" w:rsidRPr="001F18E0">
        <w:rPr>
          <w:bCs/>
        </w:rPr>
        <w:t>, 64–65</w:t>
      </w:r>
      <w:r w:rsidR="00E53453" w:rsidRPr="001F18E0">
        <w:rPr>
          <w:bCs/>
          <w:lang w:val="de-DE"/>
        </w:rPr>
        <w:t>.</w:t>
      </w:r>
    </w:p>
    <w:p w:rsidR="00E53453" w:rsidRPr="00570D99" w:rsidRDefault="00E53453" w:rsidP="001F18E0">
      <w:pPr>
        <w:spacing w:after="0" w:line="360" w:lineRule="auto"/>
        <w:jc w:val="both"/>
        <w:rPr>
          <w:rFonts w:cs="Times New Roman"/>
          <w:sz w:val="24"/>
          <w:szCs w:val="24"/>
          <w:lang w:val="en-US"/>
        </w:rPr>
      </w:pPr>
      <w:r w:rsidRPr="00570D99">
        <w:rPr>
          <w:rFonts w:cs="Times New Roman"/>
          <w:sz w:val="24"/>
          <w:szCs w:val="24"/>
          <w:lang w:val="en-US"/>
        </w:rPr>
        <w:t xml:space="preserve">14. R. P. Adams, </w:t>
      </w:r>
      <w:r w:rsidRPr="001F18E0">
        <w:rPr>
          <w:rFonts w:cs="Times New Roman"/>
          <w:sz w:val="24"/>
          <w:szCs w:val="24"/>
          <w:lang w:val="en-US"/>
        </w:rPr>
        <w:t>Identification of Essential oil Components by Gas Chromatography/Mass Spetroscopy.</w:t>
      </w:r>
      <w:r w:rsidRPr="00570D99">
        <w:rPr>
          <w:rFonts w:cs="Times New Roman"/>
          <w:sz w:val="24"/>
          <w:szCs w:val="24"/>
          <w:lang w:val="en-US"/>
        </w:rPr>
        <w:t xml:space="preserve"> 4th ed., Allured Publ. Corp, Carol Stream, IL, </w:t>
      </w:r>
      <w:r w:rsidRPr="001F18E0">
        <w:rPr>
          <w:rFonts w:cs="Times New Roman"/>
          <w:b/>
          <w:sz w:val="24"/>
          <w:szCs w:val="24"/>
          <w:lang w:val="en-US"/>
        </w:rPr>
        <w:t>2007</w:t>
      </w:r>
      <w:r w:rsidRPr="00570D99">
        <w:rPr>
          <w:rFonts w:cs="Times New Roman"/>
          <w:sz w:val="24"/>
          <w:szCs w:val="24"/>
          <w:lang w:val="en-US"/>
        </w:rPr>
        <w:t>.</w:t>
      </w:r>
    </w:p>
    <w:p w:rsidR="00E53453" w:rsidRPr="00570D99" w:rsidRDefault="00E53453" w:rsidP="001F18E0">
      <w:pPr>
        <w:spacing w:after="0" w:line="360" w:lineRule="auto"/>
        <w:jc w:val="both"/>
        <w:rPr>
          <w:rFonts w:cs="Times New Roman"/>
          <w:sz w:val="24"/>
          <w:szCs w:val="24"/>
          <w:lang w:val="en-GB"/>
        </w:rPr>
      </w:pPr>
      <w:r w:rsidRPr="00570D99">
        <w:rPr>
          <w:rFonts w:cs="Times New Roman"/>
          <w:sz w:val="24"/>
          <w:szCs w:val="24"/>
          <w:lang w:val="en-US"/>
        </w:rPr>
        <w:t xml:space="preserve">15. </w:t>
      </w:r>
      <w:r w:rsidRPr="00570D99">
        <w:rPr>
          <w:rFonts w:cs="Times New Roman"/>
          <w:sz w:val="24"/>
          <w:szCs w:val="24"/>
          <w:lang w:val="en-GB"/>
        </w:rPr>
        <w:t>V. I. Babushok, P. J. Linstrom, I. G. Zenkevich, </w:t>
      </w:r>
      <w:r w:rsidRPr="00570D99">
        <w:rPr>
          <w:rFonts w:cs="Times New Roman"/>
          <w:i/>
          <w:sz w:val="24"/>
          <w:szCs w:val="24"/>
          <w:lang w:val="de-DE"/>
        </w:rPr>
        <w:t>J. Phys. Chem. Ref. Data</w:t>
      </w:r>
      <w:r w:rsidRPr="00570D99">
        <w:rPr>
          <w:rFonts w:cs="Times New Roman"/>
          <w:sz w:val="24"/>
          <w:szCs w:val="24"/>
          <w:lang w:val="en-GB"/>
        </w:rPr>
        <w:t xml:space="preserve"> </w:t>
      </w:r>
      <w:r w:rsidRPr="00570D99">
        <w:rPr>
          <w:rFonts w:cs="Times New Roman"/>
          <w:b/>
          <w:sz w:val="24"/>
          <w:szCs w:val="24"/>
          <w:lang w:val="en-GB"/>
        </w:rPr>
        <w:t>2011</w:t>
      </w:r>
      <w:r w:rsidRPr="00570D99">
        <w:rPr>
          <w:rFonts w:cs="Times New Roman"/>
          <w:sz w:val="24"/>
          <w:szCs w:val="24"/>
          <w:lang w:val="en-GB"/>
        </w:rPr>
        <w:t xml:space="preserve">, </w:t>
      </w:r>
      <w:r w:rsidRPr="00570D99">
        <w:rPr>
          <w:rFonts w:cs="Times New Roman"/>
          <w:i/>
          <w:sz w:val="24"/>
          <w:szCs w:val="24"/>
          <w:lang w:val="en-GB"/>
        </w:rPr>
        <w:t>40</w:t>
      </w:r>
      <w:r w:rsidRPr="00570D99">
        <w:rPr>
          <w:rFonts w:cs="Times New Roman"/>
          <w:sz w:val="24"/>
          <w:szCs w:val="24"/>
          <w:lang w:val="en-GB"/>
        </w:rPr>
        <w:t>, 043101.</w:t>
      </w:r>
    </w:p>
    <w:p w:rsidR="00E53453" w:rsidRPr="00C53B2A" w:rsidRDefault="00E53453" w:rsidP="001F18E0">
      <w:pPr>
        <w:spacing w:after="0" w:line="360" w:lineRule="auto"/>
        <w:jc w:val="both"/>
        <w:rPr>
          <w:rFonts w:cs="Times New Roman"/>
          <w:sz w:val="24"/>
          <w:szCs w:val="24"/>
        </w:rPr>
      </w:pPr>
      <w:r w:rsidRPr="00570D99">
        <w:rPr>
          <w:rFonts w:cs="Times New Roman"/>
          <w:sz w:val="24"/>
          <w:szCs w:val="24"/>
          <w:lang w:val="en-US"/>
        </w:rPr>
        <w:t>16. NIST Chemistry WebBook.</w:t>
      </w:r>
      <w:r w:rsidRPr="00570D99">
        <w:rPr>
          <w:rFonts w:cs="Times New Roman"/>
          <w:sz w:val="24"/>
          <w:szCs w:val="24"/>
        </w:rPr>
        <w:t xml:space="preserve"> </w:t>
      </w:r>
      <w:hyperlink r:id="rId11" w:tgtFrame="_blank" w:history="1">
        <w:r w:rsidRPr="00570D99">
          <w:rPr>
            <w:rStyle w:val="Hiperveza"/>
            <w:rFonts w:cs="Times New Roman"/>
            <w:sz w:val="24"/>
            <w:szCs w:val="24"/>
          </w:rPr>
          <w:t>https://webbook.nist.gov/chemistry/</w:t>
        </w:r>
      </w:hyperlink>
      <w:r w:rsidRPr="00570D99">
        <w:rPr>
          <w:rFonts w:cs="Times New Roman"/>
          <w:sz w:val="24"/>
          <w:szCs w:val="24"/>
        </w:rPr>
        <w:t xml:space="preserve"> (20 December 2018)</w:t>
      </w:r>
    </w:p>
    <w:p w:rsidR="00E53453" w:rsidRPr="00570D99" w:rsidRDefault="00E53453" w:rsidP="001F18E0">
      <w:pPr>
        <w:spacing w:after="0" w:line="360" w:lineRule="auto"/>
        <w:jc w:val="both"/>
        <w:rPr>
          <w:rFonts w:cs="Times New Roman"/>
          <w:sz w:val="24"/>
          <w:szCs w:val="24"/>
        </w:rPr>
      </w:pPr>
      <w:r w:rsidRPr="00C53B2A">
        <w:rPr>
          <w:rFonts w:cs="Times New Roman"/>
          <w:sz w:val="24"/>
          <w:szCs w:val="24"/>
        </w:rPr>
        <w:t xml:space="preserve">17. </w:t>
      </w:r>
      <w:r w:rsidRPr="001F18E0">
        <w:rPr>
          <w:rFonts w:cs="Times New Roman"/>
          <w:sz w:val="24"/>
          <w:szCs w:val="24"/>
          <w:lang w:val="fr-CI"/>
        </w:rPr>
        <w:t>A</w:t>
      </w:r>
      <w:r w:rsidRPr="00C53B2A">
        <w:rPr>
          <w:rFonts w:cs="Times New Roman"/>
          <w:sz w:val="24"/>
          <w:szCs w:val="24"/>
        </w:rPr>
        <w:t xml:space="preserve">. </w:t>
      </w:r>
      <w:r w:rsidRPr="001F18E0">
        <w:rPr>
          <w:rFonts w:cs="Times New Roman"/>
          <w:sz w:val="24"/>
          <w:szCs w:val="24"/>
          <w:lang w:val="fr-CI"/>
        </w:rPr>
        <w:t>Bianchini</w:t>
      </w:r>
      <w:r w:rsidRPr="00C53B2A">
        <w:rPr>
          <w:rFonts w:cs="Times New Roman"/>
          <w:sz w:val="24"/>
          <w:szCs w:val="24"/>
        </w:rPr>
        <w:t xml:space="preserve">, </w:t>
      </w:r>
      <w:r w:rsidRPr="001F18E0">
        <w:rPr>
          <w:rFonts w:cs="Times New Roman"/>
          <w:sz w:val="24"/>
          <w:szCs w:val="24"/>
          <w:lang w:val="fr-CI"/>
        </w:rPr>
        <w:t>P</w:t>
      </w:r>
      <w:r w:rsidRPr="00C53B2A">
        <w:rPr>
          <w:rFonts w:cs="Times New Roman"/>
          <w:sz w:val="24"/>
          <w:szCs w:val="24"/>
        </w:rPr>
        <w:t xml:space="preserve">. </w:t>
      </w:r>
      <w:r w:rsidRPr="001F18E0">
        <w:rPr>
          <w:rFonts w:cs="Times New Roman"/>
          <w:sz w:val="24"/>
          <w:szCs w:val="24"/>
          <w:lang w:val="fr-CI"/>
        </w:rPr>
        <w:t>Tomi</w:t>
      </w:r>
      <w:r w:rsidRPr="00C53B2A">
        <w:rPr>
          <w:rFonts w:cs="Times New Roman"/>
          <w:sz w:val="24"/>
          <w:szCs w:val="24"/>
        </w:rPr>
        <w:t xml:space="preserve">, </w:t>
      </w:r>
      <w:r w:rsidRPr="001F18E0">
        <w:rPr>
          <w:rFonts w:cs="Times New Roman"/>
          <w:sz w:val="24"/>
          <w:szCs w:val="24"/>
          <w:lang w:val="fr-CI"/>
        </w:rPr>
        <w:t>J</w:t>
      </w:r>
      <w:r w:rsidRPr="00C53B2A">
        <w:rPr>
          <w:rFonts w:cs="Times New Roman"/>
          <w:sz w:val="24"/>
          <w:szCs w:val="24"/>
        </w:rPr>
        <w:t xml:space="preserve">. </w:t>
      </w:r>
      <w:r w:rsidRPr="001F18E0">
        <w:rPr>
          <w:rFonts w:cs="Times New Roman"/>
          <w:sz w:val="24"/>
          <w:szCs w:val="24"/>
          <w:lang w:val="fr-CI"/>
        </w:rPr>
        <w:t>Costa</w:t>
      </w:r>
      <w:r w:rsidRPr="00C53B2A">
        <w:rPr>
          <w:rFonts w:cs="Times New Roman"/>
          <w:sz w:val="24"/>
          <w:szCs w:val="24"/>
        </w:rPr>
        <w:t xml:space="preserve">, </w:t>
      </w:r>
      <w:r w:rsidRPr="001F18E0">
        <w:rPr>
          <w:rFonts w:cs="Times New Roman"/>
          <w:sz w:val="24"/>
          <w:szCs w:val="24"/>
          <w:lang w:val="fr-CI"/>
        </w:rPr>
        <w:t>A</w:t>
      </w:r>
      <w:r w:rsidRPr="00C53B2A">
        <w:rPr>
          <w:rFonts w:cs="Times New Roman"/>
          <w:sz w:val="24"/>
          <w:szCs w:val="24"/>
        </w:rPr>
        <w:t>.</w:t>
      </w:r>
      <w:r w:rsidRPr="001F18E0">
        <w:rPr>
          <w:rFonts w:cs="Times New Roman"/>
          <w:sz w:val="24"/>
          <w:szCs w:val="24"/>
          <w:lang w:val="fr-CI"/>
        </w:rPr>
        <w:t>F</w:t>
      </w:r>
      <w:r w:rsidRPr="00C53B2A">
        <w:rPr>
          <w:rFonts w:cs="Times New Roman"/>
          <w:sz w:val="24"/>
          <w:szCs w:val="24"/>
        </w:rPr>
        <w:t xml:space="preserve">. </w:t>
      </w:r>
      <w:r w:rsidRPr="001F18E0">
        <w:rPr>
          <w:rFonts w:cs="Times New Roman"/>
          <w:sz w:val="24"/>
          <w:szCs w:val="24"/>
          <w:lang w:val="fr-CI"/>
        </w:rPr>
        <w:t>Bernardini</w:t>
      </w:r>
      <w:r w:rsidRPr="00C53B2A">
        <w:rPr>
          <w:rFonts w:cs="Times New Roman"/>
          <w:sz w:val="24"/>
          <w:szCs w:val="24"/>
        </w:rPr>
        <w:t xml:space="preserve">, </w:t>
      </w:r>
      <w:r w:rsidRPr="001F18E0">
        <w:rPr>
          <w:rFonts w:cs="Times New Roman"/>
          <w:i/>
          <w:sz w:val="24"/>
          <w:szCs w:val="24"/>
          <w:lang w:val="fr-CI"/>
        </w:rPr>
        <w:t>Flavour</w:t>
      </w:r>
      <w:r w:rsidRPr="00C53B2A">
        <w:rPr>
          <w:rFonts w:cs="Times New Roman"/>
          <w:i/>
          <w:sz w:val="24"/>
          <w:szCs w:val="24"/>
        </w:rPr>
        <w:t xml:space="preserve"> </w:t>
      </w:r>
      <w:r w:rsidRPr="001F18E0">
        <w:rPr>
          <w:rFonts w:cs="Times New Roman"/>
          <w:i/>
          <w:sz w:val="24"/>
          <w:szCs w:val="24"/>
          <w:lang w:val="fr-CI"/>
        </w:rPr>
        <w:t>Fragrance</w:t>
      </w:r>
      <w:r w:rsidRPr="00C53B2A">
        <w:rPr>
          <w:rFonts w:cs="Times New Roman"/>
          <w:i/>
          <w:sz w:val="24"/>
          <w:szCs w:val="24"/>
        </w:rPr>
        <w:t xml:space="preserve"> </w:t>
      </w:r>
      <w:r w:rsidRPr="001F18E0">
        <w:rPr>
          <w:rFonts w:cs="Times New Roman"/>
          <w:i/>
          <w:sz w:val="24"/>
          <w:szCs w:val="24"/>
          <w:lang w:val="fr-CI"/>
        </w:rPr>
        <w:t>J</w:t>
      </w:r>
      <w:r w:rsidRPr="00C53B2A">
        <w:rPr>
          <w:rFonts w:cs="Times New Roman"/>
          <w:i/>
          <w:sz w:val="24"/>
          <w:szCs w:val="24"/>
        </w:rPr>
        <w:t>.</w:t>
      </w:r>
      <w:r w:rsidR="001F18E0" w:rsidRPr="00C53B2A">
        <w:rPr>
          <w:rFonts w:cs="Times New Roman"/>
          <w:i/>
          <w:sz w:val="24"/>
          <w:szCs w:val="24"/>
        </w:rPr>
        <w:t xml:space="preserve"> </w:t>
      </w:r>
      <w:r w:rsidR="001F18E0" w:rsidRPr="00C53B2A">
        <w:rPr>
          <w:rFonts w:cs="Times New Roman"/>
          <w:b/>
          <w:sz w:val="24"/>
          <w:szCs w:val="24"/>
        </w:rPr>
        <w:t>2001</w:t>
      </w:r>
      <w:r w:rsidRPr="00C53B2A">
        <w:rPr>
          <w:rFonts w:cs="Times New Roman"/>
          <w:sz w:val="24"/>
          <w:szCs w:val="24"/>
        </w:rPr>
        <w:t xml:space="preserve">, </w:t>
      </w:r>
      <w:r w:rsidRPr="00C53B2A">
        <w:rPr>
          <w:rFonts w:cs="Times New Roman"/>
          <w:i/>
          <w:sz w:val="24"/>
          <w:szCs w:val="24"/>
        </w:rPr>
        <w:t>16</w:t>
      </w:r>
      <w:r w:rsidR="001F18E0" w:rsidRPr="00C53B2A">
        <w:rPr>
          <w:rFonts w:cs="Times New Roman"/>
          <w:sz w:val="24"/>
          <w:szCs w:val="24"/>
        </w:rPr>
        <w:t>, 30–34</w:t>
      </w:r>
      <w:r w:rsidRPr="00C53B2A">
        <w:rPr>
          <w:rFonts w:cs="Times New Roman"/>
          <w:sz w:val="24"/>
          <w:szCs w:val="24"/>
        </w:rPr>
        <w:t>.</w:t>
      </w:r>
    </w:p>
    <w:p w:rsidR="00E53453" w:rsidRPr="00570D99" w:rsidRDefault="00E53453" w:rsidP="001F18E0">
      <w:pPr>
        <w:spacing w:after="0" w:line="360" w:lineRule="auto"/>
        <w:jc w:val="both"/>
        <w:rPr>
          <w:rFonts w:cs="Times New Roman"/>
          <w:sz w:val="24"/>
          <w:szCs w:val="24"/>
          <w:lang w:val="en-GB"/>
        </w:rPr>
      </w:pPr>
      <w:r w:rsidRPr="00C53B2A">
        <w:rPr>
          <w:rFonts w:cs="Times New Roman"/>
          <w:sz w:val="24"/>
          <w:szCs w:val="24"/>
        </w:rPr>
        <w:t>18.</w:t>
      </w:r>
      <w:r w:rsidR="001F18E0" w:rsidRPr="00C53B2A">
        <w:rPr>
          <w:rFonts w:cs="Times New Roman"/>
          <w:sz w:val="24"/>
          <w:szCs w:val="24"/>
        </w:rPr>
        <w:t xml:space="preserve"> </w:t>
      </w:r>
      <w:r w:rsidRPr="001F18E0">
        <w:rPr>
          <w:rFonts w:cs="Times New Roman"/>
          <w:sz w:val="24"/>
          <w:szCs w:val="24"/>
          <w:lang w:val="fr-CI"/>
        </w:rPr>
        <w:t>I</w:t>
      </w:r>
      <w:r w:rsidRPr="00C53B2A">
        <w:rPr>
          <w:rFonts w:cs="Times New Roman"/>
          <w:sz w:val="24"/>
          <w:szCs w:val="24"/>
        </w:rPr>
        <w:t xml:space="preserve">. </w:t>
      </w:r>
      <w:r w:rsidRPr="00570D99">
        <w:rPr>
          <w:rFonts w:cs="Times New Roman"/>
          <w:sz w:val="24"/>
          <w:szCs w:val="24"/>
          <w:lang w:val="de-DE"/>
        </w:rPr>
        <w:t xml:space="preserve">Odak, T. Lukić, S. Talić, </w:t>
      </w:r>
      <w:r w:rsidRPr="00570D99">
        <w:rPr>
          <w:rFonts w:cs="Times New Roman"/>
          <w:i/>
          <w:sz w:val="24"/>
          <w:szCs w:val="24"/>
          <w:lang w:val="de-DE"/>
        </w:rPr>
        <w:t>J. Essent. Oil Bear. Pl.</w:t>
      </w:r>
      <w:r w:rsidRPr="00570D99">
        <w:rPr>
          <w:rFonts w:cs="Times New Roman"/>
          <w:sz w:val="24"/>
          <w:szCs w:val="24"/>
          <w:lang w:val="de-DE"/>
        </w:rPr>
        <w:t xml:space="preserve"> </w:t>
      </w:r>
      <w:r w:rsidRPr="00570D99">
        <w:rPr>
          <w:rFonts w:cs="Times New Roman"/>
          <w:b/>
          <w:sz w:val="24"/>
          <w:szCs w:val="24"/>
          <w:lang w:val="de-DE"/>
        </w:rPr>
        <w:t>2018</w:t>
      </w:r>
      <w:r w:rsidRPr="00570D99">
        <w:rPr>
          <w:rFonts w:cs="Times New Roman"/>
          <w:sz w:val="24"/>
          <w:szCs w:val="24"/>
          <w:lang w:val="de-DE"/>
        </w:rPr>
        <w:t xml:space="preserve">, </w:t>
      </w:r>
      <w:r w:rsidRPr="00570D99">
        <w:rPr>
          <w:rFonts w:cs="Times New Roman"/>
          <w:i/>
          <w:sz w:val="24"/>
          <w:szCs w:val="24"/>
          <w:lang w:val="de-DE"/>
        </w:rPr>
        <w:t>21</w:t>
      </w:r>
      <w:r w:rsidRPr="00570D99">
        <w:rPr>
          <w:rFonts w:cs="Times New Roman"/>
          <w:sz w:val="24"/>
          <w:szCs w:val="24"/>
          <w:lang w:val="de-DE"/>
        </w:rPr>
        <w:t>, 614–622.</w:t>
      </w:r>
    </w:p>
    <w:p w:rsidR="00E53453" w:rsidRPr="00570D99" w:rsidRDefault="00E53453" w:rsidP="001F18E0">
      <w:pPr>
        <w:spacing w:after="0" w:line="360" w:lineRule="auto"/>
        <w:jc w:val="both"/>
        <w:rPr>
          <w:rFonts w:cs="Times New Roman"/>
          <w:sz w:val="24"/>
          <w:szCs w:val="24"/>
          <w:lang w:val="en-GB"/>
        </w:rPr>
      </w:pPr>
      <w:r w:rsidRPr="0099134C">
        <w:rPr>
          <w:rFonts w:cs="Times New Roman"/>
          <w:sz w:val="24"/>
          <w:szCs w:val="24"/>
          <w:lang w:val="en-US"/>
        </w:rPr>
        <w:t>19.</w:t>
      </w:r>
      <w:r w:rsidR="001F18E0" w:rsidRPr="0099134C">
        <w:rPr>
          <w:rFonts w:cs="Times New Roman"/>
          <w:sz w:val="24"/>
          <w:szCs w:val="24"/>
          <w:lang w:val="en-US"/>
        </w:rPr>
        <w:t xml:space="preserve"> </w:t>
      </w:r>
      <w:r w:rsidRPr="00570D99">
        <w:rPr>
          <w:rFonts w:cs="Times New Roman"/>
          <w:sz w:val="24"/>
          <w:szCs w:val="24"/>
          <w:lang w:val="de-DE"/>
        </w:rPr>
        <w:t xml:space="preserve">E. Choe, D. B. Min, </w:t>
      </w:r>
      <w:r w:rsidRPr="0099134C">
        <w:rPr>
          <w:rFonts w:cs="Times New Roman"/>
          <w:i/>
          <w:sz w:val="24"/>
          <w:szCs w:val="24"/>
          <w:lang w:val="en-US"/>
        </w:rPr>
        <w:t xml:space="preserve">Compr. </w:t>
      </w:r>
      <w:r w:rsidRPr="00570D99">
        <w:rPr>
          <w:rFonts w:cs="Times New Roman"/>
          <w:i/>
          <w:sz w:val="24"/>
          <w:szCs w:val="24"/>
          <w:lang w:val="en-US"/>
        </w:rPr>
        <w:t>Rev. Food Sci. Food Saf.</w:t>
      </w:r>
      <w:r w:rsidRPr="00570D99">
        <w:rPr>
          <w:rFonts w:cs="Times New Roman"/>
          <w:sz w:val="24"/>
          <w:szCs w:val="24"/>
          <w:lang w:val="en-US"/>
        </w:rPr>
        <w:t xml:space="preserve"> </w:t>
      </w:r>
      <w:r w:rsidRPr="00570D99">
        <w:rPr>
          <w:rFonts w:cs="Times New Roman"/>
          <w:b/>
          <w:bCs/>
          <w:sz w:val="24"/>
          <w:szCs w:val="24"/>
        </w:rPr>
        <w:t>2006</w:t>
      </w:r>
      <w:r w:rsidRPr="00570D99">
        <w:rPr>
          <w:rFonts w:cs="Times New Roman"/>
          <w:sz w:val="24"/>
          <w:szCs w:val="24"/>
          <w:lang w:val="en-GB"/>
        </w:rPr>
        <w:t xml:space="preserve">, </w:t>
      </w:r>
      <w:r w:rsidRPr="00570D99">
        <w:rPr>
          <w:rFonts w:cs="Times New Roman"/>
          <w:i/>
          <w:sz w:val="24"/>
          <w:szCs w:val="24"/>
          <w:lang w:val="en-GB"/>
        </w:rPr>
        <w:t>5</w:t>
      </w:r>
      <w:r w:rsidRPr="00570D99">
        <w:rPr>
          <w:rFonts w:cs="Times New Roman"/>
          <w:sz w:val="24"/>
          <w:szCs w:val="24"/>
          <w:lang w:val="en-GB"/>
        </w:rPr>
        <w:t>, 169–186</w:t>
      </w:r>
      <w:r w:rsidRPr="00570D99">
        <w:rPr>
          <w:rFonts w:cs="Times New Roman"/>
          <w:sz w:val="24"/>
          <w:szCs w:val="24"/>
          <w:lang w:val="de-DE"/>
        </w:rPr>
        <w:t>.</w:t>
      </w:r>
    </w:p>
    <w:p w:rsidR="00E53453" w:rsidRPr="00570D99" w:rsidRDefault="00E53453" w:rsidP="001F18E0">
      <w:pPr>
        <w:spacing w:after="0" w:line="360" w:lineRule="auto"/>
        <w:jc w:val="both"/>
        <w:rPr>
          <w:rFonts w:cs="Times New Roman"/>
          <w:sz w:val="24"/>
          <w:szCs w:val="24"/>
          <w:lang w:val="de-DE"/>
        </w:rPr>
      </w:pPr>
      <w:r w:rsidRPr="00570D99">
        <w:rPr>
          <w:rFonts w:cs="Times New Roman"/>
          <w:sz w:val="24"/>
          <w:szCs w:val="24"/>
          <w:lang w:val="en-US"/>
        </w:rPr>
        <w:t>20.</w:t>
      </w:r>
      <w:r w:rsidR="001F18E0">
        <w:rPr>
          <w:rFonts w:cs="Times New Roman"/>
          <w:sz w:val="24"/>
          <w:szCs w:val="24"/>
          <w:lang w:val="en-US"/>
        </w:rPr>
        <w:t xml:space="preserve"> </w:t>
      </w:r>
      <w:r w:rsidRPr="00570D99">
        <w:rPr>
          <w:rFonts w:cs="Times New Roman"/>
          <w:sz w:val="24"/>
          <w:szCs w:val="24"/>
          <w:lang w:val="en-GB"/>
        </w:rPr>
        <w:t xml:space="preserve">N. Bullow, W. A. Konig, </w:t>
      </w:r>
      <w:r w:rsidRPr="00570D99">
        <w:rPr>
          <w:rFonts w:cs="Times New Roman"/>
          <w:i/>
          <w:sz w:val="24"/>
          <w:szCs w:val="24"/>
          <w:lang w:val="de-DE"/>
        </w:rPr>
        <w:t>Phytochemistry.</w:t>
      </w:r>
      <w:r w:rsidRPr="00570D99">
        <w:rPr>
          <w:rFonts w:cs="Times New Roman"/>
          <w:sz w:val="24"/>
          <w:szCs w:val="24"/>
          <w:lang w:val="de-DE"/>
        </w:rPr>
        <w:t xml:space="preserve"> </w:t>
      </w:r>
      <w:r w:rsidRPr="00570D99">
        <w:rPr>
          <w:rFonts w:cs="Times New Roman"/>
          <w:b/>
          <w:sz w:val="24"/>
          <w:szCs w:val="24"/>
          <w:lang w:val="de-DE"/>
        </w:rPr>
        <w:t>2000</w:t>
      </w:r>
      <w:r w:rsidRPr="00570D99">
        <w:rPr>
          <w:rFonts w:cs="Times New Roman"/>
          <w:sz w:val="24"/>
          <w:szCs w:val="24"/>
          <w:lang w:val="de-DE"/>
        </w:rPr>
        <w:t xml:space="preserve">, </w:t>
      </w:r>
      <w:r w:rsidRPr="00570D99">
        <w:rPr>
          <w:rFonts w:cs="Times New Roman"/>
          <w:i/>
          <w:sz w:val="24"/>
          <w:szCs w:val="24"/>
          <w:lang w:val="de-DE"/>
        </w:rPr>
        <w:t>55</w:t>
      </w:r>
      <w:r w:rsidRPr="00570D99">
        <w:rPr>
          <w:rFonts w:cs="Times New Roman"/>
          <w:sz w:val="24"/>
          <w:szCs w:val="24"/>
          <w:lang w:val="de-DE"/>
        </w:rPr>
        <w:t>, 141–168.</w:t>
      </w:r>
    </w:p>
    <w:p w:rsidR="00E53453" w:rsidRPr="0099134C" w:rsidRDefault="00E53453" w:rsidP="0099134C">
      <w:pPr>
        <w:spacing w:after="0" w:line="360" w:lineRule="auto"/>
        <w:jc w:val="both"/>
        <w:rPr>
          <w:rFonts w:cs="Times New Roman"/>
          <w:sz w:val="24"/>
          <w:szCs w:val="24"/>
          <w:lang w:val="de-DE"/>
        </w:rPr>
      </w:pPr>
      <w:r w:rsidRPr="00570D99">
        <w:rPr>
          <w:rFonts w:cs="Times New Roman"/>
          <w:sz w:val="24"/>
          <w:szCs w:val="24"/>
          <w:lang w:val="de-DE"/>
        </w:rPr>
        <w:t>21.</w:t>
      </w:r>
      <w:r w:rsidR="001F18E0">
        <w:rPr>
          <w:rFonts w:cs="Times New Roman"/>
          <w:sz w:val="24"/>
          <w:szCs w:val="24"/>
          <w:lang w:val="de-DE"/>
        </w:rPr>
        <w:t xml:space="preserve"> </w:t>
      </w:r>
      <w:r w:rsidRPr="00570D99">
        <w:rPr>
          <w:rFonts w:cs="Times New Roman"/>
          <w:sz w:val="24"/>
          <w:szCs w:val="24"/>
          <w:lang w:val="de-DE"/>
        </w:rPr>
        <w:t xml:space="preserve">A. Sala, M. Recio, R. M. Giner, S. Manez, H. Tournier, G. Schinella, J. L. Rios, </w:t>
      </w:r>
      <w:r w:rsidRPr="00570D99">
        <w:rPr>
          <w:rFonts w:cs="Times New Roman"/>
          <w:i/>
          <w:sz w:val="24"/>
          <w:szCs w:val="24"/>
          <w:lang w:val="de-DE"/>
        </w:rPr>
        <w:t xml:space="preserve">J. Pharm. Pharmacol. </w:t>
      </w:r>
      <w:r w:rsidRPr="00570D99">
        <w:rPr>
          <w:rFonts w:cs="Times New Roman"/>
          <w:b/>
          <w:sz w:val="24"/>
          <w:szCs w:val="24"/>
          <w:lang w:val="de-DE"/>
        </w:rPr>
        <w:t>2002</w:t>
      </w:r>
      <w:r w:rsidRPr="00570D99">
        <w:rPr>
          <w:rFonts w:cs="Times New Roman"/>
          <w:sz w:val="24"/>
          <w:szCs w:val="24"/>
          <w:lang w:val="de-DE"/>
        </w:rPr>
        <w:t xml:space="preserve">, </w:t>
      </w:r>
      <w:r w:rsidRPr="00570D99">
        <w:rPr>
          <w:rFonts w:cs="Times New Roman"/>
          <w:i/>
          <w:sz w:val="24"/>
          <w:szCs w:val="24"/>
          <w:lang w:val="de-DE"/>
        </w:rPr>
        <w:t>54</w:t>
      </w:r>
      <w:r w:rsidRPr="00570D99">
        <w:rPr>
          <w:rFonts w:cs="Times New Roman"/>
          <w:sz w:val="24"/>
          <w:szCs w:val="24"/>
          <w:lang w:val="de-DE"/>
        </w:rPr>
        <w:t>, 365–371.</w:t>
      </w:r>
    </w:p>
    <w:sectPr w:rsidR="00E53453" w:rsidRPr="0099134C" w:rsidSect="00A12AC6">
      <w:footerReference w:type="default" r:id="rId12"/>
      <w:pgSz w:w="11906" w:h="16838"/>
      <w:pgMar w:top="1417" w:right="1417" w:bottom="1417"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1FB" w:rsidRDefault="004731FB" w:rsidP="00AD35A9">
      <w:pPr>
        <w:spacing w:after="0" w:line="240" w:lineRule="auto"/>
      </w:pPr>
      <w:r>
        <w:separator/>
      </w:r>
    </w:p>
  </w:endnote>
  <w:endnote w:type="continuationSeparator" w:id="0">
    <w:p w:rsidR="004731FB" w:rsidRDefault="004731FB" w:rsidP="00AD3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6761"/>
      <w:docPartObj>
        <w:docPartGallery w:val="Page Numbers (Bottom of Page)"/>
        <w:docPartUnique/>
      </w:docPartObj>
    </w:sdtPr>
    <w:sdtContent>
      <w:p w:rsidR="00AD35A9" w:rsidRDefault="007C5D43">
        <w:pPr>
          <w:pStyle w:val="Podnoje"/>
          <w:jc w:val="right"/>
        </w:pPr>
        <w:fldSimple w:instr=" PAGE   \* MERGEFORMAT ">
          <w:r w:rsidR="006E58E8">
            <w:rPr>
              <w:noProof/>
            </w:rPr>
            <w:t>1</w:t>
          </w:r>
        </w:fldSimple>
      </w:p>
    </w:sdtContent>
  </w:sdt>
  <w:p w:rsidR="00AD35A9" w:rsidRDefault="00AD35A9">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1FB" w:rsidRDefault="004731FB" w:rsidP="00AD35A9">
      <w:pPr>
        <w:spacing w:after="0" w:line="240" w:lineRule="auto"/>
      </w:pPr>
      <w:r>
        <w:separator/>
      </w:r>
    </w:p>
  </w:footnote>
  <w:footnote w:type="continuationSeparator" w:id="0">
    <w:p w:rsidR="004731FB" w:rsidRDefault="004731FB" w:rsidP="00AD35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5FA1"/>
    <w:rsid w:val="0002523B"/>
    <w:rsid w:val="00122F5E"/>
    <w:rsid w:val="001F18E0"/>
    <w:rsid w:val="0039728C"/>
    <w:rsid w:val="004731FB"/>
    <w:rsid w:val="00570D99"/>
    <w:rsid w:val="006E58E8"/>
    <w:rsid w:val="00732FE2"/>
    <w:rsid w:val="00767A30"/>
    <w:rsid w:val="0077775A"/>
    <w:rsid w:val="007C5D43"/>
    <w:rsid w:val="008D1B56"/>
    <w:rsid w:val="0099134C"/>
    <w:rsid w:val="00A12AC6"/>
    <w:rsid w:val="00AD35A9"/>
    <w:rsid w:val="00B06D07"/>
    <w:rsid w:val="00B136A9"/>
    <w:rsid w:val="00B410BE"/>
    <w:rsid w:val="00C343C2"/>
    <w:rsid w:val="00C53B2A"/>
    <w:rsid w:val="00CE587D"/>
    <w:rsid w:val="00D01A1F"/>
    <w:rsid w:val="00D2251B"/>
    <w:rsid w:val="00D25FA1"/>
    <w:rsid w:val="00D262FD"/>
    <w:rsid w:val="00D33D0A"/>
    <w:rsid w:val="00E0142A"/>
    <w:rsid w:val="00E53453"/>
    <w:rsid w:val="00F75FDA"/>
    <w:rsid w:val="00F77B0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A9"/>
    <w:rPr>
      <w:rFonts w:ascii="Times New Roman" w:hAnsi="Times New Roman"/>
    </w:rPr>
  </w:style>
  <w:style w:type="paragraph" w:styleId="Naslov1">
    <w:name w:val="heading 1"/>
    <w:basedOn w:val="Normal"/>
    <w:next w:val="Normal"/>
    <w:link w:val="Naslov1Char"/>
    <w:uiPriority w:val="9"/>
    <w:qFormat/>
    <w:rsid w:val="00D25F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Paragraph"/>
    <w:link w:val="Naslov2Char"/>
    <w:qFormat/>
    <w:rsid w:val="00D25FA1"/>
    <w:pPr>
      <w:keepNext/>
      <w:spacing w:before="360" w:after="60" w:line="360" w:lineRule="auto"/>
      <w:ind w:right="567"/>
      <w:contextualSpacing/>
      <w:outlineLvl w:val="1"/>
    </w:pPr>
    <w:rPr>
      <w:rFonts w:eastAsia="Times New Roman" w:cs="Arial"/>
      <w:b/>
      <w:bCs/>
      <w:i/>
      <w:iCs/>
      <w:sz w:val="24"/>
      <w:szCs w:val="28"/>
      <w:lang w:val="en-GB" w:eastAsia="en-GB"/>
    </w:rPr>
  </w:style>
  <w:style w:type="paragraph" w:styleId="Naslov3">
    <w:name w:val="heading 3"/>
    <w:basedOn w:val="Normal"/>
    <w:next w:val="Paragraph"/>
    <w:link w:val="Naslov3Char"/>
    <w:qFormat/>
    <w:rsid w:val="00D25FA1"/>
    <w:pPr>
      <w:keepNext/>
      <w:spacing w:before="360" w:after="60" w:line="360" w:lineRule="auto"/>
      <w:ind w:right="567"/>
      <w:contextualSpacing/>
      <w:outlineLvl w:val="2"/>
    </w:pPr>
    <w:rPr>
      <w:rFonts w:eastAsia="Times New Roman" w:cs="Arial"/>
      <w:bCs/>
      <w:i/>
      <w:sz w:val="24"/>
      <w:szCs w:val="26"/>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Helv-Authors">
    <w:name w:val="Helv-Authors"/>
    <w:basedOn w:val="Normal"/>
    <w:qFormat/>
    <w:rsid w:val="00D25FA1"/>
    <w:pPr>
      <w:spacing w:before="120" w:after="120" w:line="360" w:lineRule="auto"/>
      <w:jc w:val="center"/>
    </w:pPr>
    <w:rPr>
      <w:rFonts w:ascii="Myriad Pro" w:eastAsia="MS Mincho" w:hAnsi="Myriad Pro" w:cs="Times New Roman"/>
      <w:szCs w:val="24"/>
      <w:lang w:val="en-US" w:eastAsia="ja-JP"/>
    </w:rPr>
  </w:style>
  <w:style w:type="paragraph" w:customStyle="1" w:styleId="Helv-Adress">
    <w:name w:val="Helv-Adress"/>
    <w:basedOn w:val="Normal"/>
    <w:qFormat/>
    <w:rsid w:val="00D25FA1"/>
    <w:pPr>
      <w:spacing w:after="0" w:line="360" w:lineRule="auto"/>
      <w:jc w:val="center"/>
    </w:pPr>
    <w:rPr>
      <w:rFonts w:ascii="Myriad Pro" w:eastAsia="MS Mincho" w:hAnsi="Myriad Pro" w:cs="Times New Roman"/>
      <w:sz w:val="16"/>
      <w:szCs w:val="20"/>
      <w:lang w:val="en-US" w:eastAsia="ja-JP"/>
    </w:rPr>
  </w:style>
  <w:style w:type="paragraph" w:customStyle="1" w:styleId="Helv-Manuscripttitle">
    <w:name w:val="Helv-Manuscripttitle"/>
    <w:next w:val="Normal"/>
    <w:qFormat/>
    <w:rsid w:val="00D25FA1"/>
    <w:pPr>
      <w:widowControl w:val="0"/>
      <w:spacing w:before="120" w:after="120" w:line="360" w:lineRule="auto"/>
      <w:jc w:val="center"/>
    </w:pPr>
    <w:rPr>
      <w:rFonts w:ascii="Myriad Pro" w:eastAsia="Times New Roman" w:hAnsi="Myriad Pro" w:cs="Times New Roman"/>
      <w:b/>
      <w:bCs/>
      <w:sz w:val="30"/>
      <w:szCs w:val="20"/>
      <w:lang w:val="en-US" w:eastAsia="ja-JP"/>
    </w:rPr>
  </w:style>
  <w:style w:type="paragraph" w:customStyle="1" w:styleId="Helv-Abstract">
    <w:name w:val="Helv-Abstract"/>
    <w:basedOn w:val="Normal"/>
    <w:qFormat/>
    <w:rsid w:val="00D25FA1"/>
    <w:pPr>
      <w:spacing w:before="120" w:after="120" w:line="360" w:lineRule="auto"/>
      <w:jc w:val="both"/>
    </w:pPr>
    <w:rPr>
      <w:rFonts w:ascii="Myriad Pro" w:eastAsia="MS Mincho" w:hAnsi="Myriad Pro" w:cs="Times New Roman"/>
      <w:sz w:val="16"/>
      <w:szCs w:val="20"/>
      <w:lang w:val="en-US" w:eastAsia="ja-JP"/>
    </w:rPr>
  </w:style>
  <w:style w:type="character" w:customStyle="1" w:styleId="Naslov2Char">
    <w:name w:val="Naslov 2 Char"/>
    <w:basedOn w:val="Zadanifontodlomka"/>
    <w:link w:val="Naslov2"/>
    <w:rsid w:val="00D25FA1"/>
    <w:rPr>
      <w:rFonts w:ascii="Times New Roman" w:eastAsia="Times New Roman" w:hAnsi="Times New Roman" w:cs="Arial"/>
      <w:b/>
      <w:bCs/>
      <w:i/>
      <w:iCs/>
      <w:sz w:val="24"/>
      <w:szCs w:val="28"/>
      <w:lang w:val="en-GB" w:eastAsia="en-GB"/>
    </w:rPr>
  </w:style>
  <w:style w:type="character" w:customStyle="1" w:styleId="Naslov3Char">
    <w:name w:val="Naslov 3 Char"/>
    <w:basedOn w:val="Zadanifontodlomka"/>
    <w:link w:val="Naslov3"/>
    <w:rsid w:val="00D25FA1"/>
    <w:rPr>
      <w:rFonts w:ascii="Times New Roman" w:eastAsia="Times New Roman" w:hAnsi="Times New Roman" w:cs="Arial"/>
      <w:bCs/>
      <w:i/>
      <w:sz w:val="24"/>
      <w:szCs w:val="26"/>
      <w:lang w:val="en-GB" w:eastAsia="en-GB"/>
    </w:rPr>
  </w:style>
  <w:style w:type="paragraph" w:customStyle="1" w:styleId="Paragraph">
    <w:name w:val="Paragraph"/>
    <w:basedOn w:val="Normal"/>
    <w:next w:val="Newparagraph"/>
    <w:qFormat/>
    <w:rsid w:val="00D25FA1"/>
    <w:pPr>
      <w:widowControl w:val="0"/>
      <w:spacing w:before="240" w:after="0" w:line="480" w:lineRule="auto"/>
    </w:pPr>
    <w:rPr>
      <w:rFonts w:eastAsia="Times New Roman" w:cs="Times New Roman"/>
      <w:sz w:val="24"/>
      <w:szCs w:val="24"/>
      <w:lang w:val="en-GB" w:eastAsia="en-GB"/>
    </w:rPr>
  </w:style>
  <w:style w:type="paragraph" w:customStyle="1" w:styleId="Newparagraph">
    <w:name w:val="New paragraph"/>
    <w:basedOn w:val="Normal"/>
    <w:qFormat/>
    <w:rsid w:val="00D25FA1"/>
    <w:pPr>
      <w:spacing w:after="0" w:line="480" w:lineRule="auto"/>
      <w:ind w:firstLine="720"/>
    </w:pPr>
    <w:rPr>
      <w:rFonts w:eastAsia="Times New Roman" w:cs="Times New Roman"/>
      <w:sz w:val="24"/>
      <w:szCs w:val="24"/>
      <w:lang w:val="en-GB" w:eastAsia="en-GB"/>
    </w:rPr>
  </w:style>
  <w:style w:type="character" w:styleId="Hiperveza">
    <w:name w:val="Hyperlink"/>
    <w:basedOn w:val="Zadanifontodlomka"/>
    <w:rsid w:val="00D25FA1"/>
    <w:rPr>
      <w:color w:val="0000FF" w:themeColor="hyperlink"/>
      <w:u w:val="single"/>
    </w:rPr>
  </w:style>
  <w:style w:type="character" w:customStyle="1" w:styleId="Naslov1Char">
    <w:name w:val="Naslov 1 Char"/>
    <w:basedOn w:val="Zadanifontodlomka"/>
    <w:link w:val="Naslov1"/>
    <w:uiPriority w:val="9"/>
    <w:rsid w:val="00D25FA1"/>
    <w:rPr>
      <w:rFonts w:asciiTheme="majorHAnsi" w:eastAsiaTheme="majorEastAsia" w:hAnsiTheme="majorHAnsi" w:cstheme="majorBidi"/>
      <w:b/>
      <w:bCs/>
      <w:color w:val="365F91" w:themeColor="accent1" w:themeShade="BF"/>
      <w:sz w:val="28"/>
      <w:szCs w:val="28"/>
    </w:rPr>
  </w:style>
  <w:style w:type="paragraph" w:customStyle="1" w:styleId="Helv-BodyText">
    <w:name w:val="Helv-BodyText"/>
    <w:basedOn w:val="Normal"/>
    <w:qFormat/>
    <w:rsid w:val="00D25FA1"/>
    <w:pPr>
      <w:spacing w:after="0" w:line="360" w:lineRule="auto"/>
    </w:pPr>
    <w:rPr>
      <w:rFonts w:ascii="Myriad Pro" w:eastAsia="MS Mincho" w:hAnsi="Myriad Pro" w:cs="Times New Roman"/>
      <w:sz w:val="16"/>
      <w:szCs w:val="24"/>
      <w:lang w:val="en-US" w:eastAsia="ja-JP"/>
    </w:rPr>
  </w:style>
  <w:style w:type="table" w:customStyle="1" w:styleId="Svijetlosjenanje1">
    <w:name w:val="Svijetlo sjenčanje1"/>
    <w:basedOn w:val="Obinatablica"/>
    <w:uiPriority w:val="60"/>
    <w:rsid w:val="00C343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rojretka">
    <w:name w:val="line number"/>
    <w:basedOn w:val="Zadanifontodlomka"/>
    <w:uiPriority w:val="99"/>
    <w:semiHidden/>
    <w:unhideWhenUsed/>
    <w:rsid w:val="00A12AC6"/>
  </w:style>
  <w:style w:type="paragraph" w:styleId="Zaglavlje">
    <w:name w:val="header"/>
    <w:basedOn w:val="Normal"/>
    <w:link w:val="ZaglavljeChar"/>
    <w:uiPriority w:val="99"/>
    <w:semiHidden/>
    <w:unhideWhenUsed/>
    <w:rsid w:val="00AD35A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D35A9"/>
    <w:rPr>
      <w:rFonts w:ascii="Times New Roman" w:hAnsi="Times New Roman"/>
    </w:rPr>
  </w:style>
  <w:style w:type="paragraph" w:styleId="Podnoje">
    <w:name w:val="footer"/>
    <w:basedOn w:val="Normal"/>
    <w:link w:val="PodnojeChar"/>
    <w:uiPriority w:val="99"/>
    <w:unhideWhenUsed/>
    <w:rsid w:val="00AD35A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35A9"/>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ntial-oils.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ijana.odak@fpmoz.sum.b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ebbook.nist.gov/chemistry/"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7C5A-00E1-4C63-AF3C-C56C7DCB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2535</Words>
  <Characters>14451</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12</cp:revision>
  <cp:lastPrinted>2019-03-12T14:04:00Z</cp:lastPrinted>
  <dcterms:created xsi:type="dcterms:W3CDTF">2019-02-27T11:35:00Z</dcterms:created>
  <dcterms:modified xsi:type="dcterms:W3CDTF">2019-03-12T14:04:00Z</dcterms:modified>
</cp:coreProperties>
</file>