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653" w:rsidRPr="005F0653" w:rsidRDefault="005F0653" w:rsidP="004B0256">
      <w:pPr>
        <w:shd w:val="clear" w:color="auto" w:fill="FFFFFF" w:themeFill="background1"/>
        <w:tabs>
          <w:tab w:val="center" w:pos="4416"/>
        </w:tabs>
        <w:spacing w:after="0" w:line="360" w:lineRule="auto"/>
        <w:ind w:right="240"/>
        <w:outlineLvl w:val="4"/>
        <w:rPr>
          <w:rFonts w:ascii="Times New Roman" w:eastAsia="Times New Roman" w:hAnsi="Times New Roman" w:cs="Times New Roman"/>
          <w:b/>
          <w:bCs/>
          <w:caps/>
          <w:color w:val="111111"/>
          <w:sz w:val="27"/>
          <w:szCs w:val="27"/>
          <w:lang w:val="en-US" w:eastAsia="fr-FR"/>
        </w:rPr>
      </w:pPr>
      <w:r w:rsidRPr="005F0653">
        <w:rPr>
          <w:rFonts w:ascii="Times New Roman" w:eastAsia="Times New Roman" w:hAnsi="Times New Roman" w:cs="Times New Roman"/>
          <w:b/>
          <w:bCs/>
          <w:caps/>
          <w:color w:val="111111"/>
          <w:sz w:val="27"/>
          <w:szCs w:val="27"/>
          <w:lang w:val="en-US" w:eastAsia="fr-FR"/>
        </w:rPr>
        <w:t>STATEMENT OF NOVELTY</w:t>
      </w:r>
      <w:r w:rsidR="004B0256">
        <w:rPr>
          <w:rFonts w:ascii="Times New Roman" w:eastAsia="Times New Roman" w:hAnsi="Times New Roman" w:cs="Times New Roman"/>
          <w:b/>
          <w:bCs/>
          <w:caps/>
          <w:color w:val="111111"/>
          <w:sz w:val="27"/>
          <w:szCs w:val="27"/>
          <w:lang w:val="en-US" w:eastAsia="fr-FR"/>
        </w:rPr>
        <w:tab/>
      </w:r>
    </w:p>
    <w:p w:rsidR="004B0256" w:rsidRDefault="005F0653" w:rsidP="004E2CA4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5F0653">
        <w:rPr>
          <w:rFonts w:asciiTheme="majorBidi" w:hAnsiTheme="majorBidi" w:cstheme="majorBidi"/>
          <w:sz w:val="24"/>
          <w:szCs w:val="24"/>
          <w:lang w:val="en-US"/>
        </w:rPr>
        <w:t xml:space="preserve">In this study, X-ray diffraction and theoretical calculations structure determination of a novel </w:t>
      </w:r>
      <w:proofErr w:type="spellStart"/>
      <w:r w:rsidRPr="005F0653">
        <w:rPr>
          <w:rFonts w:asciiTheme="majorBidi" w:hAnsiTheme="majorBidi" w:cstheme="majorBidi"/>
          <w:sz w:val="24"/>
          <w:szCs w:val="24"/>
          <w:lang w:val="en-US"/>
        </w:rPr>
        <w:t>thiazolidinone</w:t>
      </w:r>
      <w:proofErr w:type="spellEnd"/>
      <w:r w:rsidRPr="005F0653">
        <w:rPr>
          <w:rFonts w:asciiTheme="majorBidi" w:hAnsiTheme="majorBidi" w:cstheme="majorBidi"/>
          <w:sz w:val="24"/>
          <w:szCs w:val="24"/>
          <w:lang w:val="en-US"/>
        </w:rPr>
        <w:t xml:space="preserve"> derivative are performed. </w:t>
      </w:r>
      <w:r w:rsidR="00D142DF">
        <w:rPr>
          <w:rFonts w:asciiTheme="majorBidi" w:hAnsiTheme="majorBidi" w:cstheme="majorBidi"/>
          <w:sz w:val="24"/>
          <w:szCs w:val="24"/>
          <w:lang w:val="en-US"/>
        </w:rPr>
        <w:t>The obtained structure was</w:t>
      </w:r>
      <w:r w:rsidR="004B0256">
        <w:rPr>
          <w:rFonts w:asciiTheme="majorBidi" w:hAnsiTheme="majorBidi" w:cstheme="majorBidi"/>
          <w:sz w:val="24"/>
          <w:szCs w:val="24"/>
          <w:lang w:val="en-US"/>
        </w:rPr>
        <w:t xml:space="preserve"> confirmed by </w:t>
      </w:r>
      <w:r w:rsidR="004B0256" w:rsidRPr="004742C6">
        <w:rPr>
          <w:rFonts w:asciiTheme="majorBidi" w:hAnsiTheme="majorBidi" w:cstheme="majorBidi"/>
          <w:sz w:val="24"/>
          <w:szCs w:val="24"/>
          <w:lang w:val="en-US"/>
        </w:rPr>
        <w:t>IR</w:t>
      </w:r>
      <w:r w:rsidR="004B0256">
        <w:rPr>
          <w:rFonts w:asciiTheme="majorBidi" w:hAnsiTheme="majorBidi" w:cstheme="majorBidi"/>
          <w:sz w:val="24"/>
          <w:szCs w:val="24"/>
          <w:lang w:val="en-US"/>
        </w:rPr>
        <w:t xml:space="preserve"> and </w:t>
      </w:r>
      <w:r w:rsidR="004B0256" w:rsidRPr="004742C6">
        <w:rPr>
          <w:rFonts w:asciiTheme="majorBidi" w:hAnsiTheme="majorBidi" w:cstheme="majorBidi"/>
          <w:sz w:val="24"/>
          <w:szCs w:val="24"/>
          <w:vertAlign w:val="superscript"/>
          <w:lang w:val="en-US"/>
        </w:rPr>
        <w:t>1</w:t>
      </w:r>
      <w:r w:rsidR="004B0256" w:rsidRPr="004742C6">
        <w:rPr>
          <w:rFonts w:asciiTheme="majorBidi" w:hAnsiTheme="majorBidi" w:cstheme="majorBidi"/>
          <w:sz w:val="24"/>
          <w:szCs w:val="24"/>
          <w:lang w:val="en-US"/>
        </w:rPr>
        <w:t>H</w:t>
      </w:r>
      <w:r w:rsidR="004B0256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r w:rsidR="004B0256" w:rsidRPr="004742C6">
        <w:rPr>
          <w:rFonts w:asciiTheme="majorBidi" w:hAnsiTheme="majorBidi" w:cstheme="majorBidi"/>
          <w:sz w:val="24"/>
          <w:szCs w:val="24"/>
          <w:vertAlign w:val="superscript"/>
          <w:lang w:val="en-US"/>
        </w:rPr>
        <w:t>13</w:t>
      </w:r>
      <w:r w:rsidR="004B0256">
        <w:rPr>
          <w:rFonts w:asciiTheme="majorBidi" w:hAnsiTheme="majorBidi" w:cstheme="majorBidi"/>
          <w:sz w:val="24"/>
          <w:szCs w:val="24"/>
          <w:lang w:val="en-US"/>
        </w:rPr>
        <w:t>C</w:t>
      </w:r>
      <w:r w:rsidR="004B0256" w:rsidRPr="004742C6">
        <w:rPr>
          <w:rFonts w:asciiTheme="majorBidi" w:hAnsiTheme="majorBidi" w:cstheme="majorBidi"/>
          <w:sz w:val="24"/>
          <w:szCs w:val="24"/>
          <w:lang w:val="en-US"/>
        </w:rPr>
        <w:t>NMR</w:t>
      </w:r>
      <w:r w:rsidR="004B025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4E2CA4">
        <w:rPr>
          <w:rFonts w:asciiTheme="majorBidi" w:hAnsiTheme="majorBidi" w:cstheme="majorBidi"/>
          <w:sz w:val="24"/>
          <w:szCs w:val="24"/>
          <w:lang w:val="en-US"/>
        </w:rPr>
        <w:t xml:space="preserve">spectroscopy characterization and </w:t>
      </w:r>
      <w:r w:rsidR="00D142DF">
        <w:rPr>
          <w:rFonts w:asciiTheme="majorBidi" w:hAnsiTheme="majorBidi" w:cstheme="majorBidi"/>
          <w:sz w:val="24"/>
          <w:szCs w:val="24"/>
          <w:lang w:val="en-US"/>
        </w:rPr>
        <w:t xml:space="preserve">validated via </w:t>
      </w:r>
      <w:proofErr w:type="spellStart"/>
      <w:r w:rsidR="00D142DF">
        <w:rPr>
          <w:rFonts w:asciiTheme="majorBidi" w:hAnsiTheme="majorBidi" w:cstheme="majorBidi"/>
          <w:sz w:val="24"/>
          <w:szCs w:val="24"/>
          <w:lang w:val="en-US"/>
        </w:rPr>
        <w:t>IUCr</w:t>
      </w:r>
      <w:proofErr w:type="spellEnd"/>
      <w:r w:rsidR="00D142DF">
        <w:rPr>
          <w:rFonts w:asciiTheme="majorBidi" w:hAnsiTheme="majorBidi" w:cstheme="majorBidi"/>
          <w:sz w:val="24"/>
          <w:szCs w:val="24"/>
          <w:lang w:val="en-US"/>
        </w:rPr>
        <w:t xml:space="preserve"> web site and deposited</w:t>
      </w:r>
      <w:r w:rsidR="00D142DF" w:rsidRPr="00D142DF">
        <w:rPr>
          <w:rFonts w:asciiTheme="majorBidi" w:hAnsiTheme="majorBidi" w:cstheme="majorBidi"/>
          <w:sz w:val="24"/>
          <w:szCs w:val="24"/>
          <w:lang w:val="en-US"/>
        </w:rPr>
        <w:t xml:space="preserve"> with Cambridge Crystallographic Data Center, </w:t>
      </w:r>
      <w:r w:rsidR="00D142DF">
        <w:rPr>
          <w:rFonts w:asciiTheme="majorBidi" w:hAnsiTheme="majorBidi" w:cstheme="majorBidi"/>
          <w:sz w:val="24"/>
          <w:szCs w:val="24"/>
          <w:lang w:val="en-US"/>
        </w:rPr>
        <w:t xml:space="preserve">with number </w:t>
      </w:r>
      <w:r w:rsidR="00D142DF" w:rsidRPr="00D142DF">
        <w:rPr>
          <w:rFonts w:asciiTheme="majorBidi" w:hAnsiTheme="majorBidi" w:cstheme="majorBidi"/>
          <w:sz w:val="24"/>
          <w:szCs w:val="24"/>
          <w:lang w:val="en-US"/>
        </w:rPr>
        <w:t xml:space="preserve">CCDC </w:t>
      </w:r>
      <w:r w:rsidR="004B0256" w:rsidRPr="00103006">
        <w:rPr>
          <w:rFonts w:asciiTheme="majorBidi" w:hAnsiTheme="majorBidi" w:cstheme="majorBidi"/>
          <w:sz w:val="24"/>
          <w:szCs w:val="24"/>
          <w:lang w:val="en-US"/>
        </w:rPr>
        <w:t>1871013</w:t>
      </w:r>
      <w:r w:rsidR="00D142DF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r w:rsidRPr="005F0653">
        <w:rPr>
          <w:rFonts w:asciiTheme="majorBidi" w:hAnsiTheme="majorBidi" w:cstheme="majorBidi"/>
          <w:sz w:val="24"/>
          <w:szCs w:val="24"/>
          <w:lang w:val="en-US"/>
        </w:rPr>
        <w:t>Intra- and intermolecular interactions were identified</w:t>
      </w:r>
      <w:r w:rsidR="004B0256">
        <w:rPr>
          <w:rFonts w:asciiTheme="majorBidi" w:hAnsiTheme="majorBidi" w:cstheme="majorBidi"/>
          <w:sz w:val="24"/>
          <w:szCs w:val="24"/>
          <w:lang w:val="en-US"/>
        </w:rPr>
        <w:t>.</w:t>
      </w:r>
      <w:r w:rsidRPr="005F065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4B0256">
        <w:rPr>
          <w:rFonts w:asciiTheme="majorBidi" w:hAnsiTheme="majorBidi" w:cstheme="majorBidi"/>
          <w:sz w:val="24"/>
          <w:szCs w:val="24"/>
          <w:lang w:val="en-US"/>
        </w:rPr>
        <w:t xml:space="preserve">The HOMO-LUMO gap, </w:t>
      </w:r>
      <w:r w:rsidR="004B0256" w:rsidRPr="004742C6">
        <w:rPr>
          <w:rFonts w:asciiTheme="majorBidi" w:hAnsiTheme="majorBidi" w:cstheme="majorBidi"/>
          <w:sz w:val="24"/>
          <w:szCs w:val="24"/>
          <w:lang w:val="en-US"/>
        </w:rPr>
        <w:t>chemical reactivity descriptors</w:t>
      </w:r>
      <w:r w:rsidR="004B0256">
        <w:rPr>
          <w:rFonts w:asciiTheme="majorBidi" w:hAnsiTheme="majorBidi" w:cstheme="majorBidi"/>
          <w:sz w:val="24"/>
          <w:szCs w:val="24"/>
          <w:lang w:val="en-US"/>
        </w:rPr>
        <w:t>, molecular</w:t>
      </w:r>
      <w:r w:rsidR="004B0256" w:rsidRPr="004742C6">
        <w:rPr>
          <w:rFonts w:asciiTheme="majorBidi" w:hAnsiTheme="majorBidi" w:cstheme="majorBidi"/>
          <w:sz w:val="24"/>
          <w:szCs w:val="24"/>
          <w:lang w:val="en-US"/>
        </w:rPr>
        <w:t xml:space="preserve"> electrostatic potential</w:t>
      </w:r>
      <w:r w:rsidR="004B0256">
        <w:rPr>
          <w:rFonts w:asciiTheme="majorBidi" w:hAnsiTheme="majorBidi" w:cstheme="majorBidi"/>
          <w:sz w:val="24"/>
          <w:szCs w:val="24"/>
          <w:lang w:val="en-US"/>
        </w:rPr>
        <w:t xml:space="preserve"> and </w:t>
      </w:r>
      <w:r w:rsidR="004B0256" w:rsidRPr="004742C6">
        <w:rPr>
          <w:rFonts w:asciiTheme="majorBidi" w:hAnsiTheme="majorBidi" w:cstheme="majorBidi"/>
          <w:sz w:val="24"/>
          <w:szCs w:val="24"/>
          <w:lang w:val="en-US"/>
        </w:rPr>
        <w:t>dipolar moment</w:t>
      </w:r>
      <w:r w:rsidR="004B0256">
        <w:rPr>
          <w:rFonts w:asciiTheme="majorBidi" w:hAnsiTheme="majorBidi" w:cstheme="majorBidi"/>
          <w:sz w:val="24"/>
          <w:szCs w:val="24"/>
          <w:lang w:val="en-US"/>
        </w:rPr>
        <w:t xml:space="preserve"> of the title compound were evaluated.</w:t>
      </w:r>
    </w:p>
    <w:p w:rsidR="005F0653" w:rsidRPr="005F0653" w:rsidRDefault="005F0653" w:rsidP="005F0653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sectPr w:rsidR="005F0653" w:rsidRPr="005F0653" w:rsidSect="001A12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5F0653"/>
    <w:rsid w:val="001A12E2"/>
    <w:rsid w:val="004B0256"/>
    <w:rsid w:val="004E2CA4"/>
    <w:rsid w:val="005F0653"/>
    <w:rsid w:val="00D142DF"/>
    <w:rsid w:val="00F52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12E2"/>
  </w:style>
  <w:style w:type="paragraph" w:styleId="Titre5">
    <w:name w:val="heading 5"/>
    <w:basedOn w:val="Normal"/>
    <w:link w:val="Titre5Car"/>
    <w:uiPriority w:val="9"/>
    <w:qFormat/>
    <w:rsid w:val="005F065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uiPriority w:val="9"/>
    <w:rsid w:val="005F0653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474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86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PC</cp:lastModifiedBy>
  <cp:revision>3</cp:revision>
  <dcterms:created xsi:type="dcterms:W3CDTF">2016-02-10T22:36:00Z</dcterms:created>
  <dcterms:modified xsi:type="dcterms:W3CDTF">2019-02-06T15:31:00Z</dcterms:modified>
</cp:coreProperties>
</file>