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EEE" w:rsidRPr="00FB2A56" w:rsidRDefault="00C90EEE" w:rsidP="00DA780F">
      <w:pPr>
        <w:spacing w:line="360" w:lineRule="auto"/>
        <w:jc w:val="center"/>
        <w:rPr>
          <w:rFonts w:ascii="Times New Roman" w:hAnsi="Times New Roman" w:cs="Times New Roman"/>
          <w:b/>
          <w:sz w:val="36"/>
          <w:szCs w:val="32"/>
        </w:rPr>
      </w:pPr>
      <w:proofErr w:type="spellStart"/>
      <w:r w:rsidRPr="00FB2A56">
        <w:rPr>
          <w:rFonts w:ascii="Times New Roman" w:hAnsi="Times New Roman" w:cs="Times New Roman"/>
          <w:b/>
          <w:sz w:val="36"/>
          <w:szCs w:val="32"/>
        </w:rPr>
        <w:t>Preparation</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of</w:t>
      </w:r>
      <w:proofErr w:type="spellEnd"/>
      <w:r w:rsidRPr="00FB2A56">
        <w:rPr>
          <w:rFonts w:ascii="Times New Roman" w:hAnsi="Times New Roman" w:cs="Times New Roman"/>
          <w:b/>
          <w:sz w:val="36"/>
          <w:szCs w:val="32"/>
        </w:rPr>
        <w:t xml:space="preserve"> </w:t>
      </w:r>
      <w:proofErr w:type="gramStart"/>
      <w:r w:rsidRPr="00FB2A56">
        <w:rPr>
          <w:rFonts w:ascii="Times New Roman" w:hAnsi="Times New Roman" w:cs="Times New Roman"/>
          <w:b/>
          <w:sz w:val="36"/>
          <w:szCs w:val="32"/>
        </w:rPr>
        <w:t>magnetite</w:t>
      </w:r>
      <w:proofErr w:type="gramEnd"/>
      <w:r w:rsidRPr="00FB2A56">
        <w:rPr>
          <w:rFonts w:ascii="Times New Roman" w:hAnsi="Times New Roman" w:cs="Times New Roman"/>
          <w:b/>
          <w:sz w:val="36"/>
          <w:szCs w:val="32"/>
        </w:rPr>
        <w:t xml:space="preserve"> by </w:t>
      </w:r>
      <w:proofErr w:type="spellStart"/>
      <w:r w:rsidRPr="00FB2A56">
        <w:rPr>
          <w:rFonts w:ascii="Times New Roman" w:hAnsi="Times New Roman" w:cs="Times New Roman"/>
          <w:b/>
          <w:sz w:val="36"/>
          <w:szCs w:val="32"/>
        </w:rPr>
        <w:t>thermally</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induced</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decomposition</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of</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ferrous</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oxalate</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dihydrate</w:t>
      </w:r>
      <w:proofErr w:type="spellEnd"/>
      <w:r w:rsidRPr="00FB2A56">
        <w:rPr>
          <w:rFonts w:ascii="Times New Roman" w:hAnsi="Times New Roman" w:cs="Times New Roman"/>
          <w:b/>
          <w:sz w:val="36"/>
          <w:szCs w:val="32"/>
        </w:rPr>
        <w:t xml:space="preserve"> in </w:t>
      </w:r>
      <w:proofErr w:type="spellStart"/>
      <w:r w:rsidRPr="00FB2A56">
        <w:rPr>
          <w:rFonts w:ascii="Times New Roman" w:hAnsi="Times New Roman" w:cs="Times New Roman"/>
          <w:b/>
          <w:sz w:val="36"/>
          <w:szCs w:val="32"/>
        </w:rPr>
        <w:t>the</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combined</w:t>
      </w:r>
      <w:proofErr w:type="spellEnd"/>
      <w:r w:rsidRPr="00FB2A56">
        <w:rPr>
          <w:rFonts w:ascii="Times New Roman" w:hAnsi="Times New Roman" w:cs="Times New Roman"/>
          <w:b/>
          <w:sz w:val="36"/>
          <w:szCs w:val="32"/>
        </w:rPr>
        <w:t xml:space="preserve"> </w:t>
      </w:r>
      <w:proofErr w:type="spellStart"/>
      <w:r w:rsidRPr="00FB2A56">
        <w:rPr>
          <w:rFonts w:ascii="Times New Roman" w:hAnsi="Times New Roman" w:cs="Times New Roman"/>
          <w:b/>
          <w:sz w:val="36"/>
          <w:szCs w:val="32"/>
        </w:rPr>
        <w:t>atmosphere</w:t>
      </w:r>
      <w:proofErr w:type="spellEnd"/>
      <w:r w:rsidRPr="00FB2A56">
        <w:rPr>
          <w:rFonts w:ascii="Times New Roman" w:hAnsi="Times New Roman" w:cs="Times New Roman"/>
          <w:b/>
          <w:sz w:val="36"/>
          <w:szCs w:val="32"/>
        </w:rPr>
        <w:t>.</w:t>
      </w:r>
    </w:p>
    <w:p w:rsidR="00C90EEE" w:rsidRPr="00FB2A56" w:rsidRDefault="00C90EEE" w:rsidP="00DA780F">
      <w:pPr>
        <w:spacing w:line="360" w:lineRule="auto"/>
        <w:jc w:val="center"/>
        <w:rPr>
          <w:rFonts w:ascii="Times New Roman" w:hAnsi="Times New Roman" w:cs="Times New Roman"/>
          <w:b/>
          <w:sz w:val="32"/>
          <w:szCs w:val="32"/>
          <w:vertAlign w:val="superscript"/>
        </w:rPr>
      </w:pPr>
      <w:r w:rsidRPr="00FB2A56">
        <w:rPr>
          <w:rFonts w:ascii="Times New Roman" w:hAnsi="Times New Roman" w:cs="Times New Roman"/>
          <w:b/>
          <w:sz w:val="32"/>
          <w:szCs w:val="32"/>
        </w:rPr>
        <w:t>Josef Kopp</w:t>
      </w:r>
      <w:r w:rsidRPr="00FB2A56">
        <w:rPr>
          <w:rFonts w:ascii="Times New Roman" w:hAnsi="Times New Roman" w:cs="Times New Roman"/>
          <w:b/>
          <w:sz w:val="32"/>
          <w:szCs w:val="32"/>
          <w:vertAlign w:val="superscript"/>
        </w:rPr>
        <w:t>1</w:t>
      </w:r>
      <w:r w:rsidRPr="00FB2A56">
        <w:rPr>
          <w:rFonts w:ascii="Times New Roman" w:hAnsi="Times New Roman" w:cs="Times New Roman"/>
          <w:b/>
          <w:sz w:val="32"/>
          <w:szCs w:val="32"/>
        </w:rPr>
        <w:t>, Petr Novak</w:t>
      </w:r>
      <w:r w:rsidRPr="00FB2A56">
        <w:rPr>
          <w:rFonts w:ascii="Times New Roman" w:hAnsi="Times New Roman" w:cs="Times New Roman"/>
          <w:b/>
          <w:sz w:val="32"/>
          <w:szCs w:val="32"/>
          <w:vertAlign w:val="superscript"/>
        </w:rPr>
        <w:t>1†</w:t>
      </w:r>
      <w:r w:rsidRPr="00FB2A56">
        <w:rPr>
          <w:rFonts w:ascii="Times New Roman" w:hAnsi="Times New Roman" w:cs="Times New Roman"/>
          <w:b/>
          <w:sz w:val="32"/>
          <w:szCs w:val="32"/>
        </w:rPr>
        <w:t>, Josef Kaslik</w:t>
      </w:r>
      <w:r w:rsidRPr="00FB2A56">
        <w:rPr>
          <w:rFonts w:ascii="Times New Roman" w:hAnsi="Times New Roman" w:cs="Times New Roman"/>
          <w:b/>
          <w:sz w:val="32"/>
          <w:szCs w:val="32"/>
          <w:vertAlign w:val="superscript"/>
        </w:rPr>
        <w:t>2</w:t>
      </w:r>
      <w:r w:rsidRPr="00FB2A56">
        <w:rPr>
          <w:rFonts w:ascii="Times New Roman" w:hAnsi="Times New Roman" w:cs="Times New Roman"/>
          <w:b/>
          <w:sz w:val="32"/>
          <w:szCs w:val="32"/>
        </w:rPr>
        <w:t xml:space="preserve">, and </w:t>
      </w:r>
      <w:proofErr w:type="spellStart"/>
      <w:r w:rsidRPr="00FB2A56">
        <w:rPr>
          <w:rFonts w:ascii="Times New Roman" w:hAnsi="Times New Roman" w:cs="Times New Roman"/>
          <w:b/>
          <w:sz w:val="32"/>
          <w:szCs w:val="32"/>
        </w:rPr>
        <w:t>Jiri</w:t>
      </w:r>
      <w:proofErr w:type="spellEnd"/>
      <w:r w:rsidRPr="00FB2A56">
        <w:rPr>
          <w:rFonts w:ascii="Times New Roman" w:hAnsi="Times New Roman" w:cs="Times New Roman"/>
          <w:b/>
          <w:sz w:val="32"/>
          <w:szCs w:val="32"/>
        </w:rPr>
        <w:t xml:space="preserve"> Pechousek</w:t>
      </w:r>
      <w:r w:rsidRPr="00FB2A56">
        <w:rPr>
          <w:rFonts w:ascii="Times New Roman" w:hAnsi="Times New Roman" w:cs="Times New Roman"/>
          <w:b/>
          <w:sz w:val="32"/>
          <w:szCs w:val="32"/>
          <w:vertAlign w:val="superscript"/>
        </w:rPr>
        <w:t>1</w:t>
      </w:r>
    </w:p>
    <w:p w:rsidR="00C90EEE" w:rsidRPr="00FB2A56" w:rsidRDefault="00C90EEE" w:rsidP="00DA780F">
      <w:pPr>
        <w:spacing w:after="0" w:line="360" w:lineRule="auto"/>
        <w:jc w:val="center"/>
        <w:rPr>
          <w:rFonts w:ascii="Times New Roman" w:hAnsi="Times New Roman" w:cs="Times New Roman"/>
          <w:i/>
          <w:sz w:val="24"/>
          <w:szCs w:val="24"/>
        </w:rPr>
      </w:pPr>
      <w:r w:rsidRPr="00FB2A56">
        <w:rPr>
          <w:rFonts w:ascii="Times New Roman" w:hAnsi="Times New Roman" w:cs="Times New Roman"/>
          <w:i/>
          <w:sz w:val="24"/>
          <w:szCs w:val="24"/>
          <w:vertAlign w:val="superscript"/>
        </w:rPr>
        <w:t>1</w:t>
      </w:r>
      <w:r w:rsidRPr="00FB2A56">
        <w:rPr>
          <w:rFonts w:ascii="Times New Roman" w:hAnsi="Times New Roman" w:cs="Times New Roman"/>
          <w:i/>
          <w:sz w:val="24"/>
          <w:szCs w:val="24"/>
        </w:rPr>
        <w:t xml:space="preserve">Department </w:t>
      </w:r>
      <w:proofErr w:type="spellStart"/>
      <w:r w:rsidRPr="00FB2A56">
        <w:rPr>
          <w:rFonts w:ascii="Times New Roman" w:hAnsi="Times New Roman" w:cs="Times New Roman"/>
          <w:i/>
          <w:sz w:val="24"/>
          <w:szCs w:val="24"/>
        </w:rPr>
        <w:t>of</w:t>
      </w:r>
      <w:proofErr w:type="spellEnd"/>
      <w:r w:rsidRPr="00FB2A56">
        <w:rPr>
          <w:rFonts w:ascii="Times New Roman" w:hAnsi="Times New Roman" w:cs="Times New Roman"/>
          <w:i/>
          <w:sz w:val="24"/>
          <w:szCs w:val="24"/>
        </w:rPr>
        <w:t xml:space="preserve"> </w:t>
      </w:r>
      <w:proofErr w:type="spellStart"/>
      <w:r w:rsidRPr="00FB2A56">
        <w:rPr>
          <w:rFonts w:ascii="Times New Roman" w:hAnsi="Times New Roman" w:cs="Times New Roman"/>
          <w:i/>
          <w:sz w:val="24"/>
          <w:szCs w:val="24"/>
        </w:rPr>
        <w:t>Experimental</w:t>
      </w:r>
      <w:proofErr w:type="spellEnd"/>
      <w:r w:rsidRPr="00FB2A56">
        <w:rPr>
          <w:rFonts w:ascii="Times New Roman" w:hAnsi="Times New Roman" w:cs="Times New Roman"/>
          <w:i/>
          <w:sz w:val="24"/>
          <w:szCs w:val="24"/>
        </w:rPr>
        <w:t xml:space="preserve"> </w:t>
      </w:r>
      <w:proofErr w:type="spellStart"/>
      <w:r w:rsidRPr="00FB2A56">
        <w:rPr>
          <w:rFonts w:ascii="Times New Roman" w:hAnsi="Times New Roman" w:cs="Times New Roman"/>
          <w:i/>
          <w:sz w:val="24"/>
          <w:szCs w:val="24"/>
        </w:rPr>
        <w:t>Physics</w:t>
      </w:r>
      <w:proofErr w:type="spellEnd"/>
      <w:r w:rsidRPr="00FB2A56">
        <w:rPr>
          <w:rFonts w:ascii="Times New Roman" w:hAnsi="Times New Roman" w:cs="Times New Roman"/>
          <w:i/>
          <w:sz w:val="24"/>
          <w:szCs w:val="24"/>
        </w:rPr>
        <w:t xml:space="preserve">, </w:t>
      </w:r>
      <w:proofErr w:type="spellStart"/>
      <w:r w:rsidRPr="00FB2A56">
        <w:rPr>
          <w:rFonts w:ascii="Times New Roman" w:hAnsi="Times New Roman" w:cs="Times New Roman"/>
          <w:i/>
          <w:sz w:val="24"/>
          <w:szCs w:val="24"/>
        </w:rPr>
        <w:t>Faculty</w:t>
      </w:r>
      <w:proofErr w:type="spellEnd"/>
      <w:r w:rsidRPr="00FB2A56">
        <w:rPr>
          <w:rFonts w:ascii="Times New Roman" w:hAnsi="Times New Roman" w:cs="Times New Roman"/>
          <w:i/>
          <w:sz w:val="24"/>
          <w:szCs w:val="24"/>
        </w:rPr>
        <w:t xml:space="preserve"> </w:t>
      </w:r>
      <w:proofErr w:type="spellStart"/>
      <w:r w:rsidRPr="00FB2A56">
        <w:rPr>
          <w:rFonts w:ascii="Times New Roman" w:hAnsi="Times New Roman" w:cs="Times New Roman"/>
          <w:i/>
          <w:sz w:val="24"/>
          <w:szCs w:val="24"/>
        </w:rPr>
        <w:t>of</w:t>
      </w:r>
      <w:proofErr w:type="spellEnd"/>
      <w:r w:rsidRPr="00FB2A56">
        <w:rPr>
          <w:rFonts w:ascii="Times New Roman" w:hAnsi="Times New Roman" w:cs="Times New Roman"/>
          <w:i/>
          <w:sz w:val="24"/>
          <w:szCs w:val="24"/>
        </w:rPr>
        <w:t xml:space="preserve"> Science, Palacký University, 17. listopadu 1192/12, 77 146 Olomouc, Czech Republic</w:t>
      </w:r>
    </w:p>
    <w:p w:rsidR="00C90EEE" w:rsidRPr="00FB2A56" w:rsidRDefault="00C90EEE" w:rsidP="00DA780F">
      <w:pPr>
        <w:spacing w:after="0" w:line="360" w:lineRule="auto"/>
        <w:jc w:val="center"/>
        <w:rPr>
          <w:rFonts w:ascii="Times New Roman" w:hAnsi="Times New Roman" w:cs="Times New Roman"/>
          <w:i/>
          <w:sz w:val="24"/>
          <w:szCs w:val="24"/>
        </w:rPr>
      </w:pPr>
      <w:r w:rsidRPr="00FB2A56">
        <w:rPr>
          <w:rFonts w:ascii="Times New Roman" w:hAnsi="Times New Roman" w:cs="Times New Roman"/>
          <w:i/>
          <w:sz w:val="24"/>
          <w:szCs w:val="24"/>
          <w:vertAlign w:val="superscript"/>
        </w:rPr>
        <w:t>2</w:t>
      </w:r>
      <w:r w:rsidRPr="00FB2A56">
        <w:rPr>
          <w:rFonts w:ascii="Times New Roman" w:hAnsi="Times New Roman" w:cs="Times New Roman"/>
          <w:i/>
          <w:sz w:val="24"/>
          <w:szCs w:val="24"/>
        </w:rPr>
        <w:t xml:space="preserve">Regional Centre </w:t>
      </w:r>
      <w:proofErr w:type="spellStart"/>
      <w:r w:rsidRPr="00FB2A56">
        <w:rPr>
          <w:rFonts w:ascii="Times New Roman" w:hAnsi="Times New Roman" w:cs="Times New Roman"/>
          <w:i/>
          <w:sz w:val="24"/>
          <w:szCs w:val="24"/>
        </w:rPr>
        <w:t>of</w:t>
      </w:r>
      <w:proofErr w:type="spellEnd"/>
      <w:r w:rsidRPr="00FB2A56">
        <w:rPr>
          <w:rFonts w:ascii="Times New Roman" w:hAnsi="Times New Roman" w:cs="Times New Roman"/>
          <w:i/>
          <w:sz w:val="24"/>
          <w:szCs w:val="24"/>
        </w:rPr>
        <w:t xml:space="preserve"> </w:t>
      </w:r>
      <w:proofErr w:type="spellStart"/>
      <w:r w:rsidRPr="00FB2A56">
        <w:rPr>
          <w:rFonts w:ascii="Times New Roman" w:hAnsi="Times New Roman" w:cs="Times New Roman"/>
          <w:i/>
          <w:sz w:val="24"/>
          <w:szCs w:val="24"/>
        </w:rPr>
        <w:t>Advanced</w:t>
      </w:r>
      <w:proofErr w:type="spellEnd"/>
      <w:r w:rsidRPr="00FB2A56">
        <w:rPr>
          <w:rFonts w:ascii="Times New Roman" w:hAnsi="Times New Roman" w:cs="Times New Roman"/>
          <w:i/>
          <w:sz w:val="24"/>
          <w:szCs w:val="24"/>
        </w:rPr>
        <w:t xml:space="preserve"> Technologies and </w:t>
      </w:r>
      <w:proofErr w:type="spellStart"/>
      <w:r w:rsidRPr="00FB2A56">
        <w:rPr>
          <w:rFonts w:ascii="Times New Roman" w:hAnsi="Times New Roman" w:cs="Times New Roman"/>
          <w:i/>
          <w:sz w:val="24"/>
          <w:szCs w:val="24"/>
        </w:rPr>
        <w:t>Materials</w:t>
      </w:r>
      <w:proofErr w:type="spellEnd"/>
      <w:r w:rsidRPr="00FB2A56">
        <w:rPr>
          <w:rFonts w:ascii="Times New Roman" w:hAnsi="Times New Roman" w:cs="Times New Roman"/>
          <w:i/>
          <w:sz w:val="24"/>
          <w:szCs w:val="24"/>
        </w:rPr>
        <w:t>, Palacký University, Šlechtitelů 27, 783 71 Olomouc, Czech Republic</w:t>
      </w:r>
    </w:p>
    <w:p w:rsidR="00C90EEE" w:rsidRPr="00FB2A56" w:rsidRDefault="00C90EEE" w:rsidP="00DA780F">
      <w:pPr>
        <w:spacing w:before="120" w:line="360" w:lineRule="auto"/>
        <w:jc w:val="center"/>
        <w:rPr>
          <w:rFonts w:ascii="Times New Roman" w:hAnsi="Times New Roman" w:cs="Times New Roman"/>
          <w:i/>
          <w:sz w:val="24"/>
          <w:szCs w:val="24"/>
        </w:rPr>
      </w:pPr>
      <w:r w:rsidRPr="00FB2A56">
        <w:rPr>
          <w:rStyle w:val="Znakapoznpodarou"/>
          <w:rFonts w:ascii="Times New Roman" w:hAnsi="Times New Roman" w:cs="Times New Roman"/>
          <w:sz w:val="24"/>
          <w:szCs w:val="24"/>
        </w:rPr>
        <w:t>†</w:t>
      </w:r>
      <w:r w:rsidRPr="00FB2A56">
        <w:rPr>
          <w:rFonts w:ascii="Times New Roman" w:hAnsi="Times New Roman" w:cs="Times New Roman"/>
          <w:sz w:val="24"/>
          <w:szCs w:val="24"/>
        </w:rPr>
        <w:t xml:space="preserve"> </w:t>
      </w:r>
      <w:proofErr w:type="spellStart"/>
      <w:r w:rsidRPr="00FB2A56">
        <w:rPr>
          <w:rStyle w:val="CAuthor"/>
          <w:rFonts w:eastAsiaTheme="minorEastAsia" w:cs="Times New Roman"/>
          <w:sz w:val="24"/>
          <w:szCs w:val="24"/>
        </w:rPr>
        <w:t>Corresponding</w:t>
      </w:r>
      <w:proofErr w:type="spellEnd"/>
      <w:r w:rsidRPr="00FB2A56">
        <w:rPr>
          <w:rStyle w:val="CAuthor"/>
          <w:rFonts w:eastAsiaTheme="minorEastAsia" w:cs="Times New Roman"/>
          <w:sz w:val="24"/>
          <w:szCs w:val="24"/>
        </w:rPr>
        <w:t xml:space="preserve"> </w:t>
      </w:r>
      <w:proofErr w:type="spellStart"/>
      <w:r w:rsidRPr="00FB2A56">
        <w:rPr>
          <w:rStyle w:val="CAuthor"/>
          <w:rFonts w:eastAsiaTheme="minorEastAsia" w:cs="Times New Roman"/>
          <w:sz w:val="24"/>
          <w:szCs w:val="24"/>
        </w:rPr>
        <w:t>author</w:t>
      </w:r>
      <w:proofErr w:type="spellEnd"/>
      <w:r w:rsidRPr="00FB2A56">
        <w:rPr>
          <w:rStyle w:val="CAuthor"/>
          <w:rFonts w:eastAsiaTheme="minorEastAsia" w:cs="Times New Roman"/>
          <w:sz w:val="24"/>
          <w:szCs w:val="24"/>
        </w:rPr>
        <w:t>. E-mail: petr.novak@upol.cz</w:t>
      </w:r>
    </w:p>
    <w:p w:rsidR="00C90EEE" w:rsidRPr="00FB2A56" w:rsidRDefault="00421EFB" w:rsidP="00DA780F">
      <w:pPr>
        <w:spacing w:line="360" w:lineRule="auto"/>
        <w:rPr>
          <w:rFonts w:ascii="Times New Roman" w:hAnsi="Times New Roman" w:cs="Times New Roman"/>
          <w:b/>
          <w:sz w:val="32"/>
          <w:szCs w:val="32"/>
        </w:rPr>
      </w:pPr>
      <w:proofErr w:type="spellStart"/>
      <w:r w:rsidRPr="00FB2A56">
        <w:rPr>
          <w:rFonts w:ascii="Times New Roman" w:hAnsi="Times New Roman" w:cs="Times New Roman"/>
          <w:b/>
          <w:sz w:val="32"/>
          <w:szCs w:val="32"/>
        </w:rPr>
        <w:t>Abstract</w:t>
      </w:r>
      <w:proofErr w:type="spellEnd"/>
    </w:p>
    <w:p w:rsidR="00C90EEE" w:rsidRPr="00FB2A56" w:rsidRDefault="00C90EEE" w:rsidP="00DA780F">
      <w:pPr>
        <w:spacing w:line="360" w:lineRule="auto"/>
        <w:jc w:val="both"/>
        <w:rPr>
          <w:rStyle w:val="Maintext"/>
          <w:rFonts w:eastAsiaTheme="minorEastAsia" w:cs="Times New Roman"/>
          <w:kern w:val="2"/>
          <w:lang w:val="en-GB" w:eastAsia="zh-CN"/>
        </w:rPr>
      </w:pPr>
      <w:r w:rsidRPr="00FB2A56">
        <w:rPr>
          <w:rStyle w:val="Maintext"/>
          <w:rFonts w:eastAsiaTheme="minorEastAsia" w:cs="Times New Roman"/>
          <w:kern w:val="2"/>
          <w:lang w:val="en-GB" w:eastAsia="zh-CN"/>
        </w:rPr>
        <w:t xml:space="preserve">This study presents an investigation of thermal decomposition of ferrous oxalate </w:t>
      </w:r>
      <w:proofErr w:type="spellStart"/>
      <w:r w:rsidRPr="00FB2A56">
        <w:rPr>
          <w:rStyle w:val="Maintext"/>
          <w:rFonts w:eastAsiaTheme="minorEastAsia" w:cs="Times New Roman"/>
          <w:kern w:val="2"/>
          <w:lang w:val="en-GB" w:eastAsia="zh-CN"/>
        </w:rPr>
        <w:t>dihydrate</w:t>
      </w:r>
      <w:proofErr w:type="spellEnd"/>
      <w:r w:rsidRPr="00FB2A56">
        <w:rPr>
          <w:rStyle w:val="Maintext"/>
          <w:rFonts w:eastAsiaTheme="minorEastAsia" w:cs="Times New Roman"/>
          <w:kern w:val="2"/>
          <w:lang w:val="en-GB" w:eastAsia="zh-CN"/>
        </w:rPr>
        <w:t xml:space="preserve"> in the combined atmosphere of inert and conversion gases to find an optimal route for a simple magnetite preparation. Homogenized precursor was isothermally treated inside the stainless-steel cells at 8 equidistant temperatures ranging from 300 to 650 °C for 1, 6, and 12 hours. The enclosure of samples inside the cells with the combined atmosphere eliminates the necessity of the inert gas to flow over the treated samples. Structural, magnetic, and morphological aspects of the prepared materials were examined by the combination of experimental techniques, such as Mössbauer spectroscopy, X-ray powder diffraction, and scanning electron microscopy.</w:t>
      </w:r>
    </w:p>
    <w:p w:rsidR="00C90EEE" w:rsidRPr="00FB2A56" w:rsidRDefault="00C90EEE" w:rsidP="00DA780F">
      <w:pPr>
        <w:spacing w:line="360" w:lineRule="auto"/>
        <w:jc w:val="both"/>
        <w:rPr>
          <w:rStyle w:val="Maintext"/>
          <w:rFonts w:eastAsiaTheme="minorEastAsia" w:cs="Times New Roman"/>
          <w:kern w:val="2"/>
          <w:lang w:val="en-GB" w:eastAsia="zh-CN"/>
        </w:rPr>
      </w:pPr>
      <w:r w:rsidRPr="00FB2A56">
        <w:rPr>
          <w:rStyle w:val="Maintext"/>
          <w:rFonts w:eastAsiaTheme="minorEastAsia" w:cs="Times New Roman"/>
          <w:b/>
          <w:kern w:val="2"/>
          <w:lang w:val="en-GB" w:eastAsia="zh-CN"/>
        </w:rPr>
        <w:t>Keywords:</w:t>
      </w:r>
      <w:r w:rsidRPr="00FB2A56">
        <w:rPr>
          <w:rStyle w:val="Maintext"/>
          <w:rFonts w:eastAsiaTheme="minorEastAsia" w:cs="Times New Roman"/>
          <w:kern w:val="2"/>
          <w:lang w:val="en-GB" w:eastAsia="zh-CN"/>
        </w:rPr>
        <w:t xml:space="preserve"> Mossbauer spectroscopy, XRD, </w:t>
      </w:r>
      <w:proofErr w:type="spellStart"/>
      <w:r w:rsidRPr="00FB2A56">
        <w:rPr>
          <w:rStyle w:val="Maintext"/>
          <w:rFonts w:eastAsiaTheme="minorEastAsia" w:cs="Times New Roman"/>
          <w:kern w:val="2"/>
          <w:lang w:val="en-GB" w:eastAsia="zh-CN"/>
        </w:rPr>
        <w:t>maghemite</w:t>
      </w:r>
      <w:proofErr w:type="spellEnd"/>
      <w:r w:rsidRPr="00FB2A56">
        <w:rPr>
          <w:rStyle w:val="Maintext"/>
          <w:rFonts w:eastAsiaTheme="minorEastAsia" w:cs="Times New Roman"/>
          <w:kern w:val="2"/>
          <w:lang w:val="en-GB" w:eastAsia="zh-CN"/>
        </w:rPr>
        <w:t>/magnetite mixture</w:t>
      </w:r>
      <w:r w:rsidR="00A95435">
        <w:rPr>
          <w:rStyle w:val="Maintext"/>
          <w:rFonts w:eastAsiaTheme="minorEastAsia" w:cs="Times New Roman"/>
          <w:kern w:val="2"/>
          <w:lang w:val="en-GB" w:eastAsia="zh-CN"/>
        </w:rPr>
        <w:t>.</w:t>
      </w:r>
    </w:p>
    <w:p w:rsidR="00421EFB" w:rsidRPr="00FB2A56" w:rsidRDefault="00421EFB" w:rsidP="00DA780F">
      <w:pPr>
        <w:spacing w:line="360" w:lineRule="auto"/>
        <w:jc w:val="both"/>
        <w:rPr>
          <w:rStyle w:val="Maintext"/>
          <w:rFonts w:eastAsiaTheme="minorEastAsia" w:cs="Times New Roman"/>
          <w:kern w:val="2"/>
          <w:lang w:val="en-GB" w:eastAsia="zh-CN"/>
        </w:rPr>
      </w:pPr>
    </w:p>
    <w:p w:rsidR="00C90EEE" w:rsidRPr="00FB2A56" w:rsidRDefault="00C90EEE" w:rsidP="00DA780F">
      <w:pPr>
        <w:pStyle w:val="Odstavecseseznamem"/>
        <w:numPr>
          <w:ilvl w:val="0"/>
          <w:numId w:val="2"/>
        </w:numPr>
        <w:spacing w:line="360" w:lineRule="auto"/>
        <w:ind w:firstLineChars="0"/>
        <w:rPr>
          <w:rStyle w:val="1"/>
          <w:rFonts w:eastAsiaTheme="minorEastAsia" w:cs="Times New Roman"/>
          <w:sz w:val="32"/>
          <w:szCs w:val="24"/>
          <w:lang w:val="en-GB"/>
        </w:rPr>
      </w:pPr>
      <w:r w:rsidRPr="00FB2A56">
        <w:rPr>
          <w:rStyle w:val="HeadingChar"/>
          <w:rFonts w:eastAsiaTheme="minorEastAsia" w:cs="Times New Roman"/>
          <w:sz w:val="32"/>
          <w:lang w:val="en-GB"/>
        </w:rPr>
        <w:t>Introduction</w:t>
      </w:r>
    </w:p>
    <w:p w:rsidR="00C90EEE" w:rsidRPr="00FB2A56" w:rsidRDefault="00C90EEE" w:rsidP="00DA780F">
      <w:pPr>
        <w:pStyle w:val="Vchoz"/>
        <w:spacing w:line="360" w:lineRule="auto"/>
        <w:ind w:firstLine="360"/>
        <w:jc w:val="both"/>
        <w:rPr>
          <w:rStyle w:val="Maintext"/>
          <w:rFonts w:eastAsiaTheme="minorEastAsia"/>
          <w:kern w:val="2"/>
          <w:lang w:val="en-GB" w:eastAsia="zh-CN"/>
        </w:rPr>
      </w:pPr>
      <w:r w:rsidRPr="00FB2A56">
        <w:rPr>
          <w:rStyle w:val="Maintext"/>
          <w:rFonts w:eastAsiaTheme="minorEastAsia"/>
          <w:kern w:val="2"/>
          <w:lang w:val="en-GB" w:eastAsia="zh-CN"/>
        </w:rPr>
        <w:t>Magnetite is a form of an iron oxide, which finds numerous applications in the fields of material science, information storage, medicine</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{"citationItems":[{"id":"ITEM-1","itemData":{"DOI":"10.1016/j.pcrysgrow.2008.08.003","ISBN":"0960-8974","ISSN":"09608974","PMID":"17193474","abstract":"Magnetic nanoparticles exhibit many interesting properties that can be exploited in a variety of applications such as catalysis and in biomedicine. This review discusses the properties, applications, and syntheses of three magnetic iron oxides - hematite, magnetite, and maghemite - and outlines methods of preparation that allow control over the size, morphology, surface treatment and magnetic properties of their nanoparticles. Some challenges to further development of these materials and methods are also presented. © 2008 Elsevier Ltd. All rights reserved.","author":[{"dropping-particle":"","family":"Teja","given":"Amyn S.","non-dropping-particle":"","parse-names":false,"suffix":""},{"dropping-particle":"","family":"Koh","given":"Pei Yoong","non-dropping-particle":"","parse-names":false,"suffix":""}],"container-title":"Progress in Crystal Growth and Characterization of Materials","id":"ITEM-1","issue":"1-2","issued":{"date-parts":[["2009"]]},"page":"22-45","publisher":"Elsevier Ltd","title":"Synthesis, properties, and applications of magnetic iron oxide nanoparticles","type":"article-journal","volume":"55"},"uris":["http://www.mendeley.com/documents/?uuid=9c5035db-cab4-40a5-a9bc-bb112a04e2a5","http://www.mendeley.com/documents/?uuid=a8d4fe28-8932-493d-8e90-21ad0f2e3870","http://www.mendeley.com/documents/?uuid=236a5282-17f0-440d-8aa1-c0359cd879dc"]},{"id":"ITEM-2","itemData":{"DOI":"10.1263/jbb.100.1","ISBN":"1389-1723 (Print)\\r1347-4421 (Linking)","ISSN":"13891723","PMID":"16233845","abstract":"Since magnetic particles have unique features, the development of a variety of medical applications has been possible. The most unique feature of magnetic particles is their reaction to a magnetic force, and this feature has been utilized in applications such as drug targeting and bioseparation including cell sorting. Recently, magnetic nanoparticles have attracted attention because of their potential as contrast agents for magnetic resonance imaging (MRI) and heating mediators for cancer therapy (hyperthermia). Magnetite cationic liposomes (MCLs), one of the groups of cationic magnetic particles, can be used as carriers to introduce magnetite nanoparticles into target cells since their positively charged surface interacts with the negatively charged cell surface; furthermore, they find applications to hyperthermic treatments. Magnetite nanoparticles conjugated with antibodies (antibody-conjugated magnetoliposomes, AMLs) are also applied to hyperthermia and have enabled tumor-specific contrast enhancement in MRI via systemic administration. Since magnetic nanoparticles are attracted to a high magnetic flux density, it is possible to manipulate cells labeled with magnetic nanoparticles using magnets; this feature has been applied in tissue engineering. Magnetic force and MCLs were used to construct multilayered cell structures and a heterotypic layered 3D coculture system. Thus, the applications of these functionalized magnetic nanoparticles with their unique features will further improve medical techniques.","author":[{"dropping-particle":"","family":"Ito","given":"Akira","non-dropping-particle":"","parse-names":false,"suffix":""},{"dropping-particle":"","family":"Shinkai","given":"Masashige","non-dropping-particle":"","parse-names":false,"suffix":""},{"dropping-particle":"","family":"Honda","given":"Hiroyuki","non-dropping-particle":"","parse-names":false,"suffix":""},{"dropping-particle":"","family":"Kobayashi","given":"Takeshi","non-dropping-particle":"","parse-names":false,"suffix":""}],"container-title":"Journal of Bioscience and Bioengineering","id":"ITEM-2","issue":"1","issued":{"date-parts":[["2005"]]},"page":"1-11","title":"Medical application of functionalized magnetic nanoparticles","type":"article-journal","volume":"100"},"uris":["http://www.mendeley.com/documents/?uuid=d4685e9e-2e1e-4c47-b96e-7c86fcb1a093","http://www.mendeley.com/documents/?uuid=90e64bae-d7fc-47d7-aa9d-3b6750b941aa","http://www.mendeley.com/documents/?uuid=ef6c407f-f7e8-4e00-8031-8f2f8a196233"]}],"mendeley":{"formattedCitation":"&lt;sup&gt;1,2&lt;/sup&gt;","plainTextFormattedCitation":"1,2","previouslyFormattedCitation":"&lt;sup&gt;1,2&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1,2</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or catalysis (e.g. hydrogenation of CO</w:t>
      </w:r>
      <w:r w:rsidRPr="00FB2A56">
        <w:rPr>
          <w:rStyle w:val="Maintext"/>
          <w:rFonts w:eastAsiaTheme="minorEastAsia"/>
          <w:kern w:val="2"/>
          <w:vertAlign w:val="subscript"/>
          <w:lang w:val="en-GB" w:eastAsia="zh-CN"/>
        </w:rPr>
        <w:t>2</w:t>
      </w:r>
      <w:r w:rsidR="00FB2A56" w:rsidRPr="00FB2A56">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{"citationItems":[{"id":"ITEM-1","itemData":{"DOI":"10.1016/j.jcou.2013.12.005","ISBN":"22129820","ISSN":"22129820","abstract":"Fossil fuel depletion, global warming, climate change, and steep hikes in the price of fuels are driving scientists to investigate on commercial and environmentally friendly fuels. The process of CO2 conversion to value-added products has been considered as a possible remedy to fulfill the requirements. The present review paper comprehensively discusses two different processes, namely hydrocarbon and methanol synthesis which are extensively used to convert CO2 to value-added products. Reaction mechanisms as well as the effects of catalyst, reactor type and operating conditions on product efficiency enhancement of each process are reviewed. Furthermore a brief overview on the reactor types as the most effective component of the theoretical and experimental reported results on the process improvement is given. All the information is tabulated in order to make the gathered information easily conclusive. Finally, by taking the available information into account the best reactor configuration which is adjustable to reaction mechanism is proposed. ?? 2014 Elsevier B.V.","author":[{"dropping-particle":"","family":"Saeidi","given":"Samrand","non-dropping-particle":"","parse-names":false,"suffix":""},{"dropping-particle":"","family":"Amin","given":"Nor Aishah Saidina","non-dropping-particle":"","parse-names":false,"suffix":""},{"dropping-particle":"","family":"Rahimpour","given":"Mohammad Reza","non-dropping-particle":"","parse-names":false,"suffix":""}],"container-title":"Journal of CO2 Utilization","id":"ITEM-1","issued":{"date-parts":[["2014"]]},"page":"66-81","publisher":"Elsevier Ltd.","title":"Hydrogenation of CO2 to value-added products - A review and potential future developments","type":"article-journal","volume":"5"},"uris":["http://www.mendeley.com/documents/?uuid=c6dc170f-8515-4841-9500-a47e104a855c","http://www.mendeley.com/documents/?uuid=234faaca-cbf1-4858-9346-1db0ec5877f0","http://www.mendeley.com/documents/?uuid=01c48f5b-68cf-4421-b202-17c0275d4090"]}],"mendeley":{"formattedCitation":"&lt;sup&gt;3&lt;/sup&gt;","plainTextFormattedCitation":"3","previouslyFormattedCitation":"&lt;sup&gt;3&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and water gas shift reaction</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{"citationItems":[{"id":"ITEM-1","itemData":{"DOI":"10.1021/acscatal.5b02594","ISBN":"2155-5435\\r2155-5435","ISSN":"21555435","abstract":"This article critically reviews the literature on iron-based catalysts for the high-temperature water-gas shift (HT-WGS) reaction. The reaction mechanism, reaction intermediates, rate-determining step, kinetics, active site, and promoters are covered. Unlike the low-temperature water-gas shift (LT-WGS) reaction by Cu/ZnO catalysts that has received intensive analysis with modern in situ and operando spectroscopy and DFT studies, the corresponding HT-WGS reaction by Fe-based catalysts still lacks a fundamental understanding because of the absence of modern catalysis studies of this important catalytic system. Given the role of the WGS catalysts on production of H2 for a hydrogen economy, it is imperative that the fundamental molecular-level understanding of the HT-WGS catalyst be advanced.","author":[{"dropping-particle":"","family":"Zhu","given":"Minghui","non-dropping-particle":"","parse-names":false,"suffix":""},{"dropping-particle":"","family":"Wachs","given":"Israel E.","non-dropping-particle":"","parse-names":false,"suffix":""}],"container-title":"ACS Catalysis","id":"ITEM-1","issue":"2","issued":{"date-parts":[["2016"]]},"page":"722-732","title":"Iron-Based Catalysts for the High-Temperature Water-Gas Shift (HT-WGS) Reaction: A Review","type":"article-journal","volume":"6"},"uris":["http://www.mendeley.com/documents/?uuid=3d17bc95-6936-4df5-9003-c8a3057e8580","http://www.mendeley.com/documents/?uuid=2e2c83d4-3e40-4639-aa8c-0a63b492893c","http://www.mendeley.com/documents/?uuid=1be61f6e-5521-4663-9058-440a229eac9f"]}],"mendeley":{"formattedCitation":"&lt;sup&gt;4&lt;/sup&gt;","plainTextFormattedCitation":"4","previouslyFormattedCitation":"&lt;sup&gt;4&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4</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Since the boom of nanotechnology, the synthesis of magnetite in the form of nanoparticles have been </w:t>
      </w:r>
      <w:r w:rsidR="00FB2A56">
        <w:rPr>
          <w:rStyle w:val="Maintext"/>
          <w:rFonts w:eastAsiaTheme="minorEastAsia"/>
          <w:kern w:val="2"/>
          <w:lang w:val="en-GB" w:eastAsia="zh-CN"/>
        </w:rPr>
        <w:t>discussed in many studies.</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 xml:space="preserve">ADDIN CSL_CITATION {"citationItems":[{"id":"ITEM-1","itemData":{"author":[{"dropping-particle":"","family":"Honig","given":"J M","non-dropping-particle":"","parse-names":false,"suffix":""}],"container-title":"Proceedings Indian Academy Sci.s-Chem. Sci.","id":"ITEM-1","issue":"6","issued":{"date-parts":[["1986"]]},"page":"391-409","title":"The synthesis, crystal-growth, and characterization of nonstoichiometric magnetite","type":"article-journal","volume":"96"},"uris":["http://www.mendeley.com/documents/?uuid=51eefb8a-af5b-4775-bd79-651a2a0c3ecc","http://www.mendeley.com/documents/?uuid=9a4a608d-ddac-443a-929d-1384c0c0e3a3","http://www.mendeley.com/documents/?uuid=a0219182-7555-4d2f-a8a4-c4ab74d0d433"]},{"id":"ITEM-2","itemData":{"DOI":"10.1039/b926780h","ISBN":"1466-8033","ISSN":"1466-8033","abstract":"Single-crystalline Fe3O4 triangular nanoprisms (TNPs) were fabricated by a facile hydrothermal route in the presence of 1{,}3-propanediamine (PDA). It was found that the EG to PDA volume ratio played an important role in the formation of the TNP structures and greatly affected the morphology of the magnetites.","author":[{"dropping-particle":"","family":"Li","given":"Xiyan","non-dropping-particle":"","parse-names":false,"suffix":""},{"dropping-particle":"","family":"Si","given":"Zhenjun","non-dropping-particle":"","parse-names":false,"suffix":""},{"dropping-particle":"","family":"Lei","given":"Yongqian","non-dropping-particle":"","parse-names":false,"suffix":""},{"dropping-particle":"","family":"Tang","given":"Jinkui","non-dropping-particle":"","parse-names":false,"suffix":""},{"dropping-particle":"","family":"Wang","given":"Song","non-dropping-particle":"","parse-names":false,"suffix":""},{"dropping-particle":"","family":"Su","given":"Shengqun","non-dropping-particle":"","parse-names":false,"suffix":""},{"dropping-particle":"","family":"Song","given":"Shuyan","non-dropping-particle":"","parse-names":false,"suffix":""},{"dropping-particle":"","family":"Zhao","given":"Lijun","non-dropping-particle":"","parse-names":false,"suffix":""},{"dropping-particle":"","family":"Zhang","given":"Hongjie","non-dropping-particle":"","parse-names":false,"suffix":""}],"container-title":"CrystEngComm","id":"ITEM-2","issue":"7","issued":{"date-parts":[["2010"]]},"page":"2060","title":"Direct hydrothermal synthesis of single-crystalline triangular Fe3O4 nanoprisms","type":"article-journal","volume":"12"},"uris":["http://www.mendeley.com/documents/?uuid=a0670135-0c4f-4543-baba-e3b3d708f120","http://www.mendeley.com/documents/?uuid=761c29e3-2ca8-4340-b688-a035129e02c9","http://www.mendeley.com/documents/?uuid=7c6cc7f5-2fc6-4f43-a474-2c50b11aed2a"]},{"id":"ITEM-3","itemData":{"DOI":"10.1016/j.ceramint.2011.11.027","ISBN":"0272-8842","ISSN":"02728842","PMID":"23807578","abstract":"Parameters such as temperature, time and presence or absence of microwaves affected the particle size and magnetic properties of synthetic magnetite. The presence of microwaves during crystallization significantly increased the particle size of magnetite in a short time with improved magnetic properties. Magnetite samples were characterized by X-ray diffraction, transmission electron microscopy (TEM) and saturation magnetization measurements. The TEM crystal sizes varied from about 40 to 50 nm at room temperature to greater than 50 nm with wider crystal size distribution at higher temperatures. The saturation magnetization values of synthetic magnetites ranged from 57.4 to 89.0 emu/g. © 2011 Elsevier Ltd and Techna Group S.r.l.","author":[{"dropping-particle":"","family":"Komarneni","given":"Sridhar","non-dropping-particle":"","parse-names":false,"suffix":""},{"dropping-particle":"","family":"Hu","given":"Weiwei","non-dropping-particle":"","parse-names":false,"suffix":""},{"dropping-particle":"","family":"Noh","given":"Young Dong","non-dropping-particle":"","parse-names":false,"suffix":""},{"dropping-particle":"","family":"Orden","given":"Amanda","non-dropping-particle":"Van","parse-names":false,"suffix":""},{"dropping-particle":"","family":"Feng","given":"Shouhua","non-dropping-particle":"","parse-names":false,"suffix":""},{"dropping-particle":"","family":"Wei","given":"Chengzhen","non-dropping-particle":"","parse-names":false,"suffix":""},{"dropping-particle":"","family":"Pang","given":"Huan","non-dropping-particle":"","parse-names":false,"suffix":""},{"dropping-particle":"","family":"Gao","given":"Feng","non-dropping-particle":"","parse-names":false,"suffix":""},{"dropping-particle":"","family":"Lu","given":"Qingyi","non-dropping-particle":"","parse-names":false,"suffix":""},{"dropping-particle":"","family":"Katsuki","given":"Hiroaki","non-dropping-particle":"","parse-names":false,"suffix":""}],"container-title":"Ceramics International","id":"ITEM-3","issue":"3","issued":{"date-parts":[["2012"]]},"page":"2563-2568","publisher":"Elsevier Ltd and Techna Group S.r.l.","title":"Magnetite syntheses from room temperature to 150°C with and without microwaves","type":"article-journal","volume":"38"},"uris":["http://www.mendeley.com/documents/?uuid=42084855-edc2-403b-af12-6aa44002397f","http://www.mendeley.com/documents/?uuid=82ffed0f-58be-4046-bcf6-124dd6295dc7","http://www.mendeley.com/documents/?uuid=79b2d356-b89e-4de7-9f65-0d7c5c477662"]},{"id":"ITEM-4","itemData":{"DOI":"10.1021/ja026501x","ISBN":"0002-7863","ISSN":"0002-7863","author":[{"dropping-particle":"","family":"Sun","given":"S H","non-dropping-particle":"","parse-names":false,"suffix":""},{"dropping-particle":"","family":"Zeng","given":"H","non-dropping-particle":"","parse-names":false,"suffix":""}],"container-title":"Journal of the American Chemical Society","id":"ITEM-4","issue":"28","issued":{"date-parts":[["2002"]]},"page":"8204-8205","title":"Size-controlled synthesis of magnetite nanoparticles","type":"article-journal","volume":"124"},"uris":["http://www.mendeley.com/documents/?uuid=e272e445-2c05-4004-b6a8-d44e602fa441","http://www.mendeley.com/documents/?uuid=a937760d-ac31-413f-80eb-9acd9f92c340","http://www.mendeley.com/documents/?uuid=192e7158-871c-4cbe-ae2b-faaf7f08e2dd"]},{"id":"ITEM-5","itemData":{"DOI":"10.1016/j.colsurfa.2009.02.003","ISBN":"0927-7757","ISSN":"09277757","abstract":"Magnetic nanoparticles possess numerous potential applications, e.g., hyperthermia, magnetic resonance imaging (MRI), catalytic applications, etc. Decomposition of iron pentacarbonyl is one of the most common methods for preparation of magnetic iron oxide and iron nanoparticles. However, Fe(CO)5 is severely toxic and alternative precursors should be used. The present manuscript presents a new simple method for preparation of iron oxide and iron nanoparticles, by thermal decomposition of Fe3(CO)12 in diethylene glycol diethyl ether with oleic acid as a stabilizer. The obtained magnetite (Fe3O4) nanoparticles were annealed at 300, 700 and 900 °C under inert atmosphere. The annealing temperature allowed control of size and size distribution of the nanoparticles, as well as their composition, crystallinity and magnetic properties. The as-prepared nanoparticles and the nanoparticles annealed at 300 °C are superparamagnetic with blocking temperatures of 22 and </w:instrText>
      </w:r>
      <w:r w:rsidR="005222FA">
        <w:rPr>
          <w:rStyle w:val="Maintext"/>
          <w:rFonts w:ascii="Cambria Math" w:eastAsiaTheme="minorEastAsia" w:hAnsi="Cambria Math" w:cs="Cambria Math"/>
          <w:kern w:val="2"/>
          <w:lang w:val="en-GB" w:eastAsia="zh-CN"/>
        </w:rPr>
        <w:instrText>∼</w:instrText>
      </w:r>
      <w:r w:rsidR="005222FA">
        <w:rPr>
          <w:rStyle w:val="Maintext"/>
          <w:rFonts w:eastAsiaTheme="minorEastAsia"/>
          <w:kern w:val="2"/>
          <w:lang w:val="en-GB" w:eastAsia="zh-CN"/>
        </w:rPr>
        <w:instrText xml:space="preserve">140 K, respectively, while the nanoparticles annealed at 700 and 900 °C are ferromagnetic. The nanoparticles annealed at 900 °C are composed of pure Fe as the major phase (90%) and Fe3O4. Characterization of the obtained nanoparticles has been accomplished by routine methods such as transmission electron microscopy, powder X-ray diffraction, superconducting quantum interference, elemental analysis and Mössbauer spectroscopy. © 2009 Elsevier B.V. All rights reserved.","author":[{"dropping-particle":"","family":"Amara","given":"Daniel","non-dropping-particle":"","parse-names":false,"suffix":""},{"dropping-particle":"","family":"Felner","given":"Israel","non-dropping-particle":"","parse-names":false,"suffix":""},{"dropping-particle":"","family":"Nowik","given":"Israel","non-dropping-particle":"","parse-names":false,"suffix":""},{"dropping-particle":"","family":"Margel","given":"Shlomo","non-dropping-particle":"","parse-names":false,"suffix":""}],"container-title":"Colloids and Surfaces A: Physicochemical and Engineering Aspects","id":"ITEM-5","issue":"1-3","issued":{"date-parts":[["2009"]]},"page":"106-110","title":"Synthesis and characterization of Fe and Fe3O4 nanoparticles by thermal decomposition of triiron dodecacarbonyl","type":"article-journal","volume":"339"},"uris":["http://www.mendeley.com/documents/?uuid=9ba41825-a680-4062-89da-beebbabce174","http://www.mendeley.com/documents/?uuid=1945e8aa-c4e4-4829-8f23-87850f9549a4","http://www.mendeley.com/documents/?uuid=6a72f1fd-29cb-466d-bd31-5d64eaf22b16"]},{"id":"ITEM-6","itemData":{"DOI":"10.1088/0957-4484/21/22/225708","ISBN":"0957-4484","ISSN":"1361-6528","PMID":"20453272","abstract":"A nanocomposite catalyst composed of ferromagnetic magnetite cores (15.5 +/- 2.0 nm) and silica shells with a thickness of 4.5 +/- 1.0 nm (Fe(3)O(4)@SiO(2)) was prepared by a two-step microemulsion-based synthesis. X-ray photoelectron spectroscopy and Raman spectroscopy after oxidation support the presence of a stable Fe(3)O(4) core and a surface phase of gamma-Fe(2)O(3). The nanocomposite structure exhibited 100% conversion of CO in oxygen at a residence time of 0.1 s at 310 degrees C. When pre-oxidized, the Fe(3)O(4)@SiO(2) catalyst is shown to be a suitable solid oxygen carrier for chemical looping combustion of methane at 700 degrees C. The nanocomposites retain their magnetism following the reaction which provides the potential for use of magnetic separation and capture in moving bed reactor applications. The core magnetite within the silica shell is resistant to sintering and a bulk phase transition to temperatures as high as 700 degrees C. These catalysts can be of use in applications of high temperature applications where catalyst recovery by magnetic separation may be required.","author":[{"dropping-particle":"","family":"Park","given":"Jung-Nam","non-dropping-particle":"","parse-names":false,"suffix":""},{"dropping-particle":"","family":"Zhang","given":"Peng","non-dropping-particle":"","parse-names":false,"suffix":""},{"dropping-particle":"","family":"Hu","given":"Yong-Sheng","non-dropping-particle":"","parse-names":false,"suffix":""},{"dropping-particle":"","family":"McFarland","given":"Eric W","non-dropping-particle":"","parse-names":false,"suffix":""}],"container-title":"Nanotechnology","id":"ITEM-6","issue":"22","issued":{"date-parts":[["2010"]]},"page":"225708","title":"Synthesis and characterization of sintering-resistant silica-encapsulated Fe3O4 magnetic nanoparticles active for oxidation and chemical looping combustion.","type":"article-journal","volume":"21"},"uris":["http://www.mendeley.com/documents/?uuid=c175115c-bfe9-43e4-9da5-1f01887480e0","http://www.mendeley.com/documents/?uuid=9fb5c86c-e7a2-42ef-85e1-5f0cbb6b59b5","http://www.mendeley.com/documents/?uuid=720fd934-55ba-4b14-a1d8-e5dcb7f9f113"]},{"id":"ITEM-7","itemData":{"DOI":"10.1016/j.jmmm.2008.11.013","ISBN":"0304-8853","ISSN":"03048853","abstract":"Superparamagnetic nanoparticles have been widely applied in various bio-medical applications. To date, it is still a challenge to synthesize nanosized Fe3O4 particles with controlled size and distribution. In this paper, a novel solvent-free thermal decomposition method is reported for synthesizing Fe3O4 nanoparticles. Size and morphology of the nanoparticles are determined by TEM while the structure of the nanoparticles is identified by FTIR, XPS and TGA measurements. Magnetic properties of the obtained particles are determined using VSM and SQUID measurement. The particle size of the Fe3O4 can be tailored by adjusting either reaction temperature or time. When the reaction temperature is increased to 330 °C and the reaction time is extended to 4 h, the average particle size of the obtained nanoparticles is </w:instrText>
      </w:r>
      <w:r w:rsidR="005222FA">
        <w:rPr>
          <w:rStyle w:val="Maintext"/>
          <w:rFonts w:ascii="Cambria Math" w:eastAsiaTheme="minorEastAsia" w:hAnsi="Cambria Math" w:cs="Cambria Math"/>
          <w:kern w:val="2"/>
          <w:lang w:val="en-GB" w:eastAsia="zh-CN"/>
        </w:rPr>
        <w:instrText>∼</w:instrText>
      </w:r>
      <w:r w:rsidR="005222FA">
        <w:rPr>
          <w:rStyle w:val="Maintext"/>
          <w:rFonts w:eastAsiaTheme="minorEastAsia"/>
          <w:kern w:val="2"/>
          <w:lang w:val="en-GB" w:eastAsia="zh-CN"/>
        </w:rPr>
        <w:instrText xml:space="preserve">9 nm, while Ms value reaches </w:instrText>
      </w:r>
      <w:r w:rsidR="005222FA">
        <w:rPr>
          <w:rStyle w:val="Maintext"/>
          <w:rFonts w:ascii="Cambria Math" w:eastAsiaTheme="minorEastAsia" w:hAnsi="Cambria Math" w:cs="Cambria Math"/>
          <w:kern w:val="2"/>
          <w:lang w:val="en-GB" w:eastAsia="zh-CN"/>
        </w:rPr>
        <w:instrText>∼</w:instrText>
      </w:r>
      <w:r w:rsidR="005222FA">
        <w:rPr>
          <w:rStyle w:val="Maintext"/>
          <w:rFonts w:eastAsiaTheme="minorEastAsia"/>
          <w:kern w:val="2"/>
          <w:lang w:val="en-GB" w:eastAsia="zh-CN"/>
        </w:rPr>
        <w:instrText>76 emu/g. The as synthesized Fe3O4 nanoparticles show well-established superparamagnetic properties with the blocking temperature at around 100 K. © 2008 Elsevier B.V. All rights reserved.","author":[{"dropping-particle":"","family":"Maity","given":"Dipak","non-dropping-particle":"","parse-names":false,"suffix":""},{"dropping-particle":"","family":"Choo","given":"Shi Guang","non-dropping-particle":"","parse-names":false,"suffix":""},{"dropping-particle":"","family":"Yi","given":"Jiabao","non-dropping-particle":"","parse-names":false,"suffix":""},{"dropping-particle":"","family":"Ding","given":"Jun","non-dropping-particle":"","parse-names":false,"suffix":""},{"dropping-particle":"","family":"Xue","given":"Jun Min","non-dropping-particle":"","parse-names":false,"suffix":""}],"container-title":"Journal of Magnetism and Magnetic Materials","id":"ITEM-7","issue":"9","issued":{"date-parts":[["2009"]]},"page":"1256-1259","title":"Synthesis of magnetite nanoparticles via a solvent-free thermal decomposition route","type":"article-journal","volume":"321"},"uris":["http://www.mendeley.com/documents/?uuid=11856648-766a-45d7-9ec6-688d435fa14c","http://www.mendeley.com/documents/?uuid=c56963a7-9f78-4eaa-ac13-84b006942235","http://www.mendeley.com/documents/?uuid=dd94a43e-5334-4273-b865-22ee252790de"]}],"mendeley":{"formattedCitation":"&lt;sup&gt;5–11&lt;/sup&gt;","plainTextFormattedCitation":"5–11","previouslyFormattedCitation":"&lt;sup&gt;5–11&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5–11</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Among the methods </w:t>
      </w:r>
      <w:r w:rsidRPr="00FB2A56">
        <w:rPr>
          <w:rStyle w:val="Maintext"/>
          <w:rFonts w:eastAsiaTheme="minorEastAsia"/>
          <w:kern w:val="2"/>
          <w:lang w:val="en-GB" w:eastAsia="zh-CN"/>
        </w:rPr>
        <w:lastRenderedPageBreak/>
        <w:t>reported the thermally induced solid state synthesis represents a facile and cost effective method for preparation of iron oxides in the size of nanometres</w:t>
      </w:r>
      <w:r w:rsidR="00FB2A56">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Stoia","given":"M","non-dropping-particle":"","parse-names":false,"suffix":""},{"dropping-particle":"","family":"Lazau","given":"C","non-dropping-particle":"","parse-names":false,"suffix":""}],"container-title":"Journal of Thermal Analysis and Calorimetry","id":"ITEM-1","issued":{"date-parts":[["2007"]]},"page":"27-32","title":"THERMAL DECOMPOSITION OF SOME METAL-ORGANIC PRECURSORS Fe2O3 nanoparticles","type":"article-journal","volume":"88"},"uris":["http://www.mendeley.com/documents/?uuid=142df6eb-59e4-4518-9e1c-67f493123dba","http://www.mendeley.com/documents/?uuid=b66d6c8e-03b6-4bd7-ba47-3d0da559e3a4","http://www.mendeley.com/documents/?uuid=70cd6633-b991-4999-b39b-29543c772ec7"]},{"id":"ITEM-2","itemData":{"DOI":"10.1021/cm0111074","ISBN":"0897-4756","ISSN":"08974756","abstract":"Structural and magnetic properties, methods of synthesis, and applications of seven iron(III) oxide polymorphs, including rare beta, epsilon, amorphous, and high-pressure forms, are reviewed. Thermal transformations resulting in the formation of iron oxides are classified according to different parameters, and their mechanisms are discussed. 57Fe Mössbauer spectroscopy is presented as a powerful tool for the identification, distinction, and characterization of individual polymorphs. The advantages of Mössbauer spectroscopy are demonstrated with two examples related to the study of the thermally induced solid-state reactions of Fe2(SO4)3. Structural and magnetic properties, methods of synthesis, and applications of seven iron(III) oxide polymorphs, including rare beta, epsilon, amorphous, and high-pressure forms, are reviewed. Thermal transformations resulting in the formation of iron oxides are classified according to different parameters, and their mechanisms are discussed. 57Fe Mössbauer spectroscopy is presented as a powerful tool for the identification, distinction, and characterization of individual polymorphs. The advantages of Mössbauer spectroscopy are demonstrated with two examples related to the study of the thermally induced solid-state reactions of Fe2(SO4)3.","author":[{"dropping-particle":"","family":"Zboril","given":"Radek","non-dropping-particle":"","parse-names":false,"suffix":""},{"dropping-particle":"","family":"Mashlan","given":"Miroslav","non-dropping-particle":"","parse-names":false,"suffix":""},{"dropping-particle":"","family":"Petridis","given":"Dimitris","non-dropping-particle":"","parse-names":false,"suffix":""}],"container-title":"Chemistry of Materials","id":"ITEM-2","issue":"3","issued":{"date-parts":[["2002"]]},"page":"969-982","title":"Iron(III) oxides from thermal processes-synthesis, structural and magnetic properties, Mössbauer spectroscopy characterization, and applications","type":"article-journal","volume":"14"},"uris":["http://www.mendeley.com/documents/?uuid=34701654-8a5a-408c-a15d-85259d370d38","http://www.mendeley.com/documents/?uuid=bae74591-fb4a-4097-857a-8037cf769a04","http://www.mendeley.com/documents/?uuid=9fb1874e-a19a-421d-aa36-1c709b074fbc"]}],"mendeley":{"formattedCitation":"&lt;sup&gt;12,13&lt;/sup&gt;","plainTextFormattedCitation":"12,13","previouslyFormattedCitation":"&lt;sup&gt;12,13&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12,13</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w:t>
      </w:r>
    </w:p>
    <w:p w:rsidR="00C90EEE" w:rsidRPr="00FB2A56" w:rsidRDefault="00C90EEE" w:rsidP="00DA780F">
      <w:pPr>
        <w:pStyle w:val="Vchoz"/>
        <w:spacing w:line="360" w:lineRule="auto"/>
        <w:jc w:val="both"/>
        <w:rPr>
          <w:rStyle w:val="Maintext"/>
          <w:rFonts w:eastAsiaTheme="minorEastAsia"/>
          <w:kern w:val="2"/>
          <w:lang w:val="en-GB" w:eastAsia="zh-CN"/>
        </w:rPr>
      </w:pPr>
      <w:r w:rsidRPr="00FB2A56">
        <w:rPr>
          <w:rStyle w:val="Maintext"/>
          <w:rFonts w:eastAsiaTheme="minorEastAsia"/>
          <w:kern w:val="2"/>
          <w:lang w:val="en-GB" w:eastAsia="zh-CN"/>
        </w:rPr>
        <w:t xml:space="preserve">Ferrous oxalate </w:t>
      </w:r>
      <w:proofErr w:type="spellStart"/>
      <w:r w:rsidRPr="00FB2A56">
        <w:rPr>
          <w:rStyle w:val="Maintext"/>
          <w:rFonts w:eastAsiaTheme="minorEastAsia"/>
          <w:kern w:val="2"/>
          <w:lang w:val="en-GB" w:eastAsia="zh-CN"/>
        </w:rPr>
        <w:t>dihydrate</w:t>
      </w:r>
      <w:proofErr w:type="spellEnd"/>
      <w:r w:rsidRPr="00FB2A56">
        <w:rPr>
          <w:rStyle w:val="Maintext"/>
          <w:rFonts w:eastAsiaTheme="minorEastAsia"/>
          <w:kern w:val="2"/>
          <w:lang w:val="en-GB" w:eastAsia="zh-CN"/>
        </w:rPr>
        <w:t xml:space="preserve"> is considered being a versatile precursor for iron oxides preparation. It is a metal organic mineral whose thermal decomposition leads to various forms </w:t>
      </w:r>
      <w:r w:rsidR="00FB2A56">
        <w:rPr>
          <w:rStyle w:val="Maintext"/>
          <w:rFonts w:eastAsiaTheme="minorEastAsia"/>
          <w:kern w:val="2"/>
          <w:lang w:val="en-GB" w:eastAsia="zh-CN"/>
        </w:rPr>
        <w:t>of oxide, both pure or mixtures.</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{"citationItems":[{"id":"ITEM-1","itemData":{"DOI":"10.1016/j.chemer.2016.06.005","ISSN":"0009-2819","author":[{"dropping-particle":"","family":"Baran","given":"Enrique J","non-dropping-particle":"","parse-names":false,"suffix":""}],"container-title":"Chemie der Erde - Geochemistry","id":"ITEM-1","issue":"3","issued":{"date-parts":[["2016"]]},"page":"449-460","publisher":"Elsevier GmbH.","title":"Natural iron oxalates and their analogous synthetic counterparts : A review","type":"article-journal","volume":"76"},"uris":["http://www.mendeley.com/documents/?uuid=0488b83f-3b4f-4550-abe4-e5620a577d73","http://www.mendeley.com/documents/?uuid=c1dda279-ff07-4de3-90ed-f210a36e0729","http://www.mendeley.com/documents/?uuid=f9c89029-89dc-4077-8082-740d30cc3721"]}],"mendeley":{"formattedCitation":"&lt;sup&gt;14&lt;/sup&gt;","plainTextFormattedCitation":"14","previouslyFormattedCitation":"&lt;sup&gt;14&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14</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The individual transformation routes of </w:t>
      </w:r>
      <w:proofErr w:type="gramStart"/>
      <w:r w:rsidRPr="00FB2A56">
        <w:rPr>
          <w:rStyle w:val="Maintext"/>
          <w:rFonts w:eastAsiaTheme="minorEastAsia"/>
          <w:kern w:val="2"/>
          <w:lang w:val="en-GB" w:eastAsia="zh-CN"/>
        </w:rPr>
        <w:t>FeC</w:t>
      </w:r>
      <w:r w:rsidRPr="00FB2A56">
        <w:rPr>
          <w:rStyle w:val="Maintext"/>
          <w:rFonts w:eastAsiaTheme="minorEastAsia"/>
          <w:kern w:val="2"/>
          <w:vertAlign w:val="subscript"/>
          <w:lang w:val="en-GB" w:eastAsia="zh-CN"/>
        </w:rPr>
        <w:t>2</w:t>
      </w:r>
      <w:r w:rsidRPr="00FB2A56">
        <w:rPr>
          <w:rStyle w:val="Maintext"/>
          <w:rFonts w:eastAsiaTheme="minorEastAsia"/>
          <w:kern w:val="2"/>
          <w:lang w:val="en-GB" w:eastAsia="zh-CN"/>
        </w:rPr>
        <w:t>O</w:t>
      </w:r>
      <w:r w:rsidRPr="00FB2A56">
        <w:rPr>
          <w:rStyle w:val="Maintext"/>
          <w:rFonts w:eastAsiaTheme="minorEastAsia"/>
          <w:kern w:val="2"/>
          <w:vertAlign w:val="subscript"/>
          <w:lang w:val="en-GB" w:eastAsia="zh-CN"/>
        </w:rPr>
        <w:t>4</w:t>
      </w:r>
      <w:r w:rsidRPr="00FB2A56">
        <w:rPr>
          <w:rStyle w:val="Maintext"/>
          <w:rFonts w:eastAsiaTheme="minorEastAsia"/>
          <w:kern w:val="2"/>
          <w:lang w:val="en-GB" w:eastAsia="zh-CN"/>
        </w:rPr>
        <w:t> . </w:t>
      </w:r>
      <w:proofErr w:type="gramEnd"/>
      <w:r w:rsidRPr="00FB2A56">
        <w:rPr>
          <w:rStyle w:val="Maintext"/>
          <w:rFonts w:eastAsiaTheme="minorEastAsia"/>
          <w:kern w:val="2"/>
          <w:lang w:val="en-GB" w:eastAsia="zh-CN"/>
        </w:rPr>
        <w:t>2H</w:t>
      </w:r>
      <w:r w:rsidRPr="00FB2A56">
        <w:rPr>
          <w:rStyle w:val="Maintext"/>
          <w:rFonts w:eastAsiaTheme="minorEastAsia"/>
          <w:kern w:val="2"/>
          <w:vertAlign w:val="subscript"/>
          <w:lang w:val="en-GB" w:eastAsia="zh-CN"/>
        </w:rPr>
        <w:t>2</w:t>
      </w:r>
      <w:r w:rsidRPr="00FB2A56">
        <w:rPr>
          <w:rStyle w:val="Maintext"/>
          <w:rFonts w:eastAsiaTheme="minorEastAsia"/>
          <w:kern w:val="2"/>
          <w:lang w:val="en-GB" w:eastAsia="zh-CN"/>
        </w:rPr>
        <w:t>O are influenced by many experimental conditions, but the composition of reaction atmosphere, temperature and time of calcination process are among the most important ones. For example, Zhou et al.</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-1","issue":"6","issued":{"date-parts":[["2008"]]},"page":"065602","title":"Room temperature synthesis of rod-like FeC(2)O(4)·2H(2)O and its transition to maghemite, magnetite and hematite nanorods through controlled thermal decomposition.","type":"article-journal","volume":"19"},"uris":["http://www.mendeley.com/documents/?uuid=4ca6b5d1-adfd-4ec2-b6a9-71115220afa5","http://www.mendeley.com/documents/?uuid=b2539824-a56d-4b58-ae69-04f27907cc48","http://www.mendeley.com/documents/?uuid=a8904774-f2da-4f02-b468-373740c2d331"]}],"mendeley":{"formattedCitation":"&lt;sup&gt;15&lt;/sup&gt;","plainTextFormattedCitation":"15","previouslyFormattedCitation":"&lt;sup&gt;15&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15</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reported the use of different reaction atmospheres to prepare rod-like particles composed of different forms of iron oxides.</w:t>
      </w:r>
    </w:p>
    <w:p w:rsidR="00C90EEE" w:rsidRPr="00FB2A56" w:rsidRDefault="00C90EEE" w:rsidP="00DA780F">
      <w:pPr>
        <w:pStyle w:val="Vchoz"/>
        <w:spacing w:line="360" w:lineRule="auto"/>
        <w:jc w:val="both"/>
        <w:rPr>
          <w:rStyle w:val="Maintext"/>
          <w:rFonts w:eastAsiaTheme="minorEastAsia"/>
          <w:kern w:val="2"/>
          <w:lang w:val="en-GB" w:eastAsia="zh-CN"/>
        </w:rPr>
      </w:pPr>
      <w:r w:rsidRPr="00FB2A56">
        <w:rPr>
          <w:rStyle w:val="Maintext"/>
          <w:rFonts w:eastAsiaTheme="minorEastAsia"/>
          <w:kern w:val="2"/>
          <w:lang w:val="en-GB" w:eastAsia="zh-CN"/>
        </w:rPr>
        <w:t xml:space="preserve"> The thermal decomposition of ferrous oxalate </w:t>
      </w:r>
      <w:proofErr w:type="spellStart"/>
      <w:r w:rsidRPr="00FB2A56">
        <w:rPr>
          <w:rStyle w:val="Maintext"/>
          <w:rFonts w:eastAsiaTheme="minorEastAsia"/>
          <w:kern w:val="2"/>
          <w:lang w:val="en-GB" w:eastAsia="zh-CN"/>
        </w:rPr>
        <w:t>dihydrate</w:t>
      </w:r>
      <w:proofErr w:type="spellEnd"/>
      <w:r w:rsidRPr="00FB2A56">
        <w:rPr>
          <w:rStyle w:val="Maintext"/>
          <w:rFonts w:eastAsiaTheme="minorEastAsia"/>
          <w:kern w:val="2"/>
          <w:lang w:val="en-GB" w:eastAsia="zh-CN"/>
        </w:rPr>
        <w:t xml:space="preserve"> in oxygen rich atmosphere (e.g., in air) has been reported in many studies.</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10.1002/ejic.200901066","ISSN":"14341948","author":[{"dropping-particle":"","family":"Gregor","given":"Cenek","non-dropping-particle":"","parse-names":false,"suffix":""},{"dropping-particle":"","family":"Hermanek","given":"Martin","non-dropping-particle":"","parse-names":false,"suffix":""},{"dropping-particle":"","family":"Jancik","given":"Dalibor","non-dropping-particle":"","parse-names":false,"suffix":""},{"dropping-particle":"","family":"Pechousek","given":"Jiri","non-dropping-particle":"","parse-names":false,"suffix":""},{"dropping-particle":"","family":"Filip","given":"Jan","non-dropping-particle":"","parse-names":false,"suffix":""},{"dropping-particle":"","family":"Hrbac","given":"Jan","non-dropping-particle":"","parse-names":false,"suffix":""},{"dropping-particle":"","family":"Zboril","given":"Radek","non-dropping-particle":"","parse-names":false,"suffix":""}],"container-title":"European Journal of Inorganic Chemistry","id":"ITEM-1","issue":"16","issued":{"date-parts":[["2010"]]},"page":"2343-2351","title":"The effect of surface area and crystal structure on the catalytic efficiency of Iron(III) oxide nanoparticles in hydrogen peroxide decomposition","type":"article-journal"},"uris":["http://www.mendeley.com/documents/?uuid=b4a15aef-ad2f-42de-b78c-a3613f0c009e","http://www.mendeley.com/documents/?uuid=fb9fa71f-d223-447b-b0fc-ab08eb2a97d5","http://www.mendeley.com/documents/?uuid=bbdaffbf-bccc-4507-b960-1a2e53578381"]},{"id":"ITEM-2","itemData":{"DOI":"10.1002/pssc.200405511","ISSN":"16101634","abstract":"Thermal decomposition of the FeC2O4.2H2O powder has been studied isothermally in static air conditions at minimum decomposition temperature of 180 degrees C using 57Fe Mossbauer spectroscopy, XRD, HRTEM, AFM and BET surface area measurements. Dehydration and liberation of carbon oxides from powdered sample is accompanied by direct oxidation of Fe(II) to nanocrystalline Fe2O3 without any indications of the stabilization of the magnetite ( Fe3O4 ) phase. Decomposition process is completed after two hours and as-prepared nanopowder (3-5 nm), with a large surface area of about 250 m2/g, is comprised of ultrafine superparamagnetic particles of gamma - Fe2O3 (maghemite) and alpha - Fe2O3 (hematite) as proved by low temperature Mossbauer spectroscopy, XRD and HRTEM analysis. The simultaneous formation of both polymorphs is probably related with the non-equivalent diffusion conditions on the surface and in the bulk of oxalate particles. With increasing time, the particle size induced phase transformation of maghemite to hematite has been observed by AFM and XRD. Mossbauer spectra demonstrate that maghemite particles are formed only in superparamagnetic state (doublet), while magnetic components (sextet) in room temperature spectra can be assigned exclusively to hematite particles with size distribution produced by gradual crystallization of primary superparamagnetic nanoparticles of the same structure as well as by the phase transition of maghemite phase.","author":[{"dropping-particle":"","family":"Zboril","given":"R.","non-dropping-particle":"","parse-names":false,"suffix":""},{"dropping-particle":"","family":"Machala","given":"L.","non-dropping-particle":"","parse-names":false,"suffix":""},{"dropping-particle":"","family":"Mashlan","given":"M.","non-dropping-particle":"","parse-names":false,"suffix":""},{"dropping-particle":"","family":"Hermanek","given":"M.","non-dropping-particle":"","parse-names":false,"suffix":""},{"dropping-particle":"","family":"Miglierini","given":"M.","non-dropping-particle":"","parse-names":false,"suffix":""},{"dropping-particle":"","family":"Fojtik","given":"A.","non-dropping-particle":"","parse-names":false,"suffix":""}],"container-title":"Physica Status Solidi C: Conferences","id":"ITEM-2","issue":"12","issued":{"date-parts":[["2004"]]},"page":"3583-3588","title":"Structural, magnetic and size transformations induced by isothermal treatment of ferrous oxalate dihydrate in static air conditions","type":"article-journal","volume":"1"},"uris":["http://www.mendeley.com/documents/?uuid=e527f9a1-40c2-4148-acf5-becf4e3a65a4","http://www.mendeley.com/documents/?uuid=3302bdea-1e83-4dca-8e4c-be621ec63c85","http://www.mendeley.com/documents/?uuid=48540901-a266-4acd-b123-68e9b1c97b16"]},{"id":"ITEM-3","itemData":{"DOI":"10.1021/jp110407n","ISSN":"10895639","PMID":"21158463","abstract":"Focusing on the formation and transformation of amorphous Fe(2)O(3) in the course of the thermally induced transformations of ferrous oxalate dehydrate in air, the kinetics and physico-geometric mechanisms of the respective reaction steps were investigated systematically by means of thermoanalytical methods, complemented by other techniques. The final product of α-Fe(2)O(3) is produced by heating the sample to 700 K via intermediates of poorly crystalline anhydrous FeC(2)O(4) and amorphous Fe(2)O(3), where the external shape and size of the original sample particles are retained during the overall course of reactions. The initial parts of all the three distinguished reaction steps, that is, thermal dehydration of crystalline water, oxidative decomposition of anhydrous FeC(2)O(4) and crystallization of amorphous Fe(2)O(3), are controlled kinetically by the formation or reconstruction of the surface product layers. The surface product layers play important roles of regulating the physico-geometric kinetic behavior of the established parts of the reactions. The oxidative decomposition of intermediate anhydrous FeC(2)O(4), characterized as the formation process of amorphous Fe(2)O(3), arrests in the final stage of the reaction. The as-produced amorphous Fe(2)O(3), protected probably by the outer shell of the surface product layer and the residual anhydrous FeC(2)O(3), crystallizes to α-Fe(2)O(3) being induced by the surface crystallization. Aiming to contribute notably toward provision of the establishment of the novel fabrication routes of nanosized iron oxides by the controlled crystallization of amorphous Fe(2)O(3), the possible factors controlling and/or affecting the formation and transformation kinetics of amorphous Fe(2)O(3) were discussed.","author":[{"dropping-particle":"","family":"Koga","given":"Nobuyoshi","non-dropping-particle":"","parse-names":false,"suffix":""},{"dropping-particle":"","family":"Sato","given":"Yuka","non-dropping-particle":"","parse-names":false,"suffix":""}],"container-title":"Journal of Physical Chemistry A","id":"ITEM-3","issue":"2","issued":{"date-parts":[["2011"]]},"page":"141-151","title":"Formation and transformation kinetics of amorphous iron(III) oxide during the thermally induced transformation of ferrous oxalate dihydrate in air","type":"article-journal","volume":"115"},"uris":["http://www.mendeley.com/documents/?uuid=a821b56c-1145-4132-bbc7-5a623e75dff7","http://www.mendeley.com/documents/?uuid=14e2fc50-8b83-464f-8f2d-910496939564","http://www.mendeley.com/documents/?uuid=4c549baa-d222-4409-8c44-e8070be98b0a"]},{"id":"ITEM-4","itemData":{"DOI":"10.1021/cm8011827","ISSN":"08974756","author":[{"dropping-particle":"","family":"Hermanek","given":"Martin","non-dropping-particle":"","parse-names":false,"suffix":""},{"dropping-particle":"","family":"Zboril","given":"Radek","non-dropping-particle":"","parse-names":false,"suffix":""}],"container-title":"Chemistry of Materials","id":"ITEM-4","issue":"16","issued":{"date-parts":[["2008"]]},"page":"5284-5295","title":"Polymorphous exhibitions of iron(III) oxide during isothermal oxidative decompositions of iron salts: A key role of the powder layer thickness","type":"article-journal","volume":"20"},"uris":["http://www.mendeley.com/documents/?uuid=9d8cd400-e452-43b7-adf5-734c970cc2ca","http://www.mendeley.com/documents/?uuid=47ce2e68-7517-4ed0-a591-9de4ec75a7ed","http://www.mendeley.com/documents/?uuid=0decaf0c-cc3c-4921-8ac1-ef7e8f373790"]},{"id":"ITEM-5","itemData":{"DOI":"10.1007/s10973-015-4757-z","ISSN":"13886150","author":[{"dropping-particle":"","family":"Feng","given":"Yu","non-dropping-particle":"","parse-names":false,"suffix":""},{"dropping-particle":"","family":"Hu","given":"Tianqi","non-dropping-particle":"","parse-names":false,"suffix":""},{"dropping-particle":"","family":"Pu","given":"Zhaoting","non-dropping-particle":"","parse-names":false,"suffix":""},{"dropping-particle":"","family":"Wu","given":"Mengmeng","non-dropping-particle":"","parse-names":false,"suffix":""},{"dropping-particle":"","family":"Mi","given":"Jie","non-dropping-particle":"","parse-names":false,"suffix":""}],"container-title":"Journal of Thermal Analysis and Calorimetry","id":"ITEM-5","issue":"2","issued":{"date-parts":[["2015"]]},"page":"947-953","publisher":"Springer Netherlands","title":"Non-isothermal decomposition kinetics of FeC2O4·2H2O prepared by solid-state method aiming at the formation of Fe2O3","type":"article-journal","volume":"122"},"uris":["http://www.mendeley.com/documents/?uuid=f2aa52be-033f-4c28-8ad6-ad0f30fd4e90","http://www.mendeley.com/documents/?uuid=4b75eac7-77c3-4d13-85df-2f1c7ea30870","http://www.mendeley.com/documents/?uuid=d7c5bf03-6ce3-4e20-9f3c-3fd060739e0d"]},{"id":"ITEM-6","itemData":{"DOI":"10.1134/S1023193515040151","ISBN":"1023193515","author":[{"dropping-particle":"","family":"Yue","given":"Linhai","non-dropping-particle":"","parse-names":false,"suffix":""},{"dropping-particle":"","family":"Liu","given":"Ruirui","non-dropping-particle":"","parse-names":false,"suffix":""},{"dropping-particle":"","family":"Jin","given":"Dalai","non-dropping-particle":"","parse-names":false,"suffix":""}],"container-title":"Russian journal of eletrochemistry","id":"ITEM-6","issue":"4","issued":{"date-parts":[["2015"]]},"page":"352-357","title":"Synthesis and Electrochemical Properties of Hierarchically Porous Fe2O3","type":"article-journal","volume":"51"},"uris":["http://www.mendeley.com/documents/?uuid=638c3ed9-934e-4e26-8baf-07bc98a951d8","http://www.mendeley.com/documents/?uuid=70e4c619-05b1-4217-be75-12fde4069b3c","http://www.mendeley.com/documents/?uuid=229a441b-61a6-4968-ae82-b4c6ef7cc502"]},{"id":"ITEM-7","itemData":{"DOI":"10.1166/jnn.2007.763","ISSN":"15334880","author":[{"dropping-particle":"","family":"Ganguli","given":"Ashok K.","non-dropping-particle":"","parse-names":false,"suffix":""},{"dropping-particle":"","family":"Ahmad","given":"Tokeer","non-dropping-particle":"","parse-names":false,"suffix":""}],"container-title":"Journal of Nanoscience and Nanotechnology","id":"ITEM-7","issue":"6","issued":{"date-parts":[["2007"]]},"page":"2029-2035","title":"Nanorods of Iron Oxalate Synthesized Using Reverse Micelles: Facile Route for α-Fe2O3","type":"article-journal","volume":"7"},"uris":["http://www.mendeley.com/documents/?uuid=ac9c51cd-60f7-4b50-954a-6be810c1c097","http://www.mendeley.com/documents/?uuid=047699c5-695b-4a63-9ea9-5332e39b14f1","http://www.mendeley.com/documents/?uuid=a887cce9-0b56-4306-a59b-cf794ab2fff2"]},{"id":"ITEM-8","itemData":{"DOI":"10.1002/ejic.200900835","ISSN":"14341948","abstract":"The thermal decomposition of ferric oxalate tetrahydrate Fe2(C2O4)3·4H2O was studied in dynamic oxidative and inert atmospheres by using a simultaneous thermogravimetric (TG) and differential scanning calorimetric (DSC) analytical device equipped with an evolved gas analyzer (EGA). Solid-state decomposition products formed during the decomposition were analyzed by 57Fe Mössbauer spectroscopy, in situ and ex situ X-ray powder diffraction, and magnetic measurements. In the dynamic inert atmosphere, we observed the formation of a tiny amount of superparamagnetic iron oxide (most likely Fe3O4) together with a majority of ferrous oxalate (FeC2O4) and remains of undecomposed Fe2(C2O4)3 after the first decomposition step, which finished at 210 °C. The astonishing presence of the oxidic phase at such low temperatures is a highly probable side effect of the main reduction action of the electrons on the FeIII cations in the ferric oxalate structure, thus resulting in the creation of intermediate FeC2O4. The final product of decomposition of the FeC2O4 intermediate in a dynamic inert atmosphere is a mixture of wüstite (FexO), α-iron (α-Fe), and magnetite (Fe3O4). Their proportion accurately reflects actual disproportionation/synproportionation/redisproportionation processes likely encouraged by the preserved size and morphology of the initial ferric oxalate crystals and that are dependent on temperature. In the oxidative atmosphere, the decomposition proceeds in the three overlapped stages that include dehydration, the astonishing reductive formation of FeC2O4 as an intermediate, and final decarboxylation to hematite (α-Fe2O3). The principal effect of the experimental conditions on the amount of intermediate formation of FeC2O4 in the oxidative atmosphere is also discussed and evaluated from the isothermal experiments carried out at 180 °C.","author":[{"dropping-particle":"","family":"Hermankova","given":"Pavla","non-dropping-particle":"","parse-names":false,"suffix":""},{"dropping-particle":"","family":"Hermanek","given":"Martin","non-dropping-particle":"","parse-names":false,"suffix":""},{"dropping-particle":"","family":"Zboril","given":"Radek","non-dropping-particle":"","parse-names":false,"suffix":""}],"container-title":"European Journal of Inorganic Chemistry","id":"ITEM-8","issue":"7","issued":{"date-parts":[["2010"]]},"page":"1110-1118","title":"Thermal decomposition of ferric oxalate tetrahydrate in oxidative and inert atmospheres: the role of ferrous oxalate as an intermediate","type":"article-journal"},"uris":["http://www.mendeley.com/documents/?uuid=6314a499-c24a-473b-a6b2-1a71e7cd3e13","http://www.mendeley.com/documents/?uuid=ade66004-5caf-4d87-9dc3-f589380f8d18","http://www.mendeley.com/documents/?uuid=dea7352d-5485-4d97-b425-9f373503f1ca"]},{"id":"ITEM-9","itemData":{"author":[{"dropping-particle":"","family":"Borker","given":"V","non-dropping-particle":"","parse-names":false,"suffix":""},{"dropping-particle":"","family":"Rane","given":"K S","non-dropping-particle":"","parse-names":false,"suffix":""}],"container-title":"Journal of Material Science","id":"ITEM-9","issued":{"date-parts":[["1993"]]},"page":"241-248","title":"Synthesis and decomposition of ferrous oxalato hydrazinate precursors to obtain magnetic oxides","type":"article-journal","volume":"4"},"uris":["http://www.mendeley.com/documents/?uuid=8a89848b-49a7-4878-91dd-30c083752638","http://www.mendeley.com/documents/?uuid=3eee18f8-5d73-4388-b1d6-939cf133b71d","http://www.mendeley.com/documents/?uuid=5fd3e75a-cd86-4540-b631-a51ee07cd6cb"]}],"mendeley":{"formattedCitation":"&lt;sup&gt;16–24&lt;/sup&gt;","plainTextFormattedCitation":"16–24","previouslyFormattedCitation":"&lt;sup&gt;16–24&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16–24</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If the </w:t>
      </w:r>
      <w:proofErr w:type="gramStart"/>
      <w:r w:rsidRPr="00FB2A56">
        <w:rPr>
          <w:rStyle w:val="Maintext"/>
          <w:rFonts w:eastAsiaTheme="minorEastAsia"/>
          <w:kern w:val="2"/>
          <w:lang w:val="en-GB" w:eastAsia="zh-CN"/>
        </w:rPr>
        <w:t>FeC</w:t>
      </w:r>
      <w:r w:rsidRPr="00FB2A56">
        <w:rPr>
          <w:rStyle w:val="Maintext"/>
          <w:rFonts w:eastAsiaTheme="minorEastAsia"/>
          <w:kern w:val="2"/>
          <w:vertAlign w:val="subscript"/>
          <w:lang w:val="en-GB" w:eastAsia="zh-CN"/>
        </w:rPr>
        <w:t>2</w:t>
      </w:r>
      <w:r w:rsidRPr="00FB2A56">
        <w:rPr>
          <w:rStyle w:val="Maintext"/>
          <w:rFonts w:eastAsiaTheme="minorEastAsia"/>
          <w:kern w:val="2"/>
          <w:lang w:val="en-GB" w:eastAsia="zh-CN"/>
        </w:rPr>
        <w:t>O</w:t>
      </w:r>
      <w:r w:rsidRPr="00FB2A56">
        <w:rPr>
          <w:rStyle w:val="Maintext"/>
          <w:rFonts w:eastAsiaTheme="minorEastAsia"/>
          <w:kern w:val="2"/>
          <w:vertAlign w:val="subscript"/>
          <w:lang w:val="en-GB" w:eastAsia="zh-CN"/>
        </w:rPr>
        <w:t>4</w:t>
      </w:r>
      <w:r w:rsidRPr="00FB2A56">
        <w:rPr>
          <w:rStyle w:val="Maintext"/>
          <w:rFonts w:eastAsiaTheme="minorEastAsia"/>
          <w:kern w:val="2"/>
          <w:lang w:val="en-GB" w:eastAsia="zh-CN"/>
        </w:rPr>
        <w:t> . </w:t>
      </w:r>
      <w:proofErr w:type="gramEnd"/>
      <w:r w:rsidRPr="00FB2A56">
        <w:rPr>
          <w:rStyle w:val="Maintext"/>
          <w:rFonts w:eastAsiaTheme="minorEastAsia"/>
          <w:kern w:val="2"/>
          <w:lang w:val="en-GB" w:eastAsia="zh-CN"/>
        </w:rPr>
        <w:t>2H</w:t>
      </w:r>
      <w:r w:rsidRPr="00FB2A56">
        <w:rPr>
          <w:rStyle w:val="Maintext"/>
          <w:rFonts w:eastAsiaTheme="minorEastAsia"/>
          <w:kern w:val="2"/>
          <w:vertAlign w:val="subscript"/>
          <w:lang w:val="en-GB" w:eastAsia="zh-CN"/>
        </w:rPr>
        <w:t>2</w:t>
      </w:r>
      <w:r w:rsidRPr="00FB2A56">
        <w:rPr>
          <w:rStyle w:val="Maintext"/>
          <w:rFonts w:eastAsiaTheme="minorEastAsia"/>
          <w:kern w:val="2"/>
          <w:lang w:val="en-GB" w:eastAsia="zh-CN"/>
        </w:rPr>
        <w:t>O is decomposed in air, the reaction is straight-forward and proceeds in two consecutive steps. It was shown that these two steps (endo + exothermal) partially overlap in differential thermal analysis (DTA) in the range up to 450 °C</w:t>
      </w:r>
      <w:r w:rsidR="00FB2A56">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10.1021/cm8011827","ISSN":"08974756","author":[{"dropping-particle":"","family":"Hermanek","given":"Martin","non-dropping-particle":"","parse-names":false,"suffix":""},{"dropping-particle":"","family":"Zboril","given":"Radek","non-dropping-particle":"","parse-names":false,"suffix":""}],"container-title":"Chemistry of Materials","id":"ITEM-1","issue":"16","issued":{"date-parts":[["2008"]]},"page":"5284-5295","title":"Polymorphous exhibitions of iron(III) oxide during isothermal oxidative decompositions of iron salts: A key role of the powder layer thickness","type":"article-journal","volume":"20"},"uris":["http://www.mendeley.com/documents/?uuid=0decaf0c-cc3c-4921-8ac1-ef7e8f373790","http://www.mendeley.com/documents/?uuid=47ce2e68-7517-4ed0-a591-9de4ec75a7ed","http://www.mendeley.com/documents/?uuid=9d8cd400-e452-43b7-adf5-734c970cc2ca"]}],"mendeley":{"formattedCitation":"&lt;sup&gt;19&lt;/sup&gt;","plainTextFormattedCitation":"19","previouslyFormattedCitation":"&lt;sup&gt;19&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19</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Firstly, approximately at 180 °C the water evaporates from the crystals; and then the anhydrous ferrous oxalate decomposes to iron oxides. At the temperature of 210 °C the amorphous ferric oxide is formed</w:t>
      </w:r>
      <w:r w:rsidR="003A66F7">
        <w:rPr>
          <w:rStyle w:val="Maintext"/>
          <w:rFonts w:eastAsiaTheme="minorEastAsia"/>
          <w:kern w:val="2"/>
          <w:lang w:val="en-GB" w:eastAsia="zh-CN"/>
        </w:rPr>
        <w:t>.</w:t>
      </w:r>
      <w:r w:rsidR="003A66F7">
        <w:rPr>
          <w:rStyle w:val="Maintext"/>
          <w:rFonts w:eastAsiaTheme="minorEastAsia"/>
          <w:kern w:val="2"/>
          <w:lang w:val="en-GB" w:eastAsia="zh-CN"/>
        </w:rPr>
        <w:fldChar w:fldCharType="begin" w:fldLock="1"/>
      </w:r>
      <w:r w:rsidR="00752133">
        <w:rPr>
          <w:rStyle w:val="Maintext"/>
          <w:rFonts w:eastAsiaTheme="minorEastAsia"/>
          <w:kern w:val="2"/>
          <w:lang w:val="en-GB" w:eastAsia="zh-CN"/>
        </w:rPr>
        <w:instrText>ADDIN CSL_CITATION {"citationItems":[{"id":"ITEM-1","itemData":{"DOI":"10.1063/1.4966008","author":[{"dropping-particle":"","family":"Smrčka","given":"David","non-dropping-particle":"","parse-names":false,"suffix":""},{"dropping-particle":"","family":"Procházka","given":"Vít","non-dropping-particle":"","parse-names":false,"suffix":""},{"dropping-particle":"","family":"Novák","given":"Petr","non-dropping-particle":"","parse-names":false,"suffix":""},{"dropping-particle":"","family":"Kašlík","given":"Josef","non-dropping-particle":"","parse-names":false,"suffix":""},{"dropping-particle":"","family":"Vrba","given":"Vlastimil","non-dropping-particle":"","parse-names":false,"suffix":""}],"container-title":"AIP Conference Proceedings","id":"ITEM-1","issue":"October","issued":{"date-parts":[["2016"]]},"page":"020012","title":"Iron oxalate decomposition process by means of Mössbauer spectroscopy and nuclear forward scattering","type":"article-journal","volume":"1781"},"uris":["http://www.mendeley.com/documents/?uuid=11980bac-187c-4265-ad8a-143ca8e77426"]},{"id":"ITEM-2","itemData":{"DOI":"10.1021/jp064992s","ISBN":"1520-6106","ISSN":"1520-6106","PMID":"17402772","abstract":"The syntheses of amorphous Fe(2)O(3) nanoparticles of varying size and morphology, their magnetic properties, crystallization mechanism, and applications are reviewed herein. The synthetic routes are classified according to the nature of the sample (powders, nanocomposites, films, coated particles). The contributions of various experimental techniques to the characterization of an amorphous Fe(2)O(3) phase are considered in this review, including some key experimental markers, allowing its distinction from nanocrystalline \"X-ray amorphous\" polymorphs (maghemite, hematite). We discuss the thermally induced crystallization mechanisms depending on transformation temperature, atmosphere, and the size of the amorphous particles that predetermine the structure of the primarily formed crystalline polymorph. The controversial description of the magnetic behavior, including an interpretation of the low-temperature and in-field Mössbauer spectra, is analyzed.","author":[{"dropping-particle":"","family":"Machala","given":"Libor","non-dropping-particle":"","parse-names":false,"suffix":""},{"dropping-particle":"","family":"Zboril","given":"Radek","non-dropping-particle":"","parse-names":false,"suffix":""},{"dropping-particle":"","family":"Gedanken","given":"Aharon","non-dropping-particle":"","parse-names":false,"suffix":""}],"container-title":"The journal of physical chemistry. B","id":"ITEM-2","issue":"Iii","issued":{"date-parts":[["2007"]]},"page":"4003-4018","title":"Amorphous iron(III) oxide--a review.","type":"article-journal","volume":"111"},"uris":["http://www.mendeley.com/documents/?uuid=4b529d8c-5f46-42e1-8541-7b78faf59cc3"]}],"mendeley":{"formattedCitation":"&lt;sup&gt;25,26&lt;/sup&gt;","plainTextFormattedCitation":"25,26","previouslyFormattedCitation":"&lt;sup&gt;25,26&lt;/sup&gt;"},"properties":{"noteIndex":0},"schema":"https://github.com/citation-style-language/schema/raw/master/csl-citation.json"}</w:instrText>
      </w:r>
      <w:r w:rsidR="003A66F7">
        <w:rPr>
          <w:rStyle w:val="Maintext"/>
          <w:rFonts w:eastAsiaTheme="minorEastAsia"/>
          <w:kern w:val="2"/>
          <w:lang w:val="en-GB" w:eastAsia="zh-CN"/>
        </w:rPr>
        <w:fldChar w:fldCharType="separate"/>
      </w:r>
      <w:r w:rsidR="003A66F7" w:rsidRPr="003A66F7">
        <w:rPr>
          <w:rStyle w:val="Maintext"/>
          <w:rFonts w:eastAsiaTheme="minorEastAsia"/>
          <w:noProof/>
          <w:kern w:val="2"/>
          <w:vertAlign w:val="superscript"/>
          <w:lang w:val="en-GB" w:eastAsia="zh-CN"/>
        </w:rPr>
        <w:t>25,26</w:t>
      </w:r>
      <w:r w:rsidR="003A66F7">
        <w:rPr>
          <w:rStyle w:val="Maintext"/>
          <w:rFonts w:eastAsiaTheme="minorEastAsia"/>
          <w:kern w:val="2"/>
          <w:lang w:val="en-GB" w:eastAsia="zh-CN"/>
        </w:rPr>
        <w:fldChar w:fldCharType="end"/>
      </w:r>
      <w:r w:rsidR="003A66F7">
        <w:rPr>
          <w:rStyle w:val="Maintext"/>
          <w:rFonts w:eastAsiaTheme="minorEastAsia"/>
          <w:kern w:val="2"/>
          <w:lang w:val="en-GB" w:eastAsia="zh-CN"/>
        </w:rPr>
        <w:t xml:space="preserve"> </w:t>
      </w:r>
      <w:r w:rsidRPr="00FB2A56">
        <w:rPr>
          <w:rStyle w:val="Maintext"/>
          <w:rFonts w:eastAsiaTheme="minorEastAsia"/>
          <w:kern w:val="2"/>
          <w:lang w:val="en-GB" w:eastAsia="zh-CN"/>
        </w:rPr>
        <w:t>With increased temperature and prolonged calcination, the amorphous ferric oxide transforms to hematite, which is the final product of the reaction</w:t>
      </w:r>
      <w:r w:rsidR="00FB2A56">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3A66F7">
        <w:rPr>
          <w:rStyle w:val="Maintext"/>
          <w:rFonts w:eastAsiaTheme="minorEastAsia"/>
          <w:kern w:val="2"/>
          <w:lang w:val="en-GB" w:eastAsia="zh-CN"/>
        </w:rPr>
        <w:instrText>ADDIN CSL_CITATION {"citationItems":[{"id":"ITEM-1","itemData":{"DOI":"10.1063/1.4966008","author":[{"dropping-particle":"","family":"Smrčka","given":"David","non-dropping-particle":"","parse-names":false,"suffix":""},{"dropping-particle":"","family":"Procházka","given":"Vít","non-dropping-particle":"","parse-names":false,"suffix":""},{"dropping-particle":"","family":"Novák","given":"Petr","non-dropping-particle":"","parse-names":false,"suffix":""},{"dropping-particle":"","family":"Kašlík","given":"Josef","non-dropping-particle":"","parse-names":false,"suffix":""},{"dropping-particle":"","family":"Vrba","given":"Vlastimil","non-dropping-particle":"","parse-names":false,"suffix":""}],"container-title":"AIP Conference Proceedings","id":"ITEM-1","issue":"October","issued":{"date-parts":[["2016"]]},"page":"020012","title":"Iron oxalate decomposition process by means of Mössbauer spectroscopy and nuclear forward scattering","type":"article-journal","volume":"1781"},"uris":["http://www.mendeley.com/documents/?uuid=7d5a8987-bd76-46bf-bb90-41b317890686","http://www.mendeley.com/documents/?uuid=11980bac-187c-4265-ad8a-143ca8e77426","http://www.mendeley.com/documents/?uuid=4b5d34f1-1d58-4fe2-9da6-45e4f95f767f"]}],"mendeley":{"formattedCitation":"&lt;sup&gt;25&lt;/sup&gt;","plainTextFormattedCitation":"25","previouslyFormattedCitation":"&lt;sup&gt;25&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3A66F7" w:rsidRPr="003A66F7">
        <w:rPr>
          <w:rStyle w:val="Maintext"/>
          <w:rFonts w:eastAsiaTheme="minorEastAsia"/>
          <w:noProof/>
          <w:kern w:val="2"/>
          <w:vertAlign w:val="superscript"/>
          <w:lang w:val="en-GB" w:eastAsia="zh-CN"/>
        </w:rPr>
        <w:t>25</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It is also possible to obtain hematite in mixture with </w:t>
      </w:r>
      <w:proofErr w:type="spellStart"/>
      <w:r w:rsidRPr="00FB2A56">
        <w:rPr>
          <w:rStyle w:val="Maintext"/>
          <w:rFonts w:eastAsiaTheme="minorEastAsia"/>
          <w:kern w:val="2"/>
          <w:lang w:val="en-GB" w:eastAsia="zh-CN"/>
        </w:rPr>
        <w:t>maghemite</w:t>
      </w:r>
      <w:proofErr w:type="spellEnd"/>
      <w:r w:rsidRPr="00FB2A56">
        <w:rPr>
          <w:rStyle w:val="Maintext"/>
          <w:rFonts w:eastAsiaTheme="minorEastAsia"/>
          <w:kern w:val="2"/>
          <w:lang w:val="en-GB" w:eastAsia="zh-CN"/>
        </w:rPr>
        <w:t xml:space="preserve"> by employing specific reaction conditions, for example, changing the thickness of the precursor layer and the annealing temperature, which allows to control the hematite/</w:t>
      </w:r>
      <w:proofErr w:type="spellStart"/>
      <w:r w:rsidRPr="00FB2A56">
        <w:rPr>
          <w:rStyle w:val="Maintext"/>
          <w:rFonts w:eastAsiaTheme="minorEastAsia"/>
          <w:kern w:val="2"/>
          <w:lang w:val="en-GB" w:eastAsia="zh-CN"/>
        </w:rPr>
        <w:t>maghemite</w:t>
      </w:r>
      <w:proofErr w:type="spellEnd"/>
      <w:r w:rsidRPr="00FB2A56">
        <w:rPr>
          <w:rStyle w:val="Maintext"/>
          <w:rFonts w:eastAsiaTheme="minorEastAsia"/>
          <w:kern w:val="2"/>
          <w:lang w:val="en-GB" w:eastAsia="zh-CN"/>
        </w:rPr>
        <w:t xml:space="preserve"> ratio</w:t>
      </w:r>
      <w:r w:rsidR="00FB2A56">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10.1021/cm8011827","ISSN":"08974756","author":[{"dropping-particle":"","family":"Hermanek","given":"Martin","non-dropping-particle":"","parse-names":false,"suffix":""},{"dropping-particle":"","family":"Zboril","given":"Radek","non-dropping-particle":"","parse-names":false,"suffix":""}],"container-title":"Chemistry of Materials","id":"ITEM-1","issue":"16","issued":{"date-parts":[["2008"]]},"page":"5284-5295","title":"Polymorphous exhibitions of iron(III) oxide during isothermal oxidative decompositions of iron salts: A key role of the powder layer thickness","type":"article-journal","volume":"20"},"uris":["http://www.mendeley.com/documents/?uuid=0decaf0c-cc3c-4921-8ac1-ef7e8f373790","http://www.mendeley.com/documents/?uuid=47ce2e68-7517-4ed0-a591-9de4ec75a7ed","http://www.mendeley.com/documents/?uuid=9d8cd400-e452-43b7-adf5-734c970cc2ca"]}],"mendeley":{"formattedCitation":"&lt;sup&gt;19&lt;/sup&gt;","plainTextFormattedCitation":"19","previouslyFormattedCitation":"&lt;sup&gt;19&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19</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Nanoparticles prepared in a such simple way were reported to have the superior catalytic activity in degradation of hydrogen peroxide</w:t>
      </w:r>
      <w:r w:rsidR="00FB2A56">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{"citationItems":[{"id":"ITEM-1","itemData":{"DOI":"10.1021/ja072918x","ISBN":"0002-7863","ISSN":"00027863","PMID":"17691785","abstract":"Various iron(III) oxide catalysts were prepared by controlled decomposition of a narrow layer (ca. 1 mm) of iron(II) oxalate dihydrate, FeC2O4·2H2O, in air at the minimum conversion temperature of 175 °C. This thermally induced solid-state process allows for simple synthesis of amorphous Fe2O3 nanoparticles and their controlled one-step crystallization to hematite (α-Fe2O3). Thus, nanopowders differing in surface area and particle crystallinity can be produced depending on the reaction time. The phase composition of iron(III) oxides was monitored by XRD and 57Fe Mössbauer spectroscopy including in-field measurements, providing information on the relative contents of amorphous and crystalline phases. The gradual changes in particle size and surface area accompanying crystallization were evaluated by HRTEM and BET analysis, respectively. The catalytic efficiency of the synthesized nanoparticles was tested by tracking the decomposition of hydrogen peroxide. The obtained kinetic data gave an unconventional no...","author":[{"dropping-particle":"","family":"Hermanek","given":"Martin","non-dropping-particle":"","parse-names":false,"suffix":""},{"dropping-particle":"","family":"Zboril","given":"Radek","non-dropping-particle":"","parse-names":false,"suffix":""},{"dropping-particle":"","family":"Medrik","given":"Ivo","non-dropping-particle":"","parse-names":false,"suffix":""},{"dropping-particle":"","family":"Pechousek","given":"Jiri","non-dropping-particle":"","parse-names":false,"suffix":""},{"dropping-particle":"","family":"Gregor","given":"Cenek","non-dropping-particle":"","parse-names":false,"suffix":""}],"container-title":"Journal of the American Chemical Society","id":"ITEM-1","issue":"35","issued":{"date-parts":[["2007"]]},"page":"10929-10936","title":"Catalytic efficiency of iron(III) oxides in decomposition of hydrogen peroxide: Competition between the surface area and crystallinity of nanoparticles","type":"article-journal","volume":"129"},"uris":["http://www.mendeley.com/documents/?uuid=434f6467-43c8-41a2-a10e-7046e7b961eb","http://www.mendeley.com/documents/?uuid=bd872299-0342-4760-90d1-51bf9c88648f","http://www.mendeley.com/documents/?uuid=0ab46775-abe5-4c6c-b89b-328fc7e5f0aa"]},{"id":"ITEM-2","itemData":{"DOI":"10.1002/ejic.200901066","ISSN":"14341948","author":[{"dropping-particle":"","family":"Gregor","given":"Cenek","non-dropping-particle":"","parse-names":false,"suffix":""},{"dropping-particle":"","family":"Hermanek","given":"Martin","non-dropping-particle":"","parse-names":false,"suffix":""},{"dropping-particle":"","family":"Jancik","given":"Dalibor","non-dropping-particle":"","parse-names":false,"suffix":""},{"dropping-particle":"","family":"Pechousek","given":"Jiri","non-dropping-particle":"","parse-names":false,"suffix":""},{"dropping-particle":"","family":"Filip","given":"Jan","non-dropping-particle":"","parse-names":false,"suffix":""},{"dropping-particle":"","family":"Hrbac","given":"Jan","non-dropping-particle":"","parse-names":false,"suffix":""},{"dropping-particle":"","family":"Zboril","given":"Radek","non-dropping-particle":"","parse-names":false,"suffix":""}],"container-title":"European Journal of Inorganic Chemistry","id":"ITEM-2","issue":"16","issued":{"date-parts":[["2010"]]},"page":"2343-2351","title":"The effect of surface area and crystal structure on the catalytic efficiency of Iron(III) oxide nanoparticles in hydrogen peroxide decomposition","type":"article-journal"},"uris":["http://www.mendeley.com/documents/?uuid=bbdaffbf-bccc-4507-b960-1a2e53578381","http://www.mendeley.com/documents/?uuid=fb9fa71f-d223-447b-b0fc-ab08eb2a97d5","http://www.mendeley.com/documents/?uuid=b4a15aef-ad2f-42de-b78c-a3613f0c009e"]}],"mendeley":{"formattedCitation":"&lt;sup&gt;16,27&lt;/sup&gt;","plainTextFormattedCitation":"16,27","previouslyFormattedCitation":"&lt;sup&gt;16,27&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16,27</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In addition, Rao et al.</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{"citationItems":[{"id":"ITEM-1","itemData":{"author":[{"dropping-particle":"","family":"Rao","given":"Venkatesh","non-dropping-particle":"","parse-names":false,"suffix":""},{"dropping-particle":"","family":"Shashimohan","given":"A. L.","non-dropping-particle":"","parse-names":false,"suffix":""},{"dropping-particle":"","family":"Biswas","given":"A. B.","non-dropping-particle":"","parse-names":false,"suffix":""}],"container-title":"Journal of Material Science","id":"ITEM-1","issued":{"date-parts":[["1974"]]},"page":"4-7","title":"Studies on the formation of gamma-Fe203 ( maghemite ) by thermal decomposition of ferrous oxalate dihydrate","type":"article-journal","volume":"9"},"uris":["http://www.mendeley.com/documents/?uuid=549a0922-5935-42ee-85ee-b0df2fa882f5","http://www.mendeley.com/documents/?uuid=1bd7e1c8-bcb3-47a6-abca-02c6ef3566f7","http://www.mendeley.com/documents/?uuid=9bcbbd65-f72c-4c3b-b8b0-782c1ad03d8a"]}],"mendeley":{"formattedCitation":"&lt;sup&gt;28&lt;/sup&gt;","plainTextFormattedCitation":"28","previouslyFormattedCitation":"&lt;sup&gt;28&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28</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reported an occurrence of the </w:t>
      </w:r>
      <w:proofErr w:type="spellStart"/>
      <w:r w:rsidRPr="00FB2A56">
        <w:rPr>
          <w:rStyle w:val="Maintext"/>
          <w:rFonts w:eastAsiaTheme="minorEastAsia"/>
          <w:kern w:val="2"/>
          <w:lang w:val="en-GB" w:eastAsia="zh-CN"/>
        </w:rPr>
        <w:t>maghemite</w:t>
      </w:r>
      <w:proofErr w:type="spellEnd"/>
      <w:r w:rsidRPr="00FB2A56">
        <w:rPr>
          <w:rStyle w:val="Maintext"/>
          <w:rFonts w:eastAsiaTheme="minorEastAsia"/>
          <w:kern w:val="2"/>
          <w:lang w:val="en-GB" w:eastAsia="zh-CN"/>
        </w:rPr>
        <w:t xml:space="preserve"> in the composition of the final decomposition product if the reaction atmosphere contained a significant amount of moisture. </w:t>
      </w:r>
    </w:p>
    <w:p w:rsidR="00C90EEE" w:rsidRPr="00FB2A56" w:rsidRDefault="00C90EEE" w:rsidP="00DA780F">
      <w:pPr>
        <w:pStyle w:val="Vchoz"/>
        <w:spacing w:line="360" w:lineRule="auto"/>
        <w:ind w:firstLine="420"/>
        <w:jc w:val="both"/>
        <w:rPr>
          <w:rStyle w:val="Maintext"/>
          <w:rFonts w:eastAsiaTheme="minorEastAsia"/>
          <w:kern w:val="2"/>
          <w:lang w:val="en-GB" w:eastAsia="zh-CN"/>
        </w:rPr>
      </w:pPr>
      <w:r w:rsidRPr="00FB2A56">
        <w:rPr>
          <w:rStyle w:val="Maintext"/>
          <w:rFonts w:eastAsiaTheme="minorEastAsia"/>
          <w:kern w:val="2"/>
          <w:lang w:val="en-GB" w:eastAsia="zh-CN"/>
        </w:rPr>
        <w:t>Another decomposition process was reported to take place under the inert atmosphere (e.g., nitrogen or argon)</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{"citationItems":[{"id":"ITEM-1","itemData":{"DOI":"10.1002/ejic.200900835","ISSN":"14341948","abstract":"The thermal decomposition of ferric oxalate tetrahydrate Fe2(C2O4)3·4H2O was studied in dynamic oxidative and inert atmospheres by using a simultaneous thermogravimetric (TG) and differential scanning calorimetric (DSC) analytical device equipped with an evolved gas analyzer (EGA). Solid-state decomposition products formed during the decomposition were analyzed by 57Fe Mössbauer spectroscopy, in situ and ex situ X-ray powder diffraction, and magnetic measurements. In the dynamic inert atmosphere, we observed the formation of a tiny amount of superparamagnetic iron oxide (most likely Fe3O4) together with a majority of ferrous oxalate (FeC2O4) and remains of undecomposed Fe2(C2O4)3 after the first decomposition step, which finished at 210 °C. The astonishing presence of the oxidic phase at such low temperatures is a highly probable side effect of the main reduction action of the electrons on the FeIII cations in the ferric oxalate structure, thus resulting in the creation of intermediate FeC2O4. The final product of decomposition of the FeC2O4 intermediate in a dynamic inert atmosphere is a mixture of wüstite (FexO), α-iron (α-Fe), and magnetite (Fe3O4). Their proportion accurately reflects actual disproportionation/synproportionation/redisproportionation processes likely encouraged by the preserved size and morphology of the initial ferric oxalate crystals and that are dependent on temperature. In the oxidative atmosphere, the decomposition proceeds in the three overlapped stages that include dehydration, the astonishing reductive formation of FeC2O4 as an intermediate, and final decarboxylation to hematite (α-Fe2O3). The principal effect of the experimental conditions on the amount of intermediate formation of FeC2O4 in the oxidative atmosphere is also discussed and evaluated from the isothermal experiments carried out at 180 °C.","author":[{"dropping-particle":"","family":"Hermankova","given":"Pavla","non-dropping-particle":"","parse-names":false,"suffix":""},{"dropping-particle":"","family":"Hermanek","given":"Martin","non-dropping-particle":"","parse-names":false,"suffix":""},{"dropping-particle":"","family":"Zboril","given":"Radek","non-dropping-particle":"","parse-names":false,"suffix":""}],"container-title":"European Journal of Inorganic Chemistry","id":"ITEM-1","issue":"7","issued":{"date-parts":[["2010"]]},"page":"1110-1118","title":"Thermal decomposition of ferric oxalate tetrahydrate in oxidative and inert atmospheres: the role of ferrous oxalate as an intermediate","type":"article-journal"},"uris":["http://www.mendeley.com/documents/?uuid=dea7352d-5485-4d97-b425-9f373503f1ca","http://www.mendeley.com/documents/?uuid=ade66004-5caf-4d87-9dc3-f589380f8d18","http://www.mendeley.com/documents/?uuid=6314a499-c24a-473b-a6b2-1a71e7cd3e13"]}],"mendeley":{"formattedCitation":"&lt;sup&gt;23&lt;/sup&gt;","plainTextFormattedCitation":"23","previouslyFormattedCitation":"&lt;sup&gt;23&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23</w:t>
      </w:r>
      <w:r w:rsidRPr="00FB2A56">
        <w:rPr>
          <w:rStyle w:val="Maintext"/>
          <w:rFonts w:eastAsiaTheme="minorEastAsia"/>
          <w:kern w:val="2"/>
          <w:lang w:val="en-GB" w:eastAsia="zh-CN"/>
        </w:rPr>
        <w:fldChar w:fldCharType="end"/>
      </w:r>
      <w:r w:rsidRPr="003A66F7">
        <w:rPr>
          <w:rStyle w:val="Maintext"/>
          <w:rFonts w:eastAsiaTheme="minorEastAsia"/>
          <w:kern w:val="2"/>
          <w:vertAlign w:val="superscript"/>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{"citationItems":[{"id":"ITEM-1","itemData":{"author":[{"dropping-particle":"","family":"Mohamed","given":"A","non-dropping-particle":"","parse-names":false,"suffix":""},{"dropping-particle":"","family":"Galwey","given":"Andrew K","non-dropping-particle":"","parse-names":false,"suffix":""}],"container-title":"Thermochimica Acta","id":"ITEM-1","issued":{"date-parts":[["1993"]]},"page":"269-278","title":"A kinetic and mechanistic study of the isothermal decomposition of ferrous oxalate dihydrate","type":"article-journal","volume":"213"},"uris":["http://www.mendeley.com/documents/?uuid=62706cd2-041e-4430-a060-5523ac3c8777","http://www.mendeley.com/documents/?uuid=8f00bc9e-b3d9-4477-9012-20f4c57b3964","http://www.mendeley.com/documents/?uuid=458c1614-ad6f-452b-b4d0-d5135d2f1683"]},{"id":"ITEM-2","itemData":{"DOI":"10.1016/j.jpcs.2004.06.019","ISBN":"5522222956","author":[{"dropping-particle":"","family":"Carrillo","given":"J L","non-dropping-particle":"","parse-names":false,"suffix":""},{"dropping-particle":"","family":"Mendoza","given":"M E","non-dropping-particle":"","parse-names":false,"suffix":""},{"dropping-particle":"","family":"Donado","given":"F","non-dropping-particle":"","parse-names":false,"suffix":""},{"dropping-particle":"","family":"Silva","given":"R","non-dropping-particle":"","parse-names":false,"suffix":""},{"dropping-particle":"","family":"Pe","given":"M A","non-dropping-particle":"","parse-names":false,"suffix":""}],"container-title":"Journal of Physics and Chemistry of Solids","id":"ITEM-2","issued":{"date-parts":[["2005"]]},"page":"927-931","title":"Magnetite microcrystals for magneto-rheological fluids","type":"article-journal","volume":"66"},"uris":["http://www.mendeley.com/documents/?uuid=2457d743-1f2a-4c5e-a369-64b8da5b0b01","http://www.mendeley.com/documents/?uuid=de57898d-6dcc-47e3-86f5-43b096efeaa7","http://www.mendeley.com/documents/?uuid=11fabd25-96a7-4dbf-9d4d-0328ebb0e5e4"]},{"id":"ITEM-3","itemData":{"author":[{"dropping-particle":"","family":"Macklen","given":"E D","non-dropping-particle":"","parse-names":false,"suffix":""}],"container-title":"J. inorg. nucl. Chem.","id":"ITEM-3","issued":{"date-parts":[["1967"]]},"page":"1229-1234","title":"Influence of atmosphere on the thermal decomposition of ferrous oxalate dihydrate","type":"article-journal","volume":"29"},"uris":["http://www.mendeley.com/documents/?uuid=de647592-0485-4e39-9b88-e315547b03b5","http://www.mendeley.com/documents/?uuid=f696c620-9136-4294-adb4-7b524dcad775","http://www.mendeley.com/documents/?uuid=528edb00-1719-488b-955f-e72eaa13ed14"]},{"id":"ITEM-4","itemData":{"author":[{"dropping-particle":"","family":"Broadbent","given":"D.","non-dropping-particle":"","parse-names":false,"suffix":""},{"dropping-particle":"","family":"Dollimore","given":"D.","non-dropping-particle":"","parse-names":false,"suffix":""},{"dropping-particle":"","family":"Dollimore","given":"J.","non-dropping-particle":"","parse-names":false,"suffix":""}],"container-title":"J. Chem. Soc. (A)","id":"ITEM-4","issue":"0","issued":{"date-parts":[["1967"]]},"page":"451-454","title":"The Thermal Decomposition of Oxalates. Part IX. Decomposition of the Oxalate Complexes of Iron","type":"article-journal"},"uris":["http://www.mendeley.com/documents/?uuid=71570dac-5f7f-4f02-a6ad-b82658aace77","http://www.mendeley.com/documents/?uuid=a1e79897-444c-4ca3-a210-b5040ca5e1f0","http://www.mendeley.com/documents/?uuid=e54c6601-50ac-4424-b544-89aba3a70bcb"]},{"id":"ITEM-5","itemData":{"author":[{"dropping-particle":"","family":"Brown","given":"R A","non-dropping-particle":"","parse-names":false,"suffix":""}],"container-title":"J. inorg. nucl. Chem.","id":"ITEM-5","issue":"1954","issued":{"date-parts":[["1966"]]},"page":"387-391","title":"The thermal decomposition of ferrous oxalate dihydrate","type":"article-journal","volume":"28"},"uris":["http://www.mendeley.com/documents/?uuid=b128bbe3-4b36-4479-baae-af9f9fe3a197","http://www.mendeley.com/documents/?uuid=f2fc87ad-be93-4c50-ab1a-b1a12706d410","http://www.mendeley.com/documents/?uuid=9cf227e7-c5ac-4ec8-8e95-54b3b901b43a"]}],"mendeley":{"formattedCitation":"&lt;sup&gt;29–33&lt;/sup&gt;","plainTextFormattedCitation":"29–33","previouslyFormattedCitation":"&lt;sup&gt;29–33&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29–33</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The differential thermal analysis (DTA) of this process generally show two major events in the range up to 450 °C, which are well separated and both of them are endothermic</w:t>
      </w:r>
      <w:r w:rsidR="003A66F7">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{"citationItems":[{"id":"ITEM-1","itemData":{"author":[{"dropping-particle":"","family":"Mohamed","given":"A","non-dropping-particle":"","parse-names":false,"suffix":""},{"dropping-particle":"","family":"Galwey","given":"Andrew K","non-dropping-particle":"","parse-names":false,"suffix":""}],"container-title":"Thermochimica Acta","id":"ITEM-1","issued":{"date-parts":[["1993"]]},"page":"269-278","title":"A kinetic and mechanistic study of the isothermal decomposition of ferrous oxalate dihydrate","type":"article-journal","volume":"213"},"uris":["http://www.mendeley.com/documents/?uuid=458c1614-ad6f-452b-b4d0-d5135d2f1683","http://www.mendeley.com/documents/?uuid=8f00bc9e-b3d9-4477-9012-20f4c57b3964","http://www.mendeley.com/documents/?uuid=62706cd2-041e-4430-a060-5523ac3c8777"]}],"mendeley":{"formattedCitation":"&lt;sup&gt;29&lt;/sup&gt;","plainTextFormattedCitation":"29","previouslyFormattedCitation":"&lt;sup&gt;29&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29</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The first event corresponds to the evaporation of water molecules (180 °C), while the other one, a large asymmetric peak which starts at approximately 320–350 °C, is attributed to the decomposition of oxalate group and the formation of oxides. One of the generally accepted decomposition mechanisms assumes that the anhydrous ferrous oxalate decomposes to </w:t>
      </w:r>
      <w:proofErr w:type="spellStart"/>
      <w:r w:rsidRPr="00FB2A56">
        <w:rPr>
          <w:rStyle w:val="Maintext"/>
          <w:rFonts w:eastAsiaTheme="minorEastAsia"/>
          <w:kern w:val="2"/>
          <w:lang w:val="en-GB" w:eastAsia="zh-CN"/>
        </w:rPr>
        <w:t>wüstite</w:t>
      </w:r>
      <w:proofErr w:type="spellEnd"/>
      <w:r w:rsidRPr="00FB2A56">
        <w:rPr>
          <w:rStyle w:val="Maintext"/>
          <w:rFonts w:eastAsiaTheme="minorEastAsia"/>
          <w:kern w:val="2"/>
          <w:lang w:val="en-GB" w:eastAsia="zh-CN"/>
        </w:rPr>
        <w:t xml:space="preserve">, which immediately transforms to magnetite and α-iron, due to </w:t>
      </w:r>
      <w:r w:rsidRPr="00FB2A56">
        <w:rPr>
          <w:rStyle w:val="Maintext"/>
          <w:rFonts w:eastAsiaTheme="minorEastAsia"/>
          <w:kern w:val="2"/>
          <w:lang w:val="en-GB" w:eastAsia="zh-CN"/>
        </w:rPr>
        <w:lastRenderedPageBreak/>
        <w:t>its instability under 570 °C</w:t>
      </w:r>
      <w:r w:rsidR="003A66F7">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{"citationItems":[{"id":"ITEM-1","itemData":{"author":[{"dropping-particle":"","family":"Macklen","given":"E D","non-dropping-particle":"","parse-names":false,"suffix":""}],"container-title":"J. inorg. nucl. Chem.","id":"ITEM-1","issued":{"date-parts":[["1967"]]},"page":"1229-1234","title":"Influence of atmosphere on the thermal decomposition of ferrous oxalate dihydrate","type":"article-journal","volume":"29"},"uris":["http://www.mendeley.com/documents/?uuid=528edb00-1719-488b-955f-e72eaa13ed14","http://www.mendeley.com/documents/?uuid=f696c620-9136-4294-adb4-7b524dcad775","http://www.mendeley.com/documents/?uuid=de647592-0485-4e39-9b88-e315547b03b5"]}],"mendeley":{"formattedCitation":"&lt;sup&gt;31&lt;/sup&gt;","plainTextFormattedCitation":"31","previouslyFormattedCitation":"&lt;sup&gt;31&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31</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However, the experimental confirmation of this mechanism is still required as the formation of </w:t>
      </w:r>
      <w:proofErr w:type="spellStart"/>
      <w:r w:rsidRPr="00FB2A56">
        <w:rPr>
          <w:rStyle w:val="Maintext"/>
          <w:rFonts w:eastAsiaTheme="minorEastAsia"/>
          <w:kern w:val="2"/>
          <w:lang w:val="en-GB" w:eastAsia="zh-CN"/>
        </w:rPr>
        <w:t>wüstite</w:t>
      </w:r>
      <w:proofErr w:type="spellEnd"/>
      <w:r w:rsidRPr="00FB2A56">
        <w:rPr>
          <w:rStyle w:val="Maintext"/>
          <w:rFonts w:eastAsiaTheme="minorEastAsia"/>
          <w:kern w:val="2"/>
          <w:lang w:val="en-GB" w:eastAsia="zh-CN"/>
        </w:rPr>
        <w:t xml:space="preserve"> phase has never been observed directly. This mechanism was indirectly supported by the findings in  studies</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{"citationItems":[{"id":"ITEM-1","itemData":{"author":[{"dropping-particle":"","family":"Macklen","given":"E D","non-dropping-particle":"","parse-names":false,"suffix":""}],"container-title":"J. inorg. nucl. Chem.","id":"ITEM-1","issued":{"date-parts":[["1967"]]},"page":"1229-1234","title":"Influence of atmosphere on the thermal decomposition of ferrous oxalate dihydrate","type":"article-journal","volume":"29"},"uris":["http://www.mendeley.com/documents/?uuid=528edb00-1719-488b-955f-e72eaa13ed14","http://www.mendeley.com/documents/?uuid=f696c620-9136-4294-adb4-7b524dcad775","http://www.mendeley.com/documents/?uuid=de647592-0485-4e39-9b88-e315547b03b5"]},{"id":"ITEM-2","itemData":{"author":[{"dropping-particle":"","family":"Broadbent","given":"D.","non-dropping-particle":"","parse-names":false,"suffix":""},{"dropping-particle":"","family":"Dollimore","given":"D.","non-dropping-particle":"","parse-names":false,"suffix":""},{"dropping-particle":"","family":"Dollimore","given":"J.","non-dropping-particle":"","parse-names":false,"suffix":""}],"container-title":"J. Chem. Soc. (A)","id":"ITEM-2","issue":"0","issued":{"date-parts":[["1967"]]},"page":"451-454","title":"The Thermal Decomposition of Oxalates. Part IX. Decomposition of the Oxalate Complexes of Iron","type":"article-journal"},"uris":["http://www.mendeley.com/documents/?uuid=e54c6601-50ac-4424-b544-89aba3a70bcb","http://www.mendeley.com/documents/?uuid=a1e79897-444c-4ca3-a210-b5040ca5e1f0","http://www.mendeley.com/documents/?uuid=71570dac-5f7f-4f02-a6ad-b82658aace77","http://www.mendeley.com/documents/?uuid=cbd072bd-6a79-4b69-a42c-c907f8b0295a","http://www.mendeley.com/documents/?uuid=c2648a29-9dba-448a-be71-74f1b015be41"]},{"id":"ITEM-3","itemData":{"author":[{"dropping-particle":"","family":"Brown","given":"R A","non-dropping-particle":"","parse-names":false,"suffix":""}],"container-title":"J. inorg. nucl. Chem.","id":"ITEM-3","issue":"1954","issued":{"date-parts":[["1966"]]},"page":"387-391","title":"The thermal decomposition of ferrous oxalate dihydrate","type":"article-journal","volume":"28"},"uris":["http://www.mendeley.com/documents/?uuid=9cf227e7-c5ac-4ec8-8e95-54b3b901b43a","http://www.mendeley.com/documents/?uuid=f2fc87ad-be93-4c50-ab1a-b1a12706d410","http://www.mendeley.com/documents/?uuid=b128bbe3-4b36-4479-baae-af9f9fe3a197","http://www.mendeley.com/documents/?uuid=325cf43b-14be-4a37-9a9d-4a30c82e3827","http://www.mendeley.com/documents/?uuid=f114dad0-e62b-4242-b34c-382fd5cf6664"]}],"mendeley":{"formattedCitation":"&lt;sup&gt;31–33&lt;/sup&gt;","plainTextFormattedCitation":"31–33","previouslyFormattedCitation":"&lt;sup&gt;31–33&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31–33</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which identified magnetite and α-iron as major and minor phases of the final product at the temperature up to 550 °C. Another accepted mechanism</w:t>
      </w:r>
      <w:r w:rsidRPr="00FB2A56">
        <w:rPr>
          <w:rStyle w:val="Maintext"/>
          <w:rFonts w:eastAsiaTheme="minorEastAsia"/>
          <w:kern w:val="2"/>
          <w:lang w:val="en-GB" w:eastAsia="zh-CN"/>
        </w:rPr>
        <w:fldChar w:fldCharType="begin" w:fldLock="1"/>
      </w:r>
      <w:r w:rsidR="00752133">
        <w:rPr>
          <w:rStyle w:val="Maintext"/>
          <w:rFonts w:eastAsiaTheme="minorEastAsia"/>
          <w:kern w:val="2"/>
          <w:lang w:val="en-GB" w:eastAsia="zh-CN"/>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34</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assumes that the anhydrous oxalate decomposes directly to ultra-fine magnetite particles with no </w:t>
      </w:r>
      <w:proofErr w:type="spellStart"/>
      <w:r w:rsidRPr="00FB2A56">
        <w:rPr>
          <w:rStyle w:val="Maintext"/>
          <w:rFonts w:eastAsiaTheme="minorEastAsia"/>
          <w:kern w:val="2"/>
          <w:lang w:val="en-GB" w:eastAsia="zh-CN"/>
        </w:rPr>
        <w:t>wüstite</w:t>
      </w:r>
      <w:proofErr w:type="spellEnd"/>
      <w:r w:rsidRPr="00FB2A56">
        <w:rPr>
          <w:rStyle w:val="Maintext"/>
          <w:rFonts w:eastAsiaTheme="minorEastAsia"/>
          <w:kern w:val="2"/>
          <w:lang w:val="en-GB" w:eastAsia="zh-CN"/>
        </w:rPr>
        <w:t xml:space="preserve"> intermediate. The two Mössbauer </w:t>
      </w:r>
      <w:r w:rsidR="003A66F7">
        <w:rPr>
          <w:rStyle w:val="Maintext"/>
          <w:rFonts w:eastAsiaTheme="minorEastAsia"/>
          <w:kern w:val="2"/>
          <w:lang w:val="en-GB" w:eastAsia="zh-CN"/>
        </w:rPr>
        <w:t>spectroscopy investigations</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{"citationItems":[{"id":"ITEM-1","itemData":{"author":[{"dropping-particle":"","family":"Halsey","given":"M. J.","non-dropping-particle":"","parse-names":false,"suffix":""},{"dropping-particle":"","family":"Pritchard","given":"A. M.","non-dropping-particle":"","parse-names":false,"suffix":""}],"container-title":"J. Chem.","id":"ITEM-1","issue":"2878","issued":{"date-parts":[["1968"]]},"page":"2878-2880","title":"Thermal Decomposition of Iron(ii) Oxalate Dihydrate in Nitrogen Using the Mossbauer Effect","type":"article-journal"},"uris":["http://www.mendeley.com/documents/?uuid=fa867545-2382-4ff9-b529-d826ca7b32ca","http://www.mendeley.com/documents/?uuid=bb44c68f-20c0-436b-afbe-cc5e77a92102","http://www.mendeley.com/documents/?uuid=dd554e64-3926-4a05-8279-8b9c58209313"]},{"id":"ITEM-2","itemData":{"author":[{"dropping-particle":"","family":"Katada","given":"M","non-dropping-particle":"","parse-names":false,"suffix":""},{"dropping-particle":"","family":"Ogimoto","given":"T","non-dropping-particle":"","parse-names":false,"suffix":""}],"container-title":"Journal of Radioanalytical and Nuclear Chemistry","id":"ITEM-2","issue":"1","issued":{"date-parts":[["2000"]]},"page":"7-14","title":"Mössbauer spectroscopy of iron oxides and related compounds","type":"article-journal","volume":"246"},"uris":["http://www.mendeley.com/documents/?uuid=8945abd8-1a34-444c-a76c-c64cb829a7b9","http://www.mendeley.com/documents/?uuid=3c94362f-7f37-48a7-9c5a-aaab94d48b1e","http://www.mendeley.com/documents/?uuid=15fd7c5d-d7f0-4256-8be6-8b61b63ba962"]}],"mendeley":{"formattedCitation":"&lt;sup&gt;35,36&lt;/sup&gt;","plainTextFormattedCitation":"35,36","previouslyFormattedCitation":"&lt;sup&gt;35,36&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35,36</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of thermal decomposition of ferrous oxalate </w:t>
      </w:r>
      <w:proofErr w:type="spellStart"/>
      <w:r w:rsidRPr="00FB2A56">
        <w:rPr>
          <w:rStyle w:val="Maintext"/>
          <w:rFonts w:eastAsiaTheme="minorEastAsia"/>
          <w:kern w:val="2"/>
          <w:lang w:val="en-GB" w:eastAsia="zh-CN"/>
        </w:rPr>
        <w:t>dihydrate</w:t>
      </w:r>
      <w:proofErr w:type="spellEnd"/>
      <w:r w:rsidRPr="00FB2A56">
        <w:rPr>
          <w:rStyle w:val="Maintext"/>
          <w:rFonts w:eastAsiaTheme="minorEastAsia"/>
          <w:kern w:val="2"/>
          <w:lang w:val="en-GB" w:eastAsia="zh-CN"/>
        </w:rPr>
        <w:t xml:space="preserve"> in the inert atmosphere did not exhibit any formation of α-iron, although the experiments as we</w:t>
      </w:r>
      <w:r w:rsidR="003A66F7">
        <w:rPr>
          <w:rStyle w:val="Maintext"/>
          <w:rFonts w:eastAsiaTheme="minorEastAsia"/>
          <w:kern w:val="2"/>
          <w:lang w:val="en-GB" w:eastAsia="zh-CN"/>
        </w:rPr>
        <w:t>ll as Mössbauer measurements</w:t>
      </w:r>
      <w:r w:rsidRPr="00FB2A56">
        <w:rPr>
          <w:rStyle w:val="Maintext"/>
          <w:rFonts w:eastAsiaTheme="minorEastAsia"/>
          <w:kern w:val="2"/>
          <w:lang w:val="en-GB" w:eastAsia="zh-CN"/>
        </w:rPr>
        <w:t xml:space="preserve"> were performed inside the glass tube, which prevented the oxidation of small particles of α-iron</w:t>
      </w:r>
      <w:r w:rsidR="003A66F7">
        <w:rPr>
          <w:rStyle w:val="Maintext"/>
          <w:rFonts w:eastAsiaTheme="minorEastAsia"/>
          <w:kern w:val="2"/>
          <w:lang w:val="en-GB" w:eastAsia="zh-CN"/>
        </w:rPr>
        <w:t>.</w:t>
      </w:r>
      <w:r w:rsidR="003A66F7" w:rsidRPr="00FB2A56">
        <w:rPr>
          <w:rStyle w:val="Maintext"/>
          <w:rFonts w:eastAsiaTheme="minorEastAsia"/>
          <w:kern w:val="2"/>
          <w:lang w:val="en-GB" w:eastAsia="zh-CN"/>
        </w:rPr>
        <w:fldChar w:fldCharType="begin" w:fldLock="1"/>
      </w:r>
      <w:r w:rsidR="003A66F7">
        <w:rPr>
          <w:rStyle w:val="Maintext"/>
          <w:rFonts w:eastAsiaTheme="minorEastAsia"/>
          <w:kern w:val="2"/>
          <w:lang w:val="en-GB" w:eastAsia="zh-CN"/>
        </w:rPr>
        <w:instrText>ADDIN CSL_CITATION {"citationItems":[{"id":"ITEM-1","itemData":{"author":[{"dropping-particle":"","family":"Katada","given":"M","non-dropping-particle":"","parse-names":false,"suffix":""},{"dropping-particle":"","family":"Ogimoto","given":"T","non-dropping-particle":"","parse-names":false,"suffix":""}],"container-title":"Journal of Radioanalytical and Nuclear Chemistry","id":"ITEM-1","issue":"1","issued":{"date-parts":[["2000"]]},"page":"7-14","title":"Mössbauer spectroscopy of iron oxides and related compounds","type":"article-journal","volume":"246"},"uris":["http://www.mendeley.com/documents/?uuid=15fd7c5d-d7f0-4256-8be6-8b61b63ba962","http://www.mendeley.com/documents/?uuid=3c94362f-7f37-48a7-9c5a-aaab94d48b1e","http://www.mendeley.com/documents/?uuid=8945abd8-1a34-444c-a76c-c64cb829a7b9"]}],"mendeley":{"formattedCitation":"&lt;sup&gt;36&lt;/sup&gt;","plainTextFormattedCitation":"36","previouslyFormattedCitation":"&lt;sup&gt;36&lt;/sup&gt;"},"properties":{"noteIndex":0},"schema":"https://github.com/citation-style-language/schema/raw/master/csl-citation.json"}</w:instrText>
      </w:r>
      <w:r w:rsidR="003A66F7" w:rsidRPr="00FB2A56">
        <w:rPr>
          <w:rStyle w:val="Maintext"/>
          <w:rFonts w:eastAsiaTheme="minorEastAsia"/>
          <w:kern w:val="2"/>
          <w:lang w:val="en-GB" w:eastAsia="zh-CN"/>
        </w:rPr>
        <w:fldChar w:fldCharType="separate"/>
      </w:r>
      <w:r w:rsidR="003A66F7" w:rsidRPr="00FB2A56">
        <w:rPr>
          <w:rStyle w:val="Maintext"/>
          <w:rFonts w:eastAsiaTheme="minorEastAsia"/>
          <w:noProof/>
          <w:kern w:val="2"/>
          <w:vertAlign w:val="superscript"/>
          <w:lang w:val="en-GB" w:eastAsia="zh-CN"/>
        </w:rPr>
        <w:t>36</w:t>
      </w:r>
      <w:r w:rsidR="003A66F7"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Nevertheless, some authors</w:t>
      </w:r>
      <w:r w:rsidR="003A66F7">
        <w:rPr>
          <w:rStyle w:val="Maintext"/>
          <w:rFonts w:eastAsiaTheme="minorEastAsia"/>
          <w:kern w:val="2"/>
          <w:lang w:val="en-GB" w:eastAsia="zh-CN"/>
        </w:rPr>
        <w:fldChar w:fldCharType="begin" w:fldLock="1"/>
      </w:r>
      <w:r w:rsidR="00752133">
        <w:rPr>
          <w:rStyle w:val="Maintext"/>
          <w:rFonts w:eastAsiaTheme="minorEastAsia"/>
          <w:kern w:val="2"/>
          <w:lang w:val="en-GB" w:eastAsia="zh-CN"/>
        </w:rPr>
        <w:instrText>ADDIN CSL_CITATION {"citationItems":[{"id":"ITEM-1","itemData":{"DOI":"10.1088/0957-4484/19/6/065602","ISBN":"0957-4484","ISSN":"0957-4484","PMID":"21730700","abstract":"FeC(2)O(4)·2H(2)O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-1","issue":"6","issued":{"date-parts":[["2008"]]},"page":"065602","title":"Room temperature synthesis of rod-like FeC(2)O(4)·2H(2)O and its transition to maghemite, magnetite and hematite nanorods through controlled thermal decomposition.","type":"article-journal","volume":"19"},"uris":["http://www.mendeley.com/documents/?uuid=b2539824-a56d-4b58-ae69-04f27907cc48"]},{"id":"ITEM-2","itemData":{"DOI":"10.1016/j.tca.2004.08.021","author":[{"dropping-particle":"","family":"Mohamed","given":"Mohamed A","non-dropping-particle":"","parse-names":false,"suffix":""},{"dropping-particle":"","family":"Galwey","given":"Andrew K","non-dropping-particle":"","parse-names":false,"suffix":""},{"dropping-particle":"","family":"Halawy","given":"Samih A","non-dropping-particle":"","parse-names":false,"suffix":""}],"container-title":"Thermochimica Acta","id":"ITEM-2","issued":{"date-parts":[["2005"]]},"page":"57-72","title":"A comparative study of the thermal reactivities of some transition metal oxalates in selected atmospheres","type":"article-journal","volume":"429"},"uris":["http://www.mendeley.com/documents/?uuid=7ef5283e-dad1-4d4c-8258-cab19d4c1553"]}],"mendeley":{"formattedCitation":"&lt;sup&gt;15,37&lt;/sup&gt;","plainTextFormattedCitation":"15,37","previouslyFormattedCitation":"&lt;sup&gt;15,37&lt;/sup&gt;"},"properties":{"noteIndex":0},"schema":"https://github.com/citation-style-language/schema/raw/master/csl-citation.json"}</w:instrText>
      </w:r>
      <w:r w:rsidR="003A66F7">
        <w:rPr>
          <w:rStyle w:val="Maintext"/>
          <w:rFonts w:eastAsiaTheme="minorEastAsia"/>
          <w:kern w:val="2"/>
          <w:lang w:val="en-GB" w:eastAsia="zh-CN"/>
        </w:rPr>
        <w:fldChar w:fldCharType="separate"/>
      </w:r>
      <w:r w:rsidR="003A66F7" w:rsidRPr="003A66F7">
        <w:rPr>
          <w:rStyle w:val="Maintext"/>
          <w:rFonts w:eastAsiaTheme="minorEastAsia"/>
          <w:noProof/>
          <w:kern w:val="2"/>
          <w:vertAlign w:val="superscript"/>
          <w:lang w:val="en-GB" w:eastAsia="zh-CN"/>
        </w:rPr>
        <w:t>15,37</w:t>
      </w:r>
      <w:r w:rsidR="003A66F7">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reported completely different composition of the decomposition product in the inert atmosphere. For example, hematite was determined as a major phase of the decomposition in nitrogen at 440 °C in the study of Mohamed et al.</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{"citationItems":[{"id":"ITEM-1","itemData":{"DOI":"10.1016/j.tca.2004.08.021","author":[{"dropping-particle":"","family":"Mohamed","given":"Mohamed A","non-dropping-particle":"","parse-names":false,"suffix":""},{"dropping-particle":"","family":"Galwey","given":"Andrew K","non-dropping-particle":"","parse-names":false,"suffix":""},{"dropping-particle":"","family":"Halawy","given":"Samih A","non-dropping-particle":"","parse-names":false,"suffix":""}],"container-title":"Thermochimica Acta","id":"ITEM-1","issued":{"date-parts":[["2005"]]},"page":"57-72","title":"A comparative study of the thermal reactivities of some transition metal oxalates in selected atmospheres","type":"article-journal","volume":"429"},"uris":["http://www.mendeley.com/documents/?uuid=c20d382c-6a22-4b31-931d-8bffe63c61ba","http://www.mendeley.com/documents/?uuid=7ef5283e-dad1-4d4c-8258-cab19d4c1553","http://www.mendeley.com/documents/?uuid=d18225b2-18e3-4989-9142-8469da993cb9"]}],"mendeley":{"formattedCitation":"&lt;sup&gt;37&lt;/sup&gt;","plainTextFormattedCitation":"37","previouslyFormattedCitation":"&lt;sup&gt;37&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37</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In addition, Zhou et al.</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-1","issue":"6","issued":{"date-parts":[["2008"]]},"page":"065602","title":"Room temperature synthesis of rod-like FeC(2)O(4)·2H(2)O and its transition to maghemite, magnetite and hematite nanorods through controlled thermal decomposition.","type":"article-journal","volume":"19"},"uris":["http://www.mendeley.com/documents/?uuid=a8904774-f2da-4f02-b468-373740c2d331","http://www.mendeley.com/documents/?uuid=b2539824-a56d-4b58-ae69-04f27907cc48","http://www.mendeley.com/documents/?uuid=4ca6b5d1-adfd-4ec2-b6a9-71115220afa5"]}],"mendeley":{"formattedCitation":"&lt;sup&gt;15&lt;/sup&gt;","plainTextFormattedCitation":"15","previouslyFormattedCitation":"&lt;sup&gt;15&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15</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reported that the </w:t>
      </w:r>
      <w:proofErr w:type="spellStart"/>
      <w:r w:rsidRPr="00FB2A56">
        <w:rPr>
          <w:rStyle w:val="Maintext"/>
          <w:rFonts w:eastAsiaTheme="minorEastAsia"/>
          <w:kern w:val="2"/>
          <w:lang w:val="en-GB" w:eastAsia="zh-CN"/>
        </w:rPr>
        <w:t>maghemite</w:t>
      </w:r>
      <w:proofErr w:type="spellEnd"/>
      <w:r w:rsidRPr="00FB2A56">
        <w:rPr>
          <w:rStyle w:val="Maintext"/>
          <w:rFonts w:eastAsiaTheme="minorEastAsia"/>
          <w:kern w:val="2"/>
          <w:lang w:val="en-GB" w:eastAsia="zh-CN"/>
        </w:rPr>
        <w:t xml:space="preserve"> was the only decomposition product after treating the sample at 400 °C for 2 h in nitrogen atmosphere. </w:t>
      </w:r>
    </w:p>
    <w:p w:rsidR="00C90EEE" w:rsidRPr="00FB2A56" w:rsidRDefault="00C90EEE" w:rsidP="00DA780F">
      <w:pPr>
        <w:pStyle w:val="Vchoz"/>
        <w:spacing w:line="360" w:lineRule="auto"/>
        <w:ind w:firstLine="420"/>
        <w:jc w:val="both"/>
        <w:rPr>
          <w:rStyle w:val="Maintext"/>
          <w:rFonts w:eastAsiaTheme="minorEastAsia"/>
          <w:kern w:val="2"/>
          <w:lang w:val="en-GB" w:eastAsia="zh-CN"/>
        </w:rPr>
      </w:pPr>
      <w:r w:rsidRPr="00FB2A56">
        <w:rPr>
          <w:rStyle w:val="Maintext"/>
          <w:rFonts w:eastAsiaTheme="minorEastAsia"/>
          <w:kern w:val="2"/>
          <w:lang w:val="en-GB" w:eastAsia="zh-CN"/>
        </w:rPr>
        <w:t xml:space="preserve">A unique study of iron oxalate´s decomposition in the atmosphere of its conversion gases was reported by </w:t>
      </w:r>
      <w:proofErr w:type="spellStart"/>
      <w:r w:rsidRPr="00FB2A56">
        <w:rPr>
          <w:rStyle w:val="Maintext"/>
          <w:rFonts w:eastAsiaTheme="minorEastAsia"/>
          <w:kern w:val="2"/>
          <w:lang w:val="en-GB" w:eastAsia="zh-CN"/>
        </w:rPr>
        <w:t>Hermanek</w:t>
      </w:r>
      <w:proofErr w:type="spellEnd"/>
      <w:r w:rsidRPr="00FB2A56">
        <w:rPr>
          <w:rStyle w:val="Maintext"/>
          <w:rFonts w:eastAsiaTheme="minorEastAsia"/>
          <w:kern w:val="2"/>
          <w:lang w:val="en-GB" w:eastAsia="zh-CN"/>
        </w:rPr>
        <w:t xml:space="preserve"> et al.</w:t>
      </w:r>
      <w:r w:rsidR="003A66F7">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752133">
        <w:rPr>
          <w:rStyle w:val="Maintext"/>
          <w:rFonts w:eastAsiaTheme="minorEastAsia"/>
          <w:kern w:val="2"/>
          <w:lang w:val="en-GB" w:eastAsia="zh-CN"/>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34</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in which both Mössbauer spectroscopy and XRD were used to determine the composition of the samples. The magnetite was reported to be the main product of the thermal decomposition in the temperature range between 400–550 °C.</w:t>
      </w:r>
      <w:r w:rsidR="003A66F7">
        <w:rPr>
          <w:rStyle w:val="Maintext"/>
          <w:rFonts w:eastAsiaTheme="minorEastAsia"/>
          <w:kern w:val="2"/>
          <w:lang w:val="en-GB" w:eastAsia="zh-CN"/>
        </w:rPr>
        <w:t xml:space="preserve"> In contrast to </w:t>
      </w:r>
      <w:proofErr w:type="spellStart"/>
      <w:r w:rsidR="003A66F7">
        <w:rPr>
          <w:rStyle w:val="Maintext"/>
          <w:rFonts w:eastAsiaTheme="minorEastAsia"/>
          <w:kern w:val="2"/>
          <w:lang w:val="en-GB" w:eastAsia="zh-CN"/>
        </w:rPr>
        <w:t>Hermanek</w:t>
      </w:r>
      <w:proofErr w:type="spellEnd"/>
      <w:r w:rsidR="003A66F7">
        <w:rPr>
          <w:rStyle w:val="Maintext"/>
          <w:rFonts w:eastAsiaTheme="minorEastAsia"/>
          <w:kern w:val="2"/>
          <w:lang w:val="en-GB" w:eastAsia="zh-CN"/>
        </w:rPr>
        <w:t xml:space="preserve"> et al.,</w:t>
      </w:r>
      <w:r w:rsidRPr="00FB2A56">
        <w:rPr>
          <w:rStyle w:val="Maintext"/>
          <w:rFonts w:eastAsiaTheme="minorEastAsia"/>
          <w:kern w:val="2"/>
          <w:lang w:val="en-GB" w:eastAsia="zh-CN"/>
        </w:rPr>
        <w:fldChar w:fldCharType="begin" w:fldLock="1"/>
      </w:r>
      <w:r w:rsidR="00752133">
        <w:rPr>
          <w:rStyle w:val="Maintext"/>
          <w:rFonts w:eastAsiaTheme="minorEastAsia"/>
          <w:kern w:val="2"/>
          <w:lang w:val="en-GB" w:eastAsia="zh-CN"/>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34</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the pure magnetite was obtained in three other studies</w:t>
      </w:r>
      <w:r w:rsidR="003A66F7">
        <w:rPr>
          <w:rStyle w:val="Maintext"/>
          <w:rFonts w:eastAsiaTheme="minorEastAsia"/>
          <w:kern w:val="2"/>
          <w:lang w:val="en-GB" w:eastAsia="zh-CN"/>
        </w:rPr>
        <w:t>,</w:t>
      </w:r>
      <w:r w:rsidRPr="00FB2A56">
        <w:rPr>
          <w:rStyle w:val="Maintext"/>
          <w:rFonts w:eastAsiaTheme="minorEastAsia"/>
          <w:kern w:val="2"/>
          <w:lang w:val="en-GB" w:eastAsia="zh-CN"/>
        </w:rPr>
        <w:fldChar w:fldCharType="begin" w:fldLock="1"/>
      </w:r>
      <w:r w:rsidR="005222FA">
        <w:rPr>
          <w:rStyle w:val="Maintext"/>
          <w:rFonts w:eastAsiaTheme="minorEastAsia"/>
          <w:kern w:val="2"/>
          <w:lang w:val="en-GB" w:eastAsia="zh-CN"/>
        </w:rPr>
        <w:instrText>ADDIN CSL_CITATION {"citationItems":[{"id":"ITEM-1","itemData":{"author":[{"dropping-particle":"","family":"Plachy","given":"Tomas","non-dropping-particle":"","parse-names":false,"suffix":""},{"dropping-particle":"","family":"Cvek","given":"Martin","non-dropping-particle":"","parse-names":false,"suffix":""},{"dropping-particle":"","family":"Kozakova","given":"Zuzana","non-dropping-particle":"","parse-names":false,"suffix":""},{"dropping-particle":"","family":"Sedlacik","given":"Michal","non-dropping-particle":"","parse-names":false,"suffix":""}],"container-title":"Smart Mater. Struct.","id":"ITEM-1","issue":"26","issued":{"date-parts":[["2017"]]},"page":"025026","publisher":"IOP Publishing","title":"The enhanced MR performance of dimorphic MR suspensions containing either magnetic rods or their non-magnetic analogs","type":"article-journal"},"uris":["http://www.mendeley.com/documents/?uuid=51cd7c47-c66d-447f-855c-7d5892d2b650","http://www.mendeley.com/documents/?uuid=3ac5aaf9-e045-450c-9bb3-d723c7a74a4b","http://www.mendeley.com/documents/?uuid=4ac7457d-73ac-4dad-a14c-f220b599dbac"]},{"id":"ITEM-2","itemData":{"DOI":"10.1016/j.matlet.2014.09.125","ISSN":"0167-577X","author":[{"dropping-particle":"","family":"Kozakova","given":"Zuzana","non-dropping-particle":"","parse-names":false,"suffix":""},{"dropping-particle":"","family":"Kuritka","given":"Ivo","non-dropping-particle":"","parse-names":false,"suffix":""},{"dropping-particle":"","family":"Bazant","given":"Pavel","non-dropping-particle":"","parse-names":false,"suffix":""},{"dropping-particle":"","family":"Pastorek","given":"Miroslav","non-dropping-particle":"","parse-names":false,"suffix":""},{"dropping-particle":"","family":"Babayan","given":"Vladimir","non-dropping-particle":"","parse-names":false,"suffix":""}],"container-title":"Materials Letters","id":"ITEM-2","issued":{"date-parts":[["2015"]]},"page":"116-119","publisher":"Elsevier","title":"Magnetic needle-like iron oxide particles prepared by microwave-assisted thermal decomposition technique","type":"article-journal","volume":"138"},"uris":["http://www.mendeley.com/documents/?uuid=07599425-21ee-4412-8cb7-ad22fa8d8e87","http://www.mendeley.com/documents/?uuid=30b09367-3dd9-4e15-a850-9b01b4820ba1","http://www.mendeley.com/documents/?uuid=f5a50108-4303-4ece-94f6-bc3d9b9cf924"]},{"id":"ITEM-3","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-3","issue":"6","issued":{"date-parts":[["2008"]]},"page":"065602","title":"Room temperature synthesis of rod-like FeC(2)O(4)·2H(2)O and its transition to maghemite, magnetite and hematite nanorods through controlled thermal decomposition.","type":"article-journal","volume":"19"},"uris":["http://www.mendeley.com/documents/?uuid=a8904774-f2da-4f02-b468-373740c2d331","http://www.mendeley.com/documents/?uuid=b2539824-a56d-4b58-ae69-04f27907cc48","http://www.mendeley.com/documents/?uuid=4ca6b5d1-adfd-4ec2-b6a9-71115220afa5"]}],"mendeley":{"formattedCitation":"&lt;sup&gt;15,38,39&lt;/sup&gt;","plainTextFormattedCitation":"15,38,39","previouslyFormattedCitation":"&lt;sup&gt;15,38,39&lt;/sup&gt;"},"properties":{"noteIndex":0},"schema":"https://github.com/citation-style-language/schema/raw/master/csl-citation.json"}</w:instrText>
      </w:r>
      <w:r w:rsidRPr="00FB2A56">
        <w:rPr>
          <w:rStyle w:val="Maintext"/>
          <w:rFonts w:eastAsiaTheme="minorEastAsia"/>
          <w:kern w:val="2"/>
          <w:lang w:val="en-GB" w:eastAsia="zh-CN"/>
        </w:rPr>
        <w:fldChar w:fldCharType="separate"/>
      </w:r>
      <w:r w:rsidR="00FB2A56" w:rsidRPr="00FB2A56">
        <w:rPr>
          <w:rStyle w:val="Maintext"/>
          <w:rFonts w:eastAsiaTheme="minorEastAsia"/>
          <w:noProof/>
          <w:kern w:val="2"/>
          <w:vertAlign w:val="superscript"/>
          <w:lang w:val="en-GB" w:eastAsia="zh-CN"/>
        </w:rPr>
        <w:t>15,38,39</w:t>
      </w:r>
      <w:r w:rsidRPr="00FB2A56">
        <w:rPr>
          <w:rStyle w:val="Maintext"/>
          <w:rFonts w:eastAsiaTheme="minorEastAsia"/>
          <w:kern w:val="2"/>
          <w:lang w:val="en-GB" w:eastAsia="zh-CN"/>
        </w:rPr>
        <w:fldChar w:fldCharType="end"/>
      </w:r>
      <w:r w:rsidRPr="00FB2A56">
        <w:rPr>
          <w:rStyle w:val="Maintext"/>
          <w:rFonts w:eastAsiaTheme="minorEastAsia"/>
          <w:kern w:val="2"/>
          <w:lang w:val="en-GB" w:eastAsia="zh-CN"/>
        </w:rPr>
        <w:t xml:space="preserve"> which reported the decomposition of ferrous oxalate </w:t>
      </w:r>
      <w:proofErr w:type="spellStart"/>
      <w:r w:rsidRPr="00FB2A56">
        <w:rPr>
          <w:rStyle w:val="Maintext"/>
          <w:rFonts w:eastAsiaTheme="minorEastAsia"/>
          <w:kern w:val="2"/>
          <w:lang w:val="en-GB" w:eastAsia="zh-CN"/>
        </w:rPr>
        <w:t>dihydrate</w:t>
      </w:r>
      <w:proofErr w:type="spellEnd"/>
      <w:r w:rsidRPr="00FB2A56">
        <w:rPr>
          <w:rStyle w:val="Maintext"/>
          <w:rFonts w:eastAsiaTheme="minorEastAsia"/>
          <w:kern w:val="2"/>
          <w:lang w:val="en-GB" w:eastAsia="zh-CN"/>
        </w:rPr>
        <w:t xml:space="preserve"> in the atmosphere of its conversion gases as a very facile method of magnetite preparation. In each of these studies the ferrous oxalate was reported to be sealed inside a container and then calcined for a certain period.</w:t>
      </w:r>
    </w:p>
    <w:p w:rsidR="00C90EEE" w:rsidRPr="00FB2A56" w:rsidRDefault="00C90EEE" w:rsidP="00DA780F">
      <w:pPr>
        <w:pStyle w:val="Vchoz"/>
        <w:spacing w:line="360" w:lineRule="auto"/>
        <w:ind w:firstLine="420"/>
        <w:jc w:val="both"/>
        <w:rPr>
          <w:rStyle w:val="Maintext"/>
          <w:rFonts w:eastAsiaTheme="minorEastAsia"/>
          <w:kern w:val="2"/>
          <w:lang w:val="en-GB" w:eastAsia="zh-CN"/>
        </w:rPr>
      </w:pPr>
      <w:r w:rsidRPr="00FB2A56">
        <w:rPr>
          <w:rStyle w:val="Maintext"/>
          <w:rFonts w:eastAsiaTheme="minorEastAsia"/>
          <w:kern w:val="2"/>
          <w:lang w:val="en-GB" w:eastAsia="zh-CN"/>
        </w:rPr>
        <w:t xml:space="preserve">Being aware of the discrepancies concerning the possible contamination of magnetite by other iron phases, in this work we present a systematic study of thermal decomposition of ferrous oxalate in the combined atmosphere of inert and conversion gases to find an optimal synthetic route for magnetite preparation. The usage of conversion gases eliminates the necessity of the inert gas to flow through the furnace thus simplifying the magnetite synthesis process. All the samples were prepared inside the stainless-steel cells. To eliminate the possible effects of residual oxygen on the samples composition, the cells were sealed inside the box with nitrogen atmosphere. The composition and properties of the decomposition products were studied by Mössbauer spectroscopy and XRD. </w:t>
      </w:r>
    </w:p>
    <w:p w:rsidR="00C90EEE" w:rsidRPr="00FB2A56" w:rsidRDefault="00C90EEE" w:rsidP="00DA780F">
      <w:pPr>
        <w:spacing w:line="360" w:lineRule="auto"/>
        <w:rPr>
          <w:rStyle w:val="1"/>
          <w:rFonts w:eastAsiaTheme="minorEastAsia" w:cs="Times New Roman"/>
          <w:sz w:val="24"/>
          <w:szCs w:val="24"/>
          <w:lang w:val="en-GB"/>
        </w:rPr>
      </w:pPr>
    </w:p>
    <w:p w:rsidR="00C90EEE" w:rsidRPr="00FB2A56" w:rsidRDefault="00C90EEE" w:rsidP="00DA780F">
      <w:pPr>
        <w:pStyle w:val="Bezmezer"/>
        <w:numPr>
          <w:ilvl w:val="0"/>
          <w:numId w:val="2"/>
        </w:numPr>
        <w:spacing w:line="360" w:lineRule="auto"/>
        <w:jc w:val="both"/>
        <w:rPr>
          <w:rStyle w:val="1"/>
          <w:rFonts w:eastAsia="Calibri"/>
          <w:sz w:val="32"/>
          <w:szCs w:val="24"/>
          <w:lang w:val="en-GB"/>
        </w:rPr>
      </w:pPr>
      <w:bookmarkStart w:id="0" w:name="OLE_LINK1"/>
      <w:bookmarkStart w:id="1" w:name="OLE_LINK2"/>
      <w:r w:rsidRPr="00FB2A56">
        <w:rPr>
          <w:rFonts w:ascii="Times New Roman" w:hAnsi="Times New Roman"/>
          <w:b/>
          <w:sz w:val="32"/>
          <w:szCs w:val="24"/>
          <w:lang w:val="en-GB"/>
        </w:rPr>
        <w:t xml:space="preserve">Experimental Section </w:t>
      </w:r>
    </w:p>
    <w:bookmarkEnd w:id="0"/>
    <w:bookmarkEnd w:id="1"/>
    <w:p w:rsidR="00C90EEE" w:rsidRPr="00FB2A56" w:rsidRDefault="00C90EEE" w:rsidP="00DA780F">
      <w:pPr>
        <w:pStyle w:val="Odstavecseseznamem"/>
        <w:numPr>
          <w:ilvl w:val="1"/>
          <w:numId w:val="2"/>
        </w:numPr>
        <w:spacing w:line="360" w:lineRule="auto"/>
        <w:ind w:firstLineChars="0"/>
        <w:rPr>
          <w:rFonts w:ascii="Times New Roman" w:hAnsi="Times New Roman" w:cs="Times New Roman"/>
          <w:b/>
          <w:sz w:val="28"/>
          <w:szCs w:val="24"/>
          <w:lang w:val="en-GB"/>
        </w:rPr>
      </w:pPr>
      <w:r w:rsidRPr="00FB2A56">
        <w:rPr>
          <w:rFonts w:ascii="Times New Roman" w:hAnsi="Times New Roman" w:cs="Times New Roman"/>
          <w:b/>
          <w:sz w:val="28"/>
          <w:szCs w:val="24"/>
          <w:lang w:val="en-GB"/>
        </w:rPr>
        <w:t>Chemicals</w:t>
      </w:r>
    </w:p>
    <w:p w:rsidR="00C90EEE" w:rsidRPr="00FB2A56" w:rsidRDefault="00C90EEE" w:rsidP="00DA780F">
      <w:pPr>
        <w:spacing w:line="360" w:lineRule="auto"/>
        <w:jc w:val="both"/>
        <w:rPr>
          <w:rFonts w:ascii="Times New Roman" w:hAnsi="Times New Roman" w:cs="Times New Roman"/>
          <w:sz w:val="24"/>
          <w:szCs w:val="24"/>
          <w:lang w:val="en-GB"/>
        </w:rPr>
      </w:pPr>
      <w:r w:rsidRPr="00FB2A56">
        <w:rPr>
          <w:rFonts w:ascii="Times New Roman" w:hAnsi="Times New Roman" w:cs="Times New Roman"/>
          <w:sz w:val="24"/>
          <w:szCs w:val="24"/>
          <w:lang w:val="en-GB"/>
        </w:rPr>
        <w:t xml:space="preserve">Ferrous Oxalate </w:t>
      </w:r>
      <w:proofErr w:type="spellStart"/>
      <w:r w:rsidRPr="00FB2A56">
        <w:rPr>
          <w:rFonts w:ascii="Times New Roman" w:hAnsi="Times New Roman" w:cs="Times New Roman"/>
          <w:sz w:val="24"/>
          <w:szCs w:val="24"/>
          <w:lang w:val="en-GB"/>
        </w:rPr>
        <w:t>Dihydrate</w:t>
      </w:r>
      <w:proofErr w:type="spellEnd"/>
      <w:r w:rsidRPr="00FB2A56">
        <w:rPr>
          <w:rFonts w:ascii="Times New Roman" w:hAnsi="Times New Roman" w:cs="Times New Roman"/>
          <w:sz w:val="24"/>
          <w:szCs w:val="24"/>
          <w:lang w:val="en-GB"/>
        </w:rPr>
        <w:t xml:space="preserve"> (500g) supplied by Sigma Aldrich was utilized for all the experiments.</w:t>
      </w:r>
    </w:p>
    <w:p w:rsidR="00C90EEE" w:rsidRPr="00FB2A56" w:rsidRDefault="00C90EEE" w:rsidP="00DA780F">
      <w:pPr>
        <w:pStyle w:val="Odstavecseseznamem"/>
        <w:numPr>
          <w:ilvl w:val="1"/>
          <w:numId w:val="2"/>
        </w:numPr>
        <w:spacing w:line="360" w:lineRule="auto"/>
        <w:ind w:firstLineChars="0"/>
        <w:rPr>
          <w:rStyle w:val="Maintext"/>
          <w:rFonts w:cs="Times New Roman"/>
          <w:sz w:val="28"/>
          <w:szCs w:val="24"/>
          <w:lang w:val="en-GB"/>
        </w:rPr>
      </w:pPr>
      <w:r w:rsidRPr="00FB2A56">
        <w:rPr>
          <w:rFonts w:ascii="Times New Roman" w:hAnsi="Times New Roman" w:cs="Times New Roman"/>
          <w:b/>
          <w:sz w:val="28"/>
          <w:szCs w:val="24"/>
          <w:lang w:val="en-GB"/>
        </w:rPr>
        <w:t>Synthesis</w:t>
      </w:r>
      <w:r w:rsidRPr="00FB2A56">
        <w:rPr>
          <w:rStyle w:val="Maintext"/>
          <w:rFonts w:cs="Times New Roman"/>
          <w:sz w:val="28"/>
          <w:szCs w:val="24"/>
          <w:lang w:val="en-GB"/>
        </w:rPr>
        <w:t xml:space="preserve"> </w:t>
      </w:r>
    </w:p>
    <w:p w:rsidR="00C90EEE" w:rsidRPr="00FB2A56" w:rsidRDefault="00C90EEE" w:rsidP="00DA780F">
      <w:pPr>
        <w:spacing w:line="360" w:lineRule="auto"/>
        <w:jc w:val="both"/>
        <w:rPr>
          <w:rFonts w:ascii="Times New Roman" w:hAnsi="Times New Roman" w:cs="Times New Roman"/>
          <w:sz w:val="24"/>
          <w:szCs w:val="24"/>
          <w:lang w:val="en-GB"/>
        </w:rPr>
      </w:pPr>
      <w:r w:rsidRPr="00FB2A56">
        <w:rPr>
          <w:rFonts w:ascii="Times New Roman" w:hAnsi="Times New Roman" w:cs="Times New Roman"/>
          <w:sz w:val="24"/>
          <w:szCs w:val="24"/>
          <w:lang w:val="en-GB"/>
        </w:rPr>
        <w:t xml:space="preserve">The ferrous oxalate </w:t>
      </w:r>
      <w:proofErr w:type="spellStart"/>
      <w:r w:rsidRPr="00FB2A56">
        <w:rPr>
          <w:rFonts w:ascii="Times New Roman" w:hAnsi="Times New Roman" w:cs="Times New Roman"/>
          <w:sz w:val="24"/>
          <w:szCs w:val="24"/>
          <w:lang w:val="en-GB"/>
        </w:rPr>
        <w:t>dihydrate</w:t>
      </w:r>
      <w:proofErr w:type="spellEnd"/>
      <w:r w:rsidRPr="00FB2A56">
        <w:rPr>
          <w:rFonts w:ascii="Times New Roman" w:hAnsi="Times New Roman" w:cs="Times New Roman"/>
          <w:sz w:val="24"/>
          <w:szCs w:val="24"/>
          <w:lang w:val="en-GB"/>
        </w:rPr>
        <w:t xml:space="preserve"> (Sigma Aldrich) was homogenized in the ceramic mortar for 5 minutes. This process was accompanied by a visible change in the material colour. Approximately 100 mg of homogenized material was enclosed inside each of the prepared sealable stainless-steel cells. The filling of the cells was conducted inside the box with a controlled atmosphere (nitrogen). Once filled and sealed, the cells were put inside the high-temperature laboratory furnace LAC LE/05 with HP40 controller. The decomposition of ferrous oxalate </w:t>
      </w:r>
      <w:proofErr w:type="spellStart"/>
      <w:r w:rsidRPr="00FB2A56">
        <w:rPr>
          <w:rFonts w:ascii="Times New Roman" w:hAnsi="Times New Roman" w:cs="Times New Roman"/>
          <w:sz w:val="24"/>
          <w:szCs w:val="24"/>
          <w:lang w:val="en-GB"/>
        </w:rPr>
        <w:t>dihydrate</w:t>
      </w:r>
      <w:proofErr w:type="spellEnd"/>
      <w:r w:rsidRPr="00FB2A56">
        <w:rPr>
          <w:rFonts w:ascii="Times New Roman" w:hAnsi="Times New Roman" w:cs="Times New Roman"/>
          <w:sz w:val="24"/>
          <w:szCs w:val="24"/>
          <w:lang w:val="en-GB"/>
        </w:rPr>
        <w:t xml:space="preserve"> and the subsequent formation of magnetite were observed at 8 equidistant temperature steps from 300 °C to 650 °C (one step each 50 °C). The temperature range was chosen in accordance with the previous thermogravimetric analysis (TGA) or DTA studies performed on the ferrous oxalate dihydrate</w:t>
      </w:r>
      <w:r w:rsidR="003A66F7">
        <w:rPr>
          <w:rFonts w:ascii="Times New Roman" w:hAnsi="Times New Roman" w:cs="Times New Roman"/>
          <w:sz w:val="24"/>
          <w:szCs w:val="24"/>
          <w:lang w:val="en-GB"/>
        </w:rPr>
        <w:t>.</w:t>
      </w:r>
      <w:r w:rsidRPr="00FB2A56">
        <w:rPr>
          <w:rFonts w:ascii="Times New Roman" w:hAnsi="Times New Roman" w:cs="Times New Roman"/>
          <w:sz w:val="24"/>
          <w:szCs w:val="24"/>
          <w:vertAlign w:val="superscript"/>
          <w:lang w:val="en-GB"/>
        </w:rPr>
        <w:fldChar w:fldCharType="begin" w:fldLock="1"/>
      </w:r>
      <w:r w:rsidR="00752133">
        <w:rPr>
          <w:rFonts w:ascii="Times New Roman" w:hAnsi="Times New Roman" w:cs="Times New Roman"/>
          <w:sz w:val="24"/>
          <w:szCs w:val="24"/>
          <w:vertAlign w:val="superscript"/>
          <w:lang w:val="en-GB"/>
        </w:rPr>
        <w:instrText>ADDIN CSL_CITATION {"citationItems":[{"id":"ITEM-1","itemData":{"DOI":"10.1002/ejic.200900835","ISSN":"14341948","abstract":"The thermal decomposition of ferric oxalate tetrahydrate Fe2(C2O4)3·4H2O was studied in dynamic oxidative and inert atmospheres by using a simultaneous thermogravimetric (TG) and differential scanning calorimetric (DSC) analytical device equipped with an evolved gas analyzer (EGA). Solid-state decomposition products formed during the decomposition were analyzed by 57Fe Mössbauer spectroscopy, in situ and ex situ X-ray powder diffraction, and magnetic measurements. In the dynamic inert atmosphere, we observed the formation of a tiny amount of superparamagnetic iron oxide (most likely Fe3O4) together with a majority of ferrous oxalate (FeC2O4) and remains of undecomposed Fe2(C2O4)3 after the first decomposition step, which finished at 210 °C. The astonishing presence of the oxidic phase at such low temperatures is a highly probable side effect of the main reduction action of the electrons on the FeIII cations in the ferric oxalate structure, thus resulting in the creation of intermediate FeC2O4. The final product of decomposition of the FeC2O4 intermediate in a dynamic inert atmosphere is a mixture of wüstite (FexO), α-iron (α-Fe), and magnetite (Fe3O4). Their proportion accurately reflects actual disproportionation/synproportionation/redisproportionation processes likely encouraged by the preserved size and morphology of the initial ferric oxalate crystals and that are dependent on temperature. In the oxidative atmosphere, the decomposition proceeds in the three overlapped stages that include dehydration, the astonishing reductive formation of FeC2O4 as an intermediate, and final decarboxylation to hematite (α-Fe2O3). The principal effect of the experimental conditions on the amount of intermediate formation of FeC2O4 in the oxidative atmosphere is also discussed and evaluated from the isothermal experiments carried out at 180 °C.","author":[{"dropping-particle":"","family":"Hermankova","given":"Pavla","non-dropping-particle":"","parse-names":false,"suffix":""},{"dropping-particle":"","family":"Hermanek","given":"Martin","non-dropping-particle":"","parse-names":false,"suffix":""},{"dropping-particle":"","family":"Zboril","given":"Radek","non-dropping-particle":"","parse-names":false,"suffix":""}],"container-title":"European Journal of Inorganic Chemistry","id":"ITEM-1","issue":"7","issued":{"date-parts":[["2010"]]},"page":"1110-1118","title":"Thermal decomposition of ferric oxalate tetrahydrate in oxidative and inert atmospheres: the role of ferrous oxalate as an intermediate","type":"article-journal"},"uris":["http://www.mendeley.com/documents/?uuid=dea7352d-5485-4d97-b425-9f373503f1ca","http://www.mendeley.com/documents/?uuid=ade66004-5caf-4d87-9dc3-f589380f8d18","http://www.mendeley.com/documents/?uuid=6314a499-c24a-473b-a6b2-1a71e7cd3e13"]},{"id":"ITEM-2","itemData":{"author":[{"dropping-particle":"","family":"Rao","given":"Venkatesh","non-dropping-particle":"","parse-names":false,"suffix":""},{"dropping-particle":"","family":"Shashimohan","given":"A. L.","non-dropping-particle":"","parse-names":false,"suffix":""},{"dropping-particle":"","family":"Biswas","given":"A. B.","non-dropping-particle":"","parse-names":false,"suffix":""}],"container-title":"Journal of Material Science","id":"ITEM-2","issued":{"date-parts":[["1974"]]},"page":"4-7","title":"Studies on the formation of gamma-Fe203 ( maghemite ) by thermal decomposition of ferrous oxalate dihydrate","type":"article-journal","volume":"9"},"uris":["http://www.mendeley.com/documents/?uuid=9bcbbd65-f72c-4c3b-b8b0-782c1ad03d8a","http://www.mendeley.com/documents/?uuid=1bd7e1c8-bcb3-47a6-abca-02c6ef3566f7","http://www.mendeley.com/documents/?uuid=549a0922-5935-42ee-85ee-b0df2fa882f5","http://www.mendeley.com/documents/?uuid=33cfaee1-4bfe-48c0-9056-967fe2b590ee","http://www.mendeley.com/documents/?uuid=e1f29baa-df40-41cd-90e6-dca450b56ece"]},{"id":"ITEM-3","itemData":{"author":[{"dropping-particle":"","family":"Macklen","given":"E D","non-dropping-particle":"","parse-names":false,"suffix":""}],"container-title":"J. inorg. nucl. Chem.","id":"ITEM-3","issued":{"date-parts":[["1967"]]},"page":"1229-1234","title":"Influence of atmosphere on the thermal decomposition of ferrous oxalate dihydrate","type":"article-journal","volume":"29"},"uris":["http://www.mendeley.com/documents/?uuid=528edb00-1719-488b-955f-e72eaa13ed14","http://www.mendeley.com/documents/?uuid=f696c620-9136-4294-adb4-7b524dcad775","http://www.mendeley.com/documents/?uuid=de647592-0485-4e39-9b88-e315547b03b5","http://www.mendeley.com/documents/?uuid=280be55b-33b4-4480-b2e8-c6efffeb1fe9","http://www.mendeley.com/documents/?uuid=0fce8134-d08b-47d6-921f-e9f2c93049b5"]},{"id":"ITEM-4","itemData":{"author":[{"dropping-particle":"","family":"Broadbent","given":"D.","non-dropping-particle":"","parse-names":false,"suffix":""},{"dropping-particle":"","family":"Dollimore","given":"D.","non-dropping-particle":"","parse-names":false,"suffix":""},{"dropping-particle":"","family":"Dollimore","given":"J.","non-dropping-particle":"","parse-names":false,"suffix":""}],"container-title":"J. Chem. Soc. (A)","id":"ITEM-4","issue":"0","issued":{"date-parts":[["1967"]]},"page":"451-454","title":"The Thermal Decomposition of Oxalates. Part IX. Decomposition of the Oxalate Complexes of Iron","type":"article-journal"},"uris":["http://www.mendeley.com/documents/?uuid=e54c6601-50ac-4424-b544-89aba3a70bcb","http://www.mendeley.com/documents/?uuid=a1e79897-444c-4ca3-a210-b5040ca5e1f0","http://www.mendeley.com/documents/?uuid=71570dac-5f7f-4f02-a6ad-b82658aace77","http://www.mendeley.com/documents/?uuid=727fde53-66cd-4eaa-ae3a-0a096d15de2d","http://www.mendeley.com/documents/?uuid=5db89e7b-99de-4bbf-95be-423490d4221d"]},{"id":"ITEM-5","itemData":{"author":[{"dropping-particle":"","family":"Brown","given":"R A","non-dropping-particle":"","parse-names":false,"suffix":""}],"container-title":"J. inorg. nucl. Chem.","id":"ITEM-5","issue":"1954","issued":{"date-parts":[["1966"]]},"page":"387-391","title":"The thermal decomposition of ferrous oxalate dihydrate","type":"article-journal","volume":"28"},"uris":["http://www.mendeley.com/documents/?uuid=9cf227e7-c5ac-4ec8-8e95-54b3b901b43a","http://www.mendeley.com/documents/?uuid=f2fc87ad-be93-4c50-ab1a-b1a12706d410","http://www.mendeley.com/documents/?uuid=b128bbe3-4b36-4479-baae-af9f9fe3a197","http://www.mendeley.com/documents/?uuid=a03e4c8f-7553-4f17-b477-2fe5f9d772c6","http://www.mendeley.com/documents/?uuid=daa653a6-6009-48f7-b7d5-f812ac852cfa"]},{"id":"ITEM-6","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Chemistry","id":"ITEM-6","issue":"13","issued":{"date-parts":[["2006"]]},"page":"1273","title":"Thermal behaviour of iron(ii) oxalate dihydrate in the atmosphere of its conversion gases","type":"article-journal","volume":"16"},"uris":["http://www.mendeley.com/documents/?uuid=88a71a42-1124-4191-bc5d-fa03eecdcb9a"]}],"mendeley":{"formattedCitation":"&lt;sup&gt;23,28,31–34&lt;/sup&gt;","plainTextFormattedCitation":"23,28,31–34","previouslyFormattedCitation":"&lt;sup&gt;23,28,31–34&lt;/sup&gt;"},"properties":{"noteIndex":0},"schema":"https://github.com/citation-style-language/schema/raw/master/csl-citation.json"}</w:instrText>
      </w:r>
      <w:r w:rsidRPr="00FB2A56">
        <w:rPr>
          <w:rFonts w:ascii="Times New Roman" w:hAnsi="Times New Roman" w:cs="Times New Roman"/>
          <w:sz w:val="24"/>
          <w:szCs w:val="24"/>
          <w:vertAlign w:val="superscript"/>
          <w:lang w:val="en-GB"/>
        </w:rPr>
        <w:fldChar w:fldCharType="separate"/>
      </w:r>
      <w:r w:rsidR="00FB2A56" w:rsidRPr="00FB2A56">
        <w:rPr>
          <w:rFonts w:ascii="Times New Roman" w:hAnsi="Times New Roman" w:cs="Times New Roman"/>
          <w:noProof/>
          <w:sz w:val="24"/>
          <w:szCs w:val="24"/>
          <w:vertAlign w:val="superscript"/>
          <w:lang w:val="en-GB"/>
        </w:rPr>
        <w:t>23,28,31–34</w:t>
      </w:r>
      <w:r w:rsidRPr="00FB2A56">
        <w:rPr>
          <w:rFonts w:ascii="Times New Roman" w:hAnsi="Times New Roman" w:cs="Times New Roman"/>
          <w:sz w:val="24"/>
          <w:szCs w:val="24"/>
          <w:vertAlign w:val="superscript"/>
          <w:lang w:val="en-GB"/>
        </w:rPr>
        <w:fldChar w:fldCharType="end"/>
      </w:r>
      <w:r w:rsidRPr="00FB2A56">
        <w:rPr>
          <w:rFonts w:ascii="Times New Roman" w:hAnsi="Times New Roman" w:cs="Times New Roman"/>
          <w:sz w:val="24"/>
          <w:szCs w:val="24"/>
          <w:lang w:val="en-GB"/>
        </w:rPr>
        <w:t xml:space="preserve"> In addition, the samples were </w:t>
      </w:r>
      <w:proofErr w:type="spellStart"/>
      <w:r w:rsidRPr="00FB2A56">
        <w:rPr>
          <w:rFonts w:ascii="Times New Roman" w:hAnsi="Times New Roman" w:cs="Times New Roman"/>
          <w:sz w:val="24"/>
          <w:szCs w:val="24"/>
          <w:lang w:val="en-GB"/>
        </w:rPr>
        <w:t>calcinated</w:t>
      </w:r>
      <w:proofErr w:type="spellEnd"/>
      <w:r w:rsidRPr="00FB2A56">
        <w:rPr>
          <w:rFonts w:ascii="Times New Roman" w:hAnsi="Times New Roman" w:cs="Times New Roman"/>
          <w:sz w:val="24"/>
          <w:szCs w:val="24"/>
          <w:lang w:val="en-GB"/>
        </w:rPr>
        <w:t xml:space="preserve"> during 3 different time intervals: 1, 6 and 12 hours, for each of the temperature steps, to study the influence of calcination time on properties of the prepared samples. Overall, twenty-four samples with the different temperature and time combinations were prepared. The temperature was measured by both in-built thermometer of the furnace and by an external thermocouple situated in the same place as the sample cell.</w:t>
      </w:r>
    </w:p>
    <w:p w:rsidR="00C90EEE" w:rsidRPr="00FB2A56" w:rsidRDefault="00C90EEE" w:rsidP="00DA780F">
      <w:pPr>
        <w:spacing w:line="360" w:lineRule="auto"/>
        <w:rPr>
          <w:rStyle w:val="1"/>
          <w:rFonts w:eastAsiaTheme="minorEastAsia" w:cs="Times New Roman"/>
          <w:szCs w:val="28"/>
          <w:lang w:val="en-GB"/>
        </w:rPr>
      </w:pPr>
      <w:r w:rsidRPr="00FB2A56">
        <w:rPr>
          <w:rStyle w:val="heading2"/>
          <w:rFonts w:eastAsiaTheme="minorEastAsia" w:cs="Times New Roman"/>
          <w:sz w:val="28"/>
          <w:szCs w:val="28"/>
          <w:lang w:val="en-GB"/>
        </w:rPr>
        <w:t xml:space="preserve">2.3. </w:t>
      </w:r>
      <w:r w:rsidRPr="00FB2A56">
        <w:rPr>
          <w:rFonts w:ascii="Times New Roman" w:hAnsi="Times New Roman" w:cs="Times New Roman"/>
          <w:b/>
          <w:sz w:val="28"/>
          <w:szCs w:val="28"/>
          <w:lang w:val="en-GB"/>
        </w:rPr>
        <w:t>Characterization</w:t>
      </w:r>
    </w:p>
    <w:p w:rsidR="00C90EEE" w:rsidRPr="00FB2A56" w:rsidRDefault="00C90EEE" w:rsidP="00DA780F">
      <w:pPr>
        <w:spacing w:line="360" w:lineRule="auto"/>
        <w:jc w:val="both"/>
        <w:rPr>
          <w:rFonts w:ascii="Times New Roman" w:hAnsi="Times New Roman" w:cs="Times New Roman"/>
          <w:b/>
          <w:sz w:val="24"/>
          <w:szCs w:val="24"/>
          <w:lang w:val="en-GB"/>
        </w:rPr>
      </w:pPr>
      <w:r w:rsidRPr="00FB2A56">
        <w:rPr>
          <w:rFonts w:ascii="Times New Roman" w:hAnsi="Times New Roman" w:cs="Times New Roman"/>
          <w:sz w:val="24"/>
          <w:szCs w:val="24"/>
          <w:lang w:val="en-GB"/>
        </w:rPr>
        <w:t xml:space="preserve">Transmission </w:t>
      </w:r>
      <w:r w:rsidRPr="00FB2A56">
        <w:rPr>
          <w:rFonts w:ascii="Times New Roman" w:hAnsi="Times New Roman" w:cs="Times New Roman"/>
          <w:sz w:val="24"/>
          <w:szCs w:val="24"/>
          <w:vertAlign w:val="superscript"/>
          <w:lang w:val="en-GB"/>
        </w:rPr>
        <w:t>57</w:t>
      </w:r>
      <w:r w:rsidRPr="00FB2A56">
        <w:rPr>
          <w:rFonts w:ascii="Times New Roman" w:hAnsi="Times New Roman" w:cs="Times New Roman"/>
          <w:sz w:val="24"/>
          <w:szCs w:val="24"/>
          <w:lang w:val="en-GB"/>
        </w:rPr>
        <w:t xml:space="preserve">Fe </w:t>
      </w:r>
      <w:r w:rsidRPr="00FB2A56">
        <w:rPr>
          <w:rFonts w:ascii="Times New Roman" w:hAnsi="Times New Roman" w:cs="Times New Roman"/>
          <w:b/>
          <w:sz w:val="24"/>
          <w:szCs w:val="24"/>
          <w:lang w:val="en-GB"/>
        </w:rPr>
        <w:t>Mössbauer spectra</w:t>
      </w:r>
      <w:r w:rsidRPr="00FB2A56">
        <w:rPr>
          <w:rFonts w:ascii="Times New Roman" w:hAnsi="Times New Roman" w:cs="Times New Roman"/>
          <w:sz w:val="24"/>
          <w:szCs w:val="24"/>
          <w:lang w:val="en-GB"/>
        </w:rPr>
        <w:t xml:space="preserve"> of the studied samples were measured at room temperature using the MS2007 Mössbauer spectrometer based on virtual instrumentation technique.</w:t>
      </w:r>
      <w:r w:rsidRPr="00FB2A56">
        <w:rPr>
          <w:rFonts w:ascii="Times New Roman" w:hAnsi="Times New Roman" w:cs="Times New Roman"/>
          <w:sz w:val="24"/>
          <w:szCs w:val="24"/>
          <w:lang w:val="en-GB"/>
        </w:rPr>
        <w:fldChar w:fldCharType="begin" w:fldLock="1"/>
      </w:r>
      <w:r w:rsidR="00752133">
        <w:rPr>
          <w:rFonts w:ascii="Times New Roman" w:hAnsi="Times New Roman" w:cs="Times New Roman"/>
          <w:sz w:val="24"/>
          <w:szCs w:val="24"/>
          <w:lang w:val="en-GB"/>
        </w:rPr>
        <w:instrText>ADDIN CSL_CITATION {"citationItems":[{"id":"ITEM-1","itemData":{"DOI":"10.1063/1.4759489","ISBN":"9780735411012","ISSN":"0094243X","author":[{"dropping-particle":"","family":"Pechoušek","given":"J.","non-dropping-particle":"","parse-names":false,"suffix":""},{"dropping-particle":"","family":"Jančík","given":"D.","non-dropping-particle":"","parse-names":false,"suffix":""},{"dropping-particle":"","family":"Frydrych","given":"J.","non-dropping-particle":"","parse-names":false,"suffix":""},{"dropping-particle":"","family":"Navařík","given":"J.","non-dropping-particle":"","parse-names":false,"suffix":""},{"dropping-particle":"","family":"Novák","given":"P.","non-dropping-particle":"","parse-names":false,"suffix":""}],"container-title":"AIP Conference Proceedings","id":"ITEM-1","issue":"1","issued":{"date-parts":[["2012"]]},"page":"186-193","title":"Setup of Mössbauer spectrometers at RCPTM","type":"article-journal","volume":"1489"},"uris":["http://www.mendeley.com/documents/?uuid=5ee1ad53-804b-4298-b108-4a6f1faf082e","http://www.mendeley.com/documents/?uuid=e60e4eed-b5f7-4137-aa3a-4743b0205a32","http://www.mendeley.com/documents/?uuid=d1f3d6dc-6e68-4e2e-8e11-3a9755560b84"]},{"id":"ITEM-2","itemData":{"DOI":"10.1088/1742-6596/217/1/012006","ISSN":"1742-6596","author":[{"dropping-particle":"","family":"Pechousek","given":"J","non-dropping-particle":"","parse-names":false,"suffix":""},{"dropping-particle":"","family":"Prochazka","given":"R","non-dropping-particle":"","parse-names":false,"suffix":""},{"dropping-particle":"","family":"Jancik","given":"D","non-dropping-particle":"","parse-names":false,"suffix":""},{"dropping-particle":"","family":"Frydrych","given":"J","non-dropping-particle":"","parse-names":false,"suffix":""},{"dropping-particle":"","family":"Mashlan","given":"M","non-dropping-particle":"","parse-names":false,"suffix":""}],"container-title":"Journal of Physics: Conference Series","id":"ITEM-2","issued":{"date-parts":[["2009"]]},"page":"012006","title":"Universal LabVIEW-powered Mössbauer spectrometer based on USB, PCI or PXI devices","type":"article-journal","volume":"217"},"uris":["http://www.mendeley.com/documents/?uuid=805e71b8-324c-4a76-930c-7441cea0dc3c"]}],"mendeley":{"formattedCitation":"&lt;sup&gt;40,41&lt;/sup&gt;","plainTextFormattedCitation":"40,41","previouslyFormattedCitation":"&lt;sup&gt;40,41&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40,41</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Constant acceleration mode and </w:t>
      </w:r>
      <w:proofErr w:type="gramStart"/>
      <w:r w:rsidRPr="00FB2A56">
        <w:rPr>
          <w:rFonts w:ascii="Times New Roman" w:hAnsi="Times New Roman" w:cs="Times New Roman"/>
          <w:sz w:val="24"/>
          <w:szCs w:val="24"/>
          <w:vertAlign w:val="superscript"/>
          <w:lang w:val="en-GB"/>
        </w:rPr>
        <w:t>57</w:t>
      </w:r>
      <w:r w:rsidRPr="00FB2A56">
        <w:rPr>
          <w:rFonts w:ascii="Times New Roman" w:hAnsi="Times New Roman" w:cs="Times New Roman"/>
          <w:sz w:val="24"/>
          <w:szCs w:val="24"/>
          <w:lang w:val="en-GB"/>
        </w:rPr>
        <w:t>Co(</w:t>
      </w:r>
      <w:proofErr w:type="gramEnd"/>
      <w:r w:rsidRPr="00FB2A56">
        <w:rPr>
          <w:rFonts w:ascii="Times New Roman" w:hAnsi="Times New Roman" w:cs="Times New Roman"/>
          <w:sz w:val="24"/>
          <w:szCs w:val="24"/>
          <w:lang w:val="en-GB"/>
        </w:rPr>
        <w:t xml:space="preserve">Rh) source were employed. The Mössbauer spectra were processed by use of </w:t>
      </w:r>
      <w:proofErr w:type="spellStart"/>
      <w:r w:rsidRPr="00FB2A56">
        <w:rPr>
          <w:rFonts w:ascii="Times New Roman" w:hAnsi="Times New Roman" w:cs="Times New Roman"/>
          <w:sz w:val="24"/>
          <w:szCs w:val="24"/>
          <w:lang w:val="en-GB"/>
        </w:rPr>
        <w:t>MossWinn</w:t>
      </w:r>
      <w:proofErr w:type="spellEnd"/>
      <w:r w:rsidRPr="00FB2A56">
        <w:rPr>
          <w:rFonts w:ascii="Times New Roman" w:hAnsi="Times New Roman" w:cs="Times New Roman"/>
          <w:sz w:val="24"/>
          <w:szCs w:val="24"/>
          <w:lang w:val="en-GB"/>
        </w:rPr>
        <w:t xml:space="preserve"> software program.</w:t>
      </w:r>
      <w:r w:rsidRPr="00FB2A56">
        <w:rPr>
          <w:rFonts w:ascii="Times New Roman" w:hAnsi="Times New Roman" w:cs="Times New Roman"/>
          <w:sz w:val="24"/>
          <w:szCs w:val="24"/>
          <w:lang w:val="en-GB"/>
        </w:rPr>
        <w:fldChar w:fldCharType="begin" w:fldLock="1"/>
      </w:r>
      <w:r w:rsidR="00752133">
        <w:rPr>
          <w:rFonts w:ascii="Times New Roman" w:hAnsi="Times New Roman" w:cs="Times New Roman"/>
          <w:sz w:val="24"/>
          <w:szCs w:val="24"/>
          <w:lang w:val="en-GB"/>
        </w:rPr>
        <w:instrText>ADDIN CSL_CITATION {"citationItems":[{"id":"ITEM-1","itemData":{"DOI":"10.1007/bf02055410","ISBN":"0236-5731","ISSN":"0236-5731","abstract":"A new user-friendly software for analysis of Mössbauer-spectra has been developed. The program makes use of the advantages provided by the current generation of fast personal computers. An Evolution Algorithm1,2 is used for global search of Mössbauer parameters in order to enhance the reliability of the obtained results. Fitting of Lorentzians, Pseudo-Voigt line profiles, and deriving hyperfine-field distributions including correlations and combinations and Mössbauer Line Sharpening by Fourier transformation provide a wide range of applicability.","author":[{"dropping-particle":"","family":"Klencsár","given":"Z","non-dropping-particle":"","parse-names":false,"suffix":""},{"dropping-particle":"","family":"Kuzmann","given":"E","non-dropping-particle":"","parse-names":false,"suffix":""},{"dropping-particle":"","family":"Vértes","given":"a","non-dropping-particle":"","parse-names":false,"suffix":""}],"container-title":"Journal of Radioanalytical and Nuclear Chemistry","id":"ITEM-1","issue":"1","issued":{"date-parts":[["1996"]]},"page":"105-118","title":"User-friendly software for Mössbauer spectrum analysis","type":"article-journal","volume":"210"},"uris":["http://www.mendeley.com/documents/?uuid=dd72668b-35ff-4fcb-9da9-42fcc17d0e02"]}],"mendeley":{"formattedCitation":"&lt;sup&gt;42&lt;/sup&gt;","plainTextFormattedCitation":"42","previouslyFormattedCitation":"&lt;sup&gt;42&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42</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The isomer shift values were referred to the value of </w:t>
      </w:r>
      <w:proofErr w:type="gramStart"/>
      <w:r w:rsidRPr="00FB2A56">
        <w:rPr>
          <w:rFonts w:ascii="Times New Roman" w:hAnsi="Times New Roman" w:cs="Times New Roman"/>
          <w:sz w:val="24"/>
          <w:szCs w:val="24"/>
          <w:lang w:val="en-GB"/>
        </w:rPr>
        <w:t>an</w:t>
      </w:r>
      <w:proofErr w:type="gramEnd"/>
      <w:r w:rsidRPr="00FB2A56">
        <w:rPr>
          <w:rFonts w:ascii="Times New Roman" w:hAnsi="Times New Roman" w:cs="Times New Roman"/>
          <w:sz w:val="24"/>
          <w:szCs w:val="24"/>
          <w:lang w:val="en-GB"/>
        </w:rPr>
        <w:t xml:space="preserve"> α-Fe foil sample at room temperature.</w:t>
      </w:r>
    </w:p>
    <w:p w:rsidR="00C90EEE" w:rsidRPr="00FB2A56" w:rsidRDefault="00C90EEE" w:rsidP="00DA780F">
      <w:pPr>
        <w:spacing w:line="360" w:lineRule="auto"/>
        <w:jc w:val="both"/>
        <w:rPr>
          <w:rFonts w:ascii="Times New Roman" w:eastAsia="Times New Roman" w:hAnsi="Times New Roman" w:cs="Times New Roman"/>
          <w:sz w:val="24"/>
          <w:szCs w:val="24"/>
          <w:lang w:val="en-GB"/>
        </w:rPr>
      </w:pPr>
      <w:r w:rsidRPr="00FB2A56">
        <w:rPr>
          <w:rFonts w:ascii="Times New Roman" w:eastAsia="Times New Roman" w:hAnsi="Times New Roman" w:cs="Times New Roman"/>
          <w:sz w:val="24"/>
          <w:szCs w:val="24"/>
          <w:lang w:val="en-GB"/>
        </w:rPr>
        <w:t>All the X-ray diffraction (</w:t>
      </w:r>
      <w:r w:rsidRPr="00FB2A56">
        <w:rPr>
          <w:rFonts w:ascii="Times New Roman" w:eastAsia="Times New Roman" w:hAnsi="Times New Roman" w:cs="Times New Roman"/>
          <w:b/>
          <w:sz w:val="24"/>
          <w:szCs w:val="24"/>
          <w:lang w:val="en-GB"/>
        </w:rPr>
        <w:t>XRD)</w:t>
      </w:r>
      <w:r w:rsidRPr="00FB2A56">
        <w:rPr>
          <w:rFonts w:ascii="Times New Roman" w:eastAsia="Times New Roman" w:hAnsi="Times New Roman" w:cs="Times New Roman"/>
          <w:sz w:val="24"/>
          <w:szCs w:val="24"/>
          <w:lang w:val="en-GB"/>
        </w:rPr>
        <w:t xml:space="preserve"> patterns were measured by use of the </w:t>
      </w:r>
      <w:proofErr w:type="spellStart"/>
      <w:r w:rsidRPr="00FB2A56">
        <w:rPr>
          <w:rFonts w:ascii="Times New Roman" w:eastAsia="Times New Roman" w:hAnsi="Times New Roman" w:cs="Times New Roman"/>
          <w:sz w:val="24"/>
          <w:szCs w:val="24"/>
          <w:lang w:val="en-GB"/>
        </w:rPr>
        <w:t>X’PertPRO</w:t>
      </w:r>
      <w:proofErr w:type="spellEnd"/>
      <w:r w:rsidRPr="00FB2A56">
        <w:rPr>
          <w:rFonts w:ascii="Times New Roman" w:eastAsia="Times New Roman" w:hAnsi="Times New Roman" w:cs="Times New Roman"/>
          <w:sz w:val="24"/>
          <w:szCs w:val="24"/>
          <w:lang w:val="en-GB"/>
        </w:rPr>
        <w:t xml:space="preserve"> MPD diffractometer (Malvern </w:t>
      </w:r>
      <w:proofErr w:type="spellStart"/>
      <w:r w:rsidRPr="00FB2A56">
        <w:rPr>
          <w:rFonts w:ascii="Times New Roman" w:eastAsia="Times New Roman" w:hAnsi="Times New Roman" w:cs="Times New Roman"/>
          <w:sz w:val="24"/>
          <w:szCs w:val="24"/>
          <w:lang w:val="en-GB"/>
        </w:rPr>
        <w:t>Panalytical</w:t>
      </w:r>
      <w:proofErr w:type="spellEnd"/>
      <w:r w:rsidRPr="00FB2A56">
        <w:rPr>
          <w:rFonts w:ascii="Times New Roman" w:eastAsia="Times New Roman" w:hAnsi="Times New Roman" w:cs="Times New Roman"/>
          <w:sz w:val="24"/>
          <w:szCs w:val="24"/>
          <w:lang w:val="en-GB"/>
        </w:rPr>
        <w:t xml:space="preserve">, Ltd) in the Bragg–Brentano geometry equipped with a Co X-ray tube (iron filtered Co Kα radiation: </w:t>
      </w:r>
      <w:r w:rsidRPr="00FB2A56">
        <w:rPr>
          <w:rFonts w:ascii="Times New Roman" w:eastAsia="Times New Roman" w:hAnsi="Times New Roman" w:cs="Times New Roman"/>
          <w:i/>
          <w:sz w:val="24"/>
          <w:szCs w:val="24"/>
          <w:lang w:val="en-GB"/>
        </w:rPr>
        <w:t>λ </w:t>
      </w:r>
      <w:r w:rsidRPr="00FB2A56">
        <w:rPr>
          <w:rFonts w:ascii="Times New Roman" w:eastAsia="Times New Roman" w:hAnsi="Times New Roman" w:cs="Times New Roman"/>
          <w:sz w:val="24"/>
          <w:szCs w:val="24"/>
          <w:lang w:val="en-GB"/>
        </w:rPr>
        <w:t xml:space="preserve">= 0.178901 nm), programmable divergence </w:t>
      </w:r>
      <w:r w:rsidRPr="00FB2A56">
        <w:rPr>
          <w:rFonts w:ascii="Times New Roman" w:eastAsia="Times New Roman" w:hAnsi="Times New Roman" w:cs="Times New Roman"/>
          <w:sz w:val="24"/>
          <w:szCs w:val="24"/>
          <w:lang w:val="en-GB"/>
        </w:rPr>
        <w:lastRenderedPageBreak/>
        <w:t xml:space="preserve">and diffracted beam anti-scatter slits and a fast </w:t>
      </w:r>
      <w:proofErr w:type="spellStart"/>
      <w:r w:rsidRPr="00FB2A56">
        <w:rPr>
          <w:rFonts w:ascii="Times New Roman" w:eastAsia="Times New Roman" w:hAnsi="Times New Roman" w:cs="Times New Roman"/>
          <w:sz w:val="24"/>
          <w:szCs w:val="24"/>
          <w:lang w:val="en-GB"/>
        </w:rPr>
        <w:t>X’Celerator</w:t>
      </w:r>
      <w:proofErr w:type="spellEnd"/>
      <w:r w:rsidRPr="00FB2A56">
        <w:rPr>
          <w:rFonts w:ascii="Times New Roman" w:eastAsia="Times New Roman" w:hAnsi="Times New Roman" w:cs="Times New Roman"/>
          <w:sz w:val="24"/>
          <w:szCs w:val="24"/>
          <w:lang w:val="en-GB"/>
        </w:rPr>
        <w:t xml:space="preserve"> detector. The patterns were recorded in the 2</w:t>
      </w:r>
      <w:r w:rsidRPr="00FB2A56">
        <w:rPr>
          <w:rFonts w:ascii="Times New Roman" w:eastAsia="Times New Roman" w:hAnsi="Times New Roman" w:cs="Times New Roman"/>
          <w:i/>
          <w:sz w:val="24"/>
          <w:szCs w:val="24"/>
          <w:lang w:val="en-GB"/>
        </w:rPr>
        <w:t>θ</w:t>
      </w:r>
      <w:r w:rsidRPr="00FB2A56">
        <w:rPr>
          <w:rFonts w:ascii="Times New Roman" w:eastAsia="Times New Roman" w:hAnsi="Times New Roman" w:cs="Times New Roman"/>
          <w:sz w:val="24"/>
          <w:szCs w:val="24"/>
          <w:lang w:val="en-GB"/>
        </w:rPr>
        <w:t xml:space="preserve"> range of 5–120° (2</w:t>
      </w:r>
      <w:r w:rsidRPr="00FB2A56">
        <w:rPr>
          <w:rFonts w:ascii="Times New Roman" w:eastAsia="Times New Roman" w:hAnsi="Times New Roman" w:cs="Times New Roman"/>
          <w:i/>
          <w:sz w:val="24"/>
          <w:szCs w:val="24"/>
          <w:lang w:val="en-GB"/>
        </w:rPr>
        <w:t>θ</w:t>
      </w:r>
      <w:r w:rsidRPr="00FB2A56">
        <w:rPr>
          <w:rFonts w:ascii="Times New Roman" w:eastAsia="Times New Roman" w:hAnsi="Times New Roman" w:cs="Times New Roman"/>
          <w:sz w:val="24"/>
          <w:szCs w:val="24"/>
          <w:lang w:val="en-GB"/>
        </w:rPr>
        <w:t xml:space="preserve"> resolution of 0.017°) at room temperature. Line positions determination and instrumental line broadening evaluation were carried out using commercially available standards SRM640 (Si) and SRM660 (LaB</w:t>
      </w:r>
      <w:r w:rsidRPr="00FB2A56">
        <w:rPr>
          <w:rFonts w:ascii="Times New Roman" w:eastAsia="Times New Roman" w:hAnsi="Times New Roman" w:cs="Times New Roman"/>
          <w:sz w:val="24"/>
          <w:szCs w:val="24"/>
          <w:vertAlign w:val="subscript"/>
          <w:lang w:val="en-GB"/>
        </w:rPr>
        <w:t>6</w:t>
      </w:r>
      <w:r w:rsidRPr="00FB2A56">
        <w:rPr>
          <w:rFonts w:ascii="Times New Roman" w:eastAsia="Times New Roman" w:hAnsi="Times New Roman" w:cs="Times New Roman"/>
          <w:sz w:val="24"/>
          <w:szCs w:val="24"/>
          <w:lang w:val="en-GB"/>
        </w:rPr>
        <w:t xml:space="preserve">) from the NIST (National Institute of Standard and Technologies). High Score Plus software in conjunction with the PDF-4+ and ICSD databases was employed for crystalline phase identification and Rietveld refinement. </w:t>
      </w:r>
    </w:p>
    <w:p w:rsidR="00421EFB" w:rsidRPr="00FB2A56" w:rsidRDefault="00C90EEE" w:rsidP="00DA780F">
      <w:pPr>
        <w:pStyle w:val="Vchoz"/>
        <w:spacing w:line="360" w:lineRule="auto"/>
        <w:jc w:val="both"/>
        <w:rPr>
          <w:rFonts w:ascii="Times New Roman" w:eastAsia="Times New Roman" w:hAnsi="Times New Roman"/>
          <w:color w:val="000000"/>
          <w:sz w:val="24"/>
          <w:szCs w:val="24"/>
          <w:lang w:val="en-GB" w:eastAsia="cs-CZ"/>
        </w:rPr>
      </w:pPr>
      <w:r w:rsidRPr="00FB2A56">
        <w:rPr>
          <w:rFonts w:ascii="Times New Roman" w:hAnsi="Times New Roman"/>
          <w:sz w:val="24"/>
          <w:szCs w:val="24"/>
          <w:lang w:val="en-GB"/>
        </w:rPr>
        <w:t>The Scanning electron microscopy (</w:t>
      </w:r>
      <w:r w:rsidRPr="00FB2A56">
        <w:rPr>
          <w:rFonts w:ascii="Times New Roman" w:hAnsi="Times New Roman"/>
          <w:b/>
          <w:sz w:val="24"/>
          <w:szCs w:val="24"/>
          <w:lang w:val="en-GB"/>
        </w:rPr>
        <w:t>SEM)</w:t>
      </w:r>
      <w:r w:rsidRPr="00FB2A56">
        <w:rPr>
          <w:rFonts w:ascii="Times New Roman" w:hAnsi="Times New Roman"/>
          <w:sz w:val="24"/>
          <w:szCs w:val="24"/>
          <w:lang w:val="en-GB"/>
        </w:rPr>
        <w:t xml:space="preserve"> images were recorded by employing the </w:t>
      </w:r>
      <w:r w:rsidRPr="00FB2A56">
        <w:rPr>
          <w:rFonts w:ascii="Times New Roman" w:eastAsia="Times New Roman" w:hAnsi="Times New Roman"/>
          <w:color w:val="000000"/>
          <w:sz w:val="24"/>
          <w:szCs w:val="24"/>
          <w:lang w:val="en-GB" w:eastAsia="cs-CZ"/>
        </w:rPr>
        <w:t>Scanning electron microscope VEGA3 LMU equipped with Everhart-</w:t>
      </w:r>
      <w:proofErr w:type="spellStart"/>
      <w:r w:rsidRPr="00FB2A56">
        <w:rPr>
          <w:rFonts w:ascii="Times New Roman" w:eastAsia="Times New Roman" w:hAnsi="Times New Roman"/>
          <w:color w:val="000000"/>
          <w:sz w:val="24"/>
          <w:szCs w:val="24"/>
          <w:lang w:val="en-GB" w:eastAsia="cs-CZ"/>
        </w:rPr>
        <w:t>Thornley</w:t>
      </w:r>
      <w:proofErr w:type="spellEnd"/>
      <w:r w:rsidRPr="00FB2A56">
        <w:rPr>
          <w:rFonts w:ascii="Times New Roman" w:eastAsia="Times New Roman" w:hAnsi="Times New Roman"/>
          <w:color w:val="000000"/>
          <w:sz w:val="24"/>
          <w:szCs w:val="24"/>
          <w:lang w:val="en-GB" w:eastAsia="cs-CZ"/>
        </w:rPr>
        <w:t xml:space="preserve"> type secondary electron detector (TESCAN, Brno, Czech Republic). The accelerating voltage was set to </w:t>
      </w:r>
      <w:r w:rsidRPr="00FB2A56">
        <w:rPr>
          <w:rFonts w:ascii="Times New Roman" w:eastAsia="Times New Roman" w:hAnsi="Times New Roman"/>
          <w:sz w:val="24"/>
          <w:szCs w:val="24"/>
          <w:lang w:val="en-GB" w:eastAsia="cs-CZ"/>
        </w:rPr>
        <w:t>30</w:t>
      </w:r>
      <w:r w:rsidRPr="00FB2A56">
        <w:rPr>
          <w:rFonts w:ascii="Times New Roman" w:eastAsia="Times New Roman" w:hAnsi="Times New Roman"/>
          <w:color w:val="FF0000"/>
          <w:sz w:val="24"/>
          <w:szCs w:val="24"/>
          <w:lang w:val="en-GB" w:eastAsia="cs-CZ"/>
        </w:rPr>
        <w:t> </w:t>
      </w:r>
      <w:r w:rsidRPr="00FB2A56">
        <w:rPr>
          <w:rFonts w:ascii="Times New Roman" w:eastAsia="Times New Roman" w:hAnsi="Times New Roman"/>
          <w:color w:val="000000"/>
          <w:sz w:val="24"/>
          <w:szCs w:val="24"/>
          <w:lang w:val="en-GB" w:eastAsia="cs-CZ"/>
        </w:rPr>
        <w:t>kV. The pressure inside the chamber during the measurements was decreased to 10</w:t>
      </w:r>
      <w:r w:rsidRPr="00FB2A56">
        <w:rPr>
          <w:rFonts w:ascii="Times New Roman" w:eastAsia="Times New Roman" w:hAnsi="Times New Roman"/>
          <w:color w:val="000000"/>
          <w:sz w:val="24"/>
          <w:szCs w:val="24"/>
          <w:vertAlign w:val="superscript"/>
          <w:lang w:val="en-GB" w:eastAsia="cs-CZ"/>
        </w:rPr>
        <w:t>-2</w:t>
      </w:r>
      <w:r w:rsidRPr="00FB2A56">
        <w:rPr>
          <w:rFonts w:ascii="Times New Roman" w:eastAsia="Times New Roman" w:hAnsi="Times New Roman"/>
          <w:color w:val="000000"/>
          <w:sz w:val="24"/>
          <w:szCs w:val="24"/>
          <w:lang w:val="en-GB" w:eastAsia="cs-CZ"/>
        </w:rPr>
        <w:t> Pa using an in-built rotary vacuum pump.</w:t>
      </w:r>
    </w:p>
    <w:p w:rsidR="00421EFB" w:rsidRPr="00FB2A56" w:rsidRDefault="00421EFB" w:rsidP="00DA780F">
      <w:pPr>
        <w:pStyle w:val="Vchoz"/>
        <w:spacing w:line="360" w:lineRule="auto"/>
        <w:jc w:val="both"/>
        <w:rPr>
          <w:rFonts w:ascii="Times New Roman" w:eastAsia="Times New Roman" w:hAnsi="Times New Roman"/>
          <w:color w:val="000000"/>
          <w:sz w:val="24"/>
          <w:szCs w:val="24"/>
          <w:lang w:val="en-GB" w:eastAsia="cs-CZ"/>
        </w:rPr>
      </w:pPr>
    </w:p>
    <w:p w:rsidR="00C90EEE" w:rsidRPr="00FB2A56" w:rsidRDefault="00C90EEE" w:rsidP="004A0F92">
      <w:pPr>
        <w:pStyle w:val="Vchoz"/>
        <w:numPr>
          <w:ilvl w:val="0"/>
          <w:numId w:val="2"/>
        </w:numPr>
        <w:spacing w:line="360" w:lineRule="auto"/>
        <w:jc w:val="both"/>
        <w:rPr>
          <w:rFonts w:ascii="Times New Roman" w:eastAsiaTheme="minorEastAsia" w:hAnsi="Times New Roman"/>
          <w:b/>
          <w:sz w:val="24"/>
          <w:szCs w:val="24"/>
          <w:lang w:val="en-GB"/>
        </w:rPr>
      </w:pPr>
      <w:r w:rsidRPr="00FB2A56">
        <w:rPr>
          <w:rFonts w:ascii="Times New Roman" w:hAnsi="Times New Roman"/>
          <w:b/>
          <w:sz w:val="32"/>
          <w:szCs w:val="24"/>
          <w:lang w:val="en-GB"/>
        </w:rPr>
        <w:t>Results and Discussion</w:t>
      </w:r>
      <w:bookmarkStart w:id="2" w:name="OLE_LINK13"/>
      <w:bookmarkStart w:id="3" w:name="OLE_LINK12"/>
      <w:bookmarkStart w:id="4" w:name="OLE_LINK11"/>
      <w:bookmarkEnd w:id="2"/>
      <w:bookmarkEnd w:id="3"/>
      <w:bookmarkEnd w:id="4"/>
    </w:p>
    <w:p w:rsidR="00C90EEE" w:rsidRPr="00FB2A56" w:rsidRDefault="00C90EEE" w:rsidP="00DA780F">
      <w:pPr>
        <w:pStyle w:val="Bezmezer"/>
        <w:spacing w:line="360" w:lineRule="auto"/>
        <w:ind w:firstLine="482"/>
        <w:jc w:val="both"/>
        <w:rPr>
          <w:rFonts w:ascii="Times New Roman" w:hAnsi="Times New Roman"/>
          <w:sz w:val="24"/>
          <w:szCs w:val="24"/>
          <w:lang w:val="en-GB"/>
        </w:rPr>
      </w:pPr>
      <w:r w:rsidRPr="00FB2A56">
        <w:rPr>
          <w:rFonts w:ascii="Times New Roman" w:hAnsi="Times New Roman"/>
          <w:sz w:val="24"/>
          <w:szCs w:val="24"/>
          <w:lang w:val="en-GB"/>
        </w:rPr>
        <w:t xml:space="preserve">Before starting the calcination of homogenized ferrous oxalate </w:t>
      </w:r>
      <w:proofErr w:type="spellStart"/>
      <w:r w:rsidRPr="00FB2A56">
        <w:rPr>
          <w:rFonts w:ascii="Times New Roman" w:hAnsi="Times New Roman"/>
          <w:sz w:val="24"/>
          <w:szCs w:val="24"/>
          <w:lang w:val="en-GB"/>
        </w:rPr>
        <w:t>dihydrate</w:t>
      </w:r>
      <w:proofErr w:type="spellEnd"/>
      <w:r w:rsidRPr="00FB2A56">
        <w:rPr>
          <w:rFonts w:ascii="Times New Roman" w:hAnsi="Times New Roman"/>
          <w:sz w:val="24"/>
          <w:szCs w:val="24"/>
          <w:lang w:val="en-GB"/>
        </w:rPr>
        <w:t xml:space="preserve"> precursor a portion of it was examined by room temperature Mössbauer spectroscopy. The acquired spectrum exhibited a symmetrical doublet with an isomer shift of </w:t>
      </w:r>
      <w:r w:rsidRPr="00FB2A56">
        <w:rPr>
          <w:rFonts w:ascii="Times New Roman" w:hAnsi="Times New Roman"/>
          <w:i/>
          <w:sz w:val="24"/>
          <w:szCs w:val="24"/>
          <w:lang w:val="en-GB"/>
        </w:rPr>
        <w:t>δ</w:t>
      </w:r>
      <w:r w:rsidRPr="00FB2A56">
        <w:rPr>
          <w:rFonts w:ascii="Times New Roman" w:hAnsi="Times New Roman"/>
          <w:sz w:val="24"/>
          <w:szCs w:val="24"/>
          <w:lang w:val="en-GB"/>
        </w:rPr>
        <w:t> = 1.19 mm/s and quadrupole splitting of ∆</w:t>
      </w:r>
      <w:r w:rsidRPr="00FB2A56">
        <w:rPr>
          <w:rFonts w:ascii="Times New Roman" w:hAnsi="Times New Roman"/>
          <w:i/>
          <w:sz w:val="24"/>
          <w:szCs w:val="24"/>
          <w:lang w:val="en-GB"/>
        </w:rPr>
        <w:t>E</w:t>
      </w:r>
      <w:r w:rsidRPr="00FB2A56">
        <w:rPr>
          <w:rFonts w:ascii="Times New Roman" w:hAnsi="Times New Roman"/>
          <w:sz w:val="24"/>
          <w:szCs w:val="24"/>
          <w:vertAlign w:val="subscript"/>
          <w:lang w:val="en-GB"/>
        </w:rPr>
        <w:t>Q</w:t>
      </w:r>
      <w:r w:rsidRPr="00FB2A56">
        <w:rPr>
          <w:rFonts w:ascii="Times New Roman" w:hAnsi="Times New Roman"/>
          <w:sz w:val="24"/>
          <w:szCs w:val="24"/>
          <w:lang w:val="en-GB"/>
        </w:rPr>
        <w:t> = 1.72 mm/s. Both the spectrum shape and the parameter values are typical for ferrous oxalate dihydrate</w:t>
      </w:r>
      <w:r w:rsidRPr="00FB2A56">
        <w:rPr>
          <w:rFonts w:ascii="Times New Roman" w:hAnsi="Times New Roman"/>
          <w:sz w:val="24"/>
          <w:szCs w:val="24"/>
          <w:lang w:val="en-GB"/>
        </w:rPr>
        <w:fldChar w:fldCharType="begin" w:fldLock="1"/>
      </w:r>
      <w:r w:rsidR="00752133">
        <w:rPr>
          <w:rFonts w:ascii="Times New Roman" w:hAnsi="Times New Roman"/>
          <w:sz w:val="24"/>
          <w:szCs w:val="24"/>
          <w:lang w:val="en-GB"/>
        </w:rPr>
        <w:instrText>ADDIN CSL_CITATION {"citationItems":[{"id":"ITEM-1","itemData":{"DOI":"10.1002/ejic.200900835","ISSN":"14341948","abstract":"The thermal decomposition of ferric oxalate tetrahydrate Fe2(C2O4)3·4H2O was studied in dynamic oxidative and inert atmospheres by using a simultaneous thermogravimetric (TG) and differential scanning calorimetric (DSC) analytical device equipped with an evolved gas analyzer (EGA). Solid-state decomposition products formed during the decomposition were analyzed by 57Fe Mössbauer spectroscopy, in situ and ex situ X-ray powder diffraction, and magnetic measurements. In the dynamic inert atmosphere, we observed the formation of a tiny amount of superparamagnetic iron oxide (most likely Fe3O4) together with a majority of ferrous oxalate (FeC2O4) and remains of undecomposed Fe2(C2O4)3 after the first decomposition step, which finished at 210 °C. The astonishing presence of the oxidic phase at such low temperatures is a highly probable side effect of the main reduction action of the electrons on the FeIII cations in the ferric oxalate structure, thus resulting in the creation of intermediate FeC2O4. The final product of decomposition of the FeC2O4 intermediate in a dynamic inert atmosphere is a mixture of wüstite (FexO), α-iron (α-Fe), and magnetite (Fe3O4). Their proportion accurately reflects actual disproportionation/synproportionation/redisproportionation processes likely encouraged by the preserved size and morphology of the initial ferric oxalate crystals and that are dependent on temperature. In the oxidative atmosphere, the decomposition proceeds in the three overlapped stages that include dehydration, the astonishing reductive formation of FeC2O4 as an intermediate, and final decarboxylation to hematite (α-Fe2O3). The principal effect of the experimental conditions on the amount of intermediate formation of FeC2O4 in the oxidative atmosphere is also discussed and evaluated from the isothermal experiments carried out at 180 °C.","author":[{"dropping-particle":"","family":"Hermankova","given":"Pavla","non-dropping-particle":"","parse-names":false,"suffix":""},{"dropping-particle":"","family":"Hermanek","given":"Martin","non-dropping-particle":"","parse-names":false,"suffix":""},{"dropping-particle":"","family":"Zboril","given":"Radek","non-dropping-particle":"","parse-names":false,"suffix":""}],"container-title":"European Journal of Inorganic Chemistry","id":"ITEM-1","issue":"7","issued":{"date-parts":[["2010"]]},"page":"1110-1118","title":"Thermal decomposition of ferric oxalate tetrahydrate in oxidative and inert atmospheres: the role of ferrous oxalate as an intermediate","type":"article-journal"},"uris":["http://www.mendeley.com/documents/?uuid=dea7352d-5485-4d97-b425-9f373503f1ca","http://www.mendeley.com/documents/?uuid=ade66004-5caf-4d87-9dc3-f589380f8d18","http://www.mendeley.com/documents/?uuid=6314a499-c24a-473b-a6b2-1a71e7cd3e13"]},{"id":"ITEM-2","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Chemistry","id":"ITEM-2","issue":"13","issued":{"date-parts":[["2006"]]},"page":"1273","title":"Thermal behaviour of iron(ii) oxalate dihydrate in the atmosphere of its conversion gases","type":"article-journal","volume":"16"},"uris":["http://www.mendeley.com/documents/?uuid=88a71a42-1124-4191-bc5d-fa03eecdcb9a"]}],"mendeley":{"formattedCitation":"&lt;sup&gt;23,34&lt;/sup&gt;","plainTextFormattedCitation":"23,34","previouslyFormattedCitation":"&lt;sup&gt;23,34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23,34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The results obtained by XRD and Mössbauer spectroscopy of all 24 prepared samples are presented below. The individual samples are presented within the series, where each of them was prepared at different temperature (8 series, 3 samples each). All the samples were labelled </w:t>
      </w:r>
      <w:proofErr w:type="spellStart"/>
      <w:r w:rsidRPr="00FB2A56">
        <w:rPr>
          <w:rFonts w:ascii="Times New Roman" w:hAnsi="Times New Roman"/>
          <w:sz w:val="24"/>
          <w:szCs w:val="24"/>
          <w:lang w:val="en-GB"/>
        </w:rPr>
        <w:t>T</w:t>
      </w:r>
      <w:r w:rsidRPr="00FB2A56">
        <w:rPr>
          <w:rFonts w:ascii="Times New Roman" w:hAnsi="Times New Roman"/>
          <w:i/>
          <w:sz w:val="24"/>
          <w:szCs w:val="24"/>
          <w:lang w:val="en-GB"/>
        </w:rPr>
        <w:t>x</w:t>
      </w:r>
      <w:r w:rsidRPr="00FB2A56">
        <w:rPr>
          <w:rFonts w:ascii="Times New Roman" w:hAnsi="Times New Roman"/>
          <w:sz w:val="24"/>
          <w:szCs w:val="24"/>
          <w:lang w:val="en-GB"/>
        </w:rPr>
        <w:t>H</w:t>
      </w:r>
      <w:r w:rsidRPr="00FB2A56">
        <w:rPr>
          <w:rFonts w:ascii="Times New Roman" w:hAnsi="Times New Roman"/>
          <w:i/>
          <w:sz w:val="24"/>
          <w:szCs w:val="24"/>
          <w:lang w:val="en-GB"/>
        </w:rPr>
        <w:t>y</w:t>
      </w:r>
      <w:proofErr w:type="spellEnd"/>
      <w:r w:rsidRPr="00FB2A56">
        <w:rPr>
          <w:rFonts w:ascii="Times New Roman" w:hAnsi="Times New Roman"/>
          <w:sz w:val="24"/>
          <w:szCs w:val="24"/>
          <w:lang w:val="en-GB"/>
        </w:rPr>
        <w:t xml:space="preserve">, where </w:t>
      </w:r>
      <w:r w:rsidRPr="00FB2A56">
        <w:rPr>
          <w:rFonts w:ascii="Times New Roman" w:hAnsi="Times New Roman"/>
          <w:i/>
          <w:sz w:val="24"/>
          <w:szCs w:val="24"/>
          <w:lang w:val="en-GB"/>
        </w:rPr>
        <w:t>x</w:t>
      </w:r>
      <w:r w:rsidRPr="00FB2A56">
        <w:rPr>
          <w:rFonts w:ascii="Times New Roman" w:hAnsi="Times New Roman"/>
          <w:sz w:val="24"/>
          <w:szCs w:val="24"/>
          <w:lang w:val="en-GB"/>
        </w:rPr>
        <w:t xml:space="preserve"> stands for temperature in °C and </w:t>
      </w:r>
      <w:r w:rsidRPr="00FB2A56">
        <w:rPr>
          <w:rFonts w:ascii="Times New Roman" w:hAnsi="Times New Roman"/>
          <w:i/>
          <w:sz w:val="24"/>
          <w:szCs w:val="24"/>
          <w:lang w:val="en-GB"/>
        </w:rPr>
        <w:t>y</w:t>
      </w:r>
      <w:r w:rsidRPr="00FB2A56">
        <w:rPr>
          <w:rFonts w:ascii="Times New Roman" w:hAnsi="Times New Roman"/>
          <w:sz w:val="24"/>
          <w:szCs w:val="24"/>
          <w:lang w:val="en-GB"/>
        </w:rPr>
        <w:t xml:space="preserve"> stands for calcination time in hours. The complete list of obtained XRD and Mössbauer results is shown in Table 1. </w:t>
      </w:r>
      <w:proofErr w:type="gramStart"/>
      <w:r w:rsidRPr="00FB2A56">
        <w:rPr>
          <w:rFonts w:ascii="Times New Roman" w:hAnsi="Times New Roman"/>
          <w:sz w:val="24"/>
          <w:szCs w:val="24"/>
          <w:lang w:val="en-GB"/>
        </w:rPr>
        <w:t>and</w:t>
      </w:r>
      <w:proofErr w:type="gramEnd"/>
      <w:r w:rsidRPr="00FB2A56">
        <w:rPr>
          <w:rFonts w:ascii="Times New Roman" w:hAnsi="Times New Roman"/>
          <w:sz w:val="24"/>
          <w:szCs w:val="24"/>
          <w:lang w:val="en-GB"/>
        </w:rPr>
        <w:t xml:space="preserve"> Table 2., respectively.</w:t>
      </w:r>
    </w:p>
    <w:p w:rsidR="00C90EEE" w:rsidRPr="00FB2A56" w:rsidRDefault="00C90EEE" w:rsidP="00DA780F">
      <w:pPr>
        <w:pStyle w:val="Bezmezer"/>
        <w:spacing w:line="360" w:lineRule="auto"/>
        <w:jc w:val="both"/>
        <w:rPr>
          <w:rFonts w:ascii="Times New Roman" w:hAnsi="Times New Roman"/>
          <w:b/>
          <w:sz w:val="24"/>
          <w:szCs w:val="24"/>
          <w:lang w:val="en-GB"/>
        </w:rPr>
      </w:pPr>
      <w:proofErr w:type="gramStart"/>
      <w:r w:rsidRPr="00FB2A56">
        <w:rPr>
          <w:rFonts w:ascii="Times New Roman" w:hAnsi="Times New Roman"/>
          <w:b/>
          <w:sz w:val="24"/>
          <w:szCs w:val="24"/>
          <w:lang w:val="en-GB"/>
        </w:rPr>
        <w:t>The T300 series.</w:t>
      </w:r>
      <w:proofErr w:type="gramEnd"/>
    </w:p>
    <w:p w:rsidR="00C90EEE" w:rsidRPr="00FB2A56" w:rsidRDefault="00C90EEE" w:rsidP="00DA780F">
      <w:pPr>
        <w:pStyle w:val="Bezmezer"/>
        <w:spacing w:line="360" w:lineRule="auto"/>
        <w:ind w:firstLine="482"/>
        <w:jc w:val="both"/>
        <w:rPr>
          <w:rFonts w:ascii="Times New Roman" w:hAnsi="Times New Roman"/>
          <w:sz w:val="24"/>
          <w:szCs w:val="24"/>
          <w:lang w:val="en-GB"/>
        </w:rPr>
      </w:pPr>
      <w:r w:rsidRPr="00FB2A56">
        <w:rPr>
          <w:rFonts w:ascii="Times New Roman" w:hAnsi="Times New Roman"/>
          <w:sz w:val="24"/>
          <w:szCs w:val="24"/>
          <w:lang w:val="en-GB"/>
        </w:rPr>
        <w:t xml:space="preserve">The calcination of the first series of samples was conducted at 300 °C (i.e., T300 series). The Mössbauer spectrum of the first sample T300H1 showed an asymmetrical doublet composed of two components. The first one, forming most of the spectrum, was a doublet with hyperfine parameters of </w:t>
      </w:r>
      <w:r w:rsidRPr="00FB2A56">
        <w:rPr>
          <w:rFonts w:ascii="Times New Roman" w:hAnsi="Times New Roman"/>
          <w:i/>
          <w:sz w:val="24"/>
          <w:szCs w:val="24"/>
          <w:lang w:val="en-GB"/>
        </w:rPr>
        <w:t>δ</w:t>
      </w:r>
      <w:r w:rsidRPr="00FB2A56">
        <w:rPr>
          <w:rFonts w:ascii="Times New Roman" w:hAnsi="Times New Roman"/>
          <w:sz w:val="24"/>
          <w:szCs w:val="24"/>
          <w:lang w:val="en-GB"/>
        </w:rPr>
        <w:t xml:space="preserve"> = 1.19 mm/s and </w:t>
      </w:r>
      <w:bookmarkStart w:id="5" w:name="OLE_LINK6"/>
      <w:bookmarkStart w:id="6" w:name="OLE_LINK7"/>
      <w:r w:rsidRPr="00FB2A56">
        <w:rPr>
          <w:rFonts w:ascii="Times New Roman" w:hAnsi="Times New Roman"/>
          <w:sz w:val="24"/>
          <w:szCs w:val="24"/>
          <w:lang w:val="en-GB"/>
        </w:rPr>
        <w:t>∆</w:t>
      </w:r>
      <w:r w:rsidRPr="00FB2A56">
        <w:rPr>
          <w:rFonts w:ascii="Times New Roman" w:hAnsi="Times New Roman"/>
          <w:i/>
          <w:sz w:val="24"/>
          <w:szCs w:val="24"/>
          <w:lang w:val="en-GB"/>
        </w:rPr>
        <w:t>E</w:t>
      </w:r>
      <w:r w:rsidRPr="00FB2A56">
        <w:rPr>
          <w:rFonts w:ascii="Times New Roman" w:hAnsi="Times New Roman"/>
          <w:sz w:val="24"/>
          <w:szCs w:val="24"/>
          <w:vertAlign w:val="subscript"/>
          <w:lang w:val="en-GB"/>
        </w:rPr>
        <w:t>Q</w:t>
      </w:r>
      <w:r w:rsidRPr="00FB2A56">
        <w:rPr>
          <w:rFonts w:ascii="Times New Roman" w:hAnsi="Times New Roman"/>
          <w:sz w:val="24"/>
          <w:szCs w:val="24"/>
          <w:lang w:val="en-GB"/>
        </w:rPr>
        <w:t> = 2.03 mm/s</w:t>
      </w:r>
      <w:bookmarkEnd w:id="5"/>
      <w:bookmarkEnd w:id="6"/>
      <w:r w:rsidRPr="00FB2A56">
        <w:rPr>
          <w:rFonts w:ascii="Times New Roman" w:hAnsi="Times New Roman"/>
          <w:sz w:val="24"/>
          <w:szCs w:val="24"/>
          <w:lang w:val="en-GB"/>
        </w:rPr>
        <w:t xml:space="preserve"> that could be assigned to anhydrous ferrous oxalate. In comparison with its hydrated counterpart, the quadrupole </w:t>
      </w:r>
      <w:r w:rsidRPr="00FB2A56">
        <w:rPr>
          <w:rFonts w:ascii="Times New Roman" w:hAnsi="Times New Roman"/>
          <w:sz w:val="24"/>
          <w:szCs w:val="24"/>
          <w:lang w:val="en-GB"/>
        </w:rPr>
        <w:lastRenderedPageBreak/>
        <w:t xml:space="preserve">splitting was slightly higher, possibly because of the increased asymmetry of the electric field in the surroundings of the iron cations, which was caused by the missing water molecules. The ferrous oxalate doublet formed most of the MS spectrum. The other component was small, singlet resembling doublet with an isomer shift of </w:t>
      </w:r>
      <w:r w:rsidRPr="00FB2A56">
        <w:rPr>
          <w:rFonts w:ascii="Times New Roman" w:hAnsi="Times New Roman"/>
          <w:i/>
          <w:sz w:val="24"/>
          <w:szCs w:val="24"/>
          <w:lang w:val="en-GB"/>
        </w:rPr>
        <w:t>δ</w:t>
      </w:r>
      <w:r w:rsidRPr="00FB2A56">
        <w:rPr>
          <w:rFonts w:ascii="Times New Roman" w:hAnsi="Times New Roman"/>
          <w:sz w:val="24"/>
          <w:szCs w:val="24"/>
          <w:lang w:val="en-GB"/>
        </w:rPr>
        <w:t xml:space="preserve"> = 0.33 mm/s and quadrupole splitting of ∆</w:t>
      </w:r>
      <w:r w:rsidRPr="00FB2A56">
        <w:rPr>
          <w:rFonts w:ascii="Times New Roman" w:hAnsi="Times New Roman"/>
          <w:i/>
          <w:sz w:val="24"/>
          <w:szCs w:val="24"/>
          <w:lang w:val="en-GB"/>
        </w:rPr>
        <w:t>E</w:t>
      </w:r>
      <w:r w:rsidRPr="00FB2A56">
        <w:rPr>
          <w:rFonts w:ascii="Times New Roman" w:hAnsi="Times New Roman"/>
          <w:sz w:val="24"/>
          <w:szCs w:val="24"/>
          <w:vertAlign w:val="subscript"/>
          <w:lang w:val="en-GB"/>
        </w:rPr>
        <w:t xml:space="preserve">Q </w:t>
      </w:r>
      <w:r w:rsidRPr="00FB2A56">
        <w:rPr>
          <w:rFonts w:ascii="Times New Roman" w:hAnsi="Times New Roman"/>
          <w:sz w:val="24"/>
          <w:szCs w:val="24"/>
          <w:lang w:val="en-GB"/>
        </w:rPr>
        <w:t xml:space="preserve">= 0.45 mm/s. It possibly originated from the presence of amorphous iron oxide or superparamagnetic magnetite. The similar doublet was also observed by </w:t>
      </w:r>
      <w:proofErr w:type="spellStart"/>
      <w:r w:rsidRPr="00FB2A56">
        <w:rPr>
          <w:rFonts w:ascii="Times New Roman" w:hAnsi="Times New Roman"/>
          <w:sz w:val="24"/>
          <w:szCs w:val="24"/>
          <w:lang w:val="en-GB"/>
        </w:rPr>
        <w:t>Hermanek</w:t>
      </w:r>
      <w:proofErr w:type="spellEnd"/>
      <w:r w:rsidRPr="00FB2A56">
        <w:rPr>
          <w:rFonts w:ascii="Times New Roman" w:hAnsi="Times New Roman"/>
          <w:sz w:val="24"/>
          <w:szCs w:val="24"/>
          <w:lang w:val="en-GB"/>
        </w:rPr>
        <w:t xml:space="preserve"> et al.,</w:t>
      </w:r>
      <w:r w:rsidRPr="00FB2A56">
        <w:rPr>
          <w:rFonts w:ascii="Times New Roman" w:hAnsi="Times New Roman"/>
          <w:sz w:val="24"/>
          <w:szCs w:val="24"/>
          <w:lang w:val="en-GB"/>
        </w:rPr>
        <w:fldChar w:fldCharType="begin" w:fldLock="1"/>
      </w:r>
      <w:r w:rsidR="00752133">
        <w:rPr>
          <w:rFonts w:ascii="Times New Roman" w:hAnsi="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34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who identified the doublet as a superparamagnetic magnetite based on low temperature Mössbauer spectroscopy measurements in magnetic field. Due to relative similarity of the observed components we could suggest that the doublet was a superparamagnetic magnetite (SP). The relative area of the smaller doublet component was around 7 %. The other two samples of the series were comparable in the sample composition to the first one. The gradual increase up to 13 % in the relative area corresponding to the smaller doublet was observed in the second sample T300H6. Then, in the third sample, it dropped to 8 %. However, another component or components which have the magnetic field could be observed in a form of small distortions in the background (see Fig</w:t>
      </w:r>
      <w:r w:rsidR="003A66F7">
        <w:rPr>
          <w:rFonts w:ascii="Times New Roman" w:hAnsi="Times New Roman"/>
          <w:sz w:val="24"/>
          <w:szCs w:val="24"/>
          <w:lang w:val="en-GB"/>
        </w:rPr>
        <w:t>ure</w:t>
      </w:r>
      <w:r w:rsidRPr="00FB2A56">
        <w:rPr>
          <w:rFonts w:ascii="Times New Roman" w:hAnsi="Times New Roman"/>
          <w:sz w:val="24"/>
          <w:szCs w:val="24"/>
          <w:lang w:val="en-GB"/>
        </w:rPr>
        <w:t xml:space="preserve"> 1.) taking roughly 10 % of the relative area. This component or components could be small particles of crystalline magnetite, but they were too small to specify their nature. As it was expected, the calcination of ferrous oxalate at 300°C did not result in a complete decomposition of the precursor, but some minor part of it was transformed.</w:t>
      </w:r>
    </w:p>
    <w:p w:rsidR="00C90EEE" w:rsidRPr="00FB2A56" w:rsidRDefault="00C90EEE" w:rsidP="00B5307E">
      <w:pPr>
        <w:pStyle w:val="Bezmezer"/>
        <w:keepNext/>
        <w:spacing w:line="360" w:lineRule="auto"/>
        <w:rPr>
          <w:rFonts w:ascii="Times New Roman" w:hAnsi="Times New Roman"/>
          <w:sz w:val="24"/>
          <w:szCs w:val="24"/>
          <w:lang w:val="en-GB"/>
        </w:rPr>
      </w:pPr>
      <w:r w:rsidRPr="00FB2A56">
        <w:rPr>
          <w:rFonts w:ascii="Times New Roman" w:hAnsi="Times New Roman"/>
          <w:noProof/>
          <w:sz w:val="24"/>
          <w:szCs w:val="24"/>
          <w:lang w:eastAsia="cs-CZ"/>
        </w:rPr>
        <w:drawing>
          <wp:inline distT="0" distB="0" distL="0" distR="0" wp14:anchorId="7EC1222E" wp14:editId="524929A2">
            <wp:extent cx="2667000" cy="1862194"/>
            <wp:effectExtent l="0" t="0" r="0" b="5080"/>
            <wp:docPr id="4" name="Obrázek 4" descr="Obsah obrázku snímek obrazovky&#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msT300H1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867" cy="1892823"/>
                    </a:xfrm>
                    <a:prstGeom prst="rect">
                      <a:avLst/>
                    </a:prstGeom>
                  </pic:spPr>
                </pic:pic>
              </a:graphicData>
            </a:graphic>
          </wp:inline>
        </w:drawing>
      </w:r>
    </w:p>
    <w:p w:rsidR="00C90EEE" w:rsidRPr="00073AE9" w:rsidRDefault="00C90EEE" w:rsidP="00B5307E">
      <w:pPr>
        <w:pStyle w:val="Titulek"/>
        <w:spacing w:line="360" w:lineRule="auto"/>
        <w:rPr>
          <w:rFonts w:ascii="Times New Roman" w:hAnsi="Times New Roman" w:cs="Times New Roman"/>
          <w:i w:val="0"/>
          <w:color w:val="000000" w:themeColor="text1"/>
          <w:sz w:val="16"/>
          <w:szCs w:val="16"/>
          <w:lang w:val="en-GB"/>
        </w:rPr>
      </w:pPr>
      <w:proofErr w:type="gramStart"/>
      <w:r w:rsidRPr="00A95435">
        <w:rPr>
          <w:rFonts w:ascii="Times New Roman" w:hAnsi="Times New Roman" w:cs="Times New Roman"/>
          <w:b/>
          <w:i w:val="0"/>
          <w:color w:val="000000" w:themeColor="text1"/>
          <w:sz w:val="16"/>
          <w:szCs w:val="16"/>
          <w:lang w:val="en-GB"/>
        </w:rPr>
        <w:t>Fig</w:t>
      </w:r>
      <w:r w:rsidR="003A66F7" w:rsidRPr="00A95435">
        <w:rPr>
          <w:rFonts w:ascii="Times New Roman" w:hAnsi="Times New Roman" w:cs="Times New Roman"/>
          <w:b/>
          <w:i w:val="0"/>
          <w:color w:val="000000" w:themeColor="text1"/>
          <w:sz w:val="16"/>
          <w:szCs w:val="16"/>
          <w:lang w:val="en-GB"/>
        </w:rPr>
        <w:t>ure</w:t>
      </w:r>
      <w:r w:rsidRPr="00A95435">
        <w:rPr>
          <w:rFonts w:ascii="Times New Roman" w:hAnsi="Times New Roman" w:cs="Times New Roman"/>
          <w:b/>
          <w:i w:val="0"/>
          <w:color w:val="000000" w:themeColor="text1"/>
          <w:sz w:val="16"/>
          <w:szCs w:val="16"/>
          <w:lang w:val="en-GB"/>
        </w:rPr>
        <w:t xml:space="preserve"> </w:t>
      </w:r>
      <w:r w:rsidRPr="00A95435">
        <w:rPr>
          <w:rFonts w:ascii="Times New Roman" w:hAnsi="Times New Roman" w:cs="Times New Roman"/>
          <w:b/>
          <w:i w:val="0"/>
          <w:color w:val="000000" w:themeColor="text1"/>
          <w:sz w:val="16"/>
          <w:szCs w:val="16"/>
          <w:lang w:val="en-GB"/>
        </w:rPr>
        <w:fldChar w:fldCharType="begin"/>
      </w:r>
      <w:r w:rsidRPr="00A95435">
        <w:rPr>
          <w:rFonts w:ascii="Times New Roman" w:hAnsi="Times New Roman" w:cs="Times New Roman"/>
          <w:b/>
          <w:i w:val="0"/>
          <w:color w:val="000000" w:themeColor="text1"/>
          <w:sz w:val="16"/>
          <w:szCs w:val="16"/>
          <w:lang w:val="en-GB"/>
        </w:rPr>
        <w:instrText xml:space="preserve"> SEQ Figure \* ARABIC </w:instrText>
      </w:r>
      <w:r w:rsidRPr="00A95435">
        <w:rPr>
          <w:rFonts w:ascii="Times New Roman" w:hAnsi="Times New Roman" w:cs="Times New Roman"/>
          <w:b/>
          <w:i w:val="0"/>
          <w:color w:val="000000" w:themeColor="text1"/>
          <w:sz w:val="16"/>
          <w:szCs w:val="16"/>
          <w:lang w:val="en-GB"/>
        </w:rPr>
        <w:fldChar w:fldCharType="separate"/>
      </w:r>
      <w:r w:rsidR="00B5307E">
        <w:rPr>
          <w:rFonts w:ascii="Times New Roman" w:hAnsi="Times New Roman" w:cs="Times New Roman"/>
          <w:b/>
          <w:i w:val="0"/>
          <w:noProof/>
          <w:color w:val="000000" w:themeColor="text1"/>
          <w:sz w:val="16"/>
          <w:szCs w:val="16"/>
          <w:lang w:val="en-GB"/>
        </w:rPr>
        <w:t>1</w:t>
      </w:r>
      <w:r w:rsidRPr="00A95435">
        <w:rPr>
          <w:rFonts w:ascii="Times New Roman" w:hAnsi="Times New Roman" w:cs="Times New Roman"/>
          <w:b/>
          <w:i w:val="0"/>
          <w:color w:val="000000" w:themeColor="text1"/>
          <w:sz w:val="16"/>
          <w:szCs w:val="16"/>
          <w:lang w:val="en-GB"/>
        </w:rPr>
        <w:fldChar w:fldCharType="end"/>
      </w:r>
      <w:r w:rsidRPr="00073AE9">
        <w:rPr>
          <w:rFonts w:ascii="Times New Roman" w:hAnsi="Times New Roman" w:cs="Times New Roman"/>
          <w:i w:val="0"/>
          <w:color w:val="000000" w:themeColor="text1"/>
          <w:sz w:val="16"/>
          <w:szCs w:val="16"/>
          <w:lang w:val="en-GB"/>
        </w:rPr>
        <w:t>.</w:t>
      </w:r>
      <w:proofErr w:type="gramEnd"/>
      <w:r w:rsidRPr="00073AE9">
        <w:rPr>
          <w:rFonts w:ascii="Times New Roman" w:hAnsi="Times New Roman" w:cs="Times New Roman"/>
          <w:i w:val="0"/>
          <w:color w:val="000000" w:themeColor="text1"/>
          <w:sz w:val="16"/>
          <w:szCs w:val="16"/>
          <w:lang w:val="en-GB"/>
        </w:rPr>
        <w:t xml:space="preserve"> </w:t>
      </w:r>
      <w:proofErr w:type="gramStart"/>
      <w:r w:rsidRPr="00073AE9">
        <w:rPr>
          <w:rFonts w:ascii="Times New Roman" w:hAnsi="Times New Roman" w:cs="Times New Roman"/>
          <w:i w:val="0"/>
          <w:color w:val="000000" w:themeColor="text1"/>
          <w:sz w:val="16"/>
          <w:szCs w:val="16"/>
          <w:lang w:val="en-GB"/>
        </w:rPr>
        <w:t>Mössbauer spectrum of T300H12.</w:t>
      </w:r>
      <w:proofErr w:type="gramEnd"/>
    </w:p>
    <w:p w:rsidR="00C90EEE" w:rsidRPr="00FB2A56" w:rsidRDefault="00C90EEE" w:rsidP="00DA780F">
      <w:pPr>
        <w:pStyle w:val="Bezmezer"/>
        <w:spacing w:line="360" w:lineRule="auto"/>
        <w:jc w:val="both"/>
        <w:rPr>
          <w:rFonts w:ascii="Times New Roman" w:hAnsi="Times New Roman"/>
          <w:b/>
          <w:sz w:val="24"/>
          <w:szCs w:val="24"/>
          <w:lang w:val="en-GB"/>
        </w:rPr>
      </w:pPr>
      <w:proofErr w:type="gramStart"/>
      <w:r w:rsidRPr="00FB2A56">
        <w:rPr>
          <w:rFonts w:ascii="Times New Roman" w:hAnsi="Times New Roman"/>
          <w:b/>
          <w:sz w:val="24"/>
          <w:szCs w:val="24"/>
          <w:lang w:val="en-GB"/>
        </w:rPr>
        <w:t>The T350 series.</w:t>
      </w:r>
      <w:proofErr w:type="gramEnd"/>
    </w:p>
    <w:p w:rsidR="00C90EEE" w:rsidRDefault="00C90EEE" w:rsidP="00DA780F">
      <w:pPr>
        <w:pStyle w:val="Bezmezer"/>
        <w:spacing w:line="360" w:lineRule="auto"/>
        <w:ind w:firstLine="482"/>
        <w:jc w:val="both"/>
        <w:rPr>
          <w:rFonts w:ascii="Times New Roman" w:hAnsi="Times New Roman"/>
          <w:sz w:val="24"/>
          <w:szCs w:val="24"/>
          <w:lang w:val="en-GB"/>
        </w:rPr>
      </w:pPr>
      <w:r w:rsidRPr="00FB2A56">
        <w:rPr>
          <w:rFonts w:ascii="Times New Roman" w:hAnsi="Times New Roman"/>
          <w:sz w:val="24"/>
          <w:szCs w:val="24"/>
          <w:lang w:val="en-GB"/>
        </w:rPr>
        <w:t xml:space="preserve">The temperature 350 °C used for calcination of the samples of the second series T350 fits well inside the range of the second DTA peak as it was reported in previous works, e.g. </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author":[{"dropping-particle":"","family":"Broadbent","given":"D.","non-dropping-particle":"","parse-names":false,"suffix":""},{"dropping-particle":"","family":"Dollimore","given":"D.","non-dropping-particle":"","parse-names":false,"suffix":""},{"dropping-particle":"","family":"Dollimore","given":"J.","non-dropping-particle":"","parse-names":false,"suffix":""}],"container-title":"J. Chem. Soc. (A)","id":"ITEM-1","issue":"0","issued":{"date-parts":[["1967"]]},"page":"451-454","title":"The Thermal Decomposition of Oxalates. Part IX. Decomposition of the Oxalate Complexes of Iron","type":"article-journal"},"uris":["http://www.mendeley.com/documents/?uuid=e54c6601-50ac-4424-b544-89aba3a70bcb","http://www.mendeley.com/documents/?uuid=a1e79897-444c-4ca3-a210-b5040ca5e1f0","http://www.mendeley.com/documents/?uuid=71570dac-5f7f-4f02-a6ad-b82658aace77"]},{"id":"ITEM-2","itemData":{"author":[{"dropping-particle":"","family":"Brown","given":"R A","non-dropping-particle":"","parse-names":false,"suffix":""}],"container-title":"J. inorg. nucl. Chem.","id":"ITEM-2","issue":"1954","issued":{"date-parts":[["1966"]]},"page":"387-391","title":"The thermal decomposition of ferrous oxalate dihydrate","type":"article-journal","volume":"28"},"uris":["http://www.mendeley.com/documents/?uuid=9cf227e7-c5ac-4ec8-8e95-54b3b901b43a","http://www.mendeley.com/documents/?uuid=f2fc87ad-be93-4c50-ab1a-b1a12706d410","http://www.mendeley.com/documents/?uuid=b128bbe3-4b36-4479-baae-af9f9fe3a197","http://www.mendeley.com/documents/?uuid=e2561510-f625-4341-b2bd-471b1bc8146c","http://www.mendeley.com/documents/?uuid=15289673-fa52-4f5c-9946-ae8b5b69781b"]},{"id":"ITEM-3","itemData":{"author":[{"dropping-particle":"","family":"Macklen","given":"E D","non-dropping-particle":"","parse-names":false,"suffix":""}],"container-title":"J. inorg. nucl. Chem.","id":"ITEM-3","issued":{"date-parts":[["1967"]]},"page":"1229-1234","title":"Influence of atmosphere on the thermal decomposition of ferrous oxalate dihydrate","type":"article-journal","volume":"29"},"uris":["http://www.mendeley.com/documents/?uuid=528edb00-1719-488b-955f-e72eaa13ed14","http://www.mendeley.com/documents/?uuid=f696c620-9136-4294-adb4-7b524dcad775","http://www.mendeley.com/documents/?uuid=de647592-0485-4e39-9b88-e315547b03b5","http://www.mendeley.com/documents/?uuid=1b3abd52-cf81-438e-ac03-436f02c85684","http://www.mendeley.com/documents/?uuid=c84fed86-887b-4644-809e-2286596d2848"]}],"mendeley":{"formattedCitation":"&lt;sup&gt;31–33&lt;/sup&gt;","plainTextFormattedCitation":"31–33","previouslyFormattedCitation":"&lt;sup&gt;31–33&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31–33</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The T350 series showed a gradual decomposition of anhydrous ferrous oxalate and formation of crystalline oxides. The Mössbauer spectra of all the three samples of the series </w:t>
      </w:r>
      <w:r w:rsidRPr="00FB2A56">
        <w:rPr>
          <w:rFonts w:ascii="Times New Roman" w:hAnsi="Times New Roman"/>
          <w:sz w:val="24"/>
          <w:szCs w:val="24"/>
          <w:lang w:val="en-GB"/>
        </w:rPr>
        <w:lastRenderedPageBreak/>
        <w:t xml:space="preserve">exhibited the combination of a </w:t>
      </w:r>
      <w:proofErr w:type="spellStart"/>
      <w:r w:rsidRPr="00FB2A56">
        <w:rPr>
          <w:rFonts w:ascii="Times New Roman" w:hAnsi="Times New Roman"/>
          <w:sz w:val="24"/>
          <w:szCs w:val="24"/>
          <w:lang w:val="en-GB"/>
        </w:rPr>
        <w:t>doublet</w:t>
      </w:r>
      <w:proofErr w:type="spellEnd"/>
      <w:r w:rsidRPr="00FB2A56">
        <w:rPr>
          <w:rFonts w:ascii="Times New Roman" w:hAnsi="Times New Roman"/>
          <w:sz w:val="24"/>
          <w:szCs w:val="24"/>
          <w:lang w:val="en-GB"/>
        </w:rPr>
        <w:t xml:space="preserve"> and three sextets. The doublet could be again assigned to the remains of the precursor in the sample. Two new sextets were recognised to belong to two different cation sites (i.e., octahedral (O) and tetrahedral (T)) of a spinel structure of magnetite. The last sextet was ascribed to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whose presence in the spectra was probably the product of oxidation of </w:t>
      </w:r>
      <w:proofErr w:type="spellStart"/>
      <w:r w:rsidRPr="00FB2A56">
        <w:rPr>
          <w:rFonts w:ascii="Times New Roman" w:hAnsi="Times New Roman"/>
          <w:sz w:val="24"/>
          <w:szCs w:val="24"/>
          <w:lang w:val="en-GB"/>
        </w:rPr>
        <w:t>nano</w:t>
      </w:r>
      <w:proofErr w:type="spellEnd"/>
      <w:r w:rsidRPr="00FB2A56">
        <w:rPr>
          <w:rFonts w:ascii="Times New Roman" w:hAnsi="Times New Roman"/>
          <w:sz w:val="24"/>
          <w:szCs w:val="24"/>
          <w:lang w:val="en-GB"/>
        </w:rPr>
        <w:t xml:space="preserve">-sized magnetite, which occurred after the sample cells were opened and the material located inside was exposed to ambient atmosphere. The presence of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in the spectra explains the ratio between the two left-most spectral lines. To distinguish the mixture of magnetite and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from non-stoichiometric magnetite based on Mössbauer spectra is generally very difficult</w:t>
      </w:r>
      <w:r w:rsidR="00073AE9">
        <w:rPr>
          <w:rFonts w:ascii="Times New Roman" w:hAnsi="Times New Roman"/>
          <w:sz w:val="24"/>
          <w:szCs w:val="24"/>
          <w:lang w:val="en-GB"/>
        </w:rPr>
        <w:t>.</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author":[{"dropping-particle":"","family":"Costa","given":"G.M.","non-dropping-particle":"Da","parse-names":false,"suffix":""},{"dropping-particle":"","family":"Grave","given":"E.","non-dropping-particle":"De","parse-names":false,"suffix":""},{"dropping-particle":"","family":"Bakker","given":"P. M. A.","non-dropping-particle":"De","parse-names":false,"suffix":""},{"dropping-particle":"","family":"Vandenberghe","given":"R. E.","non-dropping-particle":"","parse-names":false,"suffix":""}],"container-title":"Clays and Clay Minerals","id":"ITEM-1","issue":"6","issued":{"date-parts":[["1995"]]},"page":"656-668","title":"INFLUENCE OF NONSTOICHIOMETRY AND THE PRESENCE OF MAGHEMITE ON THE MOSSBAUER SPECTRUM OF MAGNETITE","type":"article-journal","volume":"43"},"uris":["http://www.mendeley.com/documents/?uuid=dee8cb51-3ed7-4615-8b78-2e58fc2b4361","http://www.mendeley.com/documents/?uuid=b6179aad-81c2-4217-bbae-5774ecf8ed61","http://www.mendeley.com/documents/?uuid=4c8af5cf-28a3-4917-8903-f2f50d711fa9"]}],"mendeley":{"formattedCitation":"&lt;sup&gt;43&lt;/sup&gt;","plainTextFormattedCitation":"43","previouslyFormattedCitation":"&lt;sup&gt;43&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43</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To fit all three sextet components, hyperfine parameters of magnetite sub-spectra were allowed to oscillate in a small interval around the fixed previously reported values</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{"citationItems":[{"id":"ITEM-1","itemData":{"DOI":"10.1002/3527602097","ISBN":"3527302743","ISSN":"0026-461X","PMID":"2580369","abstract":"This book brings together in one, compact volume all aspects of the available information about the iron oxides. It presents a coherent, up to date account of the properties, reactions and mechanisms of formation of these compounds. In addition, there are chapters dealing with iron oxides in rocks and soils, as biominerals and as corrosion products together with methods of synthesis and the numerous application of these compounds. Their role in the environment is also discussed. The authors are experts in the field of iron oxides and have worked on all the topics covered. Much recent data from the authors' own laboratories is included and opportunities for further research are indicated. Special features are the electron micrographs and colour plates together with the many different spectra used to illustrate properties and aspects of behaviour. Numerous tables and graphs enable trends and relationships to be seen at a glance. The book concludes with an extensive bibliography. This book should prove invaluable to industry and to all researchers who, whatever their background and level of experience, are interested in this rapidly expanding field. It is an essential volume for any scientific library and is now in its second, completely revised and extended edition!","author":[{"dropping-particle":"","family":"Cornell","given":"R. M.","non-dropping-particle":"","parse-names":false,"suffix":""},{"dropping-particle":"","family":"Schwertmann","given":"U.","non-dropping-particle":"","parse-names":false,"suffix":""}],"id":"ITEM-1","issued":{"date-parts":[["2003"]]},"title":"The Iron Oxides","type":"book"},"uris":["http://www.mendeley.com/documents/?uuid=d9d7162a-0b79-3a03-95d5-76bb8ca371ad","http://www.mendeley.com/documents/?uuid=e88b34fc-a9a1-4a01-a928-863855c8f157","http://www.mendeley.com/documents/?uuid=ea0bdcc3-325b-4d4b-91ad-9351c7d4f2c4"]}],"mendeley":{"formattedCitation":"&lt;sup&gt;44&lt;/sup&gt;","plainTextFormattedCitation":"44","previouslyFormattedCitation":"&lt;sup&gt;44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Generally, the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spectra compose of two very similar sextets</w:t>
      </w:r>
      <w:r w:rsidR="00073AE9">
        <w:rPr>
          <w:rFonts w:ascii="Times New Roman" w:hAnsi="Times New Roman"/>
          <w:sz w:val="24"/>
          <w:szCs w:val="24"/>
          <w:lang w:val="en-GB"/>
        </w:rPr>
        <w:t>.</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{"citationItems":[{"id":"ITEM-1","itemData":{"DOI":"10.1002/3527602097","ISBN":"3527302743","ISSN":"0026-461X","PMID":"2580369","abstract":"This book brings together in one, compact volume all aspects of the available information about the iron oxides. It presents a coherent, up to date account of the properties, reactions and mechanisms of formation of these compounds. In addition, there are chapters dealing with iron oxides in rocks and soils, as biominerals and as corrosion products together with methods of synthesis and the numerous application of these compounds. Their role in the environment is also discussed. The authors are experts in the field of iron oxides and have worked on all the topics covered. Much recent data from the authors' own laboratories is included and opportunities for further research are indicated. Special features are the electron micrographs and colour plates together with the many different spectra used to illustrate properties and aspects of behaviour. Numerous tables and graphs enable trends and relationships to be seen at a glance. The book concludes with an extensive bibliography. This book should prove invaluable to industry and to all researchers who, whatever their background and level of experience, are interested in this rapidly expanding field. It is an essential volume for any scientific library and is now in its second, completely revised and extended edition!","author":[{"dropping-particle":"","family":"Cornell","given":"R. M.","non-dropping-particle":"","parse-names":false,"suffix":""},{"dropping-particle":"","family":"Schwertmann","given":"U.","non-dropping-particle":"","parse-names":false,"suffix":""}],"id":"ITEM-1","issued":{"date-parts":[["2003"]]},"title":"The Iron Oxides","type":"book"},"uris":["http://www.mendeley.com/documents/?uuid=ea0bdcc3-325b-4d4b-91ad-9351c7d4f2c4","http://www.mendeley.com/documents/?uuid=e88b34fc-a9a1-4a01-a928-863855c8f157","http://www.mendeley.com/documents/?uuid=d9d7162a-0b79-3a03-95d5-76bb8ca371ad"]}],"mendeley":{"formattedCitation":"&lt;sup&gt;44&lt;/sup&gt;","plainTextFormattedCitation":"44","previouslyFormattedCitation":"&lt;sup&gt;44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To simplify the overall fit,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was fitted by only one sextet whose hyperfine parameter values could belong only to an interval where the lower and upper limits were chosen to comply with the hyperfine parameter</w:t>
      </w:r>
      <w:r w:rsidR="00073AE9">
        <w:rPr>
          <w:rFonts w:ascii="Times New Roman" w:hAnsi="Times New Roman"/>
          <w:sz w:val="24"/>
          <w:szCs w:val="24"/>
          <w:lang w:val="en-GB"/>
        </w:rPr>
        <w:t xml:space="preserve">s of both </w:t>
      </w:r>
      <w:proofErr w:type="spellStart"/>
      <w:r w:rsidR="00073AE9">
        <w:rPr>
          <w:rFonts w:ascii="Times New Roman" w:hAnsi="Times New Roman"/>
          <w:sz w:val="24"/>
          <w:szCs w:val="24"/>
          <w:lang w:val="en-GB"/>
        </w:rPr>
        <w:t>maghemite</w:t>
      </w:r>
      <w:proofErr w:type="spellEnd"/>
      <w:r w:rsidR="00073AE9">
        <w:rPr>
          <w:rFonts w:ascii="Times New Roman" w:hAnsi="Times New Roman"/>
          <w:sz w:val="24"/>
          <w:szCs w:val="24"/>
          <w:lang w:val="en-GB"/>
        </w:rPr>
        <w:t xml:space="preserve"> sub-spectra.</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{"citationItems":[{"id":"ITEM-1","itemData":{"DOI":"10.1002/3527602097","ISBN":"3527302743","ISSN":"0026-461X","PMID":"2580369","abstract":"This book brings together in one, compact volume all aspects of the available information about the iron oxides. It presents a coherent, up to date account of the properties, reactions and mechanisms of formation of these compounds. In addition, there are chapters dealing with iron oxides in rocks and soils, as biominerals and as corrosion products together with methods of synthesis and the numerous application of these compounds. Their role in the environment is also discussed. The authors are experts in the field of iron oxides and have worked on all the topics covered. Much recent data from the authors' own laboratories is included and opportunities for further research are indicated. Special features are the electron micrographs and colour plates together with the many different spectra used to illustrate properties and aspects of behaviour. Numerous tables and graphs enable trends and relationships to be seen at a glance. The book concludes with an extensive bibliography. This book should prove invaluable to industry and to all researchers who, whatever their background and level of experience, are interested in this rapidly expanding field. It is an essential volume for any scientific library and is now in its second, completely revised and extended edition!","author":[{"dropping-particle":"","family":"Cornell","given":"R. M.","non-dropping-particle":"","parse-names":false,"suffix":""},{"dropping-particle":"","family":"Schwertmann","given":"U.","non-dropping-particle":"","parse-names":false,"suffix":""}],"id":"ITEM-1","issued":{"date-parts":[["2003"]]},"title":"The Iron Oxides","type":"book"},"uris":["http://www.mendeley.com/documents/?uuid=ea0bdcc3-325b-4d4b-91ad-9351c7d4f2c4","http://www.mendeley.com/documents/?uuid=e88b34fc-a9a1-4a01-a928-863855c8f157","http://www.mendeley.com/documents/?uuid=d9d7162a-0b79-3a03-95d5-76bb8ca371ad"]}],"mendeley":{"formattedCitation":"&lt;sup&gt;44&lt;/sup&gt;","plainTextFormattedCitation":"44","previouslyFormattedCitation":"&lt;sup&gt;44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Moreover, the ratio between the O and T sites of magnetite was firmly fixed at 2:1. The described approach was also employed for all the remaining series. The obtained hyperfine parameters of the samples are shown in Table 2. Compared with T300 series no superparamagnetic magnetite was detected in any of the T350 samples. In contrast with our results, </w:t>
      </w:r>
      <w:proofErr w:type="spellStart"/>
      <w:r w:rsidRPr="00FB2A56">
        <w:rPr>
          <w:rFonts w:ascii="Times New Roman" w:hAnsi="Times New Roman"/>
          <w:sz w:val="24"/>
          <w:szCs w:val="24"/>
          <w:lang w:val="en-GB"/>
        </w:rPr>
        <w:t>Hermanek</w:t>
      </w:r>
      <w:proofErr w:type="spellEnd"/>
      <w:r w:rsidRPr="00FB2A56">
        <w:rPr>
          <w:rFonts w:ascii="Times New Roman" w:hAnsi="Times New Roman"/>
          <w:sz w:val="24"/>
          <w:szCs w:val="24"/>
          <w:lang w:val="en-GB"/>
        </w:rPr>
        <w:t xml:space="preserve"> et al.</w:t>
      </w:r>
      <w:r w:rsidRPr="00FB2A56">
        <w:rPr>
          <w:rFonts w:ascii="Times New Roman" w:hAnsi="Times New Roman"/>
          <w:sz w:val="24"/>
          <w:szCs w:val="24"/>
          <w:lang w:val="en-GB"/>
        </w:rPr>
        <w:fldChar w:fldCharType="begin" w:fldLock="1"/>
      </w:r>
      <w:r w:rsidR="00752133">
        <w:rPr>
          <w:rFonts w:ascii="Times New Roman" w:hAnsi="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34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reported that at 363 °C the doublet of superparamagnetic magnetite formed about 70 % of their Mössbauer spectrum area. Discrepancies could be explained by the absence of the prolonged calcination process in the study</w:t>
      </w:r>
      <w:r w:rsidR="00073AE9">
        <w:rPr>
          <w:rFonts w:ascii="Times New Roman" w:hAnsi="Times New Roman"/>
          <w:sz w:val="24"/>
          <w:szCs w:val="24"/>
          <w:lang w:val="en-GB"/>
        </w:rPr>
        <w:t>.</w:t>
      </w:r>
      <w:r w:rsidRPr="00FB2A56">
        <w:rPr>
          <w:rFonts w:ascii="Times New Roman" w:hAnsi="Times New Roman"/>
          <w:sz w:val="24"/>
          <w:szCs w:val="24"/>
          <w:lang w:val="en-GB"/>
        </w:rPr>
        <w:fldChar w:fldCharType="begin" w:fldLock="1"/>
      </w:r>
      <w:r w:rsidR="00752133">
        <w:rPr>
          <w:rFonts w:ascii="Times New Roman" w:hAnsi="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34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The evaluation of diffraction patterns of the samples of both T300 and T350 series could be done from qualitative point of view. Although quantitative analysis was also employed for evaluation of all other diffraction patterns, the lack of suitable available patterns with different grade of iron oxalate </w:t>
      </w:r>
      <w:proofErr w:type="spellStart"/>
      <w:r w:rsidRPr="00FB2A56">
        <w:rPr>
          <w:rFonts w:ascii="Times New Roman" w:hAnsi="Times New Roman"/>
          <w:sz w:val="24"/>
          <w:szCs w:val="24"/>
          <w:lang w:val="en-GB"/>
        </w:rPr>
        <w:t>dihydrate</w:t>
      </w:r>
      <w:proofErr w:type="spellEnd"/>
      <w:r w:rsidRPr="00FB2A56">
        <w:rPr>
          <w:rFonts w:ascii="Times New Roman" w:hAnsi="Times New Roman"/>
          <w:sz w:val="24"/>
          <w:szCs w:val="24"/>
          <w:lang w:val="en-GB"/>
        </w:rPr>
        <w:t xml:space="preserve"> decomposition disabled quantification in this case. Nevertheless, the diffraction patterns displayed relatively broad peaks that could be qualitatively ascribed to anhydrous ferrous oxalate and magnetite. It was observed that the weight ratio of magnetite to oxalate increased with longer calcination and was higher for all the samples in the T350 series compared to the samples of T300 series. By evaluation of both Mössbauer and XRD data of the T350 series, the temperature 350 °C seemed sufficient for decomposition of the majority of ferrous oxalate and subsequent formation of iron oxides. However, even after 12 h of calcination a part of the precursor remained undecomposed.</w:t>
      </w:r>
    </w:p>
    <w:p w:rsidR="004A0F92" w:rsidRPr="00FB2A56" w:rsidRDefault="004A0F92" w:rsidP="00DA780F">
      <w:pPr>
        <w:pStyle w:val="Bezmezer"/>
        <w:spacing w:line="360" w:lineRule="auto"/>
        <w:ind w:firstLine="482"/>
        <w:jc w:val="both"/>
        <w:rPr>
          <w:rFonts w:ascii="Times New Roman" w:hAnsi="Times New Roman"/>
          <w:sz w:val="24"/>
          <w:szCs w:val="24"/>
          <w:lang w:val="en-GB"/>
        </w:rPr>
      </w:pPr>
    </w:p>
    <w:p w:rsidR="00C90EEE" w:rsidRPr="00FB2A56" w:rsidRDefault="00C90EEE" w:rsidP="00DA780F">
      <w:pPr>
        <w:pStyle w:val="Bezmezer"/>
        <w:spacing w:line="360" w:lineRule="auto"/>
        <w:jc w:val="both"/>
        <w:rPr>
          <w:rFonts w:ascii="Times New Roman" w:hAnsi="Times New Roman"/>
          <w:b/>
          <w:sz w:val="24"/>
          <w:szCs w:val="24"/>
          <w:lang w:val="en-GB"/>
        </w:rPr>
      </w:pPr>
      <w:proofErr w:type="gramStart"/>
      <w:r w:rsidRPr="00FB2A56">
        <w:rPr>
          <w:rFonts w:ascii="Times New Roman" w:hAnsi="Times New Roman"/>
          <w:b/>
          <w:sz w:val="24"/>
          <w:szCs w:val="24"/>
          <w:lang w:val="en-GB"/>
        </w:rPr>
        <w:lastRenderedPageBreak/>
        <w:t>The T400 series.</w:t>
      </w:r>
      <w:proofErr w:type="gramEnd"/>
    </w:p>
    <w:p w:rsidR="00C90EEE" w:rsidRPr="00FB2A56" w:rsidRDefault="00C90EEE" w:rsidP="00DA780F">
      <w:pPr>
        <w:pStyle w:val="Bezmezer"/>
        <w:spacing w:line="360" w:lineRule="auto"/>
        <w:ind w:firstLine="482"/>
        <w:jc w:val="both"/>
        <w:rPr>
          <w:rFonts w:ascii="Times New Roman" w:hAnsi="Times New Roman"/>
          <w:sz w:val="24"/>
          <w:szCs w:val="24"/>
          <w:lang w:val="en-GB"/>
        </w:rPr>
      </w:pPr>
      <w:r w:rsidRPr="00FB2A56">
        <w:rPr>
          <w:rFonts w:ascii="Times New Roman" w:hAnsi="Times New Roman"/>
          <w:sz w:val="24"/>
          <w:szCs w:val="24"/>
          <w:lang w:val="en-GB"/>
        </w:rPr>
        <w:t>Regarding the third series, after heating up to 400 °C and treating the sample for 1 hour, i.e. sample T400H1, the product did not exhibit any traces of the precursor probably because the whole of the oxalate had been decomposed already. Employing the approach described above, Mössbauer spectrum of the sample T400H1 displayed three partially overlapping sextets that could be assigned to a contribution of Fe</w:t>
      </w:r>
      <w:r w:rsidRPr="00FB2A56">
        <w:rPr>
          <w:rFonts w:ascii="Times New Roman" w:hAnsi="Times New Roman"/>
          <w:sz w:val="24"/>
          <w:szCs w:val="24"/>
          <w:vertAlign w:val="superscript"/>
          <w:lang w:val="en-GB"/>
        </w:rPr>
        <w:t>3+</w:t>
      </w:r>
      <w:r w:rsidRPr="00FB2A56">
        <w:rPr>
          <w:rFonts w:ascii="Times New Roman" w:hAnsi="Times New Roman"/>
          <w:sz w:val="24"/>
          <w:szCs w:val="24"/>
          <w:lang w:val="en-GB"/>
        </w:rPr>
        <w:t xml:space="preserve"> and Fe</w:t>
      </w:r>
      <w:r w:rsidRPr="00FB2A56">
        <w:rPr>
          <w:rFonts w:ascii="Times New Roman" w:hAnsi="Times New Roman"/>
          <w:sz w:val="24"/>
          <w:szCs w:val="24"/>
          <w:vertAlign w:val="superscript"/>
          <w:lang w:val="en-GB"/>
        </w:rPr>
        <w:t>2</w:t>
      </w:r>
      <w:proofErr w:type="gramStart"/>
      <w:r w:rsidRPr="00FB2A56">
        <w:rPr>
          <w:rFonts w:ascii="Times New Roman" w:hAnsi="Times New Roman"/>
          <w:sz w:val="24"/>
          <w:szCs w:val="24"/>
          <w:vertAlign w:val="superscript"/>
          <w:lang w:val="en-GB"/>
        </w:rPr>
        <w:t>,5</w:t>
      </w:r>
      <w:proofErr w:type="gramEnd"/>
      <w:r w:rsidRPr="00FB2A56">
        <w:rPr>
          <w:rFonts w:ascii="Times New Roman" w:hAnsi="Times New Roman"/>
          <w:sz w:val="24"/>
          <w:szCs w:val="24"/>
          <w:vertAlign w:val="superscript"/>
          <w:lang w:val="en-GB"/>
        </w:rPr>
        <w:t xml:space="preserve">+ </w:t>
      </w:r>
      <w:r w:rsidRPr="00FB2A56">
        <w:rPr>
          <w:rFonts w:ascii="Times New Roman" w:hAnsi="Times New Roman"/>
          <w:sz w:val="24"/>
          <w:szCs w:val="24"/>
          <w:lang w:val="en-GB"/>
        </w:rPr>
        <w:t xml:space="preserve">cations in tetrahedral (T) and octahedral (O) sites of magnetite and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On the basis of the XRD analysis four additional sextets were fitted in Mössbauer spectrum and ascribed to iron carbides. Three sextets were assigned the three different sites of iron nuclei in the structure of </w:t>
      </w:r>
      <w:proofErr w:type="spellStart"/>
      <w:r w:rsidRPr="00FB2A56">
        <w:rPr>
          <w:rFonts w:ascii="Times New Roman" w:hAnsi="Times New Roman"/>
          <w:sz w:val="24"/>
          <w:szCs w:val="24"/>
          <w:lang w:val="en-GB"/>
        </w:rPr>
        <w:t>Hagg´s</w:t>
      </w:r>
      <w:proofErr w:type="spellEnd"/>
      <w:r w:rsidRPr="00FB2A56">
        <w:rPr>
          <w:rFonts w:ascii="Times New Roman" w:hAnsi="Times New Roman"/>
          <w:sz w:val="24"/>
          <w:szCs w:val="24"/>
          <w:lang w:val="en-GB"/>
        </w:rPr>
        <w:t xml:space="preserve"> carbide (Fe</w:t>
      </w:r>
      <w:r w:rsidRPr="00FB2A56">
        <w:rPr>
          <w:rFonts w:ascii="Times New Roman" w:hAnsi="Times New Roman"/>
          <w:sz w:val="24"/>
          <w:szCs w:val="24"/>
          <w:vertAlign w:val="subscript"/>
          <w:lang w:val="en-GB"/>
        </w:rPr>
        <w:t>5</w:t>
      </w:r>
      <w:r w:rsidRPr="00FB2A56">
        <w:rPr>
          <w:rFonts w:ascii="Times New Roman" w:hAnsi="Times New Roman"/>
          <w:sz w:val="24"/>
          <w:szCs w:val="24"/>
          <w:lang w:val="en-GB"/>
        </w:rPr>
        <w:t>C</w:t>
      </w:r>
      <w:r w:rsidRPr="00FB2A56">
        <w:rPr>
          <w:rFonts w:ascii="Times New Roman" w:hAnsi="Times New Roman"/>
          <w:sz w:val="24"/>
          <w:szCs w:val="24"/>
          <w:vertAlign w:val="subscript"/>
          <w:lang w:val="en-GB"/>
        </w:rPr>
        <w:t>2</w:t>
      </w:r>
      <w:r w:rsidRPr="00FB2A56">
        <w:rPr>
          <w:rFonts w:ascii="Times New Roman" w:hAnsi="Times New Roman"/>
          <w:sz w:val="24"/>
          <w:szCs w:val="24"/>
          <w:lang w:val="en-GB"/>
        </w:rPr>
        <w:t>) whereas the fourth sextet was assigned to cementite (Fe</w:t>
      </w:r>
      <w:r w:rsidRPr="00FB2A56">
        <w:rPr>
          <w:rFonts w:ascii="Times New Roman" w:hAnsi="Times New Roman"/>
          <w:sz w:val="24"/>
          <w:szCs w:val="24"/>
          <w:vertAlign w:val="subscript"/>
          <w:lang w:val="en-GB"/>
        </w:rPr>
        <w:t>3</w:t>
      </w:r>
      <w:r w:rsidRPr="00FB2A56">
        <w:rPr>
          <w:rFonts w:ascii="Times New Roman" w:hAnsi="Times New Roman"/>
          <w:sz w:val="24"/>
          <w:szCs w:val="24"/>
          <w:lang w:val="en-GB"/>
        </w:rPr>
        <w:t xml:space="preserve">C). Fitting such small sub-spectra into an overall fit the hyperfine parameters values of sextets corresponding to carbides were strictly fixed to the values previously reported by </w:t>
      </w:r>
      <w:proofErr w:type="spellStart"/>
      <w:r w:rsidRPr="00FB2A56">
        <w:rPr>
          <w:rFonts w:ascii="Times New Roman" w:hAnsi="Times New Roman"/>
          <w:sz w:val="24"/>
          <w:szCs w:val="24"/>
          <w:lang w:val="en-GB"/>
        </w:rPr>
        <w:t>Malina</w:t>
      </w:r>
      <w:proofErr w:type="spellEnd"/>
      <w:r w:rsidRPr="00FB2A56">
        <w:rPr>
          <w:rFonts w:ascii="Times New Roman" w:hAnsi="Times New Roman"/>
          <w:sz w:val="24"/>
          <w:szCs w:val="24"/>
          <w:lang w:val="en-GB"/>
        </w:rPr>
        <w:t xml:space="preserve"> et al.</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DOI":"10.1039/c7nr02383a","author":[{"dropping-particle":"","family":"Malina","given":"Ondřej","non-dropping-particle":"","parse-names":false,"suffix":""},{"dropping-particle":"","family":"Jakubec","given":"Petr","non-dropping-particle":"","parse-names":false,"suffix":""},{"dropping-particle":"","family":"Kaslik","given":"Josef","non-dropping-particle":"","parse-names":false,"suffix":""},{"dropping-particle":"","family":"Tucek","given":"Jiří","non-dropping-particle":"","parse-names":false,"suffix":""},{"dropping-particle":"","family":"Zbořil","given":"Radek","non-dropping-particle":"","parse-names":false,"suffix":""}],"container-title":"Nanoscale","id":"ITEM-1","issued":{"date-parts":[["2017"]]},"page":"10440-10446","title":"A simple high-yield synthesis of high-purity Hägg carbide (χ-Fe5C2) nanoparticles with extraordinary electrochemical properties","type":"article-journal","volume":"9"},"uris":["http://www.mendeley.com/documents/?uuid=7e4e17b7-d817-42bc-a8f2-92c49022c471","http://www.mendeley.com/documents/?uuid=f6abb0ce-3249-47c5-ad8c-ac74091929d3","http://www.mendeley.com/documents/?uuid=c032dff7-d937-4a69-a913-5b0ccaa06554"]}],"mendeley":{"formattedCitation":"&lt;sup&gt;45&lt;/sup&gt;","plainTextFormattedCitation":"45","previouslyFormattedCitation":"&lt;sup&gt;45&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45</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Although the inclusion of the carbides sub-spectra into the overall fit was based strictly on the XRD analysis, the carbide sub-spectra corresponded well with the distortions in the background of the spectra e.g. T400H1 spectrum (Fig</w:t>
      </w:r>
      <w:r w:rsidR="00073AE9">
        <w:rPr>
          <w:rFonts w:ascii="Times New Roman" w:hAnsi="Times New Roman"/>
          <w:sz w:val="24"/>
          <w:szCs w:val="24"/>
          <w:lang w:val="en-GB"/>
        </w:rPr>
        <w:t>ure</w:t>
      </w:r>
      <w:r w:rsidRPr="00FB2A56">
        <w:rPr>
          <w:rFonts w:ascii="Times New Roman" w:hAnsi="Times New Roman"/>
          <w:sz w:val="24"/>
          <w:szCs w:val="24"/>
          <w:lang w:val="en-GB"/>
        </w:rPr>
        <w:t xml:space="preserve"> 2.). </w:t>
      </w:r>
    </w:p>
    <w:p w:rsidR="00C90EEE" w:rsidRPr="00FB2A56" w:rsidRDefault="00C90EEE" w:rsidP="00B5307E">
      <w:pPr>
        <w:keepNext/>
        <w:spacing w:line="360" w:lineRule="auto"/>
        <w:rPr>
          <w:rFonts w:ascii="Times New Roman" w:hAnsi="Times New Roman" w:cs="Times New Roman"/>
          <w:color w:val="000000" w:themeColor="text1"/>
          <w:sz w:val="24"/>
          <w:szCs w:val="24"/>
          <w:lang w:val="en-GB"/>
        </w:rPr>
      </w:pPr>
      <w:r w:rsidRPr="00FB2A56">
        <w:rPr>
          <w:rFonts w:ascii="Times New Roman" w:hAnsi="Times New Roman" w:cs="Times New Roman"/>
          <w:noProof/>
          <w:color w:val="000000" w:themeColor="text1"/>
          <w:sz w:val="24"/>
          <w:szCs w:val="24"/>
          <w:lang w:eastAsia="cs-CZ"/>
        </w:rPr>
        <w:drawing>
          <wp:inline distT="0" distB="0" distL="0" distR="0" wp14:anchorId="3B78658C" wp14:editId="14DC6DE0">
            <wp:extent cx="5759450" cy="225488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T400H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254885"/>
                    </a:xfrm>
                    <a:prstGeom prst="rect">
                      <a:avLst/>
                    </a:prstGeom>
                  </pic:spPr>
                </pic:pic>
              </a:graphicData>
            </a:graphic>
          </wp:inline>
        </w:drawing>
      </w:r>
    </w:p>
    <w:p w:rsidR="00C90EEE" w:rsidRPr="00073AE9" w:rsidRDefault="00C90EEE" w:rsidP="00B5307E">
      <w:pPr>
        <w:pStyle w:val="Titulek"/>
        <w:spacing w:line="360" w:lineRule="auto"/>
        <w:rPr>
          <w:rFonts w:ascii="Times New Roman" w:hAnsi="Times New Roman" w:cs="Times New Roman"/>
          <w:i w:val="0"/>
          <w:color w:val="000000" w:themeColor="text1"/>
          <w:sz w:val="16"/>
          <w:szCs w:val="16"/>
          <w:lang w:val="en-GB"/>
        </w:rPr>
      </w:pPr>
      <w:proofErr w:type="gramStart"/>
      <w:r w:rsidRPr="00A95435">
        <w:rPr>
          <w:rFonts w:ascii="Times New Roman" w:hAnsi="Times New Roman" w:cs="Times New Roman"/>
          <w:b/>
          <w:i w:val="0"/>
          <w:color w:val="000000" w:themeColor="text1"/>
          <w:sz w:val="16"/>
          <w:szCs w:val="16"/>
          <w:lang w:val="en-GB"/>
        </w:rPr>
        <w:t>Fig</w:t>
      </w:r>
      <w:r w:rsidR="00073AE9" w:rsidRPr="00A95435">
        <w:rPr>
          <w:rFonts w:ascii="Times New Roman" w:hAnsi="Times New Roman" w:cs="Times New Roman"/>
          <w:b/>
          <w:i w:val="0"/>
          <w:color w:val="000000" w:themeColor="text1"/>
          <w:sz w:val="16"/>
          <w:szCs w:val="16"/>
          <w:lang w:val="en-GB"/>
        </w:rPr>
        <w:t>ure</w:t>
      </w:r>
      <w:r w:rsidRPr="00A95435">
        <w:rPr>
          <w:rFonts w:ascii="Times New Roman" w:hAnsi="Times New Roman" w:cs="Times New Roman"/>
          <w:b/>
          <w:i w:val="0"/>
          <w:color w:val="000000" w:themeColor="text1"/>
          <w:sz w:val="16"/>
          <w:szCs w:val="16"/>
          <w:lang w:val="en-GB"/>
        </w:rPr>
        <w:t xml:space="preserve"> </w:t>
      </w:r>
      <w:r w:rsidRPr="00A95435">
        <w:rPr>
          <w:rFonts w:ascii="Times New Roman" w:hAnsi="Times New Roman" w:cs="Times New Roman"/>
          <w:b/>
          <w:i w:val="0"/>
          <w:color w:val="000000" w:themeColor="text1"/>
          <w:sz w:val="16"/>
          <w:szCs w:val="16"/>
          <w:lang w:val="en-GB"/>
        </w:rPr>
        <w:fldChar w:fldCharType="begin"/>
      </w:r>
      <w:r w:rsidRPr="00A95435">
        <w:rPr>
          <w:rFonts w:ascii="Times New Roman" w:hAnsi="Times New Roman" w:cs="Times New Roman"/>
          <w:b/>
          <w:i w:val="0"/>
          <w:color w:val="000000" w:themeColor="text1"/>
          <w:sz w:val="16"/>
          <w:szCs w:val="16"/>
          <w:lang w:val="en-GB"/>
        </w:rPr>
        <w:instrText xml:space="preserve"> SEQ Figure \* ARABIC </w:instrText>
      </w:r>
      <w:r w:rsidRPr="00A95435">
        <w:rPr>
          <w:rFonts w:ascii="Times New Roman" w:hAnsi="Times New Roman" w:cs="Times New Roman"/>
          <w:b/>
          <w:i w:val="0"/>
          <w:color w:val="000000" w:themeColor="text1"/>
          <w:sz w:val="16"/>
          <w:szCs w:val="16"/>
          <w:lang w:val="en-GB"/>
        </w:rPr>
        <w:fldChar w:fldCharType="separate"/>
      </w:r>
      <w:r w:rsidR="00B5307E">
        <w:rPr>
          <w:rFonts w:ascii="Times New Roman" w:hAnsi="Times New Roman" w:cs="Times New Roman"/>
          <w:b/>
          <w:i w:val="0"/>
          <w:noProof/>
          <w:color w:val="000000" w:themeColor="text1"/>
          <w:sz w:val="16"/>
          <w:szCs w:val="16"/>
          <w:lang w:val="en-GB"/>
        </w:rPr>
        <w:t>2</w:t>
      </w:r>
      <w:r w:rsidRPr="00A95435">
        <w:rPr>
          <w:rFonts w:ascii="Times New Roman" w:hAnsi="Times New Roman" w:cs="Times New Roman"/>
          <w:b/>
          <w:i w:val="0"/>
          <w:color w:val="000000" w:themeColor="text1"/>
          <w:sz w:val="16"/>
          <w:szCs w:val="16"/>
          <w:lang w:val="en-GB"/>
        </w:rPr>
        <w:fldChar w:fldCharType="end"/>
      </w:r>
      <w:r w:rsidRPr="00073AE9">
        <w:rPr>
          <w:rFonts w:ascii="Times New Roman" w:hAnsi="Times New Roman" w:cs="Times New Roman"/>
          <w:i w:val="0"/>
          <w:color w:val="000000" w:themeColor="text1"/>
          <w:sz w:val="16"/>
          <w:szCs w:val="16"/>
          <w:lang w:val="en-GB"/>
        </w:rPr>
        <w:t>.</w:t>
      </w:r>
      <w:proofErr w:type="gramEnd"/>
      <w:r w:rsidRPr="00073AE9">
        <w:rPr>
          <w:rFonts w:ascii="Times New Roman" w:hAnsi="Times New Roman" w:cs="Times New Roman"/>
          <w:i w:val="0"/>
          <w:color w:val="000000" w:themeColor="text1"/>
          <w:sz w:val="16"/>
          <w:szCs w:val="16"/>
          <w:lang w:val="en-GB"/>
        </w:rPr>
        <w:t xml:space="preserve"> Mössbauer and XRD data of sample T400H1.</w:t>
      </w:r>
    </w:p>
    <w:p w:rsidR="00C90EEE" w:rsidRPr="00FB2A56" w:rsidRDefault="00C90EEE" w:rsidP="00DA780F">
      <w:pPr>
        <w:spacing w:line="360" w:lineRule="auto"/>
        <w:jc w:val="both"/>
        <w:rPr>
          <w:rFonts w:ascii="Times New Roman" w:hAnsi="Times New Roman" w:cs="Times New Roman"/>
          <w:sz w:val="24"/>
          <w:szCs w:val="24"/>
          <w:lang w:val="en-GB"/>
        </w:rPr>
      </w:pPr>
      <w:r w:rsidRPr="00FB2A56">
        <w:rPr>
          <w:rFonts w:ascii="Times New Roman" w:hAnsi="Times New Roman" w:cs="Times New Roman"/>
          <w:sz w:val="24"/>
          <w:szCs w:val="24"/>
          <w:lang w:val="en-GB"/>
        </w:rPr>
        <w:t>The obtained XRD pattern of T400H1 agreed with the acquired Mössbauer data. Apart from the diffraction peaks that could be assigned to the spinel-structured iron oxide, a small amount of cementite (2.4 wt</w:t>
      </w:r>
      <w:proofErr w:type="gramStart"/>
      <w:r w:rsidRPr="00FB2A56">
        <w:rPr>
          <w:rFonts w:ascii="Times New Roman" w:hAnsi="Times New Roman" w:cs="Times New Roman"/>
          <w:sz w:val="24"/>
          <w:szCs w:val="24"/>
          <w:lang w:val="en-GB"/>
        </w:rPr>
        <w:t>.%</w:t>
      </w:r>
      <w:proofErr w:type="gramEnd"/>
      <w:r w:rsidRPr="00FB2A56">
        <w:rPr>
          <w:rFonts w:ascii="Times New Roman" w:hAnsi="Times New Roman" w:cs="Times New Roman"/>
          <w:sz w:val="24"/>
          <w:szCs w:val="24"/>
          <w:lang w:val="en-GB"/>
        </w:rPr>
        <w:t xml:space="preserve">) and </w:t>
      </w:r>
      <w:proofErr w:type="spellStart"/>
      <w:r w:rsidRPr="00FB2A56">
        <w:rPr>
          <w:rFonts w:ascii="Times New Roman" w:hAnsi="Times New Roman" w:cs="Times New Roman"/>
          <w:sz w:val="24"/>
          <w:szCs w:val="24"/>
          <w:lang w:val="en-GB"/>
        </w:rPr>
        <w:t>Hagg´s</w:t>
      </w:r>
      <w:proofErr w:type="spellEnd"/>
      <w:r w:rsidRPr="00FB2A56">
        <w:rPr>
          <w:rFonts w:ascii="Times New Roman" w:hAnsi="Times New Roman" w:cs="Times New Roman"/>
          <w:sz w:val="24"/>
          <w:szCs w:val="24"/>
          <w:lang w:val="en-GB"/>
        </w:rPr>
        <w:t xml:space="preserve"> carbide, (2.0 wt.%) were detected. Moreover, three additional small diffraction peaks could be observed at 17°, 28° and 31° 2</w:t>
      </w:r>
      <w:r w:rsidRPr="00FB2A56">
        <w:rPr>
          <w:rFonts w:ascii="Times New Roman" w:hAnsi="Times New Roman" w:cs="Times New Roman"/>
          <w:i/>
          <w:sz w:val="24"/>
          <w:szCs w:val="24"/>
          <w:lang w:val="en-GB"/>
        </w:rPr>
        <w:t>θ</w:t>
      </w:r>
      <w:r w:rsidRPr="00FB2A56">
        <w:rPr>
          <w:rFonts w:ascii="Times New Roman" w:hAnsi="Times New Roman" w:cs="Times New Roman"/>
          <w:sz w:val="24"/>
          <w:szCs w:val="24"/>
          <w:lang w:val="en-GB"/>
        </w:rPr>
        <w:t xml:space="preserve"> for the sample T400H1. Although some authors</w:t>
      </w:r>
      <w:r w:rsidRPr="00FB2A56">
        <w:rPr>
          <w:rFonts w:ascii="Times New Roman" w:hAnsi="Times New Roman" w:cs="Times New Roman"/>
          <w:sz w:val="24"/>
          <w:szCs w:val="24"/>
          <w:lang w:val="en-GB"/>
        </w:rPr>
        <w:fldChar w:fldCharType="begin" w:fldLock="1"/>
      </w:r>
      <w:r w:rsidR="005222FA">
        <w:rPr>
          <w:rFonts w:ascii="Times New Roman" w:hAnsi="Times New Roman" w:cs="Times New Roman"/>
          <w:sz w:val="24"/>
          <w:szCs w:val="24"/>
          <w:lang w:val="en-GB"/>
        </w:rPr>
        <w:instrText>ADDIN CSL_CITATION {"citationItems":[{"id":"ITEM-1","itemData":{"DOI":"10.1088/0957-4484/19/6/065602","ISBN":"0957-4484","ISSN":"0957-4484","PMID":"21730700","abstract":"FeC(2)O(4)·2H(2)O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-1","issue":"6","issued":{"date-parts":[["2008"]]},"page":"065602","title":"Room temperature synthesis of rod-like FeC(2)O(4)·2H(2)O and its transition to maghemite, magnetite and hematite nanorods through controlled thermal decomposition.","type":"article-journal","volume":"19"},"uris":["http://www.mendeley.com/documents/?uuid=a8904774-f2da-4f02-b468-373740c2d331","http://www.mendeley.com/documents/?uuid=b2539824-a56d-4b58-ae69-04f27907cc48","http://www.mendeley.com/documents/?uuid=4ca6b5d1-adfd-4ec2-b6a9-71115220afa5"]}],"mendeley":{"formattedCitation":"&lt;sup&gt;15&lt;/sup&gt;","plainTextFormattedCitation":"15","previouslyFormattedCitation":"&lt;sup&gt;15&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15</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reported these peaks to be an unambiguous sign of </w:t>
      </w:r>
      <w:proofErr w:type="spellStart"/>
      <w:r w:rsidRPr="00FB2A56">
        <w:rPr>
          <w:rFonts w:ascii="Times New Roman" w:hAnsi="Times New Roman" w:cs="Times New Roman"/>
          <w:sz w:val="24"/>
          <w:szCs w:val="24"/>
          <w:lang w:val="en-GB"/>
        </w:rPr>
        <w:t>maghemite</w:t>
      </w:r>
      <w:proofErr w:type="spellEnd"/>
      <w:r w:rsidRPr="00FB2A56">
        <w:rPr>
          <w:rFonts w:ascii="Times New Roman" w:hAnsi="Times New Roman" w:cs="Times New Roman"/>
          <w:sz w:val="24"/>
          <w:szCs w:val="24"/>
          <w:lang w:val="en-GB"/>
        </w:rPr>
        <w:t>, they might represent a reduction in crystal symmetry of cubic spinel structure driven by partial ordering of vacancies, which is also generated by magnetite non-</w:t>
      </w:r>
      <w:r w:rsidRPr="00FB2A56">
        <w:rPr>
          <w:rFonts w:ascii="Times New Roman" w:hAnsi="Times New Roman" w:cs="Times New Roman"/>
          <w:sz w:val="24"/>
          <w:szCs w:val="24"/>
          <w:lang w:val="en-GB"/>
        </w:rPr>
        <w:lastRenderedPageBreak/>
        <w:t xml:space="preserve">stoichiometry. This idea was supported by values of acquired cell parameters (see Table 1.), which reflected the presence of non-stoichiometric magnetite instead of the mixture of magnetite and </w:t>
      </w:r>
      <w:proofErr w:type="spellStart"/>
      <w:r w:rsidRPr="00FB2A56">
        <w:rPr>
          <w:rFonts w:ascii="Times New Roman" w:hAnsi="Times New Roman" w:cs="Times New Roman"/>
          <w:sz w:val="24"/>
          <w:szCs w:val="24"/>
          <w:lang w:val="en-GB"/>
        </w:rPr>
        <w:t>maghemite</w:t>
      </w:r>
      <w:proofErr w:type="spellEnd"/>
      <w:r w:rsidRPr="00FB2A56">
        <w:rPr>
          <w:rFonts w:ascii="Times New Roman" w:hAnsi="Times New Roman" w:cs="Times New Roman"/>
          <w:sz w:val="24"/>
          <w:szCs w:val="24"/>
          <w:lang w:val="en-GB"/>
        </w:rPr>
        <w:t xml:space="preserve">. On the other hand, Mössbauer spectrum suggested the presence of </w:t>
      </w:r>
      <w:proofErr w:type="spellStart"/>
      <w:r w:rsidRPr="00FB2A56">
        <w:rPr>
          <w:rFonts w:ascii="Times New Roman" w:hAnsi="Times New Roman" w:cs="Times New Roman"/>
          <w:sz w:val="24"/>
          <w:szCs w:val="24"/>
          <w:lang w:val="en-GB"/>
        </w:rPr>
        <w:t>maghemite</w:t>
      </w:r>
      <w:proofErr w:type="spellEnd"/>
      <w:r w:rsidRPr="00FB2A56">
        <w:rPr>
          <w:rFonts w:ascii="Times New Roman" w:hAnsi="Times New Roman" w:cs="Times New Roman"/>
          <w:sz w:val="24"/>
          <w:szCs w:val="24"/>
          <w:lang w:val="en-GB"/>
        </w:rPr>
        <w:t xml:space="preserve"> in the sample, as its absence in the spectrum would lead to highly </w:t>
      </w:r>
      <w:proofErr w:type="spellStart"/>
      <w:r w:rsidRPr="00FB2A56">
        <w:rPr>
          <w:rFonts w:ascii="Times New Roman" w:hAnsi="Times New Roman" w:cs="Times New Roman"/>
          <w:sz w:val="24"/>
          <w:szCs w:val="24"/>
          <w:lang w:val="en-GB"/>
        </w:rPr>
        <w:t>unprobeable</w:t>
      </w:r>
      <w:proofErr w:type="spellEnd"/>
      <w:r w:rsidRPr="00FB2A56">
        <w:rPr>
          <w:rFonts w:ascii="Times New Roman" w:hAnsi="Times New Roman" w:cs="Times New Roman"/>
          <w:sz w:val="24"/>
          <w:szCs w:val="24"/>
          <w:lang w:val="en-GB"/>
        </w:rPr>
        <w:t xml:space="preserve"> reversed magnetite stoichiometry of 1:2 (O:T). Similar results were obtained for the other two remaining spectra of the series T400. The presence of </w:t>
      </w:r>
      <w:proofErr w:type="spellStart"/>
      <w:r w:rsidRPr="00FB2A56">
        <w:rPr>
          <w:rFonts w:ascii="Times New Roman" w:hAnsi="Times New Roman" w:cs="Times New Roman"/>
          <w:sz w:val="24"/>
          <w:szCs w:val="24"/>
          <w:lang w:val="en-GB"/>
        </w:rPr>
        <w:t>maghemite</w:t>
      </w:r>
      <w:proofErr w:type="spellEnd"/>
      <w:r w:rsidRPr="00FB2A56">
        <w:rPr>
          <w:rFonts w:ascii="Times New Roman" w:hAnsi="Times New Roman" w:cs="Times New Roman"/>
          <w:sz w:val="24"/>
          <w:szCs w:val="24"/>
          <w:lang w:val="en-GB"/>
        </w:rPr>
        <w:t xml:space="preserve"> in the samples due to gradual oxidation of </w:t>
      </w:r>
      <w:proofErr w:type="spellStart"/>
      <w:r w:rsidRPr="00FB2A56">
        <w:rPr>
          <w:rFonts w:ascii="Times New Roman" w:hAnsi="Times New Roman" w:cs="Times New Roman"/>
          <w:sz w:val="24"/>
          <w:szCs w:val="24"/>
          <w:lang w:val="en-GB"/>
        </w:rPr>
        <w:t>nano</w:t>
      </w:r>
      <w:proofErr w:type="spellEnd"/>
      <w:r w:rsidRPr="00FB2A56">
        <w:rPr>
          <w:rFonts w:ascii="Times New Roman" w:hAnsi="Times New Roman" w:cs="Times New Roman"/>
          <w:sz w:val="24"/>
          <w:szCs w:val="24"/>
          <w:lang w:val="en-GB"/>
        </w:rPr>
        <w:t>-sized magnetite could explain the discrepancies in the results of these two techniques as both measurements were carried out at different time. The crystallite size of iron oxide particles was determined by Rietveld refinement and varied for all the samples in the T400 series between 40 and 50 nm.</w:t>
      </w:r>
    </w:p>
    <w:p w:rsidR="00C90EEE" w:rsidRPr="00FB2A56" w:rsidRDefault="00C90EEE" w:rsidP="00DA780F">
      <w:pPr>
        <w:pStyle w:val="Bezmezer"/>
        <w:spacing w:line="360" w:lineRule="auto"/>
        <w:jc w:val="both"/>
        <w:rPr>
          <w:rFonts w:ascii="Times New Roman" w:hAnsi="Times New Roman"/>
          <w:b/>
          <w:sz w:val="24"/>
          <w:szCs w:val="24"/>
          <w:lang w:val="en-GB"/>
        </w:rPr>
      </w:pPr>
      <w:r w:rsidRPr="00FB2A56">
        <w:rPr>
          <w:rFonts w:ascii="Times New Roman" w:hAnsi="Times New Roman"/>
          <w:sz w:val="24"/>
          <w:szCs w:val="24"/>
          <w:lang w:val="en-GB"/>
        </w:rPr>
        <w:br w:type="column"/>
      </w:r>
      <w:r w:rsidRPr="00FB2A56">
        <w:rPr>
          <w:rFonts w:ascii="Times New Roman" w:hAnsi="Times New Roman"/>
          <w:noProof/>
          <w:sz w:val="24"/>
          <w:szCs w:val="24"/>
          <w:lang w:eastAsia="cs-CZ"/>
        </w:rPr>
        <w:lastRenderedPageBreak/>
        <mc:AlternateContent>
          <mc:Choice Requires="wps">
            <w:drawing>
              <wp:anchor distT="45720" distB="45720" distL="114300" distR="114300" simplePos="0" relativeHeight="251657216" behindDoc="0" locked="0" layoutInCell="1" allowOverlap="1" wp14:anchorId="438AF0FE" wp14:editId="444C2BDF">
                <wp:simplePos x="0" y="0"/>
                <wp:positionH relativeFrom="column">
                  <wp:posOffset>-1270635</wp:posOffset>
                </wp:positionH>
                <wp:positionV relativeFrom="paragraph">
                  <wp:posOffset>1309370</wp:posOffset>
                </wp:positionV>
                <wp:extent cx="8472170" cy="5558155"/>
                <wp:effectExtent l="9207"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472170" cy="5558155"/>
                        </a:xfrm>
                        <a:prstGeom prst="rect">
                          <a:avLst/>
                        </a:prstGeom>
                        <a:solidFill>
                          <a:srgbClr val="FFFFFF"/>
                        </a:solidFill>
                        <a:ln w="9525">
                          <a:noFill/>
                          <a:miter lim="800000"/>
                          <a:headEnd/>
                          <a:tailEnd/>
                        </a:ln>
                      </wps:spPr>
                      <wps:txbx>
                        <w:txbxContent>
                          <w:p w:rsidR="00752133" w:rsidRPr="00E01F4F" w:rsidRDefault="00752133" w:rsidP="00C90EEE">
                            <w:pPr>
                              <w:pStyle w:val="Titulek"/>
                              <w:keepNext/>
                              <w:jc w:val="center"/>
                              <w:rPr>
                                <w:rFonts w:ascii="Arial" w:hAnsi="Arial" w:cs="Arial"/>
                                <w:i w:val="0"/>
                                <w:color w:val="auto"/>
                                <w:sz w:val="16"/>
                                <w:szCs w:val="16"/>
                              </w:rPr>
                            </w:pPr>
                            <w:proofErr w:type="gramStart"/>
                            <w:r w:rsidRPr="00A95435">
                              <w:rPr>
                                <w:rFonts w:ascii="Times New Roman" w:hAnsi="Times New Roman" w:cs="Times New Roman"/>
                                <w:b/>
                                <w:i w:val="0"/>
                                <w:color w:val="auto"/>
                              </w:rPr>
                              <w:t>Table 1.</w:t>
                            </w:r>
                            <w:proofErr w:type="gramEnd"/>
                            <w:r w:rsidRPr="00C81E20">
                              <w:rPr>
                                <w:rFonts w:ascii="Times New Roman" w:hAnsi="Times New Roman" w:cs="Times New Roman"/>
                                <w:i w:val="0"/>
                                <w:color w:val="auto"/>
                              </w:rPr>
                              <w:t xml:space="preserve"> </w:t>
                            </w:r>
                            <w:proofErr w:type="gramStart"/>
                            <w:r w:rsidRPr="00C81E20">
                              <w:rPr>
                                <w:rFonts w:ascii="Times New Roman" w:hAnsi="Times New Roman" w:cs="Times New Roman"/>
                                <w:i w:val="0"/>
                                <w:color w:val="auto"/>
                              </w:rPr>
                              <w:t>XR</w:t>
                            </w:r>
                            <w:r>
                              <w:rPr>
                                <w:rFonts w:ascii="Times New Roman" w:hAnsi="Times New Roman" w:cs="Times New Roman"/>
                                <w:i w:val="0"/>
                                <w:color w:val="auto"/>
                              </w:rPr>
                              <w:t>D parameters of the measured sam</w:t>
                            </w:r>
                            <w:r w:rsidRPr="00C81E20">
                              <w:rPr>
                                <w:rFonts w:ascii="Times New Roman" w:hAnsi="Times New Roman" w:cs="Times New Roman"/>
                                <w:i w:val="0"/>
                                <w:color w:val="auto"/>
                              </w:rPr>
                              <w:t>ples</w:t>
                            </w:r>
                            <w:r>
                              <w:rPr>
                                <w:rFonts w:ascii="Times New Roman" w:hAnsi="Times New Roman" w:cs="Times New Roman"/>
                                <w:i w:val="0"/>
                                <w:color w:val="auto"/>
                              </w:rPr>
                              <w:t>.</w:t>
                            </w:r>
                            <w:proofErr w:type="gramEnd"/>
                          </w:p>
                          <w:tbl>
                            <w:tblPr>
                              <w:tblW w:w="12300" w:type="dxa"/>
                              <w:tblLayout w:type="fixed"/>
                              <w:tblCellMar>
                                <w:left w:w="70" w:type="dxa"/>
                                <w:right w:w="70" w:type="dxa"/>
                              </w:tblCellMar>
                              <w:tblLook w:val="04A0" w:firstRow="1" w:lastRow="0" w:firstColumn="1" w:lastColumn="0" w:noHBand="0" w:noVBand="1"/>
                            </w:tblPr>
                            <w:tblGrid>
                              <w:gridCol w:w="1025"/>
                              <w:gridCol w:w="1025"/>
                              <w:gridCol w:w="1025"/>
                              <w:gridCol w:w="1025"/>
                              <w:gridCol w:w="1025"/>
                              <w:gridCol w:w="1025"/>
                              <w:gridCol w:w="1025"/>
                              <w:gridCol w:w="1025"/>
                              <w:gridCol w:w="1025"/>
                              <w:gridCol w:w="1025"/>
                              <w:gridCol w:w="1025"/>
                              <w:gridCol w:w="1025"/>
                            </w:tblGrid>
                            <w:tr w:rsidR="00752133" w:rsidRPr="00E01F4F" w:rsidTr="00C90EEE">
                              <w:trPr>
                                <w:trHeight w:val="288"/>
                              </w:trPr>
                              <w:tc>
                                <w:tcPr>
                                  <w:tcW w:w="1025" w:type="dxa"/>
                                  <w:vMerge w:val="restart"/>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Sample</w:t>
                                  </w:r>
                                </w:p>
                              </w:tc>
                              <w:tc>
                                <w:tcPr>
                                  <w:tcW w:w="3075" w:type="dxa"/>
                                  <w:gridSpan w:val="3"/>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sz w:val="16"/>
                                      <w:szCs w:val="16"/>
                                    </w:rPr>
                                    <w:t>Magnetite/</w:t>
                                  </w:r>
                                  <w:proofErr w:type="spellStart"/>
                                  <w:r w:rsidRPr="00E01F4F">
                                    <w:rPr>
                                      <w:rFonts w:ascii="Arial" w:eastAsia="Times New Roman" w:hAnsi="Arial" w:cs="Arial"/>
                                      <w:sz w:val="16"/>
                                      <w:szCs w:val="16"/>
                                    </w:rPr>
                                    <w:t>Maghemite</w:t>
                                  </w:r>
                                  <w:proofErr w:type="spellEnd"/>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α-iron</w:t>
                                  </w:r>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Cementite</w:t>
                                  </w:r>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roofErr w:type="spellStart"/>
                                  <w:r w:rsidRPr="00E01F4F">
                                    <w:rPr>
                                      <w:rFonts w:ascii="Arial" w:eastAsia="Times New Roman" w:hAnsi="Arial" w:cs="Arial"/>
                                      <w:color w:val="000000"/>
                                      <w:sz w:val="16"/>
                                      <w:szCs w:val="16"/>
                                    </w:rPr>
                                    <w:t>Hagg´s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carbide</w:t>
                                  </w:r>
                                  <w:proofErr w:type="spellEnd"/>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roofErr w:type="spellStart"/>
                                  <w:r w:rsidRPr="00E01F4F">
                                    <w:rPr>
                                      <w:rFonts w:ascii="Arial" w:eastAsia="Times New Roman" w:hAnsi="Arial" w:cs="Arial"/>
                                      <w:color w:val="000000"/>
                                      <w:sz w:val="16"/>
                                      <w:szCs w:val="16"/>
                                    </w:rPr>
                                    <w:t>Wüstite</w:t>
                                  </w:r>
                                  <w:proofErr w:type="spellEnd"/>
                                </w:p>
                              </w:tc>
                            </w:tr>
                            <w:tr w:rsidR="00752133" w:rsidRPr="00E01F4F" w:rsidTr="00C90EEE">
                              <w:trPr>
                                <w:trHeight w:val="300"/>
                              </w:trPr>
                              <w:tc>
                                <w:tcPr>
                                  <w:tcW w:w="1025" w:type="dxa"/>
                                  <w:vMerge/>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a</w:t>
                                  </w:r>
                                  <w:r w:rsidRPr="00E01F4F">
                                    <w:rPr>
                                      <w:rFonts w:ascii="Arial" w:eastAsia="Times New Roman" w:hAnsi="Arial" w:cs="Arial"/>
                                      <w:color w:val="000000"/>
                                      <w:sz w:val="16"/>
                                      <w:szCs w:val="16"/>
                                    </w:rPr>
                                    <w:t xml:space="preserve"> [Å]</w:t>
                                  </w:r>
                                </w:p>
                              </w:tc>
                              <w:tc>
                                <w:tcPr>
                                  <w:tcW w:w="1025" w:type="dxa"/>
                                  <w:tcBorders>
                                    <w:top w:val="single" w:sz="4" w:space="0" w:color="auto"/>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 xml:space="preserve">w </w:t>
                                  </w:r>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T300H1</w:t>
                                  </w:r>
                                </w:p>
                              </w:tc>
                              <w:tc>
                                <w:tcPr>
                                  <w:tcW w:w="11275" w:type="dxa"/>
                                  <w:gridSpan w:val="11"/>
                                  <w:vMerge w:val="restart"/>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COULD NOT BE ACCURATELY QUANTIFIED*</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T300H6</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T300H12</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T350H1</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T350H6</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300"/>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T350H12</w:t>
                                  </w:r>
                                </w:p>
                              </w:tc>
                              <w:tc>
                                <w:tcPr>
                                  <w:tcW w:w="11275" w:type="dxa"/>
                                  <w:gridSpan w:val="11"/>
                                  <w:vMerge/>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T400H1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8,390</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95,6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41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2,4</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T400H6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8,393</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44</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1,4</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59</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T400H12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8,392</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T450H1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T450H6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8,391</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99,0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T450H12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8,395</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97,9</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55</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58</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1,1</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26</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T500H1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98,2</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0,8**</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85</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73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T500H6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8,393</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98,8</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T500H12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8,394</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56</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85</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T550H1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8,394</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T550H6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8,394</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T550H12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162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T600H1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80,1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89</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13,3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25</w:t>
                                  </w:r>
                                </w:p>
                              </w:tc>
                            </w:tr>
                            <w:tr w:rsidR="00752133" w:rsidRPr="00D250AD" w:rsidTr="00C90EEE">
                              <w:trPr>
                                <w:trHeight w:val="89"/>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T600H6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8,393</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86,3</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76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11,2</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31</w:t>
                                  </w:r>
                                </w:p>
                              </w:tc>
                            </w:tr>
                            <w:tr w:rsidR="00752133" w:rsidRPr="00D250AD"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T600H12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8,392</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86,3</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57</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1,9</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84</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11,7</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30</w:t>
                                  </w:r>
                                </w:p>
                              </w:tc>
                            </w:tr>
                            <w:tr w:rsidR="00752133" w:rsidRPr="00D250AD"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T650H1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8,398</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41,0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64</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58,8</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32</w:t>
                                  </w:r>
                                </w:p>
                              </w:tc>
                            </w:tr>
                            <w:tr w:rsidR="00752133" w:rsidRPr="00D250AD" w:rsidTr="00C90EEE">
                              <w:trPr>
                                <w:trHeight w:val="288"/>
                              </w:trPr>
                              <w:tc>
                                <w:tcPr>
                                  <w:tcW w:w="1025" w:type="dxa"/>
                                  <w:shd w:val="clear" w:color="auto" w:fill="auto"/>
                                  <w:noWrap/>
                                  <w:vAlign w:val="center"/>
                                  <w:hideMark/>
                                </w:tcPr>
                                <w:p w:rsidR="00752133" w:rsidRPr="00B138A2" w:rsidRDefault="00752133" w:rsidP="00E01F4F">
                                  <w:pPr>
                                    <w:spacing w:after="0" w:line="240" w:lineRule="auto"/>
                                    <w:rPr>
                                      <w:rFonts w:ascii="Times New Roman" w:eastAsia="Times New Roman" w:hAnsi="Times New Roman" w:cs="Times New Roman"/>
                                      <w:color w:val="000000"/>
                                      <w:sz w:val="20"/>
                                      <w:szCs w:val="20"/>
                                    </w:rPr>
                                  </w:pPr>
                                  <w:r w:rsidRPr="002F4540">
                                    <w:rPr>
                                      <w:rFonts w:ascii="Times New Roman" w:eastAsia="Times New Roman" w:hAnsi="Times New Roman" w:cs="Times New Roman"/>
                                      <w:sz w:val="20"/>
                                      <w:szCs w:val="20"/>
                                    </w:rPr>
                                    <w:t>T650H6</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8,396</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458</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50,9</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r>
                            <w:tr w:rsidR="00752133" w:rsidRPr="00D250AD" w:rsidTr="00C90EEE">
                              <w:trPr>
                                <w:trHeight w:val="300"/>
                              </w:trPr>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T650H12</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8,388</w:t>
                                  </w:r>
                                </w:p>
                              </w:tc>
                              <w:tc>
                                <w:tcPr>
                                  <w:tcW w:w="1025" w:type="dxa"/>
                                  <w:tcBorders>
                                    <w:bottom w:val="single" w:sz="4" w:space="0" w:color="auto"/>
                                  </w:tcBorders>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82581F">
                                    <w:rPr>
                                      <w:rFonts w:ascii="Times New Roman" w:eastAsia="Times New Roman" w:hAnsi="Times New Roman" w:cs="Times New Roman"/>
                                      <w:color w:val="000000"/>
                                      <w:sz w:val="20"/>
                                      <w:szCs w:val="20"/>
                                    </w:rPr>
                                    <w:t>40,5</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25</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1,1</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109</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58,4***</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21(26)</w:t>
                                  </w:r>
                                </w:p>
                              </w:tc>
                            </w:tr>
                          </w:tbl>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w:t>
                            </w:r>
                            <w:r w:rsidRPr="00E01F4F">
                              <w:rPr>
                                <w:rFonts w:ascii="Arial" w:eastAsia="Times New Roman" w:hAnsi="Arial" w:cs="Arial"/>
                                <w:color w:val="000000"/>
                                <w:sz w:val="16"/>
                                <w:szCs w:val="16"/>
                              </w:rPr>
                              <w:tab/>
                              <w:t xml:space="preserve">XRD </w:t>
                            </w:r>
                            <w:proofErr w:type="spellStart"/>
                            <w:r w:rsidRPr="00E01F4F">
                              <w:rPr>
                                <w:rFonts w:ascii="Arial" w:eastAsia="Times New Roman" w:hAnsi="Arial" w:cs="Arial"/>
                                <w:color w:val="000000"/>
                                <w:sz w:val="16"/>
                                <w:szCs w:val="16"/>
                              </w:rPr>
                              <w:t>patterns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contain</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peaks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belonging</w:t>
                            </w:r>
                            <w:proofErr w:type="spellEnd"/>
                            <w:r w:rsidRPr="00E01F4F">
                              <w:rPr>
                                <w:rFonts w:ascii="Arial" w:eastAsia="Times New Roman" w:hAnsi="Arial" w:cs="Arial"/>
                                <w:color w:val="000000"/>
                                <w:sz w:val="16"/>
                                <w:szCs w:val="16"/>
                              </w:rPr>
                              <w:t xml:space="preserve"> to </w:t>
                            </w:r>
                            <w:proofErr w:type="spellStart"/>
                            <w:r w:rsidRPr="00E01F4F">
                              <w:rPr>
                                <w:rFonts w:ascii="Arial" w:eastAsia="Times New Roman" w:hAnsi="Arial" w:cs="Arial"/>
                                <w:color w:val="000000"/>
                                <w:sz w:val="16"/>
                                <w:szCs w:val="16"/>
                              </w:rPr>
                              <w:t>anhydrous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ferrous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oxalate</w:t>
                            </w:r>
                            <w:proofErr w:type="spellEnd"/>
                            <w:r w:rsidRPr="00E01F4F">
                              <w:rPr>
                                <w:rFonts w:ascii="Arial" w:eastAsia="Times New Roman" w:hAnsi="Arial" w:cs="Arial"/>
                                <w:color w:val="000000"/>
                                <w:sz w:val="16"/>
                                <w:szCs w:val="16"/>
                              </w:rPr>
                              <w:t xml:space="preserve"> and magnetite, </w:t>
                            </w:r>
                            <w:proofErr w:type="spellStart"/>
                            <w:r w:rsidRPr="00E01F4F">
                              <w:rPr>
                                <w:rFonts w:ascii="Arial" w:eastAsia="Times New Roman" w:hAnsi="Arial" w:cs="Arial"/>
                                <w:color w:val="000000"/>
                                <w:sz w:val="16"/>
                                <w:szCs w:val="16"/>
                              </w:rPr>
                              <w:t>amount</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of</w:t>
                            </w:r>
                            <w:proofErr w:type="spellEnd"/>
                            <w:r w:rsidRPr="00E01F4F">
                              <w:rPr>
                                <w:rFonts w:ascii="Arial" w:eastAsia="Times New Roman" w:hAnsi="Arial" w:cs="Arial"/>
                                <w:color w:val="000000"/>
                                <w:sz w:val="16"/>
                                <w:szCs w:val="16"/>
                              </w:rPr>
                              <w:t xml:space="preserve"> </w:t>
                            </w:r>
                            <w:proofErr w:type="gramStart"/>
                            <w:r w:rsidRPr="00E01F4F">
                              <w:rPr>
                                <w:rFonts w:ascii="Arial" w:eastAsia="Times New Roman" w:hAnsi="Arial" w:cs="Arial"/>
                                <w:color w:val="000000"/>
                                <w:sz w:val="16"/>
                                <w:szCs w:val="16"/>
                              </w:rPr>
                              <w:t>magnetite</w:t>
                            </w:r>
                            <w:proofErr w:type="gram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gradually</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increases</w:t>
                            </w:r>
                            <w:proofErr w:type="spellEnd"/>
                          </w:p>
                          <w:p w:rsidR="00752133" w:rsidRPr="00E01F4F" w:rsidRDefault="00752133" w:rsidP="00E01F4F">
                            <w:pPr>
                              <w:spacing w:after="0" w:line="240" w:lineRule="auto"/>
                              <w:rPr>
                                <w:rFonts w:ascii="Arial" w:hAnsi="Arial" w:cs="Arial"/>
                                <w:sz w:val="16"/>
                                <w:szCs w:val="16"/>
                              </w:rPr>
                            </w:pPr>
                            <w:r w:rsidRPr="00E01F4F">
                              <w:rPr>
                                <w:rFonts w:ascii="Arial" w:eastAsia="Times New Roman" w:hAnsi="Arial" w:cs="Arial"/>
                                <w:color w:val="000000"/>
                                <w:sz w:val="16"/>
                                <w:szCs w:val="16"/>
                              </w:rPr>
                              <w:t>**</w:t>
                            </w:r>
                            <w:r w:rsidRPr="00E01F4F">
                              <w:rPr>
                                <w:rFonts w:ascii="Arial" w:eastAsia="Times New Roman" w:hAnsi="Arial" w:cs="Arial"/>
                                <w:color w:val="000000"/>
                                <w:sz w:val="16"/>
                                <w:szCs w:val="16"/>
                              </w:rPr>
                              <w:tab/>
                            </w:r>
                            <w:proofErr w:type="spellStart"/>
                            <w:r w:rsidRPr="00E01F4F">
                              <w:rPr>
                                <w:rFonts w:ascii="Arial" w:eastAsia="Times New Roman" w:hAnsi="Arial" w:cs="Arial"/>
                                <w:color w:val="000000"/>
                                <w:sz w:val="16"/>
                                <w:szCs w:val="16"/>
                              </w:rPr>
                              <w:t>Q</w:t>
                            </w:r>
                            <w:r w:rsidRPr="00E01F4F">
                              <w:rPr>
                                <w:rFonts w:ascii="Arial" w:hAnsi="Arial" w:cs="Arial"/>
                                <w:sz w:val="16"/>
                                <w:szCs w:val="16"/>
                              </w:rPr>
                              <w:t>uantification</w:t>
                            </w:r>
                            <w:proofErr w:type="spellEnd"/>
                            <w:r w:rsidRPr="00E01F4F">
                              <w:rPr>
                                <w:rFonts w:ascii="Arial" w:hAnsi="Arial" w:cs="Arial"/>
                                <w:sz w:val="16"/>
                                <w:szCs w:val="16"/>
                              </w:rPr>
                              <w:t xml:space="preserve"> limit </w:t>
                            </w:r>
                            <w:proofErr w:type="spellStart"/>
                            <w:r w:rsidRPr="00E01F4F">
                              <w:rPr>
                                <w:rFonts w:ascii="Arial" w:hAnsi="Arial" w:cs="Arial"/>
                                <w:sz w:val="16"/>
                                <w:szCs w:val="16"/>
                              </w:rPr>
                              <w:t>is</w:t>
                            </w:r>
                            <w:proofErr w:type="spellEnd"/>
                            <w:r w:rsidRPr="00E01F4F">
                              <w:rPr>
                                <w:rFonts w:ascii="Arial" w:hAnsi="Arial" w:cs="Arial"/>
                                <w:sz w:val="16"/>
                                <w:szCs w:val="16"/>
                              </w:rPr>
                              <w:t xml:space="preserve"> 1 %</w:t>
                            </w:r>
                          </w:p>
                          <w:p w:rsidR="00752133" w:rsidRPr="00E01F4F" w:rsidRDefault="00752133" w:rsidP="00E01F4F">
                            <w:pPr>
                              <w:spacing w:after="0" w:line="240" w:lineRule="auto"/>
                              <w:rPr>
                                <w:rFonts w:ascii="Arial" w:hAnsi="Arial" w:cs="Arial"/>
                                <w:sz w:val="16"/>
                                <w:szCs w:val="16"/>
                              </w:rPr>
                            </w:pPr>
                            <w:r w:rsidRPr="00E01F4F">
                              <w:rPr>
                                <w:rFonts w:ascii="Arial" w:eastAsia="Times New Roman" w:hAnsi="Arial" w:cs="Arial"/>
                                <w:color w:val="000000"/>
                                <w:sz w:val="16"/>
                                <w:szCs w:val="16"/>
                              </w:rPr>
                              <w:t>***</w:t>
                            </w:r>
                            <w:r w:rsidRPr="00E01F4F">
                              <w:rPr>
                                <w:rFonts w:ascii="Arial" w:eastAsia="Times New Roman" w:hAnsi="Arial" w:cs="Arial"/>
                                <w:color w:val="000000"/>
                                <w:sz w:val="16"/>
                                <w:szCs w:val="16"/>
                              </w:rPr>
                              <w:tab/>
                            </w:r>
                            <w:proofErr w:type="spellStart"/>
                            <w:r w:rsidRPr="00E01F4F">
                              <w:rPr>
                                <w:rFonts w:ascii="Arial" w:hAnsi="Arial" w:cs="Arial"/>
                                <w:sz w:val="16"/>
                                <w:szCs w:val="16"/>
                              </w:rPr>
                              <w:t>Two</w:t>
                            </w:r>
                            <w:proofErr w:type="spellEnd"/>
                            <w:r w:rsidRPr="00E01F4F">
                              <w:rPr>
                                <w:rFonts w:ascii="Arial" w:hAnsi="Arial" w:cs="Arial"/>
                                <w:sz w:val="16"/>
                                <w:szCs w:val="16"/>
                              </w:rPr>
                              <w:t xml:space="preserve"> </w:t>
                            </w:r>
                            <w:proofErr w:type="spellStart"/>
                            <w:r w:rsidRPr="00E01F4F">
                              <w:rPr>
                                <w:rFonts w:ascii="Arial" w:hAnsi="Arial" w:cs="Arial"/>
                                <w:sz w:val="16"/>
                                <w:szCs w:val="16"/>
                              </w:rPr>
                              <w:t>different</w:t>
                            </w:r>
                            <w:proofErr w:type="spellEnd"/>
                            <w:r w:rsidRPr="00E01F4F">
                              <w:rPr>
                                <w:rFonts w:ascii="Arial" w:hAnsi="Arial" w:cs="Arial"/>
                                <w:sz w:val="16"/>
                                <w:szCs w:val="16"/>
                              </w:rPr>
                              <w:t xml:space="preserve"> </w:t>
                            </w:r>
                            <w:proofErr w:type="spellStart"/>
                            <w:r w:rsidRPr="00E01F4F">
                              <w:rPr>
                                <w:rFonts w:ascii="Arial" w:hAnsi="Arial" w:cs="Arial"/>
                                <w:sz w:val="16"/>
                                <w:szCs w:val="16"/>
                              </w:rPr>
                              <w:t>structures</w:t>
                            </w:r>
                            <w:proofErr w:type="spellEnd"/>
                            <w:r w:rsidRPr="00E01F4F">
                              <w:rPr>
                                <w:rFonts w:ascii="Arial" w:hAnsi="Arial" w:cs="Arial"/>
                                <w:sz w:val="16"/>
                                <w:szCs w:val="16"/>
                              </w:rPr>
                              <w:t xml:space="preserve"> </w:t>
                            </w:r>
                            <w:proofErr w:type="spellStart"/>
                            <w:r w:rsidRPr="00E01F4F">
                              <w:rPr>
                                <w:rFonts w:ascii="Arial" w:hAnsi="Arial" w:cs="Arial"/>
                                <w:sz w:val="16"/>
                                <w:szCs w:val="16"/>
                              </w:rPr>
                              <w:t>of</w:t>
                            </w:r>
                            <w:proofErr w:type="spellEnd"/>
                            <w:r w:rsidRPr="00E01F4F">
                              <w:rPr>
                                <w:rFonts w:ascii="Arial" w:hAnsi="Arial" w:cs="Arial"/>
                                <w:sz w:val="16"/>
                                <w:szCs w:val="16"/>
                              </w:rPr>
                              <w:t xml:space="preserve"> </w:t>
                            </w:r>
                            <w:proofErr w:type="spellStart"/>
                            <w:r w:rsidRPr="00E01F4F">
                              <w:rPr>
                                <w:rFonts w:ascii="Arial" w:hAnsi="Arial" w:cs="Arial"/>
                                <w:sz w:val="16"/>
                                <w:szCs w:val="16"/>
                              </w:rPr>
                              <w:t>wüstite</w:t>
                            </w:r>
                            <w:proofErr w:type="spellEnd"/>
                            <w:r w:rsidRPr="00E01F4F">
                              <w:rPr>
                                <w:rFonts w:ascii="Arial" w:hAnsi="Arial" w:cs="Arial"/>
                                <w:sz w:val="16"/>
                                <w:szCs w:val="16"/>
                              </w:rPr>
                              <w:t xml:space="preserve"> </w:t>
                            </w:r>
                            <w:proofErr w:type="spellStart"/>
                            <w:r w:rsidRPr="00E01F4F">
                              <w:rPr>
                                <w:rFonts w:ascii="Arial" w:hAnsi="Arial" w:cs="Arial"/>
                                <w:sz w:val="16"/>
                                <w:szCs w:val="16"/>
                              </w:rPr>
                              <w:t>were</w:t>
                            </w:r>
                            <w:proofErr w:type="spellEnd"/>
                            <w:r w:rsidRPr="00E01F4F">
                              <w:rPr>
                                <w:rFonts w:ascii="Arial" w:hAnsi="Arial" w:cs="Arial"/>
                                <w:sz w:val="16"/>
                                <w:szCs w:val="16"/>
                              </w:rPr>
                              <w:t xml:space="preserve"> </w:t>
                            </w:r>
                            <w:proofErr w:type="spellStart"/>
                            <w:r w:rsidRPr="00E01F4F">
                              <w:rPr>
                                <w:rFonts w:ascii="Arial" w:hAnsi="Arial" w:cs="Arial"/>
                                <w:sz w:val="16"/>
                                <w:szCs w:val="16"/>
                              </w:rPr>
                              <w:t>observed</w:t>
                            </w:r>
                            <w:proofErr w:type="spellEnd"/>
                            <w:r w:rsidRPr="00E01F4F">
                              <w:rPr>
                                <w:rFonts w:ascii="Arial" w:hAnsi="Arial" w:cs="Arial"/>
                                <w:sz w:val="16"/>
                                <w:szCs w:val="16"/>
                              </w:rPr>
                              <w:t xml:space="preserve"> in ratio </w:t>
                            </w:r>
                            <w:proofErr w:type="spellStart"/>
                            <w:r w:rsidRPr="00E01F4F">
                              <w:rPr>
                                <w:rFonts w:ascii="Arial" w:hAnsi="Arial" w:cs="Arial"/>
                                <w:sz w:val="16"/>
                                <w:szCs w:val="16"/>
                              </w:rPr>
                              <w:t>of</w:t>
                            </w:r>
                            <w:proofErr w:type="spellEnd"/>
                            <w:r w:rsidRPr="00E01F4F">
                              <w:rPr>
                                <w:rFonts w:ascii="Arial" w:hAnsi="Arial" w:cs="Arial"/>
                                <w:sz w:val="16"/>
                                <w:szCs w:val="16"/>
                              </w:rPr>
                              <w:t xml:space="preserve"> 15,5 % to 42,9 %.</w:t>
                            </w:r>
                          </w:p>
                          <w:p w:rsidR="00752133" w:rsidRDefault="00752133" w:rsidP="00C90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00.05pt;margin-top:103.1pt;width:667.1pt;height:437.65pt;rotation:-90;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" stroked="f">
                <v:textbox>
                  <w:txbxContent>
                    <w:p w:rsidR="00752133" w:rsidRPr="00E01F4F" w:rsidRDefault="00752133" w:rsidP="00C90EEE">
                      <w:pPr>
                        <w:pStyle w:val="Titulek"/>
                        <w:keepNext/>
                        <w:jc w:val="center"/>
                        <w:rPr>
                          <w:rFonts w:ascii="Arial" w:hAnsi="Arial" w:cs="Arial"/>
                          <w:i w:val="0"/>
                          <w:color w:val="auto"/>
                          <w:sz w:val="16"/>
                          <w:szCs w:val="16"/>
                        </w:rPr>
                      </w:pPr>
                      <w:proofErr w:type="gramStart"/>
                      <w:r w:rsidRPr="00A95435">
                        <w:rPr>
                          <w:rFonts w:ascii="Times New Roman" w:hAnsi="Times New Roman" w:cs="Times New Roman"/>
                          <w:b/>
                          <w:i w:val="0"/>
                          <w:color w:val="auto"/>
                        </w:rPr>
                        <w:t>Table 1.</w:t>
                      </w:r>
                      <w:proofErr w:type="gramEnd"/>
                      <w:r w:rsidRPr="00C81E20">
                        <w:rPr>
                          <w:rFonts w:ascii="Times New Roman" w:hAnsi="Times New Roman" w:cs="Times New Roman"/>
                          <w:i w:val="0"/>
                          <w:color w:val="auto"/>
                        </w:rPr>
                        <w:t xml:space="preserve"> </w:t>
                      </w:r>
                      <w:proofErr w:type="gramStart"/>
                      <w:r w:rsidRPr="00C81E20">
                        <w:rPr>
                          <w:rFonts w:ascii="Times New Roman" w:hAnsi="Times New Roman" w:cs="Times New Roman"/>
                          <w:i w:val="0"/>
                          <w:color w:val="auto"/>
                        </w:rPr>
                        <w:t>XR</w:t>
                      </w:r>
                      <w:r>
                        <w:rPr>
                          <w:rFonts w:ascii="Times New Roman" w:hAnsi="Times New Roman" w:cs="Times New Roman"/>
                          <w:i w:val="0"/>
                          <w:color w:val="auto"/>
                        </w:rPr>
                        <w:t>D parameters of the measured sam</w:t>
                      </w:r>
                      <w:r w:rsidRPr="00C81E20">
                        <w:rPr>
                          <w:rFonts w:ascii="Times New Roman" w:hAnsi="Times New Roman" w:cs="Times New Roman"/>
                          <w:i w:val="0"/>
                          <w:color w:val="auto"/>
                        </w:rPr>
                        <w:t>ples</w:t>
                      </w:r>
                      <w:r>
                        <w:rPr>
                          <w:rFonts w:ascii="Times New Roman" w:hAnsi="Times New Roman" w:cs="Times New Roman"/>
                          <w:i w:val="0"/>
                          <w:color w:val="auto"/>
                        </w:rPr>
                        <w:t>.</w:t>
                      </w:r>
                      <w:proofErr w:type="gramEnd"/>
                    </w:p>
                    <w:tbl>
                      <w:tblPr>
                        <w:tblW w:w="12300" w:type="dxa"/>
                        <w:tblLayout w:type="fixed"/>
                        <w:tblCellMar>
                          <w:left w:w="70" w:type="dxa"/>
                          <w:right w:w="70" w:type="dxa"/>
                        </w:tblCellMar>
                        <w:tblLook w:val="04A0" w:firstRow="1" w:lastRow="0" w:firstColumn="1" w:lastColumn="0" w:noHBand="0" w:noVBand="1"/>
                      </w:tblPr>
                      <w:tblGrid>
                        <w:gridCol w:w="1025"/>
                        <w:gridCol w:w="1025"/>
                        <w:gridCol w:w="1025"/>
                        <w:gridCol w:w="1025"/>
                        <w:gridCol w:w="1025"/>
                        <w:gridCol w:w="1025"/>
                        <w:gridCol w:w="1025"/>
                        <w:gridCol w:w="1025"/>
                        <w:gridCol w:w="1025"/>
                        <w:gridCol w:w="1025"/>
                        <w:gridCol w:w="1025"/>
                        <w:gridCol w:w="1025"/>
                      </w:tblGrid>
                      <w:tr w:rsidR="00752133" w:rsidRPr="00E01F4F" w:rsidTr="00C90EEE">
                        <w:trPr>
                          <w:trHeight w:val="288"/>
                        </w:trPr>
                        <w:tc>
                          <w:tcPr>
                            <w:tcW w:w="1025" w:type="dxa"/>
                            <w:vMerge w:val="restart"/>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Sample</w:t>
                            </w:r>
                          </w:p>
                        </w:tc>
                        <w:tc>
                          <w:tcPr>
                            <w:tcW w:w="3075" w:type="dxa"/>
                            <w:gridSpan w:val="3"/>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sz w:val="16"/>
                                <w:szCs w:val="16"/>
                              </w:rPr>
                              <w:t>Magnetite/</w:t>
                            </w:r>
                            <w:proofErr w:type="spellStart"/>
                            <w:r w:rsidRPr="00E01F4F">
                              <w:rPr>
                                <w:rFonts w:ascii="Arial" w:eastAsia="Times New Roman" w:hAnsi="Arial" w:cs="Arial"/>
                                <w:sz w:val="16"/>
                                <w:szCs w:val="16"/>
                              </w:rPr>
                              <w:t>Maghemite</w:t>
                            </w:r>
                            <w:proofErr w:type="spellEnd"/>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α-iron</w:t>
                            </w:r>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Cementite</w:t>
                            </w:r>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roofErr w:type="spellStart"/>
                            <w:r w:rsidRPr="00E01F4F">
                              <w:rPr>
                                <w:rFonts w:ascii="Arial" w:eastAsia="Times New Roman" w:hAnsi="Arial" w:cs="Arial"/>
                                <w:color w:val="000000"/>
                                <w:sz w:val="16"/>
                                <w:szCs w:val="16"/>
                              </w:rPr>
                              <w:t>Hagg´s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carbide</w:t>
                            </w:r>
                            <w:proofErr w:type="spellEnd"/>
                          </w:p>
                        </w:tc>
                        <w:tc>
                          <w:tcPr>
                            <w:tcW w:w="2050" w:type="dxa"/>
                            <w:gridSpan w:val="2"/>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roofErr w:type="spellStart"/>
                            <w:r w:rsidRPr="00E01F4F">
                              <w:rPr>
                                <w:rFonts w:ascii="Arial" w:eastAsia="Times New Roman" w:hAnsi="Arial" w:cs="Arial"/>
                                <w:color w:val="000000"/>
                                <w:sz w:val="16"/>
                                <w:szCs w:val="16"/>
                              </w:rPr>
                              <w:t>Wüstite</w:t>
                            </w:r>
                            <w:proofErr w:type="spellEnd"/>
                          </w:p>
                        </w:tc>
                      </w:tr>
                      <w:tr w:rsidR="00752133" w:rsidRPr="00E01F4F" w:rsidTr="00C90EEE">
                        <w:trPr>
                          <w:trHeight w:val="300"/>
                        </w:trPr>
                        <w:tc>
                          <w:tcPr>
                            <w:tcW w:w="1025" w:type="dxa"/>
                            <w:vMerge/>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a</w:t>
                            </w:r>
                            <w:r w:rsidRPr="00E01F4F">
                              <w:rPr>
                                <w:rFonts w:ascii="Arial" w:eastAsia="Times New Roman" w:hAnsi="Arial" w:cs="Arial"/>
                                <w:color w:val="000000"/>
                                <w:sz w:val="16"/>
                                <w:szCs w:val="16"/>
                              </w:rPr>
                              <w:t xml:space="preserve"> [Å]</w:t>
                            </w:r>
                          </w:p>
                        </w:tc>
                        <w:tc>
                          <w:tcPr>
                            <w:tcW w:w="1025" w:type="dxa"/>
                            <w:tcBorders>
                              <w:top w:val="single" w:sz="4" w:space="0" w:color="auto"/>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 xml:space="preserve">w </w:t>
                            </w:r>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i/>
                                <w:color w:val="000000"/>
                                <w:sz w:val="16"/>
                                <w:szCs w:val="16"/>
                              </w:rPr>
                              <w:t>w</w:t>
                            </w:r>
                            <w:r w:rsidRPr="00E01F4F">
                              <w:rPr>
                                <w:rFonts w:ascii="Arial" w:eastAsia="Times New Roman" w:hAnsi="Arial" w:cs="Arial"/>
                                <w:color w:val="000000"/>
                                <w:sz w:val="16"/>
                                <w:szCs w:val="16"/>
                              </w:rPr>
                              <w:t xml:space="preserve"> [%]</w:t>
                            </w:r>
                          </w:p>
                        </w:tc>
                        <w:tc>
                          <w:tcPr>
                            <w:tcW w:w="1025" w:type="dxa"/>
                            <w:tcBorders>
                              <w:top w:val="single" w:sz="4" w:space="0" w:color="auto"/>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MCL [</w:t>
                            </w:r>
                            <w:proofErr w:type="spellStart"/>
                            <w:r w:rsidRPr="00E01F4F">
                              <w:rPr>
                                <w:rFonts w:ascii="Arial" w:eastAsia="Times New Roman" w:hAnsi="Arial" w:cs="Arial"/>
                                <w:color w:val="000000"/>
                                <w:sz w:val="16"/>
                                <w:szCs w:val="16"/>
                              </w:rPr>
                              <w:t>nm</w:t>
                            </w:r>
                            <w:proofErr w:type="spellEnd"/>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T300H1</w:t>
                            </w:r>
                          </w:p>
                        </w:tc>
                        <w:tc>
                          <w:tcPr>
                            <w:tcW w:w="11275" w:type="dxa"/>
                            <w:gridSpan w:val="11"/>
                            <w:vMerge w:val="restart"/>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COULD NOT BE ACCURATELY QUANTIFIED*</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T300H6</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T300H12</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T350H1</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T350H6</w:t>
                            </w:r>
                          </w:p>
                        </w:tc>
                        <w:tc>
                          <w:tcPr>
                            <w:tcW w:w="11275" w:type="dxa"/>
                            <w:gridSpan w:val="11"/>
                            <w:vMerge/>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300"/>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T350H12</w:t>
                            </w:r>
                          </w:p>
                        </w:tc>
                        <w:tc>
                          <w:tcPr>
                            <w:tcW w:w="11275" w:type="dxa"/>
                            <w:gridSpan w:val="11"/>
                            <w:vMerge/>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T400H1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8,390</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95,6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41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2,4</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T400H6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8,393</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44</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1,4</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59</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T400H12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8,392</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T450H1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T450H6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8,391</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99,0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T450H12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8,395</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97,9</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55</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58</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1,1</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26</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T500H1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98,2</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0,8**</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85</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73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T500H6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8,393</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98,8</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T500H12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8,394</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98,0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56</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85</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T550H1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8,394</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T550H6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8,394</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T550H12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100,0</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162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r>
                      <w:tr w:rsidR="00752133" w:rsidRPr="00E01F4F"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T600H1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8,396</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80,1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6,6</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89</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13,3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25</w:t>
                            </w:r>
                          </w:p>
                        </w:tc>
                      </w:tr>
                      <w:tr w:rsidR="00752133" w:rsidRPr="00D250AD" w:rsidTr="00C90EEE">
                        <w:trPr>
                          <w:trHeight w:val="89"/>
                        </w:trPr>
                        <w:tc>
                          <w:tcPr>
                            <w:tcW w:w="1025" w:type="dxa"/>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T600H6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8,393</w:t>
                            </w:r>
                          </w:p>
                        </w:tc>
                        <w:tc>
                          <w:tcPr>
                            <w:tcW w:w="1025" w:type="dxa"/>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86,3</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76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2,5</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86</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11,2</w:t>
                            </w:r>
                          </w:p>
                        </w:tc>
                        <w:tc>
                          <w:tcPr>
                            <w:tcW w:w="1025" w:type="dxa"/>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31</w:t>
                            </w:r>
                          </w:p>
                        </w:tc>
                      </w:tr>
                      <w:tr w:rsidR="00752133" w:rsidRPr="00D250AD" w:rsidTr="00C90EEE">
                        <w:trPr>
                          <w:trHeight w:val="288"/>
                        </w:trPr>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T600H12</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8,392</w:t>
                            </w:r>
                          </w:p>
                        </w:tc>
                        <w:tc>
                          <w:tcPr>
                            <w:tcW w:w="1025" w:type="dxa"/>
                            <w:tcBorders>
                              <w:bottom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86,3</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57</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1,9</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84</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11,7</w:t>
                            </w:r>
                          </w:p>
                        </w:tc>
                        <w:tc>
                          <w:tcPr>
                            <w:tcW w:w="1025" w:type="dxa"/>
                            <w:tcBorders>
                              <w:bottom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30</w:t>
                            </w:r>
                          </w:p>
                        </w:tc>
                      </w:tr>
                      <w:tr w:rsidR="00752133" w:rsidRPr="00D250AD" w:rsidTr="00C90EEE">
                        <w:trPr>
                          <w:trHeight w:val="288"/>
                        </w:trPr>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T650H1</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8,398</w:t>
                            </w:r>
                          </w:p>
                        </w:tc>
                        <w:tc>
                          <w:tcPr>
                            <w:tcW w:w="1025" w:type="dxa"/>
                            <w:tcBorders>
                              <w:top w:val="single" w:sz="4" w:space="0" w:color="auto"/>
                            </w:tcBorders>
                            <w:shd w:val="clear" w:color="auto" w:fill="auto"/>
                            <w:noWrap/>
                            <w:vAlign w:val="center"/>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41,0</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64</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0,3**</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58,8</w:t>
                            </w:r>
                          </w:p>
                        </w:tc>
                        <w:tc>
                          <w:tcPr>
                            <w:tcW w:w="1025" w:type="dxa"/>
                            <w:tcBorders>
                              <w:top w:val="single" w:sz="4" w:space="0" w:color="auto"/>
                            </w:tcBorders>
                            <w:shd w:val="clear" w:color="auto" w:fill="auto"/>
                            <w:noWrap/>
                            <w:vAlign w:val="center"/>
                            <w:hideMark/>
                          </w:tcPr>
                          <w:p w:rsidR="00752133" w:rsidRPr="00E01F4F" w:rsidRDefault="00752133" w:rsidP="00E01F4F">
                            <w:pPr>
                              <w:spacing w:after="0" w:line="240" w:lineRule="auto"/>
                              <w:jc w:val="center"/>
                              <w:rPr>
                                <w:rFonts w:ascii="Arial" w:eastAsia="Times New Roman" w:hAnsi="Arial" w:cs="Arial"/>
                                <w:color w:val="000000"/>
                                <w:sz w:val="16"/>
                                <w:szCs w:val="16"/>
                              </w:rPr>
                            </w:pPr>
                            <w:r w:rsidRPr="00E01F4F">
                              <w:rPr>
                                <w:rFonts w:ascii="Arial" w:eastAsia="Times New Roman" w:hAnsi="Arial" w:cs="Arial"/>
                                <w:color w:val="000000"/>
                                <w:sz w:val="16"/>
                                <w:szCs w:val="16"/>
                              </w:rPr>
                              <w:t>32</w:t>
                            </w:r>
                          </w:p>
                        </w:tc>
                      </w:tr>
                      <w:tr w:rsidR="00752133" w:rsidRPr="00D250AD" w:rsidTr="00C90EEE">
                        <w:trPr>
                          <w:trHeight w:val="288"/>
                        </w:trPr>
                        <w:tc>
                          <w:tcPr>
                            <w:tcW w:w="1025" w:type="dxa"/>
                            <w:shd w:val="clear" w:color="auto" w:fill="auto"/>
                            <w:noWrap/>
                            <w:vAlign w:val="center"/>
                            <w:hideMark/>
                          </w:tcPr>
                          <w:p w:rsidR="00752133" w:rsidRPr="00B138A2" w:rsidRDefault="00752133" w:rsidP="00E01F4F">
                            <w:pPr>
                              <w:spacing w:after="0" w:line="240" w:lineRule="auto"/>
                              <w:rPr>
                                <w:rFonts w:ascii="Times New Roman" w:eastAsia="Times New Roman" w:hAnsi="Times New Roman" w:cs="Times New Roman"/>
                                <w:color w:val="000000"/>
                                <w:sz w:val="20"/>
                                <w:szCs w:val="20"/>
                              </w:rPr>
                            </w:pPr>
                            <w:r w:rsidRPr="002F4540">
                              <w:rPr>
                                <w:rFonts w:ascii="Times New Roman" w:eastAsia="Times New Roman" w:hAnsi="Times New Roman" w:cs="Times New Roman"/>
                                <w:sz w:val="20"/>
                                <w:szCs w:val="20"/>
                              </w:rPr>
                              <w:t>T650H6</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8,396</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44,5</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458</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50,9</w:t>
                            </w:r>
                          </w:p>
                        </w:tc>
                        <w:tc>
                          <w:tcPr>
                            <w:tcW w:w="1025" w:type="dxa"/>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r>
                      <w:tr w:rsidR="00752133" w:rsidRPr="00D250AD" w:rsidTr="00C90EEE">
                        <w:trPr>
                          <w:trHeight w:val="300"/>
                        </w:trPr>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T650H12</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8,388</w:t>
                            </w:r>
                          </w:p>
                        </w:tc>
                        <w:tc>
                          <w:tcPr>
                            <w:tcW w:w="1025" w:type="dxa"/>
                            <w:tcBorders>
                              <w:bottom w:val="single" w:sz="4" w:space="0" w:color="auto"/>
                            </w:tcBorders>
                            <w:shd w:val="clear" w:color="auto" w:fill="auto"/>
                            <w:noWrap/>
                            <w:vAlign w:val="center"/>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82581F">
                              <w:rPr>
                                <w:rFonts w:ascii="Times New Roman" w:eastAsia="Times New Roman" w:hAnsi="Times New Roman" w:cs="Times New Roman"/>
                                <w:color w:val="000000"/>
                                <w:sz w:val="20"/>
                                <w:szCs w:val="20"/>
                              </w:rPr>
                              <w:t>40,5</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25</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1,1</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109</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58,4***</w:t>
                            </w:r>
                          </w:p>
                        </w:tc>
                        <w:tc>
                          <w:tcPr>
                            <w:tcW w:w="1025" w:type="dxa"/>
                            <w:tcBorders>
                              <w:bottom w:val="single" w:sz="4" w:space="0" w:color="auto"/>
                            </w:tcBorders>
                            <w:shd w:val="clear" w:color="auto" w:fill="auto"/>
                            <w:noWrap/>
                            <w:vAlign w:val="center"/>
                            <w:hideMark/>
                          </w:tcPr>
                          <w:p w:rsidR="00752133" w:rsidRPr="00B138A2" w:rsidRDefault="00752133" w:rsidP="00E01F4F">
                            <w:pPr>
                              <w:spacing w:after="0" w:line="240" w:lineRule="auto"/>
                              <w:jc w:val="center"/>
                              <w:rPr>
                                <w:rFonts w:ascii="Times New Roman" w:eastAsia="Times New Roman" w:hAnsi="Times New Roman" w:cs="Times New Roman"/>
                                <w:color w:val="000000"/>
                                <w:sz w:val="20"/>
                                <w:szCs w:val="20"/>
                              </w:rPr>
                            </w:pPr>
                            <w:r w:rsidRPr="00B138A2">
                              <w:rPr>
                                <w:rFonts w:ascii="Times New Roman" w:eastAsia="Times New Roman" w:hAnsi="Times New Roman" w:cs="Times New Roman"/>
                                <w:color w:val="000000"/>
                                <w:sz w:val="20"/>
                                <w:szCs w:val="20"/>
                              </w:rPr>
                              <w:t>21(26)</w:t>
                            </w:r>
                          </w:p>
                        </w:tc>
                      </w:tr>
                    </w:tbl>
                    <w:p w:rsidR="00752133" w:rsidRPr="00E01F4F" w:rsidRDefault="00752133" w:rsidP="00E01F4F">
                      <w:pPr>
                        <w:spacing w:after="0" w:line="240" w:lineRule="auto"/>
                        <w:rPr>
                          <w:rFonts w:ascii="Arial" w:eastAsia="Times New Roman" w:hAnsi="Arial" w:cs="Arial"/>
                          <w:color w:val="000000"/>
                          <w:sz w:val="16"/>
                          <w:szCs w:val="16"/>
                        </w:rPr>
                      </w:pPr>
                      <w:r w:rsidRPr="00E01F4F">
                        <w:rPr>
                          <w:rFonts w:ascii="Arial" w:eastAsia="Times New Roman" w:hAnsi="Arial" w:cs="Arial"/>
                          <w:color w:val="000000"/>
                          <w:sz w:val="16"/>
                          <w:szCs w:val="16"/>
                        </w:rPr>
                        <w:t>*</w:t>
                      </w:r>
                      <w:r w:rsidRPr="00E01F4F">
                        <w:rPr>
                          <w:rFonts w:ascii="Arial" w:eastAsia="Times New Roman" w:hAnsi="Arial" w:cs="Arial"/>
                          <w:color w:val="000000"/>
                          <w:sz w:val="16"/>
                          <w:szCs w:val="16"/>
                        </w:rPr>
                        <w:tab/>
                        <w:t xml:space="preserve">XRD </w:t>
                      </w:r>
                      <w:proofErr w:type="spellStart"/>
                      <w:r w:rsidRPr="00E01F4F">
                        <w:rPr>
                          <w:rFonts w:ascii="Arial" w:eastAsia="Times New Roman" w:hAnsi="Arial" w:cs="Arial"/>
                          <w:color w:val="000000"/>
                          <w:sz w:val="16"/>
                          <w:szCs w:val="16"/>
                        </w:rPr>
                        <w:t>patterns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contain</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peaks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belonging</w:t>
                      </w:r>
                      <w:proofErr w:type="spellEnd"/>
                      <w:r w:rsidRPr="00E01F4F">
                        <w:rPr>
                          <w:rFonts w:ascii="Arial" w:eastAsia="Times New Roman" w:hAnsi="Arial" w:cs="Arial"/>
                          <w:color w:val="000000"/>
                          <w:sz w:val="16"/>
                          <w:szCs w:val="16"/>
                        </w:rPr>
                        <w:t xml:space="preserve"> to </w:t>
                      </w:r>
                      <w:proofErr w:type="spellStart"/>
                      <w:r w:rsidRPr="00E01F4F">
                        <w:rPr>
                          <w:rFonts w:ascii="Arial" w:eastAsia="Times New Roman" w:hAnsi="Arial" w:cs="Arial"/>
                          <w:color w:val="000000"/>
                          <w:sz w:val="16"/>
                          <w:szCs w:val="16"/>
                        </w:rPr>
                        <w:t>anhydrous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ferrous</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oxalate</w:t>
                      </w:r>
                      <w:proofErr w:type="spellEnd"/>
                      <w:r w:rsidRPr="00E01F4F">
                        <w:rPr>
                          <w:rFonts w:ascii="Arial" w:eastAsia="Times New Roman" w:hAnsi="Arial" w:cs="Arial"/>
                          <w:color w:val="000000"/>
                          <w:sz w:val="16"/>
                          <w:szCs w:val="16"/>
                        </w:rPr>
                        <w:t xml:space="preserve"> and magnetite, </w:t>
                      </w:r>
                      <w:proofErr w:type="spellStart"/>
                      <w:r w:rsidRPr="00E01F4F">
                        <w:rPr>
                          <w:rFonts w:ascii="Arial" w:eastAsia="Times New Roman" w:hAnsi="Arial" w:cs="Arial"/>
                          <w:color w:val="000000"/>
                          <w:sz w:val="16"/>
                          <w:szCs w:val="16"/>
                        </w:rPr>
                        <w:t>amount</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of</w:t>
                      </w:r>
                      <w:proofErr w:type="spellEnd"/>
                      <w:r w:rsidRPr="00E01F4F">
                        <w:rPr>
                          <w:rFonts w:ascii="Arial" w:eastAsia="Times New Roman" w:hAnsi="Arial" w:cs="Arial"/>
                          <w:color w:val="000000"/>
                          <w:sz w:val="16"/>
                          <w:szCs w:val="16"/>
                        </w:rPr>
                        <w:t xml:space="preserve"> </w:t>
                      </w:r>
                      <w:proofErr w:type="gramStart"/>
                      <w:r w:rsidRPr="00E01F4F">
                        <w:rPr>
                          <w:rFonts w:ascii="Arial" w:eastAsia="Times New Roman" w:hAnsi="Arial" w:cs="Arial"/>
                          <w:color w:val="000000"/>
                          <w:sz w:val="16"/>
                          <w:szCs w:val="16"/>
                        </w:rPr>
                        <w:t>magnetite</w:t>
                      </w:r>
                      <w:proofErr w:type="gram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gradually</w:t>
                      </w:r>
                      <w:proofErr w:type="spellEnd"/>
                      <w:r w:rsidRPr="00E01F4F">
                        <w:rPr>
                          <w:rFonts w:ascii="Arial" w:eastAsia="Times New Roman" w:hAnsi="Arial" w:cs="Arial"/>
                          <w:color w:val="000000"/>
                          <w:sz w:val="16"/>
                          <w:szCs w:val="16"/>
                        </w:rPr>
                        <w:t xml:space="preserve"> </w:t>
                      </w:r>
                      <w:proofErr w:type="spellStart"/>
                      <w:r w:rsidRPr="00E01F4F">
                        <w:rPr>
                          <w:rFonts w:ascii="Arial" w:eastAsia="Times New Roman" w:hAnsi="Arial" w:cs="Arial"/>
                          <w:color w:val="000000"/>
                          <w:sz w:val="16"/>
                          <w:szCs w:val="16"/>
                        </w:rPr>
                        <w:t>increases</w:t>
                      </w:r>
                      <w:proofErr w:type="spellEnd"/>
                    </w:p>
                    <w:p w:rsidR="00752133" w:rsidRPr="00E01F4F" w:rsidRDefault="00752133" w:rsidP="00E01F4F">
                      <w:pPr>
                        <w:spacing w:after="0" w:line="240" w:lineRule="auto"/>
                        <w:rPr>
                          <w:rFonts w:ascii="Arial" w:hAnsi="Arial" w:cs="Arial"/>
                          <w:sz w:val="16"/>
                          <w:szCs w:val="16"/>
                        </w:rPr>
                      </w:pPr>
                      <w:r w:rsidRPr="00E01F4F">
                        <w:rPr>
                          <w:rFonts w:ascii="Arial" w:eastAsia="Times New Roman" w:hAnsi="Arial" w:cs="Arial"/>
                          <w:color w:val="000000"/>
                          <w:sz w:val="16"/>
                          <w:szCs w:val="16"/>
                        </w:rPr>
                        <w:t>**</w:t>
                      </w:r>
                      <w:r w:rsidRPr="00E01F4F">
                        <w:rPr>
                          <w:rFonts w:ascii="Arial" w:eastAsia="Times New Roman" w:hAnsi="Arial" w:cs="Arial"/>
                          <w:color w:val="000000"/>
                          <w:sz w:val="16"/>
                          <w:szCs w:val="16"/>
                        </w:rPr>
                        <w:tab/>
                      </w:r>
                      <w:proofErr w:type="spellStart"/>
                      <w:r w:rsidRPr="00E01F4F">
                        <w:rPr>
                          <w:rFonts w:ascii="Arial" w:eastAsia="Times New Roman" w:hAnsi="Arial" w:cs="Arial"/>
                          <w:color w:val="000000"/>
                          <w:sz w:val="16"/>
                          <w:szCs w:val="16"/>
                        </w:rPr>
                        <w:t>Q</w:t>
                      </w:r>
                      <w:r w:rsidRPr="00E01F4F">
                        <w:rPr>
                          <w:rFonts w:ascii="Arial" w:hAnsi="Arial" w:cs="Arial"/>
                          <w:sz w:val="16"/>
                          <w:szCs w:val="16"/>
                        </w:rPr>
                        <w:t>uantification</w:t>
                      </w:r>
                      <w:proofErr w:type="spellEnd"/>
                      <w:r w:rsidRPr="00E01F4F">
                        <w:rPr>
                          <w:rFonts w:ascii="Arial" w:hAnsi="Arial" w:cs="Arial"/>
                          <w:sz w:val="16"/>
                          <w:szCs w:val="16"/>
                        </w:rPr>
                        <w:t xml:space="preserve"> limit </w:t>
                      </w:r>
                      <w:proofErr w:type="spellStart"/>
                      <w:r w:rsidRPr="00E01F4F">
                        <w:rPr>
                          <w:rFonts w:ascii="Arial" w:hAnsi="Arial" w:cs="Arial"/>
                          <w:sz w:val="16"/>
                          <w:szCs w:val="16"/>
                        </w:rPr>
                        <w:t>is</w:t>
                      </w:r>
                      <w:proofErr w:type="spellEnd"/>
                      <w:r w:rsidRPr="00E01F4F">
                        <w:rPr>
                          <w:rFonts w:ascii="Arial" w:hAnsi="Arial" w:cs="Arial"/>
                          <w:sz w:val="16"/>
                          <w:szCs w:val="16"/>
                        </w:rPr>
                        <w:t xml:space="preserve"> 1 %</w:t>
                      </w:r>
                    </w:p>
                    <w:p w:rsidR="00752133" w:rsidRPr="00E01F4F" w:rsidRDefault="00752133" w:rsidP="00E01F4F">
                      <w:pPr>
                        <w:spacing w:after="0" w:line="240" w:lineRule="auto"/>
                        <w:rPr>
                          <w:rFonts w:ascii="Arial" w:hAnsi="Arial" w:cs="Arial"/>
                          <w:sz w:val="16"/>
                          <w:szCs w:val="16"/>
                        </w:rPr>
                      </w:pPr>
                      <w:r w:rsidRPr="00E01F4F">
                        <w:rPr>
                          <w:rFonts w:ascii="Arial" w:eastAsia="Times New Roman" w:hAnsi="Arial" w:cs="Arial"/>
                          <w:color w:val="000000"/>
                          <w:sz w:val="16"/>
                          <w:szCs w:val="16"/>
                        </w:rPr>
                        <w:t>***</w:t>
                      </w:r>
                      <w:r w:rsidRPr="00E01F4F">
                        <w:rPr>
                          <w:rFonts w:ascii="Arial" w:eastAsia="Times New Roman" w:hAnsi="Arial" w:cs="Arial"/>
                          <w:color w:val="000000"/>
                          <w:sz w:val="16"/>
                          <w:szCs w:val="16"/>
                        </w:rPr>
                        <w:tab/>
                      </w:r>
                      <w:proofErr w:type="spellStart"/>
                      <w:r w:rsidRPr="00E01F4F">
                        <w:rPr>
                          <w:rFonts w:ascii="Arial" w:hAnsi="Arial" w:cs="Arial"/>
                          <w:sz w:val="16"/>
                          <w:szCs w:val="16"/>
                        </w:rPr>
                        <w:t>Two</w:t>
                      </w:r>
                      <w:proofErr w:type="spellEnd"/>
                      <w:r w:rsidRPr="00E01F4F">
                        <w:rPr>
                          <w:rFonts w:ascii="Arial" w:hAnsi="Arial" w:cs="Arial"/>
                          <w:sz w:val="16"/>
                          <w:szCs w:val="16"/>
                        </w:rPr>
                        <w:t xml:space="preserve"> </w:t>
                      </w:r>
                      <w:proofErr w:type="spellStart"/>
                      <w:r w:rsidRPr="00E01F4F">
                        <w:rPr>
                          <w:rFonts w:ascii="Arial" w:hAnsi="Arial" w:cs="Arial"/>
                          <w:sz w:val="16"/>
                          <w:szCs w:val="16"/>
                        </w:rPr>
                        <w:t>different</w:t>
                      </w:r>
                      <w:proofErr w:type="spellEnd"/>
                      <w:r w:rsidRPr="00E01F4F">
                        <w:rPr>
                          <w:rFonts w:ascii="Arial" w:hAnsi="Arial" w:cs="Arial"/>
                          <w:sz w:val="16"/>
                          <w:szCs w:val="16"/>
                        </w:rPr>
                        <w:t xml:space="preserve"> </w:t>
                      </w:r>
                      <w:proofErr w:type="spellStart"/>
                      <w:r w:rsidRPr="00E01F4F">
                        <w:rPr>
                          <w:rFonts w:ascii="Arial" w:hAnsi="Arial" w:cs="Arial"/>
                          <w:sz w:val="16"/>
                          <w:szCs w:val="16"/>
                        </w:rPr>
                        <w:t>structures</w:t>
                      </w:r>
                      <w:proofErr w:type="spellEnd"/>
                      <w:r w:rsidRPr="00E01F4F">
                        <w:rPr>
                          <w:rFonts w:ascii="Arial" w:hAnsi="Arial" w:cs="Arial"/>
                          <w:sz w:val="16"/>
                          <w:szCs w:val="16"/>
                        </w:rPr>
                        <w:t xml:space="preserve"> </w:t>
                      </w:r>
                      <w:proofErr w:type="spellStart"/>
                      <w:r w:rsidRPr="00E01F4F">
                        <w:rPr>
                          <w:rFonts w:ascii="Arial" w:hAnsi="Arial" w:cs="Arial"/>
                          <w:sz w:val="16"/>
                          <w:szCs w:val="16"/>
                        </w:rPr>
                        <w:t>of</w:t>
                      </w:r>
                      <w:proofErr w:type="spellEnd"/>
                      <w:r w:rsidRPr="00E01F4F">
                        <w:rPr>
                          <w:rFonts w:ascii="Arial" w:hAnsi="Arial" w:cs="Arial"/>
                          <w:sz w:val="16"/>
                          <w:szCs w:val="16"/>
                        </w:rPr>
                        <w:t xml:space="preserve"> </w:t>
                      </w:r>
                      <w:proofErr w:type="spellStart"/>
                      <w:r w:rsidRPr="00E01F4F">
                        <w:rPr>
                          <w:rFonts w:ascii="Arial" w:hAnsi="Arial" w:cs="Arial"/>
                          <w:sz w:val="16"/>
                          <w:szCs w:val="16"/>
                        </w:rPr>
                        <w:t>wüstite</w:t>
                      </w:r>
                      <w:proofErr w:type="spellEnd"/>
                      <w:r w:rsidRPr="00E01F4F">
                        <w:rPr>
                          <w:rFonts w:ascii="Arial" w:hAnsi="Arial" w:cs="Arial"/>
                          <w:sz w:val="16"/>
                          <w:szCs w:val="16"/>
                        </w:rPr>
                        <w:t xml:space="preserve"> </w:t>
                      </w:r>
                      <w:proofErr w:type="spellStart"/>
                      <w:r w:rsidRPr="00E01F4F">
                        <w:rPr>
                          <w:rFonts w:ascii="Arial" w:hAnsi="Arial" w:cs="Arial"/>
                          <w:sz w:val="16"/>
                          <w:szCs w:val="16"/>
                        </w:rPr>
                        <w:t>were</w:t>
                      </w:r>
                      <w:proofErr w:type="spellEnd"/>
                      <w:r w:rsidRPr="00E01F4F">
                        <w:rPr>
                          <w:rFonts w:ascii="Arial" w:hAnsi="Arial" w:cs="Arial"/>
                          <w:sz w:val="16"/>
                          <w:szCs w:val="16"/>
                        </w:rPr>
                        <w:t xml:space="preserve"> </w:t>
                      </w:r>
                      <w:proofErr w:type="spellStart"/>
                      <w:r w:rsidRPr="00E01F4F">
                        <w:rPr>
                          <w:rFonts w:ascii="Arial" w:hAnsi="Arial" w:cs="Arial"/>
                          <w:sz w:val="16"/>
                          <w:szCs w:val="16"/>
                        </w:rPr>
                        <w:t>observed</w:t>
                      </w:r>
                      <w:proofErr w:type="spellEnd"/>
                      <w:r w:rsidRPr="00E01F4F">
                        <w:rPr>
                          <w:rFonts w:ascii="Arial" w:hAnsi="Arial" w:cs="Arial"/>
                          <w:sz w:val="16"/>
                          <w:szCs w:val="16"/>
                        </w:rPr>
                        <w:t xml:space="preserve"> in ratio </w:t>
                      </w:r>
                      <w:proofErr w:type="spellStart"/>
                      <w:r w:rsidRPr="00E01F4F">
                        <w:rPr>
                          <w:rFonts w:ascii="Arial" w:hAnsi="Arial" w:cs="Arial"/>
                          <w:sz w:val="16"/>
                          <w:szCs w:val="16"/>
                        </w:rPr>
                        <w:t>of</w:t>
                      </w:r>
                      <w:proofErr w:type="spellEnd"/>
                      <w:r w:rsidRPr="00E01F4F">
                        <w:rPr>
                          <w:rFonts w:ascii="Arial" w:hAnsi="Arial" w:cs="Arial"/>
                          <w:sz w:val="16"/>
                          <w:szCs w:val="16"/>
                        </w:rPr>
                        <w:t xml:space="preserve"> 15,5 % to 42,9 %.</w:t>
                      </w:r>
                    </w:p>
                    <w:p w:rsidR="00752133" w:rsidRDefault="00752133" w:rsidP="00C90EEE"/>
                  </w:txbxContent>
                </v:textbox>
                <w10:wrap type="square"/>
              </v:shape>
            </w:pict>
          </mc:Fallback>
        </mc:AlternateContent>
      </w:r>
      <w:r w:rsidRPr="00FB2A56">
        <w:rPr>
          <w:rFonts w:ascii="Times New Roman" w:hAnsi="Times New Roman"/>
          <w:sz w:val="24"/>
          <w:szCs w:val="24"/>
          <w:lang w:val="en-GB"/>
        </w:rPr>
        <w:br w:type="column"/>
      </w:r>
      <w:r w:rsidRPr="00FB2A56">
        <w:rPr>
          <w:rFonts w:ascii="Times New Roman" w:hAnsi="Times New Roman"/>
          <w:b/>
          <w:sz w:val="24"/>
          <w:szCs w:val="24"/>
          <w:lang w:val="en-GB"/>
        </w:rPr>
        <w:lastRenderedPageBreak/>
        <w:t>The T450/T500 series</w:t>
      </w:r>
    </w:p>
    <w:p w:rsidR="00C90EEE" w:rsidRPr="00FB2A56" w:rsidRDefault="00C90EEE" w:rsidP="00DA780F">
      <w:pPr>
        <w:spacing w:line="360" w:lineRule="auto"/>
        <w:ind w:firstLine="420"/>
        <w:jc w:val="both"/>
        <w:rPr>
          <w:rFonts w:ascii="Times New Roman" w:hAnsi="Times New Roman" w:cs="Times New Roman"/>
          <w:sz w:val="24"/>
          <w:szCs w:val="24"/>
          <w:lang w:val="en-GB"/>
        </w:rPr>
      </w:pPr>
      <w:r w:rsidRPr="00FB2A56">
        <w:rPr>
          <w:rFonts w:ascii="Times New Roman" w:hAnsi="Times New Roman" w:cs="Times New Roman"/>
          <w:sz w:val="24"/>
          <w:szCs w:val="24"/>
          <w:lang w:val="en-GB"/>
        </w:rPr>
        <w:t xml:space="preserve">No major changes were observed in the results of the following two series, i.e. T450 and T500 series. The results demonstrated similar composition of phases compared to the series T400 (see Table 1 and Table 2). In both series, the crystallite size of iron oxide particles was slightly higher (50 – 56 nm) as excepted due to the increased calcination temperature. A slight rise in the crystallite size was also observed within individual series with prolonged calcination time. Mossbauer spectra displayed three overlapping sextets that could be ascribed to magnetite and </w:t>
      </w:r>
      <w:proofErr w:type="spellStart"/>
      <w:r w:rsidRPr="00FB2A56">
        <w:rPr>
          <w:rFonts w:ascii="Times New Roman" w:hAnsi="Times New Roman" w:cs="Times New Roman"/>
          <w:sz w:val="24"/>
          <w:szCs w:val="24"/>
          <w:lang w:val="en-GB"/>
        </w:rPr>
        <w:t>maghemite</w:t>
      </w:r>
      <w:proofErr w:type="spellEnd"/>
      <w:r w:rsidRPr="00FB2A56">
        <w:rPr>
          <w:rFonts w:ascii="Times New Roman" w:hAnsi="Times New Roman" w:cs="Times New Roman"/>
          <w:sz w:val="24"/>
          <w:szCs w:val="24"/>
          <w:lang w:val="en-GB"/>
        </w:rPr>
        <w:t xml:space="preserve">. In some cases, according to XRD analysis, iron carbides were present in the samples and were fitted along in the Mössbauer spectra. However, there was no observed trend in the overall amount of iron carbides in individual samples and some samples of the series did not contain any </w:t>
      </w:r>
      <w:proofErr w:type="gramStart"/>
      <w:r w:rsidRPr="00FB2A56">
        <w:rPr>
          <w:rFonts w:ascii="Times New Roman" w:hAnsi="Times New Roman" w:cs="Times New Roman"/>
          <w:sz w:val="24"/>
          <w:szCs w:val="24"/>
          <w:lang w:val="en-GB"/>
        </w:rPr>
        <w:t>carbides</w:t>
      </w:r>
      <w:proofErr w:type="gramEnd"/>
      <w:r w:rsidRPr="00FB2A56">
        <w:rPr>
          <w:rFonts w:ascii="Times New Roman" w:hAnsi="Times New Roman" w:cs="Times New Roman"/>
          <w:sz w:val="24"/>
          <w:szCs w:val="24"/>
          <w:lang w:val="en-GB"/>
        </w:rPr>
        <w:t xml:space="preserve"> at all. The presence of carbides in the samples of T400, T450 and T500 series was probably caused by the reducing effect of CO molecule, which </w:t>
      </w:r>
      <w:proofErr w:type="gramStart"/>
      <w:r w:rsidRPr="00FB2A56">
        <w:rPr>
          <w:rFonts w:ascii="Times New Roman" w:hAnsi="Times New Roman" w:cs="Times New Roman"/>
          <w:sz w:val="24"/>
          <w:szCs w:val="24"/>
          <w:lang w:val="en-GB"/>
        </w:rPr>
        <w:t>evolve</w:t>
      </w:r>
      <w:proofErr w:type="gramEnd"/>
      <w:r w:rsidRPr="00FB2A56">
        <w:rPr>
          <w:rFonts w:ascii="Times New Roman" w:hAnsi="Times New Roman" w:cs="Times New Roman"/>
          <w:sz w:val="24"/>
          <w:szCs w:val="24"/>
          <w:lang w:val="en-GB"/>
        </w:rPr>
        <w:t xml:space="preserve"> during the decomposition of the oxalate anion. The molecules of CO then reacted with still undecomposed ferrous oxalate to form iron carbides</w:t>
      </w:r>
      <w:r w:rsidR="00DA780F">
        <w:rPr>
          <w:rFonts w:ascii="Times New Roman" w:hAnsi="Times New Roman" w:cs="Times New Roman"/>
          <w:sz w:val="24"/>
          <w:szCs w:val="24"/>
          <w:lang w:val="en-GB"/>
        </w:rPr>
        <w:t xml:space="preserve"> (1).</w:t>
      </w:r>
    </w:p>
    <w:p w:rsidR="00C90EEE" w:rsidRPr="00FB2A56" w:rsidRDefault="00C90EEE" w:rsidP="00DA780F">
      <w:pPr>
        <w:tabs>
          <w:tab w:val="right" w:pos="9070"/>
        </w:tabs>
        <w:spacing w:line="360"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8 Fe</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2</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O</m:t>
            </m:r>
          </m:e>
          <m:sub>
            <m:r>
              <w:rPr>
                <w:rFonts w:ascii="Cambria Math" w:hAnsi="Cambria Math" w:cs="Times New Roman"/>
                <w:sz w:val="24"/>
                <w:szCs w:val="24"/>
                <w:lang w:val="en-GB"/>
              </w:rPr>
              <m:t>2</m:t>
            </m:r>
          </m:sub>
        </m:sSub>
        <m:r>
          <w:rPr>
            <w:rFonts w:ascii="Cambria Math" w:hAnsi="Cambria Math" w:cs="Times New Roman"/>
            <w:sz w:val="24"/>
            <w:szCs w:val="24"/>
            <w:lang w:val="en-GB"/>
          </w:rPr>
          <m:t>+6 CO→</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Fe</m:t>
            </m:r>
          </m:e>
          <m:sub>
            <m:r>
              <w:rPr>
                <w:rFonts w:ascii="Cambria Math" w:hAnsi="Cambria Math" w:cs="Times New Roman"/>
                <w:sz w:val="24"/>
                <w:szCs w:val="24"/>
                <w:lang w:val="en-GB"/>
              </w:rPr>
              <m:t>3</m:t>
            </m:r>
          </m:sub>
        </m:sSub>
        <m:r>
          <w:rPr>
            <w:rFonts w:ascii="Cambria Math" w:hAnsi="Cambria Math" w:cs="Times New Roman"/>
            <w:sz w:val="24"/>
            <w:szCs w:val="24"/>
            <w:lang w:val="en-GB"/>
          </w:rPr>
          <m:t>C+</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Fe</m:t>
            </m:r>
          </m:e>
          <m:sub>
            <m:r>
              <w:rPr>
                <w:rFonts w:ascii="Cambria Math" w:hAnsi="Cambria Math" w:cs="Times New Roman"/>
                <w:sz w:val="24"/>
                <w:szCs w:val="24"/>
                <w:lang w:val="en-GB"/>
              </w:rPr>
              <m:t>5</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2</m:t>
            </m:r>
          </m:sub>
        </m:sSub>
        <m:r>
          <w:rPr>
            <w:rFonts w:ascii="Cambria Math" w:hAnsi="Cambria Math" w:cs="Times New Roman"/>
            <w:sz w:val="24"/>
            <w:szCs w:val="24"/>
            <w:lang w:val="en-GB"/>
          </w:rPr>
          <m:t>+19 C</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O</m:t>
            </m:r>
          </m:e>
          <m:sub>
            <m:r>
              <w:rPr>
                <w:rFonts w:ascii="Cambria Math" w:hAnsi="Cambria Math" w:cs="Times New Roman"/>
                <w:sz w:val="24"/>
                <w:szCs w:val="24"/>
                <w:lang w:val="en-GB"/>
              </w:rPr>
              <m:t>2</m:t>
            </m:r>
          </m:sub>
        </m:sSub>
      </m:oMath>
      <w:r w:rsidRPr="00FB2A56">
        <w:rPr>
          <w:rFonts w:ascii="Times New Roman" w:hAnsi="Times New Roman" w:cs="Times New Roman"/>
          <w:sz w:val="24"/>
          <w:szCs w:val="24"/>
          <w:lang w:val="en-GB"/>
        </w:rPr>
        <w:t>.</w:t>
      </w:r>
      <w:r w:rsidR="00DA780F">
        <w:rPr>
          <w:rFonts w:ascii="Times New Roman" w:hAnsi="Times New Roman" w:cs="Times New Roman"/>
          <w:sz w:val="24"/>
          <w:szCs w:val="24"/>
          <w:lang w:val="en-GB"/>
        </w:rPr>
        <w:tab/>
        <w:t>(1)</w:t>
      </w:r>
    </w:p>
    <w:p w:rsidR="00C90EEE" w:rsidRPr="00FB2A56" w:rsidRDefault="00C90EEE" w:rsidP="00DA780F">
      <w:pPr>
        <w:spacing w:line="360" w:lineRule="auto"/>
        <w:jc w:val="both"/>
        <w:rPr>
          <w:rFonts w:ascii="Times New Roman" w:hAnsi="Times New Roman" w:cs="Times New Roman"/>
          <w:sz w:val="24"/>
          <w:szCs w:val="24"/>
          <w:lang w:val="en-GB"/>
        </w:rPr>
      </w:pPr>
      <w:r w:rsidRPr="00FB2A56">
        <w:rPr>
          <w:rFonts w:ascii="Times New Roman" w:hAnsi="Times New Roman" w:cs="Times New Roman"/>
          <w:sz w:val="24"/>
          <w:szCs w:val="24"/>
          <w:lang w:val="en-GB"/>
        </w:rPr>
        <w:t xml:space="preserve">Here, this reaction mechanism, firstly introduced by </w:t>
      </w:r>
      <w:proofErr w:type="spellStart"/>
      <w:r w:rsidRPr="00FB2A56">
        <w:rPr>
          <w:rFonts w:ascii="Times New Roman" w:hAnsi="Times New Roman" w:cs="Times New Roman"/>
          <w:sz w:val="24"/>
          <w:szCs w:val="24"/>
          <w:lang w:val="en-GB"/>
        </w:rPr>
        <w:t>Hermanek</w:t>
      </w:r>
      <w:proofErr w:type="spellEnd"/>
      <w:r w:rsidRPr="00FB2A56">
        <w:rPr>
          <w:rFonts w:ascii="Times New Roman" w:hAnsi="Times New Roman" w:cs="Times New Roman"/>
          <w:sz w:val="24"/>
          <w:szCs w:val="24"/>
          <w:lang w:val="en-GB"/>
        </w:rPr>
        <w:t xml:space="preserve"> et al.,</w:t>
      </w:r>
      <w:r w:rsidRPr="00FB2A56">
        <w:rPr>
          <w:rFonts w:ascii="Times New Roman" w:hAnsi="Times New Roman" w:cs="Times New Roman"/>
          <w:sz w:val="24"/>
          <w:szCs w:val="24"/>
          <w:lang w:val="en-GB"/>
        </w:rPr>
        <w:fldChar w:fldCharType="begin" w:fldLock="1"/>
      </w:r>
      <w:r w:rsidR="00752133">
        <w:rPr>
          <w:rFonts w:ascii="Times New Roman" w:hAnsi="Times New Roman" w:cs="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34</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is modified to accommodate the formation of </w:t>
      </w:r>
      <w:proofErr w:type="spellStart"/>
      <w:r w:rsidRPr="00FB2A56">
        <w:rPr>
          <w:rFonts w:ascii="Times New Roman" w:hAnsi="Times New Roman" w:cs="Times New Roman"/>
          <w:sz w:val="24"/>
          <w:szCs w:val="24"/>
          <w:lang w:val="en-GB"/>
        </w:rPr>
        <w:t>Hagg´s</w:t>
      </w:r>
      <w:proofErr w:type="spellEnd"/>
      <w:r w:rsidRPr="00FB2A56">
        <w:rPr>
          <w:rFonts w:ascii="Times New Roman" w:hAnsi="Times New Roman" w:cs="Times New Roman"/>
          <w:sz w:val="24"/>
          <w:szCs w:val="24"/>
          <w:lang w:val="en-GB"/>
        </w:rPr>
        <w:t xml:space="preserve"> carbide as well. </w:t>
      </w:r>
      <w:proofErr w:type="spellStart"/>
      <w:r w:rsidRPr="00FB2A56">
        <w:rPr>
          <w:rFonts w:ascii="Times New Roman" w:hAnsi="Times New Roman" w:cs="Times New Roman"/>
          <w:sz w:val="24"/>
          <w:szCs w:val="24"/>
        </w:rPr>
        <w:t>Hong</w:t>
      </w:r>
      <w:proofErr w:type="spellEnd"/>
      <w:r w:rsidRPr="00FB2A56">
        <w:rPr>
          <w:rFonts w:ascii="Times New Roman" w:hAnsi="Times New Roman" w:cs="Times New Roman"/>
          <w:sz w:val="24"/>
          <w:szCs w:val="24"/>
        </w:rPr>
        <w:t xml:space="preserve"> et </w:t>
      </w:r>
      <w:proofErr w:type="gramStart"/>
      <w:r w:rsidRPr="00FB2A56">
        <w:rPr>
          <w:rFonts w:ascii="Times New Roman" w:hAnsi="Times New Roman" w:cs="Times New Roman"/>
          <w:sz w:val="24"/>
          <w:szCs w:val="24"/>
        </w:rPr>
        <w:t>al.</w:t>
      </w:r>
      <w:r w:rsidRPr="00FB2A56">
        <w:rPr>
          <w:rFonts w:ascii="Times New Roman" w:hAnsi="Times New Roman" w:cs="Times New Roman"/>
          <w:sz w:val="24"/>
          <w:szCs w:val="24"/>
        </w:rPr>
        <w:fldChar w:fldCharType="begin" w:fldLock="1"/>
      </w:r>
      <w:r w:rsidR="005222FA">
        <w:rPr>
          <w:rFonts w:ascii="Times New Roman" w:hAnsi="Times New Roman" w:cs="Times New Roman"/>
          <w:sz w:val="24"/>
          <w:szCs w:val="24"/>
        </w:rPr>
        <w:instrText xml:space="preserve">ADDIN CSL_CITATION {"citationItems":[{"id":"ITEM-1","itemData":{"DOI":"10.1039/C5NR04546K","ISSN":"2040-3364","abstract":"A novel Fe 5 C 2 @C catalyst bearing small iron carbide particles </w:instrText>
      </w:r>
      <w:r w:rsidR="005222FA">
        <w:rPr>
          <w:rFonts w:ascii="Cambria Math" w:hAnsi="Cambria Math" w:cs="Cambria Math"/>
          <w:sz w:val="24"/>
          <w:szCs w:val="24"/>
        </w:rPr>
        <w:instrText>∼</w:instrText>
      </w:r>
      <w:r w:rsidR="005222FA">
        <w:rPr>
          <w:rFonts w:ascii="Times New Roman" w:hAnsi="Times New Roman" w:cs="Times New Roman"/>
          <w:sz w:val="24"/>
          <w:szCs w:val="24"/>
        </w:rPr>
        <w:instrText>10 nm in diameter was prepared using a simple thermal treatment of iron oxalate dihydrate cubes, employed in high-temperature Fischer–Tropsch synthesis.","author":[{"dropping-particle":"","family":"Hong","given":"Seok Yong","non-dropping-particle":"","parse-names":false,"suffix":""},{"dropping-particle":"","family":"Chun","given":"Dong Hyun","non-dropping-particle":"","parse-names":false,"suffix":""},{"dropping-particle":"","family":"Yang","given":"Jung-Il","non-dropping-particle":"","parse-names":false,"suffix":""},{"dropping-particle":"","family":"Jung","given":"Heon","non-dropping-particle":"","parse-names":false,"suffix":""},{"dropping-particle":"","family":"Lee","given":"Ho-Tae","non-dropping-particle":"","parse-names":false,"suffix":""},{"dropping-particle":"","family":"Hong","given":"Sungjun","non-dropping-particle":"","parse-names":false,"suffix":""},{"dropping-particle":"","family":"Jang","given":"Sanha","non-dropping-particle":"","parse-names":false,"suffix":""},{"dropping-particle":"","family":"Lim","given":"Jung Tae","non-dropping-particle":"","parse-names":false,"suffix":""},{"dropping-particle":"","family":"Kim","given":"Chul Sung","non-dropping-particle":"","parse-names":false,"suffix":""},{"dropping-particle":"","family":"Park","given":"Ji Chan","non-dropping-particle":"","parse-names":false,"suffix":""}],"container-title":"Nanoscale","id":"ITEM-1","issue":"40","issued":{"date-parts":[["2015"]]},"page":"16616-16620","publisher":"Royal Society of Chemistry","title":"A new synthesis of carbon encapsulated Fe5C2 nanoparticles for high-temperature Fischer–Tropsch synthesis","type":"article-journal","volume":"7"},"uris":["http://www.mendeley.com/documents/?uuid=86d1ae32-2b4b-4f92-9793-dae794e3b182","http://www.mendeley.com/documents/?uuid=d179a000-9bc5-4449-b7dc-9bdd1b30b21e","http://www.mendeley.com/documents/?uuid=0fb0a22f-9e04-417e-ba0e-7d1c166f1753"]}],"mendeley":{"formattedCitation":"&lt;sup&gt;46&lt;/sup&gt;","plainTextFormattedCitation":"46","previouslyFormattedCitation":"&lt;sup&gt;46&lt;/sup&gt;"},"properties":{"noteIndex":0},"schema":"https://github.com/citation-style-language/schema/raw/master/csl-citation.json"}</w:instrText>
      </w:r>
      <w:r w:rsidRPr="00FB2A56">
        <w:rPr>
          <w:rFonts w:ascii="Times New Roman" w:hAnsi="Times New Roman" w:cs="Times New Roman"/>
          <w:sz w:val="24"/>
          <w:szCs w:val="24"/>
        </w:rPr>
        <w:fldChar w:fldCharType="separate"/>
      </w:r>
      <w:r w:rsidR="00FB2A56" w:rsidRPr="00FB2A56">
        <w:rPr>
          <w:rFonts w:ascii="Times New Roman" w:hAnsi="Times New Roman" w:cs="Times New Roman"/>
          <w:noProof/>
          <w:sz w:val="24"/>
          <w:szCs w:val="24"/>
          <w:vertAlign w:val="superscript"/>
        </w:rPr>
        <w:t>46</w:t>
      </w:r>
      <w:proofErr w:type="gramEnd"/>
      <w:r w:rsidRPr="00FB2A56">
        <w:rPr>
          <w:rFonts w:ascii="Times New Roman" w:hAnsi="Times New Roman" w:cs="Times New Roman"/>
          <w:sz w:val="24"/>
          <w:szCs w:val="24"/>
        </w:rPr>
        <w:fldChar w:fldCharType="end"/>
      </w:r>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even</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used</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the</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thermal</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decomposition</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of</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ferrous</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oxalate</w:t>
      </w:r>
      <w:proofErr w:type="spellEnd"/>
      <w:r w:rsidRPr="00FB2A56">
        <w:rPr>
          <w:rFonts w:ascii="Times New Roman" w:hAnsi="Times New Roman" w:cs="Times New Roman"/>
          <w:sz w:val="24"/>
          <w:szCs w:val="24"/>
        </w:rPr>
        <w:t xml:space="preserve"> in </w:t>
      </w:r>
      <w:proofErr w:type="spellStart"/>
      <w:r w:rsidRPr="00FB2A56">
        <w:rPr>
          <w:rFonts w:ascii="Times New Roman" w:hAnsi="Times New Roman" w:cs="Times New Roman"/>
          <w:sz w:val="24"/>
          <w:szCs w:val="24"/>
        </w:rPr>
        <w:t>dynamic</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atmosphere</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of</w:t>
      </w:r>
      <w:proofErr w:type="spellEnd"/>
      <w:r w:rsidRPr="00FB2A56">
        <w:rPr>
          <w:rFonts w:ascii="Times New Roman" w:hAnsi="Times New Roman" w:cs="Times New Roman"/>
          <w:sz w:val="24"/>
          <w:szCs w:val="24"/>
        </w:rPr>
        <w:t xml:space="preserve"> CO to </w:t>
      </w:r>
      <w:proofErr w:type="spellStart"/>
      <w:r w:rsidRPr="00FB2A56">
        <w:rPr>
          <w:rFonts w:ascii="Times New Roman" w:hAnsi="Times New Roman" w:cs="Times New Roman"/>
          <w:sz w:val="24"/>
          <w:szCs w:val="24"/>
        </w:rPr>
        <w:t>prepare</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the</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microcubes</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of</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Hagg´s</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carbide</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for</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their</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subsequent</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application</w:t>
      </w:r>
      <w:proofErr w:type="spellEnd"/>
      <w:r w:rsidRPr="00FB2A56">
        <w:rPr>
          <w:rFonts w:ascii="Times New Roman" w:hAnsi="Times New Roman" w:cs="Times New Roman"/>
          <w:sz w:val="24"/>
          <w:szCs w:val="24"/>
        </w:rPr>
        <w:t xml:space="preserve"> in Fischer-</w:t>
      </w:r>
      <w:proofErr w:type="spellStart"/>
      <w:r w:rsidRPr="00FB2A56">
        <w:rPr>
          <w:rFonts w:ascii="Times New Roman" w:hAnsi="Times New Roman" w:cs="Times New Roman"/>
          <w:sz w:val="24"/>
          <w:szCs w:val="24"/>
        </w:rPr>
        <w:t>Tropsch</w:t>
      </w:r>
      <w:proofErr w:type="spellEnd"/>
      <w:r w:rsidRPr="00FB2A56">
        <w:rPr>
          <w:rFonts w:ascii="Times New Roman" w:hAnsi="Times New Roman" w:cs="Times New Roman"/>
          <w:sz w:val="24"/>
          <w:szCs w:val="24"/>
        </w:rPr>
        <w:t xml:space="preserve"> </w:t>
      </w:r>
      <w:proofErr w:type="spellStart"/>
      <w:r w:rsidRPr="00FB2A56">
        <w:rPr>
          <w:rFonts w:ascii="Times New Roman" w:hAnsi="Times New Roman" w:cs="Times New Roman"/>
          <w:sz w:val="24"/>
          <w:szCs w:val="24"/>
        </w:rPr>
        <w:t>synthesis</w:t>
      </w:r>
      <w:proofErr w:type="spellEnd"/>
      <w:r w:rsidRPr="00FB2A56">
        <w:rPr>
          <w:rFonts w:ascii="Times New Roman" w:hAnsi="Times New Roman" w:cs="Times New Roman"/>
          <w:sz w:val="24"/>
          <w:szCs w:val="24"/>
        </w:rPr>
        <w:t>.</w:t>
      </w:r>
      <w:r w:rsidRPr="00FB2A56">
        <w:rPr>
          <w:rFonts w:ascii="Times New Roman" w:hAnsi="Times New Roman" w:cs="Times New Roman"/>
          <w:sz w:val="24"/>
          <w:szCs w:val="24"/>
          <w:lang w:val="en-GB"/>
        </w:rPr>
        <w:t xml:space="preserve"> </w:t>
      </w:r>
    </w:p>
    <w:p w:rsidR="00C90EEE" w:rsidRPr="00FB2A56" w:rsidRDefault="00C90EEE" w:rsidP="00DA780F">
      <w:pPr>
        <w:spacing w:line="360" w:lineRule="auto"/>
        <w:ind w:firstLine="420"/>
        <w:jc w:val="both"/>
        <w:rPr>
          <w:rFonts w:ascii="Times New Roman" w:hAnsi="Times New Roman" w:cs="Times New Roman"/>
          <w:sz w:val="24"/>
          <w:szCs w:val="24"/>
          <w:lang w:val="en-GB"/>
        </w:rPr>
      </w:pPr>
      <w:r w:rsidRPr="00FB2A56">
        <w:rPr>
          <w:rFonts w:ascii="Times New Roman" w:hAnsi="Times New Roman" w:cs="Times New Roman"/>
          <w:sz w:val="24"/>
          <w:szCs w:val="24"/>
          <w:lang w:val="en-GB"/>
        </w:rPr>
        <w:t>Concerning the observed overal</w:t>
      </w:r>
      <w:r w:rsidR="00073AE9">
        <w:rPr>
          <w:rFonts w:ascii="Times New Roman" w:hAnsi="Times New Roman" w:cs="Times New Roman"/>
          <w:sz w:val="24"/>
          <w:szCs w:val="24"/>
          <w:lang w:val="en-GB"/>
        </w:rPr>
        <w:t>l amounts of carbides, Hermanek</w:t>
      </w:r>
      <w:r w:rsidRPr="00FB2A56">
        <w:rPr>
          <w:rFonts w:ascii="Times New Roman" w:hAnsi="Times New Roman" w:cs="Times New Roman"/>
          <w:sz w:val="24"/>
          <w:szCs w:val="24"/>
          <w:lang w:val="en-GB"/>
        </w:rPr>
        <w:fldChar w:fldCharType="begin" w:fldLock="1"/>
      </w:r>
      <w:r w:rsidR="00752133">
        <w:rPr>
          <w:rFonts w:ascii="Times New Roman" w:hAnsi="Times New Roman" w:cs="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34</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reported that up to 20 % of iron ions belonged to cementite in Mössbauer spectra, that is higher compared to our results, where only up to 12 % of iron ions was ascribed to iron carbides. In contrast, no carbides w</w:t>
      </w:r>
      <w:r w:rsidR="00073AE9">
        <w:rPr>
          <w:rFonts w:ascii="Times New Roman" w:hAnsi="Times New Roman" w:cs="Times New Roman"/>
          <w:sz w:val="24"/>
          <w:szCs w:val="24"/>
          <w:lang w:val="en-GB"/>
        </w:rPr>
        <w:t>ere registered in other studies,</w:t>
      </w:r>
      <w:r w:rsidRPr="00FB2A56">
        <w:rPr>
          <w:rFonts w:ascii="Times New Roman" w:hAnsi="Times New Roman" w:cs="Times New Roman"/>
          <w:sz w:val="24"/>
          <w:szCs w:val="24"/>
          <w:lang w:val="en-GB"/>
        </w:rPr>
        <w:fldChar w:fldCharType="begin" w:fldLock="1"/>
      </w:r>
      <w:r w:rsidR="005222FA">
        <w:rPr>
          <w:rFonts w:ascii="Times New Roman" w:hAnsi="Times New Roman" w:cs="Times New Roman"/>
          <w:sz w:val="24"/>
          <w:szCs w:val="24"/>
          <w:lang w:val="en-GB"/>
        </w:rPr>
        <w:instrText>ADDIN CSL_CITATION {"citationItems":[{"id":"ITEM-1","itemData":{"DOI":"10.1088/0957-4484/19/6/065602","ISBN":"0957-4484","ISSN":"0957-4484","PMID":"21730700","abstract":"FeC(2)O(4)·2H(2)O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-1","issue":"6","issued":{"date-parts":[["2008"]]},"page":"065602","title":"Room temperature synthesis of rod-like FeC(2)O(4)·2H(2)O and its transition to maghemite, magnetite and hematite nanorods through controlled thermal decomposition.","type":"article-journal","volume":"19"},"uris":["http://www.mendeley.com/documents/?uuid=a8904774-f2da-4f02-b468-373740c2d331","http://www.mendeley.com/documents/?uuid=b2539824-a56d-4b58-ae69-04f27907cc48","http://www.mendeley.com/documents/?uuid=4ca6b5d1-adfd-4ec2-b6a9-71115220afa5"]},{"id":"ITEM-2","itemData":{"author":[{"dropping-particle":"","family":"Plachy","given":"Tomas","non-dropping-particle":"","parse-names":false,"suffix":""},{"dropping-particle":"","family":"Cvek","given":"Martin","non-dropping-particle":"","parse-names":false,"suffix":""},{"dropping-particle":"","family":"Kozakova","given":"Zuzana","non-dropping-particle":"","parse-names":false,"suffix":""},{"dropping-particle":"","family":"Sedlacik","given":"Michal","non-dropping-particle":"","parse-names":false,"suffix":""}],"container-title":"Smart Mater. Struct.","id":"ITEM-2","issue":"26","issued":{"date-parts":[["2017"]]},"page":"025026","publisher":"IOP Publishing","title":"The enhanced MR performance of dimorphic MR suspensions containing either magnetic rods or their non-magnetic analogs","type":"article-journal"},"uris":["http://www.mendeley.com/documents/?uuid=4ac7457d-73ac-4dad-a14c-f220b599dbac","http://www.mendeley.com/documents/?uuid=3ac5aaf9-e045-450c-9bb3-d723c7a74a4b","http://www.mendeley.com/documents/?uuid=51cd7c47-c66d-447f-855c-7d5892d2b650","http://www.mendeley.com/documents/?uuid=d5cd0660-386a-4a79-b740-4e77ee64a357","http://www.mendeley.com/documents/?uuid=a5cd536b-3723-4773-8801-2593d89231b5"]},{"id":"ITEM-3","itemData":{"DOI":"10.1016/j.matlet.2014.09.125","ISSN":"0167-577X","author":[{"dropping-particle":"","family":"Kozakova","given":"Zuzana","non-dropping-particle":"","parse-names":false,"suffix":""},{"dropping-particle":"","family":"Kuritka","given":"Ivo","non-dropping-particle":"","parse-names":false,"suffix":""},{"dropping-particle":"","family":"Bazant","given":"Pavel","non-dropping-particle":"","parse-names":false,"suffix":""},{"dropping-particle":"","family":"Pastorek","given":"Miroslav","non-dropping-particle":"","parse-names":false,"suffix":""},{"dropping-particle":"","family":"Babayan","given":"Vladimir","non-dropping-particle":"","parse-names":false,"suffix":""}],"container-title":"Materials Letters","id":"ITEM-3","issued":{"date-parts":[["2015"]]},"page":"116-119","publisher":"Elsevier","title":"Magnetic needle-like iron oxide particles prepared by microwave-assisted thermal decomposition technique","type":"article-journal","volume":"138"},"uris":["http://www.mendeley.com/documents/?uuid=f5a50108-4303-4ece-94f6-bc3d9b9cf924","http://www.mendeley.com/documents/?uuid=30b09367-3dd9-4e15-a850-9b01b4820ba1","http://www.mendeley.com/documents/?uuid=07599425-21ee-4412-8cb7-ad22fa8d8e87","http://www.mendeley.com/documents/?uuid=9dbb399e-410a-4925-ad08-21ea2c4ab59d","http://www.mendeley.com/documents/?uuid=c1ee1e95-8318-4718-88ee-863498f4fae7"]}],"mendeley":{"formattedCitation":"&lt;sup&gt;15,38,39&lt;/sup&gt;","plainTextFormattedCitation":"15,38,39","previouslyFormattedCitation":"&lt;sup&gt;15,38,39&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15,38,39</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where the conversion gases synthesis route was used for magnetite preparation. In addition, no carbides were also reported in th</w:t>
      </w:r>
      <w:r w:rsidR="00073AE9">
        <w:rPr>
          <w:rFonts w:ascii="Times New Roman" w:hAnsi="Times New Roman" w:cs="Times New Roman"/>
          <w:sz w:val="24"/>
          <w:szCs w:val="24"/>
          <w:lang w:val="en-GB"/>
        </w:rPr>
        <w:t xml:space="preserve">e study by </w:t>
      </w:r>
      <w:proofErr w:type="spellStart"/>
      <w:r w:rsidR="00073AE9">
        <w:rPr>
          <w:rFonts w:ascii="Times New Roman" w:hAnsi="Times New Roman" w:cs="Times New Roman"/>
          <w:sz w:val="24"/>
          <w:szCs w:val="24"/>
          <w:lang w:val="en-GB"/>
        </w:rPr>
        <w:t>Angermann</w:t>
      </w:r>
      <w:proofErr w:type="spellEnd"/>
      <w:r w:rsidR="00073AE9">
        <w:rPr>
          <w:rFonts w:ascii="Times New Roman" w:hAnsi="Times New Roman" w:cs="Times New Roman"/>
          <w:sz w:val="24"/>
          <w:szCs w:val="24"/>
          <w:lang w:val="en-GB"/>
        </w:rPr>
        <w:t xml:space="preserve"> and Töpfer</w:t>
      </w:r>
      <w:r w:rsidRPr="00FB2A56">
        <w:rPr>
          <w:rFonts w:ascii="Times New Roman" w:hAnsi="Times New Roman" w:cs="Times New Roman"/>
          <w:sz w:val="24"/>
          <w:szCs w:val="24"/>
          <w:lang w:val="en-GB"/>
        </w:rPr>
        <w:fldChar w:fldCharType="begin" w:fldLock="1"/>
      </w:r>
      <w:r w:rsidR="005222FA">
        <w:rPr>
          <w:rFonts w:ascii="Times New Roman" w:hAnsi="Times New Roman" w:cs="Times New Roman"/>
          <w:sz w:val="24"/>
          <w:szCs w:val="24"/>
          <w:lang w:val="en-GB"/>
        </w:rPr>
        <w:instrText>ADDIN CSL_CITATION {"citationItems":[{"id":"ITEM-1","itemData":{"DOI":"10.1007/s10853-008-2738-3","author":[{"dropping-particle":"","family":"Angermann","given":"Andre","non-dropping-particle":"","parse-names":false,"suffix":""},{"dropping-particle":"","family":"Töpfer","given":"Jörg","non-dropping-particle":"","parse-names":false,"suffix":""}],"container-title":"Journal of Material Science","id":"ITEM-1","issued":{"date-parts":[["2008"]]},"page":"5123-5130","title":"Synthesis of magnetite nanoparticles by thermal decomposition of ferrous oxalate dihydrate","type":"article-journal"},"uris":["http://www.mendeley.com/documents/?uuid=88b8d22e-73c0-41bb-81ae-78681325f2be","http://www.mendeley.com/documents/?uuid=4a3ccd5e-18c3-4153-929e-27d7e3331ff6","http://www.mendeley.com/documents/?uuid=e527a951-cc2a-43b9-a156-69017b058133"]}],"mendeley":{"formattedCitation":"&lt;sup&gt;47&lt;/sup&gt;","plainTextFormattedCitation":"47","previouslyFormattedCitation":"&lt;sup&gt;47&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47</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who decomposed ferrous oxalate in a combined atmosphere of CO/CO</w:t>
      </w:r>
      <w:r w:rsidRPr="00FB2A56">
        <w:rPr>
          <w:rFonts w:ascii="Times New Roman" w:hAnsi="Times New Roman" w:cs="Times New Roman"/>
          <w:sz w:val="24"/>
          <w:szCs w:val="24"/>
          <w:vertAlign w:val="subscript"/>
          <w:lang w:val="en-GB"/>
        </w:rPr>
        <w:t>2</w:t>
      </w:r>
      <w:r w:rsidRPr="00FB2A56">
        <w:rPr>
          <w:rFonts w:ascii="Times New Roman" w:hAnsi="Times New Roman" w:cs="Times New Roman"/>
          <w:sz w:val="24"/>
          <w:szCs w:val="24"/>
          <w:lang w:val="en-GB"/>
        </w:rPr>
        <w:t xml:space="preserve">. These discrepancies allowed us to conclude that the presence of iron carbides might depend on the partial pressure of CO inside the cells. The high amount </w:t>
      </w:r>
      <w:r w:rsidR="00073AE9">
        <w:rPr>
          <w:rFonts w:ascii="Times New Roman" w:hAnsi="Times New Roman" w:cs="Times New Roman"/>
          <w:sz w:val="24"/>
          <w:szCs w:val="24"/>
          <w:lang w:val="en-GB"/>
        </w:rPr>
        <w:t xml:space="preserve">of carbides in </w:t>
      </w:r>
      <w:proofErr w:type="spellStart"/>
      <w:r w:rsidR="00073AE9">
        <w:rPr>
          <w:rFonts w:ascii="Times New Roman" w:hAnsi="Times New Roman" w:cs="Times New Roman"/>
          <w:sz w:val="24"/>
          <w:szCs w:val="24"/>
          <w:lang w:val="en-GB"/>
        </w:rPr>
        <w:t>Hermanek´s</w:t>
      </w:r>
      <w:proofErr w:type="spellEnd"/>
      <w:r w:rsidR="00073AE9">
        <w:rPr>
          <w:rFonts w:ascii="Times New Roman" w:hAnsi="Times New Roman" w:cs="Times New Roman"/>
          <w:sz w:val="24"/>
          <w:szCs w:val="24"/>
          <w:lang w:val="en-GB"/>
        </w:rPr>
        <w:t xml:space="preserve"> study</w:t>
      </w:r>
      <w:r w:rsidRPr="00FB2A56">
        <w:rPr>
          <w:rFonts w:ascii="Times New Roman" w:hAnsi="Times New Roman" w:cs="Times New Roman"/>
          <w:sz w:val="24"/>
          <w:szCs w:val="24"/>
          <w:lang w:val="en-GB"/>
        </w:rPr>
        <w:fldChar w:fldCharType="begin" w:fldLock="1"/>
      </w:r>
      <w:r w:rsidR="00752133">
        <w:rPr>
          <w:rFonts w:ascii="Times New Roman" w:hAnsi="Times New Roman" w:cs="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34</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could be explained by enclosing the sample into a relatively small container, which caused the high partial pressure of the formed CO. When the relativ</w:t>
      </w:r>
      <w:r w:rsidR="00073AE9">
        <w:rPr>
          <w:rFonts w:ascii="Times New Roman" w:hAnsi="Times New Roman" w:cs="Times New Roman"/>
          <w:sz w:val="24"/>
          <w:szCs w:val="24"/>
          <w:lang w:val="en-GB"/>
        </w:rPr>
        <w:t>ely larger containers were used</w:t>
      </w:r>
      <w:r w:rsidRPr="00FB2A56">
        <w:rPr>
          <w:rFonts w:ascii="Times New Roman" w:hAnsi="Times New Roman" w:cs="Times New Roman"/>
          <w:sz w:val="24"/>
          <w:szCs w:val="24"/>
          <w:lang w:val="en-GB"/>
        </w:rPr>
        <w:fldChar w:fldCharType="begin" w:fldLock="1"/>
      </w:r>
      <w:r w:rsidR="005222FA">
        <w:rPr>
          <w:rFonts w:ascii="Times New Roman" w:hAnsi="Times New Roman" w:cs="Times New Roman"/>
          <w:sz w:val="24"/>
          <w:szCs w:val="24"/>
          <w:lang w:val="en-GB"/>
        </w:rPr>
        <w:instrText>ADDIN CSL_CITATION {"citationItems":[{"id":"ITEM-1","itemData":{"DOI":"10.1088/0957-4484/19/6/065602","ISBN":"0957-4484","ISSN":"0957-4484","PMID":"21730700","abstract":"FeC(2)O(4)·2H(2)O nanorods with diameter of about 50 nm and length of up to several micrometers were synthesized at room temperature in a surfactant-assisted system, which was obtained by dissolving bis(2-ethylhexyl)sodium sulfosuccinate (AOT) in a mixed solution composed of water and ethylene glycol (EG). The influence of reaction conditions on the morphology of FeC(2)O(4)·2H(2)O is discussed in detail. Through direct thermal decomposition of FeC(2)O(4)·2H(2)O under different calcination conditions, maghemite (γ-Fe(2)O(3)), magnetite (Fe(3)O(4)) and hematite (α-Fe(2)O(3)) can be selectively obtained, preserving the rod-like morphology. Transmission electron microscope (TEM) and high-resolution transmission electron microscope (HRTEM) characterizations showed that the as-obtained iron oxide nanorods were composed of fine particles with different crystal orientations. The magnetic properties of the as-obtained iron oxide nanorods were systematically investigated.","author":[{"dropping-particle":"","family":"Zhou","given":"Weiwei","non-dropping-particle":"","parse-names":false,"suffix":""},{"dropping-particle":"","family":"Tang","given":"Kaibin","non-dropping-particle":"","parse-names":false,"suffix":""},{"dropping-particle":"","family":"Zeng","given":"Suyuan","non-dropping-particle":"","parse-names":false,"suffix":""},{"dropping-particle":"","family":"Qi","given":"Yunxia","non-dropping-particle":"","parse-names":false,"suffix":""}],"container-title":"Nanotechnology","id":"ITEM-1","issue":"6","issued":{"date-parts":[["2008"]]},"page":"065602","title":"Room temperature synthesis of rod-like FeC(2)O(4)·2H(2)O and its transition to maghemite, magnetite and hematite nanorods through controlled thermal decomposition.","type":"article-journal","volume":"19"},"uris":["http://www.mendeley.com/documents/?uuid=a8904774-f2da-4f02-b468-373740c2d331","http://www.mendeley.com/documents/?uuid=b2539824-a56d-4b58-ae69-04f27907cc48","http://www.mendeley.com/documents/?uuid=4ca6b5d1-adfd-4ec2-b6a9-71115220afa5"]},{"id":"ITEM-2","itemData":{"author":[{"dropping-particle":"","family":"Plachy","given":"Tomas","non-dropping-particle":"","parse-names":false,"suffix":""},{"dropping-particle":"","family":"Cvek","given":"Martin","non-dropping-particle":"","parse-names":false,"suffix":""},{"dropping-particle":"","family":"Kozakova","given":"Zuzana","non-dropping-particle":"","parse-names":false,"suffix":""},{"dropping-particle":"","family":"Sedlacik","given":"Michal","non-dropping-particle":"","parse-names":false,"suffix":""}],"container-title":"Smart Mater. Struct.","id":"ITEM-2","issue":"26","issued":{"date-parts":[["2017"]]},"page":"025026","publisher":"IOP Publishing","title":"The enhanced MR performance of dimorphic MR suspensions containing either magnetic rods or their non-magnetic analogs","type":"article-journal"},"uris":["http://www.mendeley.com/documents/?uuid=4ac7457d-73ac-4dad-a14c-f220b599dbac","http://www.mendeley.com/documents/?uuid=3ac5aaf9-e045-450c-9bb3-d723c7a74a4b","http://www.mendeley.com/documents/?uuid=51cd7c47-c66d-447f-855c-7d5892d2b650","http://www.mendeley.com/documents/?uuid=da705af3-1329-4a0e-98da-b3927392b127","http://www.mendeley.com/documents/?uuid=d674665b-fcc6-4cdd-aed2-73813d611bb7"]},{"id":"ITEM-3","itemData":{"DOI":"10.1016/j.matlet.2014.09.125","ISSN":"0167-577X","author":[{"dropping-particle":"","family":"Kozakova","given":"Zuzana","non-dropping-particle":"","parse-names":false,"suffix":""},{"dropping-particle":"","family":"Kuritka","given":"Ivo","non-dropping-particle":"","parse-names":false,"suffix":""},{"dropping-particle":"","family":"Bazant","given":"Pavel","non-dropping-particle":"","parse-names":false,"suffix":""},{"dropping-particle":"","family":"Pastorek","given":"Miroslav","non-dropping-particle":"","parse-names":false,"suffix":""},{"dropping-particle":"","family":"Babayan","given":"Vladimir","non-dropping-particle":"","parse-names":false,"suffix":""}],"container-title":"Materials Letters","id":"ITEM-3","issued":{"date-parts":[["2015"]]},"page":"116-119","publisher":"Elsevier","title":"Magnetic needle-like iron oxide particles prepared by microwave-assisted thermal decomposition technique","type":"article-journal","volume":"138"},"uris":["http://www.mendeley.com/documents/?uuid=f5a50108-4303-4ece-94f6-bc3d9b9cf924","http://www.mendeley.com/documents/?uuid=30b09367-3dd9-4e15-a850-9b01b4820ba1","http://www.mendeley.com/documents/?uuid=07599425-21ee-4412-8cb7-ad22fa8d8e87","http://www.mendeley.com/documents/?uuid=f7683ae3-d63d-4b93-834c-09db06611f59","http://www.mendeley.com/documents/?uuid=07733079-ce6c-48d2-9516-18bce1d52cfa"]}],"mendeley":{"formattedCitation":"&lt;sup&gt;15,38,39&lt;/sup&gt;","plainTextFormattedCitation":"15,38,39","previouslyFormattedCitation":"&lt;sup&gt;15,38,39&lt;/sup&gt;"},"properties":{"noteIndex":0},"schema":"https://github.com/citation-style-language/schema/raw/master/csl-citation.json"}</w:instrText>
      </w:r>
      <w:r w:rsidRPr="00FB2A56">
        <w:rPr>
          <w:rFonts w:ascii="Times New Roman" w:hAnsi="Times New Roman" w:cs="Times New Roman"/>
          <w:sz w:val="24"/>
          <w:szCs w:val="24"/>
          <w:lang w:val="en-GB"/>
        </w:rPr>
        <w:fldChar w:fldCharType="separate"/>
      </w:r>
      <w:r w:rsidR="00FB2A56" w:rsidRPr="00FB2A56">
        <w:rPr>
          <w:rFonts w:ascii="Times New Roman" w:hAnsi="Times New Roman" w:cs="Times New Roman"/>
          <w:noProof/>
          <w:sz w:val="24"/>
          <w:szCs w:val="24"/>
          <w:vertAlign w:val="superscript"/>
          <w:lang w:val="en-GB"/>
        </w:rPr>
        <w:t>15,38,39</w:t>
      </w:r>
      <w:r w:rsidRPr="00FB2A56">
        <w:rPr>
          <w:rFonts w:ascii="Times New Roman" w:hAnsi="Times New Roman" w:cs="Times New Roman"/>
          <w:sz w:val="24"/>
          <w:szCs w:val="24"/>
          <w:lang w:val="en-GB"/>
        </w:rPr>
        <w:fldChar w:fldCharType="end"/>
      </w:r>
      <w:r w:rsidRPr="00FB2A56">
        <w:rPr>
          <w:rFonts w:ascii="Times New Roman" w:hAnsi="Times New Roman" w:cs="Times New Roman"/>
          <w:sz w:val="24"/>
          <w:szCs w:val="24"/>
          <w:lang w:val="en-GB"/>
        </w:rPr>
        <w:t xml:space="preserve"> the samples did not contain any iron carbides or their amounts were simply undetectable by the employed instruments. Some of the evolved CO could also react with the remaining oxygen to form CO</w:t>
      </w:r>
      <w:r w:rsidRPr="00FB2A56">
        <w:rPr>
          <w:rFonts w:ascii="Times New Roman" w:hAnsi="Times New Roman" w:cs="Times New Roman"/>
          <w:sz w:val="24"/>
          <w:szCs w:val="24"/>
          <w:vertAlign w:val="subscript"/>
          <w:lang w:val="en-GB"/>
        </w:rPr>
        <w:t>2</w:t>
      </w:r>
      <w:r w:rsidRPr="00FB2A56">
        <w:rPr>
          <w:rFonts w:ascii="Times New Roman" w:hAnsi="Times New Roman" w:cs="Times New Roman"/>
          <w:sz w:val="24"/>
          <w:szCs w:val="24"/>
          <w:lang w:val="en-GB"/>
        </w:rPr>
        <w:t xml:space="preserve">. On the basis of our experimental </w:t>
      </w:r>
      <w:r w:rsidRPr="00FB2A56">
        <w:rPr>
          <w:rFonts w:ascii="Times New Roman" w:hAnsi="Times New Roman" w:cs="Times New Roman"/>
          <w:sz w:val="24"/>
          <w:szCs w:val="24"/>
          <w:lang w:val="en-GB"/>
        </w:rPr>
        <w:lastRenderedPageBreak/>
        <w:t>results, we could suggest that although the sealing of the sample cells prevented the intrusion of the oxygen into the cells, it was not sufficient to withstand the pressure evolved inside during decomposition of the ferrous oxalate. After reaching the critical level of pressure, a part of the gas leaked out and lowered the partial pressure of CO, which might explain the low amount of iron carbides or even their absence in the composition of the samples and the randomness in the carbide´s occurrence.</w:t>
      </w:r>
    </w:p>
    <w:p w:rsidR="00C90EEE" w:rsidRPr="00FB2A56" w:rsidRDefault="00C90EEE" w:rsidP="00DA780F">
      <w:pPr>
        <w:spacing w:line="360" w:lineRule="auto"/>
        <w:jc w:val="both"/>
        <w:rPr>
          <w:rFonts w:ascii="Times New Roman" w:eastAsia="Calibri" w:hAnsi="Times New Roman" w:cs="Times New Roman"/>
          <w:sz w:val="24"/>
          <w:szCs w:val="24"/>
          <w:lang w:val="en-GB"/>
        </w:rPr>
      </w:pPr>
      <w:r w:rsidRPr="00FB2A56">
        <w:rPr>
          <w:rFonts w:ascii="Times New Roman" w:hAnsi="Times New Roman" w:cs="Times New Roman"/>
          <w:sz w:val="24"/>
          <w:szCs w:val="24"/>
          <w:lang w:val="en-GB"/>
        </w:rPr>
        <w:br w:type="page"/>
      </w:r>
    </w:p>
    <w:p w:rsidR="00C90EEE" w:rsidRPr="00FB2A56" w:rsidRDefault="00C90EEE" w:rsidP="00DA780F">
      <w:pPr>
        <w:pStyle w:val="Bezmezer"/>
        <w:spacing w:line="360" w:lineRule="auto"/>
        <w:jc w:val="both"/>
        <w:rPr>
          <w:rFonts w:ascii="Times New Roman" w:hAnsi="Times New Roman"/>
          <w:sz w:val="24"/>
          <w:szCs w:val="24"/>
          <w:lang w:val="en-GB"/>
        </w:rPr>
      </w:pPr>
      <w:proofErr w:type="gramStart"/>
      <w:r w:rsidRPr="00A95435">
        <w:rPr>
          <w:rFonts w:ascii="Times New Roman" w:hAnsi="Times New Roman"/>
          <w:b/>
          <w:sz w:val="24"/>
          <w:szCs w:val="24"/>
          <w:lang w:val="en-GB"/>
        </w:rPr>
        <w:lastRenderedPageBreak/>
        <w:t>Table 2.</w:t>
      </w:r>
      <w:proofErr w:type="gramEnd"/>
      <w:r w:rsidRPr="00FB2A56">
        <w:rPr>
          <w:rFonts w:ascii="Times New Roman" w:hAnsi="Times New Roman"/>
          <w:sz w:val="24"/>
          <w:szCs w:val="24"/>
          <w:lang w:val="en-GB"/>
        </w:rPr>
        <w:t xml:space="preserve"> </w:t>
      </w:r>
      <w:proofErr w:type="gramStart"/>
      <w:r w:rsidRPr="00FB2A56">
        <w:rPr>
          <w:rFonts w:ascii="Times New Roman" w:hAnsi="Times New Roman"/>
          <w:sz w:val="24"/>
          <w:szCs w:val="24"/>
          <w:lang w:val="en-GB"/>
        </w:rPr>
        <w:t>Mössbauer parameters of the measured samples.</w:t>
      </w:r>
      <w:proofErr w:type="gramEnd"/>
    </w:p>
    <w:tbl>
      <w:tblPr>
        <w:tblW w:w="9464" w:type="dxa"/>
        <w:tblLayout w:type="fixed"/>
        <w:tblLook w:val="04A0" w:firstRow="1" w:lastRow="0" w:firstColumn="1" w:lastColumn="0" w:noHBand="0" w:noVBand="1"/>
      </w:tblPr>
      <w:tblGrid>
        <w:gridCol w:w="1418"/>
        <w:gridCol w:w="1418"/>
        <w:gridCol w:w="1418"/>
        <w:gridCol w:w="1418"/>
        <w:gridCol w:w="1382"/>
        <w:gridCol w:w="36"/>
        <w:gridCol w:w="2374"/>
      </w:tblGrid>
      <w:tr w:rsidR="00C90EEE" w:rsidRPr="00E01F4F" w:rsidTr="00C90EEE">
        <w:tc>
          <w:tcPr>
            <w:tcW w:w="1418" w:type="dxa"/>
            <w:tcBorders>
              <w:top w:val="single" w:sz="4" w:space="0" w:color="auto"/>
              <w:left w:val="nil"/>
              <w:bottom w:val="single" w:sz="4" w:space="0" w:color="auto"/>
              <w:right w:val="nil"/>
            </w:tcBorders>
            <w:shd w:val="clear" w:color="auto" w:fill="FFFFFF" w:themeFill="background1"/>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Sample</w:t>
            </w:r>
          </w:p>
        </w:tc>
        <w:tc>
          <w:tcPr>
            <w:tcW w:w="1418" w:type="dxa"/>
            <w:tcBorders>
              <w:top w:val="single" w:sz="4" w:space="0" w:color="auto"/>
              <w:left w:val="nil"/>
              <w:bottom w:val="single" w:sz="4" w:space="0" w:color="auto"/>
              <w:right w:val="nil"/>
            </w:tcBorders>
            <w:shd w:val="clear" w:color="auto" w:fill="FFFFFF" w:themeFill="background1"/>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i/>
                <w:sz w:val="16"/>
                <w:szCs w:val="16"/>
                <w:lang w:val="en-GB"/>
              </w:rPr>
              <w:t xml:space="preserve">δ </w:t>
            </w:r>
            <w:r w:rsidRPr="00E01F4F">
              <w:rPr>
                <w:rFonts w:ascii="Arial" w:hAnsi="Arial" w:cs="Arial"/>
                <w:sz w:val="16"/>
                <w:szCs w:val="16"/>
                <w:lang w:val="en-GB"/>
              </w:rPr>
              <w:t>± 0.01 (mm/s)</w:t>
            </w:r>
          </w:p>
        </w:tc>
        <w:tc>
          <w:tcPr>
            <w:tcW w:w="1418" w:type="dxa"/>
            <w:tcBorders>
              <w:top w:val="single" w:sz="4" w:space="0" w:color="auto"/>
              <w:left w:val="nil"/>
              <w:bottom w:val="single" w:sz="4" w:space="0" w:color="auto"/>
              <w:right w:val="nil"/>
            </w:tcBorders>
            <w:shd w:val="clear" w:color="auto" w:fill="FFFFFF" w:themeFill="background1"/>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r w:rsidRPr="00E01F4F">
              <w:rPr>
                <w:rFonts w:ascii="Arial" w:hAnsi="Arial" w:cs="Arial"/>
                <w:i/>
                <w:sz w:val="16"/>
                <w:szCs w:val="16"/>
                <w:lang w:val="en-GB"/>
              </w:rPr>
              <w:t>E</w:t>
            </w:r>
            <w:r w:rsidRPr="00E01F4F">
              <w:rPr>
                <w:rFonts w:ascii="Arial" w:hAnsi="Arial" w:cs="Arial"/>
                <w:sz w:val="16"/>
                <w:szCs w:val="16"/>
                <w:vertAlign w:val="subscript"/>
                <w:lang w:val="en-GB"/>
              </w:rPr>
              <w:t xml:space="preserve">Q </w:t>
            </w:r>
            <w:r w:rsidRPr="00E01F4F">
              <w:rPr>
                <w:rFonts w:ascii="Arial" w:hAnsi="Arial" w:cs="Arial"/>
                <w:sz w:val="16"/>
                <w:szCs w:val="16"/>
                <w:lang w:val="en-GB"/>
              </w:rPr>
              <w:t>± 0.01</w:t>
            </w:r>
            <w:r w:rsidRPr="00E01F4F">
              <w:rPr>
                <w:rFonts w:ascii="Arial" w:hAnsi="Arial" w:cs="Arial"/>
                <w:sz w:val="16"/>
                <w:szCs w:val="16"/>
                <w:vertAlign w:val="subscript"/>
                <w:lang w:val="en-GB"/>
              </w:rPr>
              <w:t xml:space="preserve"> </w:t>
            </w:r>
            <w:r w:rsidRPr="00E01F4F">
              <w:rPr>
                <w:rFonts w:ascii="Arial" w:hAnsi="Arial" w:cs="Arial"/>
                <w:sz w:val="16"/>
                <w:szCs w:val="16"/>
                <w:lang w:val="en-GB"/>
              </w:rPr>
              <w:t>(mm/s)</w:t>
            </w:r>
          </w:p>
        </w:tc>
        <w:tc>
          <w:tcPr>
            <w:tcW w:w="1418" w:type="dxa"/>
            <w:tcBorders>
              <w:top w:val="single" w:sz="4" w:space="0" w:color="auto"/>
              <w:left w:val="nil"/>
              <w:bottom w:val="single" w:sz="4" w:space="0" w:color="auto"/>
              <w:right w:val="nil"/>
            </w:tcBorders>
            <w:shd w:val="clear" w:color="auto" w:fill="FFFFFF" w:themeFill="background1"/>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i/>
                <w:sz w:val="16"/>
                <w:szCs w:val="16"/>
                <w:lang w:val="en-GB"/>
              </w:rPr>
              <w:t xml:space="preserve">H </w:t>
            </w:r>
            <w:r w:rsidRPr="00E01F4F">
              <w:rPr>
                <w:rFonts w:ascii="Arial" w:hAnsi="Arial" w:cs="Arial"/>
                <w:sz w:val="16"/>
                <w:szCs w:val="16"/>
                <w:lang w:val="en-GB"/>
              </w:rPr>
              <w:t>± 0.3 (T)</w:t>
            </w:r>
          </w:p>
        </w:tc>
        <w:tc>
          <w:tcPr>
            <w:tcW w:w="1382" w:type="dxa"/>
            <w:tcBorders>
              <w:top w:val="single" w:sz="4" w:space="0" w:color="auto"/>
              <w:left w:val="nil"/>
              <w:bottom w:val="single" w:sz="4" w:space="0" w:color="auto"/>
              <w:right w:val="nil"/>
            </w:tcBorders>
            <w:shd w:val="clear" w:color="auto" w:fill="FFFFFF" w:themeFill="background1"/>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R</w:t>
            </w:r>
            <w:r w:rsidRPr="00E01F4F">
              <w:rPr>
                <w:rFonts w:ascii="Arial" w:hAnsi="Arial" w:cs="Arial"/>
                <w:i/>
                <w:sz w:val="16"/>
                <w:szCs w:val="16"/>
                <w:lang w:val="en-GB"/>
              </w:rPr>
              <w:t xml:space="preserve">A </w:t>
            </w:r>
            <w:r w:rsidRPr="00E01F4F">
              <w:rPr>
                <w:rFonts w:ascii="Arial" w:hAnsi="Arial" w:cs="Arial"/>
                <w:sz w:val="16"/>
                <w:szCs w:val="16"/>
                <w:lang w:val="en-GB"/>
              </w:rPr>
              <w:t>± 2</w:t>
            </w:r>
            <w:r w:rsidRPr="00E01F4F">
              <w:rPr>
                <w:rFonts w:ascii="Arial" w:hAnsi="Arial" w:cs="Arial"/>
                <w:i/>
                <w:sz w:val="16"/>
                <w:szCs w:val="16"/>
                <w:lang w:val="en-GB"/>
              </w:rPr>
              <w:t xml:space="preserve"> </w:t>
            </w:r>
            <w:r w:rsidRPr="00E01F4F">
              <w:rPr>
                <w:rFonts w:ascii="Arial" w:hAnsi="Arial" w:cs="Arial"/>
                <w:sz w:val="16"/>
                <w:szCs w:val="16"/>
                <w:lang w:val="en-GB"/>
              </w:rPr>
              <w:t>(%)</w:t>
            </w:r>
          </w:p>
        </w:tc>
        <w:tc>
          <w:tcPr>
            <w:tcW w:w="2410" w:type="dxa"/>
            <w:gridSpan w:val="2"/>
            <w:tcBorders>
              <w:top w:val="single" w:sz="4" w:space="0" w:color="auto"/>
              <w:left w:val="nil"/>
              <w:bottom w:val="single" w:sz="4" w:space="0" w:color="auto"/>
              <w:right w:val="nil"/>
            </w:tcBorders>
            <w:shd w:val="clear" w:color="auto" w:fill="FFFFFF" w:themeFill="background1"/>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Site assignment</w:t>
            </w:r>
          </w:p>
        </w:tc>
      </w:tr>
      <w:tr w:rsidR="00C90EEE" w:rsidRPr="00E01F4F" w:rsidTr="00E01F4F">
        <w:tc>
          <w:tcPr>
            <w:tcW w:w="1418" w:type="dxa"/>
            <w:tcBorders>
              <w:top w:val="single" w:sz="4" w:space="0" w:color="auto"/>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T300H1</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1.19</w:t>
            </w:r>
          </w:p>
          <w:p w:rsidR="00C90EEE" w:rsidRPr="00E01F4F" w:rsidRDefault="00C90EEE" w:rsidP="00E01F4F">
            <w:pPr>
              <w:spacing w:after="0" w:line="240" w:lineRule="auto"/>
              <w:jc w:val="center"/>
              <w:rPr>
                <w:rFonts w:ascii="Arial" w:hAnsi="Arial" w:cs="Arial"/>
                <w:i/>
                <w:sz w:val="16"/>
                <w:szCs w:val="16"/>
                <w:lang w:val="en-GB"/>
              </w:rPr>
            </w:pPr>
            <w:r w:rsidRPr="00E01F4F">
              <w:rPr>
                <w:rFonts w:ascii="Arial" w:hAnsi="Arial" w:cs="Arial"/>
                <w:sz w:val="16"/>
                <w:szCs w:val="16"/>
                <w:lang w:val="en-GB"/>
              </w:rPr>
              <w:t>0.33</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2.04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0.45</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382"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92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8</w:t>
            </w:r>
          </w:p>
        </w:tc>
        <w:tc>
          <w:tcPr>
            <w:tcW w:w="2410" w:type="dxa"/>
            <w:gridSpan w:val="2"/>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Ferrous oxalate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SP magnetite</w:t>
            </w:r>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T300H6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1.17</w:t>
            </w:r>
          </w:p>
          <w:p w:rsidR="00C90EEE" w:rsidRPr="00E01F4F" w:rsidRDefault="00C90EEE" w:rsidP="00E01F4F">
            <w:pPr>
              <w:spacing w:after="0" w:line="240" w:lineRule="auto"/>
              <w:jc w:val="center"/>
              <w:rPr>
                <w:rFonts w:ascii="Arial" w:hAnsi="Arial" w:cs="Arial"/>
                <w:i/>
                <w:sz w:val="16"/>
                <w:szCs w:val="16"/>
                <w:lang w:val="en-GB"/>
              </w:rPr>
            </w:pPr>
            <w:r w:rsidRPr="00E01F4F">
              <w:rPr>
                <w:rFonts w:ascii="Arial" w:hAnsi="Arial" w:cs="Arial"/>
                <w:sz w:val="16"/>
                <w:szCs w:val="16"/>
                <w:lang w:val="en-GB"/>
              </w:rPr>
              <w:t>0.33</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2.21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0.45</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382"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87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13</w:t>
            </w:r>
          </w:p>
        </w:tc>
        <w:tc>
          <w:tcPr>
            <w:tcW w:w="2410"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Ferrous oxalate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SP magnetite</w:t>
            </w:r>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color w:val="000000" w:themeColor="text1"/>
                <w:sz w:val="16"/>
                <w:szCs w:val="16"/>
                <w:lang w:val="en-GB"/>
              </w:rPr>
              <w:t>T300H12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0.18</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1.90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0.48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43.3</w:t>
            </w:r>
          </w:p>
        </w:tc>
        <w:tc>
          <w:tcPr>
            <w:tcW w:w="1382"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78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tc>
        <w:tc>
          <w:tcPr>
            <w:tcW w:w="2410"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Ferrous oxalate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SP magnetite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w:t>
            </w: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auto"/>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T350H1</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0.23</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2.20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382"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78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w:t>
            </w:r>
          </w:p>
        </w:tc>
        <w:tc>
          <w:tcPr>
            <w:tcW w:w="2410" w:type="dxa"/>
            <w:gridSpan w:val="2"/>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Ferrous oxalate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T350H6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0.33</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382"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52</w:t>
            </w:r>
          </w:p>
        </w:tc>
        <w:tc>
          <w:tcPr>
            <w:tcW w:w="2410"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Ferrous oxalate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T350H12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1.19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0.29</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2.20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382"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37</w:t>
            </w:r>
          </w:p>
        </w:tc>
        <w:tc>
          <w:tcPr>
            <w:tcW w:w="2410"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Ferrous oxalate</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auto"/>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T400H1</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0.20</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21.5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19.9</w:t>
            </w:r>
          </w:p>
        </w:tc>
        <w:tc>
          <w:tcPr>
            <w:tcW w:w="1382"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w:t>
            </w:r>
          </w:p>
        </w:tc>
        <w:tc>
          <w:tcPr>
            <w:tcW w:w="2410" w:type="dxa"/>
            <w:gridSpan w:val="2"/>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III</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Cementite</w:t>
            </w:r>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color w:val="000000" w:themeColor="text1"/>
                <w:sz w:val="16"/>
                <w:szCs w:val="16"/>
                <w:lang w:val="en-GB"/>
              </w:rPr>
              <w:t>T400H6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0.22</w:t>
            </w:r>
          </w:p>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color w:val="000000" w:themeColor="text1"/>
                <w:sz w:val="16"/>
                <w:szCs w:val="16"/>
                <w:lang w:val="en-GB"/>
              </w:rPr>
              <w:t>0.20</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0.13</w:t>
            </w:r>
          </w:p>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color w:val="000000" w:themeColor="text1"/>
                <w:sz w:val="16"/>
                <w:szCs w:val="16"/>
                <w:lang w:val="en-GB"/>
              </w:rPr>
              <w:t>0.03</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21.5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10.9</w:t>
            </w:r>
          </w:p>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color w:val="000000" w:themeColor="text1"/>
                <w:sz w:val="16"/>
                <w:szCs w:val="16"/>
                <w:lang w:val="en-GB"/>
              </w:rPr>
              <w:t>19.9</w:t>
            </w:r>
          </w:p>
        </w:tc>
        <w:tc>
          <w:tcPr>
            <w:tcW w:w="1382"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w:t>
            </w:r>
          </w:p>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color w:val="000000" w:themeColor="text1"/>
                <w:sz w:val="16"/>
                <w:szCs w:val="16"/>
                <w:lang w:val="en-GB"/>
              </w:rPr>
              <w:t>2</w:t>
            </w:r>
          </w:p>
        </w:tc>
        <w:tc>
          <w:tcPr>
            <w:tcW w:w="2410"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III</w:t>
            </w:r>
          </w:p>
          <w:p w:rsidR="00C90EEE" w:rsidRPr="00E01F4F" w:rsidRDefault="00C90EEE" w:rsidP="00E01F4F">
            <w:pPr>
              <w:spacing w:after="0" w:line="240" w:lineRule="auto"/>
              <w:jc w:val="center"/>
              <w:rPr>
                <w:rFonts w:ascii="Arial" w:hAnsi="Arial" w:cs="Arial"/>
                <w:color w:val="000000" w:themeColor="text1"/>
                <w:sz w:val="16"/>
                <w:szCs w:val="16"/>
                <w:lang w:val="en-GB"/>
              </w:rPr>
            </w:pPr>
            <w:r w:rsidRPr="00E01F4F">
              <w:rPr>
                <w:rFonts w:ascii="Arial" w:hAnsi="Arial" w:cs="Arial"/>
                <w:sz w:val="16"/>
                <w:szCs w:val="16"/>
                <w:lang w:val="en-GB"/>
              </w:rPr>
              <w:t>Cementite</w:t>
            </w:r>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T400H12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382"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19</w:t>
            </w:r>
          </w:p>
        </w:tc>
        <w:tc>
          <w:tcPr>
            <w:tcW w:w="2410"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auto"/>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T450H1</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i/>
                <w:sz w:val="16"/>
                <w:szCs w:val="16"/>
                <w:lang w:val="en-GB"/>
              </w:rPr>
            </w:pPr>
            <w:r w:rsidRPr="00E01F4F">
              <w:rPr>
                <w:rFonts w:ascii="Arial" w:hAnsi="Arial" w:cs="Arial"/>
                <w:sz w:val="16"/>
                <w:szCs w:val="16"/>
                <w:lang w:val="en-GB"/>
              </w:rPr>
              <w:t>0.34</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382"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63</w:t>
            </w:r>
          </w:p>
        </w:tc>
        <w:tc>
          <w:tcPr>
            <w:tcW w:w="2410" w:type="dxa"/>
            <w:gridSpan w:val="2"/>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T450H6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0.35</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382"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19</w:t>
            </w:r>
          </w:p>
        </w:tc>
        <w:tc>
          <w:tcPr>
            <w:tcW w:w="2410"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T450H12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0.22</w:t>
            </w:r>
          </w:p>
          <w:p w:rsidR="00C90EEE" w:rsidRPr="00E01F4F" w:rsidRDefault="00C90EEE" w:rsidP="00E01F4F">
            <w:pPr>
              <w:spacing w:after="0" w:line="240" w:lineRule="auto"/>
              <w:jc w:val="center"/>
              <w:rPr>
                <w:rFonts w:ascii="Arial" w:hAnsi="Arial" w:cs="Arial"/>
                <w:i/>
                <w:sz w:val="16"/>
                <w:szCs w:val="16"/>
                <w:lang w:val="en-GB"/>
              </w:rPr>
            </w:pPr>
            <w:r w:rsidRPr="00E01F4F">
              <w:rPr>
                <w:rFonts w:ascii="Arial" w:hAnsi="Arial" w:cs="Arial"/>
                <w:color w:val="000000" w:themeColor="text1"/>
                <w:sz w:val="16"/>
                <w:szCs w:val="16"/>
                <w:lang w:val="en-GB"/>
              </w:rPr>
              <w:t>0.20</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0.03</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21.5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19.9</w:t>
            </w:r>
          </w:p>
        </w:tc>
        <w:tc>
          <w:tcPr>
            <w:tcW w:w="1382"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6</w:t>
            </w:r>
          </w:p>
        </w:tc>
        <w:tc>
          <w:tcPr>
            <w:tcW w:w="2410"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III</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Cementite</w:t>
            </w:r>
          </w:p>
        </w:tc>
      </w:tr>
      <w:tr w:rsidR="00C90EEE" w:rsidRPr="00E01F4F" w:rsidTr="00E01F4F">
        <w:tc>
          <w:tcPr>
            <w:tcW w:w="1418" w:type="dxa"/>
            <w:tcBorders>
              <w:top w:val="single" w:sz="4" w:space="0" w:color="auto"/>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br w:type="column"/>
              <w:t>T500H1</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0.20</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19.9</w:t>
            </w:r>
          </w:p>
        </w:tc>
        <w:tc>
          <w:tcPr>
            <w:tcW w:w="1418" w:type="dxa"/>
            <w:gridSpan w:val="2"/>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w:t>
            </w:r>
          </w:p>
        </w:tc>
        <w:tc>
          <w:tcPr>
            <w:tcW w:w="2374"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Cementite</w:t>
            </w:r>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T500H6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0.22</w:t>
            </w:r>
          </w:p>
          <w:p w:rsidR="00C90EEE" w:rsidRPr="00E01F4F" w:rsidRDefault="00C90EEE" w:rsidP="00E01F4F">
            <w:pPr>
              <w:spacing w:after="0" w:line="240" w:lineRule="auto"/>
              <w:jc w:val="center"/>
              <w:rPr>
                <w:rFonts w:ascii="Arial" w:hAnsi="Arial" w:cs="Arial"/>
                <w:i/>
                <w:sz w:val="16"/>
                <w:szCs w:val="16"/>
                <w:lang w:val="en-GB"/>
              </w:rPr>
            </w:pPr>
            <w:r w:rsidRPr="00E01F4F">
              <w:rPr>
                <w:rFonts w:ascii="Arial" w:hAnsi="Arial" w:cs="Arial"/>
                <w:color w:val="000000" w:themeColor="text1"/>
                <w:sz w:val="16"/>
                <w:szCs w:val="16"/>
                <w:lang w:val="en-GB"/>
              </w:rPr>
              <w:t>0.20</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0.03</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21.5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19.9</w:t>
            </w:r>
          </w:p>
        </w:tc>
        <w:tc>
          <w:tcPr>
            <w:tcW w:w="1418"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2</w:t>
            </w:r>
          </w:p>
        </w:tc>
        <w:tc>
          <w:tcPr>
            <w:tcW w:w="2374"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III</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Cementite</w:t>
            </w:r>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T500H12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0.22</w:t>
            </w:r>
          </w:p>
          <w:p w:rsidR="00C90EEE" w:rsidRPr="00E01F4F" w:rsidRDefault="00C90EEE" w:rsidP="00E01F4F">
            <w:pPr>
              <w:spacing w:after="0" w:line="240" w:lineRule="auto"/>
              <w:jc w:val="center"/>
              <w:rPr>
                <w:rFonts w:ascii="Arial" w:hAnsi="Arial" w:cs="Arial"/>
                <w:i/>
                <w:sz w:val="16"/>
                <w:szCs w:val="16"/>
                <w:lang w:val="en-GB"/>
              </w:rPr>
            </w:pPr>
            <w:r w:rsidRPr="00E01F4F">
              <w:rPr>
                <w:rFonts w:ascii="Arial" w:hAnsi="Arial" w:cs="Arial"/>
                <w:color w:val="000000" w:themeColor="text1"/>
                <w:sz w:val="16"/>
                <w:szCs w:val="16"/>
                <w:lang w:val="en-GB"/>
              </w:rPr>
              <w:t>0.20</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0.03</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21.5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19.9</w:t>
            </w:r>
          </w:p>
        </w:tc>
        <w:tc>
          <w:tcPr>
            <w:tcW w:w="1418"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color w:val="000000" w:themeColor="text1"/>
                <w:sz w:val="16"/>
                <w:szCs w:val="16"/>
                <w:lang w:val="en-GB"/>
              </w:rPr>
              <w:t>1</w:t>
            </w:r>
          </w:p>
        </w:tc>
        <w:tc>
          <w:tcPr>
            <w:tcW w:w="2374"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Hagg´s</w:t>
            </w:r>
            <w:proofErr w:type="spellEnd"/>
            <w:r w:rsidRPr="00E01F4F">
              <w:rPr>
                <w:rFonts w:ascii="Arial" w:hAnsi="Arial" w:cs="Arial"/>
                <w:sz w:val="16"/>
                <w:szCs w:val="16"/>
                <w:lang w:val="en-GB"/>
              </w:rPr>
              <w:t xml:space="preserve"> Carbide – III</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Cementite</w:t>
            </w:r>
          </w:p>
        </w:tc>
      </w:tr>
      <w:tr w:rsidR="00C90EEE" w:rsidRPr="00E01F4F" w:rsidTr="00C90EEE">
        <w:tc>
          <w:tcPr>
            <w:tcW w:w="1418" w:type="dxa"/>
            <w:tcBorders>
              <w:top w:val="single" w:sz="4" w:space="0" w:color="auto"/>
              <w:left w:val="nil"/>
              <w:bottom w:val="nil"/>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T550H1</w:t>
            </w:r>
          </w:p>
        </w:tc>
        <w:tc>
          <w:tcPr>
            <w:tcW w:w="1418" w:type="dxa"/>
            <w:tcBorders>
              <w:top w:val="single" w:sz="4" w:space="0" w:color="auto"/>
              <w:left w:val="nil"/>
              <w:bottom w:val="nil"/>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0.30</w:t>
            </w:r>
          </w:p>
        </w:tc>
        <w:tc>
          <w:tcPr>
            <w:tcW w:w="1418" w:type="dxa"/>
            <w:tcBorders>
              <w:top w:val="single" w:sz="4" w:space="0" w:color="auto"/>
              <w:left w:val="nil"/>
              <w:bottom w:val="nil"/>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0.02</w:t>
            </w:r>
          </w:p>
        </w:tc>
        <w:tc>
          <w:tcPr>
            <w:tcW w:w="1418" w:type="dxa"/>
            <w:tcBorders>
              <w:top w:val="single" w:sz="4" w:space="0" w:color="auto"/>
              <w:left w:val="nil"/>
              <w:bottom w:val="nil"/>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49.1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49.7</w:t>
            </w:r>
          </w:p>
        </w:tc>
        <w:tc>
          <w:tcPr>
            <w:tcW w:w="1418" w:type="dxa"/>
            <w:gridSpan w:val="2"/>
            <w:tcBorders>
              <w:top w:val="single" w:sz="4" w:space="0" w:color="auto"/>
              <w:left w:val="nil"/>
              <w:bottom w:val="nil"/>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23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31</w:t>
            </w:r>
          </w:p>
        </w:tc>
        <w:tc>
          <w:tcPr>
            <w:tcW w:w="2374" w:type="dxa"/>
            <w:tcBorders>
              <w:top w:val="single" w:sz="4" w:space="0" w:color="auto"/>
              <w:left w:val="nil"/>
              <w:bottom w:val="nil"/>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lastRenderedPageBreak/>
              <w:t>Maghemite</w:t>
            </w:r>
            <w:proofErr w:type="spellEnd"/>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lastRenderedPageBreak/>
              <w:t>T550H6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0.32</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418"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35</w:t>
            </w:r>
          </w:p>
        </w:tc>
        <w:tc>
          <w:tcPr>
            <w:tcW w:w="2374"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T550H12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0.31</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tc>
        <w:tc>
          <w:tcPr>
            <w:tcW w:w="1418"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18</w:t>
            </w:r>
          </w:p>
        </w:tc>
        <w:tc>
          <w:tcPr>
            <w:tcW w:w="2374"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tc>
      </w:tr>
      <w:tr w:rsidR="00C90EEE" w:rsidRPr="00E01F4F" w:rsidTr="00E01F4F">
        <w:tc>
          <w:tcPr>
            <w:tcW w:w="1418" w:type="dxa"/>
            <w:tcBorders>
              <w:top w:val="single" w:sz="4" w:space="0" w:color="auto"/>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T600H1</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1.04</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0.05</w:t>
            </w:r>
          </w:p>
        </w:tc>
        <w:tc>
          <w:tcPr>
            <w:tcW w:w="1418"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33.0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gridSpan w:val="2"/>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16</w:t>
            </w:r>
          </w:p>
        </w:tc>
        <w:tc>
          <w:tcPr>
            <w:tcW w:w="2374" w:type="dxa"/>
            <w:tcBorders>
              <w:top w:val="single" w:sz="4" w:space="0" w:color="auto"/>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α-Iron</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p>
        </w:tc>
      </w:tr>
      <w:tr w:rsidR="00C90EEE" w:rsidRPr="00E01F4F" w:rsidTr="00E01F4F">
        <w:tc>
          <w:tcPr>
            <w:tcW w:w="1418" w:type="dxa"/>
            <w:tcBorders>
              <w:top w:val="single" w:sz="4" w:space="0" w:color="D9D9D9" w:themeColor="background1" w:themeShade="D9"/>
              <w:left w:val="nil"/>
              <w:bottom w:val="single" w:sz="4" w:space="0" w:color="D9D9D9" w:themeColor="background1" w:themeShade="D9"/>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T600H6</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1.05</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0.24</w:t>
            </w:r>
          </w:p>
        </w:tc>
        <w:tc>
          <w:tcPr>
            <w:tcW w:w="1418"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gridSpan w:val="2"/>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6</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tc>
        <w:tc>
          <w:tcPr>
            <w:tcW w:w="2374" w:type="dxa"/>
            <w:tcBorders>
              <w:top w:val="single" w:sz="4" w:space="0" w:color="D9D9D9" w:themeColor="background1" w:themeShade="D9"/>
              <w:left w:val="nil"/>
              <w:bottom w:val="single" w:sz="4" w:space="0" w:color="D9D9D9" w:themeColor="background1" w:themeShade="D9"/>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α-Iron</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p>
        </w:tc>
      </w:tr>
      <w:tr w:rsidR="00C90EEE" w:rsidRPr="00E01F4F" w:rsidTr="00E01F4F">
        <w:tc>
          <w:tcPr>
            <w:tcW w:w="1418" w:type="dxa"/>
            <w:tcBorders>
              <w:top w:val="single" w:sz="4" w:space="0" w:color="D9D9D9" w:themeColor="background1" w:themeShade="D9"/>
              <w:left w:val="nil"/>
              <w:bottom w:val="single" w:sz="4" w:space="0" w:color="auto"/>
              <w:right w:val="nil"/>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T600H12</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0.33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1.03</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0.03</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0.25</w:t>
            </w:r>
          </w:p>
        </w:tc>
        <w:tc>
          <w:tcPr>
            <w:tcW w:w="1418"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33.1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gridSpan w:val="2"/>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tc>
        <w:tc>
          <w:tcPr>
            <w:tcW w:w="2374" w:type="dxa"/>
            <w:tcBorders>
              <w:top w:val="single" w:sz="4" w:space="0" w:color="D9D9D9" w:themeColor="background1" w:themeShade="D9"/>
              <w:left w:val="nil"/>
              <w:bottom w:val="single" w:sz="4" w:space="0" w:color="auto"/>
              <w:right w:val="nil"/>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Maghemite</w:t>
            </w:r>
            <w:proofErr w:type="spellEnd"/>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α-Iron</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p>
        </w:tc>
      </w:tr>
      <w:tr w:rsidR="00C90EEE" w:rsidRPr="00E01F4F" w:rsidTr="00E01F4F">
        <w:tblPrEx>
          <w:tblBorders>
            <w:top w:val="single" w:sz="4" w:space="0" w:color="auto"/>
            <w:bottom w:val="single" w:sz="4" w:space="0" w:color="auto"/>
          </w:tblBorders>
        </w:tblPrEx>
        <w:tc>
          <w:tcPr>
            <w:tcW w:w="1418" w:type="dxa"/>
            <w:tcBorders>
              <w:bottom w:val="single" w:sz="4" w:space="0" w:color="D9D9D9" w:themeColor="background1" w:themeShade="D9"/>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br w:type="column"/>
              <w:t>T650H1</w:t>
            </w:r>
          </w:p>
        </w:tc>
        <w:tc>
          <w:tcPr>
            <w:tcW w:w="1418" w:type="dxa"/>
            <w:tcBorders>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1.06</w:t>
            </w:r>
          </w:p>
        </w:tc>
        <w:tc>
          <w:tcPr>
            <w:tcW w:w="1418" w:type="dxa"/>
            <w:tcBorders>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0.12</w:t>
            </w:r>
          </w:p>
        </w:tc>
        <w:tc>
          <w:tcPr>
            <w:tcW w:w="1418" w:type="dxa"/>
            <w:tcBorders>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49.1</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46.0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gridSpan w:val="2"/>
            <w:tcBorders>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49</w:t>
            </w:r>
          </w:p>
        </w:tc>
        <w:tc>
          <w:tcPr>
            <w:tcW w:w="2374" w:type="dxa"/>
            <w:tcBorders>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α-Iron</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r w:rsidRPr="00E01F4F">
              <w:rPr>
                <w:rFonts w:ascii="Arial" w:hAnsi="Arial" w:cs="Arial"/>
                <w:sz w:val="16"/>
                <w:szCs w:val="16"/>
                <w:lang w:val="en-GB"/>
              </w:rPr>
              <w:t xml:space="preserve"> </w:t>
            </w:r>
          </w:p>
        </w:tc>
      </w:tr>
      <w:tr w:rsidR="00C90EEE" w:rsidRPr="00E01F4F" w:rsidTr="00E01F4F">
        <w:tblPrEx>
          <w:tblBorders>
            <w:top w:val="single" w:sz="4" w:space="0" w:color="auto"/>
            <w:bottom w:val="single" w:sz="4" w:space="0" w:color="auto"/>
          </w:tblBorders>
        </w:tblPrEx>
        <w:tc>
          <w:tcPr>
            <w:tcW w:w="1418" w:type="dxa"/>
            <w:tcBorders>
              <w:top w:val="single" w:sz="4" w:space="0" w:color="D9D9D9" w:themeColor="background1" w:themeShade="D9"/>
              <w:bottom w:val="single" w:sz="4" w:space="0" w:color="D9D9D9" w:themeColor="background1" w:themeShade="D9"/>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T650H6</w:t>
            </w:r>
          </w:p>
        </w:tc>
        <w:tc>
          <w:tcPr>
            <w:tcW w:w="1418" w:type="dxa"/>
            <w:tcBorders>
              <w:top w:val="single" w:sz="4" w:space="0" w:color="D9D9D9" w:themeColor="background1" w:themeShade="D9"/>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1.05</w:t>
            </w:r>
          </w:p>
        </w:tc>
        <w:tc>
          <w:tcPr>
            <w:tcW w:w="1418" w:type="dxa"/>
            <w:tcBorders>
              <w:top w:val="single" w:sz="4" w:space="0" w:color="D9D9D9" w:themeColor="background1" w:themeShade="D9"/>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0.19</w:t>
            </w:r>
          </w:p>
        </w:tc>
        <w:tc>
          <w:tcPr>
            <w:tcW w:w="1418" w:type="dxa"/>
            <w:tcBorders>
              <w:top w:val="single" w:sz="4" w:space="0" w:color="D9D9D9" w:themeColor="background1" w:themeShade="D9"/>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45.7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gridSpan w:val="2"/>
            <w:tcBorders>
              <w:top w:val="single" w:sz="4" w:space="0" w:color="D9D9D9" w:themeColor="background1" w:themeShade="D9"/>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44</w:t>
            </w:r>
          </w:p>
        </w:tc>
        <w:tc>
          <w:tcPr>
            <w:tcW w:w="2374" w:type="dxa"/>
            <w:tcBorders>
              <w:top w:val="single" w:sz="4" w:space="0" w:color="D9D9D9" w:themeColor="background1" w:themeShade="D9"/>
              <w:bottom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α-Iron</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p>
        </w:tc>
      </w:tr>
      <w:tr w:rsidR="00C90EEE" w:rsidRPr="00E01F4F" w:rsidTr="00E01F4F">
        <w:tblPrEx>
          <w:tblBorders>
            <w:top w:val="single" w:sz="4" w:space="0" w:color="auto"/>
            <w:bottom w:val="single" w:sz="4" w:space="0" w:color="auto"/>
          </w:tblBorders>
        </w:tblPrEx>
        <w:tc>
          <w:tcPr>
            <w:tcW w:w="1418" w:type="dxa"/>
            <w:tcBorders>
              <w:top w:val="single" w:sz="4" w:space="0" w:color="D9D9D9" w:themeColor="background1" w:themeShade="D9"/>
            </w:tcBorders>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T650H12</w:t>
            </w:r>
          </w:p>
        </w:tc>
        <w:tc>
          <w:tcPr>
            <w:tcW w:w="1418" w:type="dxa"/>
            <w:tcBorders>
              <w:top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0.65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0.00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1.04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0.86</w:t>
            </w:r>
          </w:p>
        </w:tc>
        <w:tc>
          <w:tcPr>
            <w:tcW w:w="1418" w:type="dxa"/>
            <w:tcBorders>
              <w:top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0.27</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0.72</w:t>
            </w:r>
          </w:p>
        </w:tc>
        <w:tc>
          <w:tcPr>
            <w:tcW w:w="1418" w:type="dxa"/>
            <w:tcBorders>
              <w:top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48.9</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47.0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32.8</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w:t>
            </w:r>
          </w:p>
        </w:tc>
        <w:tc>
          <w:tcPr>
            <w:tcW w:w="1418" w:type="dxa"/>
            <w:gridSpan w:val="2"/>
            <w:tcBorders>
              <w:top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12</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24</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5</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40</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20</w:t>
            </w:r>
          </w:p>
        </w:tc>
        <w:tc>
          <w:tcPr>
            <w:tcW w:w="2374" w:type="dxa"/>
            <w:tcBorders>
              <w:top w:val="single" w:sz="4" w:space="0" w:color="D9D9D9" w:themeColor="background1" w:themeShade="D9"/>
            </w:tcBorders>
            <w:vAlign w:val="center"/>
          </w:tcPr>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T)</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Magnetite (site O)</w:t>
            </w:r>
          </w:p>
          <w:p w:rsidR="00C90EEE" w:rsidRPr="00E01F4F" w:rsidRDefault="00C90EEE" w:rsidP="00E01F4F">
            <w:pPr>
              <w:spacing w:after="0" w:line="240" w:lineRule="auto"/>
              <w:jc w:val="center"/>
              <w:rPr>
                <w:rFonts w:ascii="Arial" w:hAnsi="Arial" w:cs="Arial"/>
                <w:sz w:val="16"/>
                <w:szCs w:val="16"/>
                <w:lang w:val="en-GB"/>
              </w:rPr>
            </w:pPr>
            <w:r w:rsidRPr="00E01F4F">
              <w:rPr>
                <w:rFonts w:ascii="Arial" w:hAnsi="Arial" w:cs="Arial"/>
                <w:sz w:val="16"/>
                <w:szCs w:val="16"/>
                <w:lang w:val="en-GB"/>
              </w:rPr>
              <w:t>α-Iron</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r w:rsidRPr="00E01F4F">
              <w:rPr>
                <w:rFonts w:ascii="Arial" w:hAnsi="Arial" w:cs="Arial"/>
                <w:sz w:val="16"/>
                <w:szCs w:val="16"/>
                <w:lang w:val="en-GB"/>
              </w:rPr>
              <w:t xml:space="preserve"> </w:t>
            </w:r>
          </w:p>
          <w:p w:rsidR="00C90EEE" w:rsidRPr="00E01F4F" w:rsidRDefault="00C90EEE" w:rsidP="00E01F4F">
            <w:pPr>
              <w:spacing w:after="0" w:line="240" w:lineRule="auto"/>
              <w:jc w:val="center"/>
              <w:rPr>
                <w:rFonts w:ascii="Arial" w:hAnsi="Arial" w:cs="Arial"/>
                <w:sz w:val="16"/>
                <w:szCs w:val="16"/>
                <w:lang w:val="en-GB"/>
              </w:rPr>
            </w:pPr>
            <w:proofErr w:type="spellStart"/>
            <w:r w:rsidRPr="00E01F4F">
              <w:rPr>
                <w:rFonts w:ascii="Arial" w:hAnsi="Arial" w:cs="Arial"/>
                <w:sz w:val="16"/>
                <w:szCs w:val="16"/>
                <w:lang w:val="en-GB"/>
              </w:rPr>
              <w:t>Wüstite</w:t>
            </w:r>
            <w:proofErr w:type="spellEnd"/>
            <w:r w:rsidRPr="00E01F4F">
              <w:rPr>
                <w:rFonts w:ascii="Arial" w:hAnsi="Arial" w:cs="Arial"/>
                <w:sz w:val="16"/>
                <w:szCs w:val="16"/>
                <w:lang w:val="en-GB"/>
              </w:rPr>
              <w:t xml:space="preserve"> </w:t>
            </w:r>
          </w:p>
        </w:tc>
      </w:tr>
    </w:tbl>
    <w:p w:rsidR="00C90EEE" w:rsidRPr="00E01F4F" w:rsidRDefault="00C90EEE" w:rsidP="00E01F4F">
      <w:pPr>
        <w:pStyle w:val="Titulek"/>
        <w:keepNext/>
        <w:spacing w:after="0"/>
        <w:rPr>
          <w:rFonts w:ascii="Arial" w:hAnsi="Arial" w:cs="Arial"/>
          <w:i w:val="0"/>
          <w:color w:val="auto"/>
          <w:sz w:val="16"/>
          <w:szCs w:val="16"/>
          <w:lang w:val="en-GB"/>
        </w:rPr>
      </w:pPr>
      <w:r w:rsidRPr="00E01F4F">
        <w:rPr>
          <w:rFonts w:ascii="Arial" w:hAnsi="Arial" w:cs="Arial"/>
          <w:color w:val="auto"/>
          <w:sz w:val="16"/>
          <w:szCs w:val="16"/>
          <w:lang w:val="en-GB"/>
        </w:rPr>
        <w:t>δ</w:t>
      </w:r>
      <w:r w:rsidRPr="00E01F4F">
        <w:rPr>
          <w:rFonts w:ascii="Arial" w:hAnsi="Arial" w:cs="Arial"/>
          <w:i w:val="0"/>
          <w:color w:val="auto"/>
          <w:sz w:val="16"/>
          <w:szCs w:val="16"/>
          <w:lang w:val="en-GB"/>
        </w:rPr>
        <w:t xml:space="preserve"> – </w:t>
      </w:r>
      <w:proofErr w:type="gramStart"/>
      <w:r w:rsidRPr="00E01F4F">
        <w:rPr>
          <w:rFonts w:ascii="Arial" w:hAnsi="Arial" w:cs="Arial"/>
          <w:i w:val="0"/>
          <w:color w:val="auto"/>
          <w:sz w:val="16"/>
          <w:szCs w:val="16"/>
          <w:lang w:val="en-GB"/>
        </w:rPr>
        <w:t>isomer</w:t>
      </w:r>
      <w:proofErr w:type="gramEnd"/>
      <w:r w:rsidRPr="00E01F4F">
        <w:rPr>
          <w:rFonts w:ascii="Arial" w:hAnsi="Arial" w:cs="Arial"/>
          <w:i w:val="0"/>
          <w:color w:val="auto"/>
          <w:sz w:val="16"/>
          <w:szCs w:val="16"/>
          <w:lang w:val="en-GB"/>
        </w:rPr>
        <w:t xml:space="preserve"> shift, ∆</w:t>
      </w:r>
      <w:r w:rsidRPr="00E01F4F">
        <w:rPr>
          <w:rFonts w:ascii="Arial" w:hAnsi="Arial" w:cs="Arial"/>
          <w:color w:val="auto"/>
          <w:sz w:val="16"/>
          <w:szCs w:val="16"/>
          <w:lang w:val="en-GB"/>
        </w:rPr>
        <w:t>E</w:t>
      </w:r>
      <w:r w:rsidRPr="00E01F4F">
        <w:rPr>
          <w:rFonts w:ascii="Arial" w:hAnsi="Arial" w:cs="Arial"/>
          <w:color w:val="auto"/>
          <w:sz w:val="16"/>
          <w:szCs w:val="16"/>
          <w:vertAlign w:val="subscript"/>
          <w:lang w:val="en-GB"/>
        </w:rPr>
        <w:t xml:space="preserve">Q </w:t>
      </w:r>
      <w:r w:rsidRPr="00E01F4F">
        <w:rPr>
          <w:rFonts w:ascii="Arial" w:hAnsi="Arial" w:cs="Arial"/>
          <w:color w:val="auto"/>
          <w:sz w:val="16"/>
          <w:szCs w:val="16"/>
          <w:lang w:val="en-GB"/>
        </w:rPr>
        <w:t>– quadrupole splitting,</w:t>
      </w:r>
      <w:r w:rsidRPr="00E01F4F">
        <w:rPr>
          <w:rFonts w:ascii="Arial" w:hAnsi="Arial" w:cs="Arial"/>
          <w:color w:val="auto"/>
          <w:sz w:val="16"/>
          <w:szCs w:val="16"/>
          <w:vertAlign w:val="subscript"/>
          <w:lang w:val="en-GB"/>
        </w:rPr>
        <w:t xml:space="preserve"> </w:t>
      </w:r>
      <w:r w:rsidRPr="00E01F4F">
        <w:rPr>
          <w:rFonts w:ascii="Arial" w:hAnsi="Arial" w:cs="Arial"/>
          <w:color w:val="auto"/>
          <w:sz w:val="16"/>
          <w:szCs w:val="16"/>
          <w:lang w:val="en-GB"/>
        </w:rPr>
        <w:t>H – hyperfine magnetic field, R</w:t>
      </w:r>
      <w:r w:rsidRPr="00E01F4F">
        <w:rPr>
          <w:rFonts w:ascii="Arial" w:hAnsi="Arial" w:cs="Arial"/>
          <w:i w:val="0"/>
          <w:color w:val="auto"/>
          <w:sz w:val="16"/>
          <w:szCs w:val="16"/>
          <w:lang w:val="en-GB"/>
        </w:rPr>
        <w:t>A – relative area.</w:t>
      </w:r>
      <w:r w:rsidRPr="00E01F4F">
        <w:rPr>
          <w:rFonts w:ascii="Arial" w:hAnsi="Arial" w:cs="Arial"/>
          <w:color w:val="auto"/>
          <w:sz w:val="16"/>
          <w:szCs w:val="16"/>
          <w:vertAlign w:val="subscript"/>
          <w:lang w:val="en-GB"/>
        </w:rPr>
        <w:t xml:space="preserve"> </w:t>
      </w:r>
      <w:r w:rsidRPr="00E01F4F">
        <w:rPr>
          <w:rFonts w:ascii="Arial" w:hAnsi="Arial" w:cs="Arial"/>
          <w:i w:val="0"/>
          <w:color w:val="auto"/>
          <w:sz w:val="16"/>
          <w:szCs w:val="16"/>
          <w:lang w:val="en-GB"/>
        </w:rPr>
        <w:t xml:space="preserve">The f-factor was considered equal to 1 for all reported phases. </w:t>
      </w:r>
    </w:p>
    <w:p w:rsidR="00C90EEE" w:rsidRPr="00FB2A56" w:rsidRDefault="00C90EEE" w:rsidP="00DA780F">
      <w:pPr>
        <w:pStyle w:val="Bezmezer"/>
        <w:spacing w:line="360" w:lineRule="auto"/>
        <w:ind w:firstLine="482"/>
        <w:jc w:val="both"/>
        <w:rPr>
          <w:rFonts w:ascii="Times New Roman" w:hAnsi="Times New Roman"/>
          <w:sz w:val="24"/>
          <w:szCs w:val="24"/>
          <w:lang w:val="en-GB"/>
        </w:rPr>
      </w:pPr>
    </w:p>
    <w:p w:rsidR="00C90EEE" w:rsidRPr="00FB2A56" w:rsidRDefault="00C90EEE" w:rsidP="00DA780F">
      <w:pPr>
        <w:pStyle w:val="Bezmezer"/>
        <w:spacing w:line="360" w:lineRule="auto"/>
        <w:jc w:val="both"/>
        <w:rPr>
          <w:rFonts w:ascii="Times New Roman" w:hAnsi="Times New Roman"/>
          <w:b/>
          <w:sz w:val="24"/>
          <w:szCs w:val="24"/>
          <w:lang w:val="en-GB"/>
        </w:rPr>
      </w:pPr>
      <w:r w:rsidRPr="00FB2A56">
        <w:rPr>
          <w:rFonts w:ascii="Times New Roman" w:hAnsi="Times New Roman"/>
          <w:sz w:val="24"/>
          <w:szCs w:val="24"/>
          <w:lang w:val="en-GB"/>
        </w:rPr>
        <w:br w:type="column"/>
      </w:r>
      <w:proofErr w:type="gramStart"/>
      <w:r w:rsidRPr="00FB2A56">
        <w:rPr>
          <w:rFonts w:ascii="Times New Roman" w:hAnsi="Times New Roman"/>
          <w:b/>
          <w:sz w:val="24"/>
          <w:szCs w:val="24"/>
          <w:lang w:val="en-GB"/>
        </w:rPr>
        <w:lastRenderedPageBreak/>
        <w:t>The T550 series.</w:t>
      </w:r>
      <w:proofErr w:type="gramEnd"/>
    </w:p>
    <w:p w:rsidR="00C90EEE" w:rsidRPr="00FB2A56" w:rsidRDefault="00C90EEE" w:rsidP="00DA780F">
      <w:pPr>
        <w:pStyle w:val="Bezmezer"/>
        <w:spacing w:line="360" w:lineRule="auto"/>
        <w:ind w:firstLine="420"/>
        <w:jc w:val="both"/>
        <w:rPr>
          <w:rFonts w:ascii="Times New Roman" w:hAnsi="Times New Roman"/>
          <w:sz w:val="24"/>
          <w:szCs w:val="24"/>
          <w:lang w:val="en-GB"/>
        </w:rPr>
      </w:pPr>
      <w:r w:rsidRPr="00FB2A56">
        <w:rPr>
          <w:rFonts w:ascii="Times New Roman" w:hAnsi="Times New Roman"/>
          <w:sz w:val="24"/>
          <w:szCs w:val="24"/>
          <w:lang w:val="en-GB"/>
        </w:rPr>
        <w:t xml:space="preserve">The next series was </w:t>
      </w:r>
      <w:proofErr w:type="spellStart"/>
      <w:r w:rsidRPr="00FB2A56">
        <w:rPr>
          <w:rFonts w:ascii="Times New Roman" w:hAnsi="Times New Roman"/>
          <w:sz w:val="24"/>
          <w:szCs w:val="24"/>
          <w:lang w:val="en-GB"/>
        </w:rPr>
        <w:t>calcinated</w:t>
      </w:r>
      <w:proofErr w:type="spellEnd"/>
      <w:r w:rsidRPr="00FB2A56">
        <w:rPr>
          <w:rFonts w:ascii="Times New Roman" w:hAnsi="Times New Roman"/>
          <w:sz w:val="24"/>
          <w:szCs w:val="24"/>
          <w:lang w:val="en-GB"/>
        </w:rPr>
        <w:t xml:space="preserve"> at 550 °C. All three samples of the T550 series were composed of spinel-structured iron oxides according to the data acquired from both Mössbauer spectroscopy and XRD (see Table </w:t>
      </w:r>
      <w:proofErr w:type="gramStart"/>
      <w:r w:rsidRPr="00FB2A56">
        <w:rPr>
          <w:rFonts w:ascii="Times New Roman" w:hAnsi="Times New Roman"/>
          <w:sz w:val="24"/>
          <w:szCs w:val="24"/>
          <w:lang w:val="en-GB"/>
        </w:rPr>
        <w:t>1.,</w:t>
      </w:r>
      <w:proofErr w:type="gramEnd"/>
      <w:r w:rsidRPr="00FB2A56">
        <w:rPr>
          <w:rFonts w:ascii="Times New Roman" w:hAnsi="Times New Roman"/>
          <w:sz w:val="24"/>
          <w:szCs w:val="24"/>
          <w:lang w:val="en-GB"/>
        </w:rPr>
        <w:t xml:space="preserve"> Table 2.). No signs of carbides or any other material were observed. Although the evaluation of the XRD patterns, especially the cell parameter, pointed to a non-stoichiometric magnetite, the relative areas of individual spectral lines in Mössbauer spectra suggest the presence of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and magnetite mixture, see Fig</w:t>
      </w:r>
      <w:r w:rsidR="00073AE9">
        <w:rPr>
          <w:rFonts w:ascii="Times New Roman" w:hAnsi="Times New Roman"/>
          <w:sz w:val="24"/>
          <w:szCs w:val="24"/>
          <w:lang w:val="en-GB"/>
        </w:rPr>
        <w:t>ure</w:t>
      </w:r>
      <w:r w:rsidRPr="00FB2A56">
        <w:rPr>
          <w:rFonts w:ascii="Times New Roman" w:hAnsi="Times New Roman"/>
          <w:sz w:val="24"/>
          <w:szCs w:val="24"/>
          <w:lang w:val="en-GB"/>
        </w:rPr>
        <w:t xml:space="preserve"> 3. Compared with our results, </w:t>
      </w:r>
      <w:proofErr w:type="spellStart"/>
      <w:r w:rsidRPr="00FB2A56">
        <w:rPr>
          <w:rFonts w:ascii="Times New Roman" w:hAnsi="Times New Roman"/>
          <w:sz w:val="24"/>
          <w:szCs w:val="24"/>
          <w:lang w:val="en-GB"/>
        </w:rPr>
        <w:t>Hermanek</w:t>
      </w:r>
      <w:proofErr w:type="spellEnd"/>
      <w:r w:rsidRPr="00FB2A56">
        <w:rPr>
          <w:rFonts w:ascii="Times New Roman" w:hAnsi="Times New Roman"/>
          <w:sz w:val="24"/>
          <w:szCs w:val="24"/>
          <w:lang w:val="en-GB"/>
        </w:rPr>
        <w:t xml:space="preserve"> et al.</w:t>
      </w:r>
      <w:r w:rsidRPr="00FB2A56">
        <w:rPr>
          <w:rFonts w:ascii="Times New Roman" w:hAnsi="Times New Roman"/>
          <w:sz w:val="24"/>
          <w:szCs w:val="24"/>
          <w:lang w:val="en-GB"/>
        </w:rPr>
        <w:fldChar w:fldCharType="begin" w:fldLock="1"/>
      </w:r>
      <w:r w:rsidR="00752133">
        <w:rPr>
          <w:rFonts w:ascii="Times New Roman" w:hAnsi="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34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also reported a significant amount of α-iron (around 20 % in Mössbauer spectrum) in the temperature range of 500</w:t>
      </w:r>
      <w:r w:rsidRPr="00FB2A56">
        <w:rPr>
          <w:rFonts w:ascii="Times New Roman" w:eastAsia="Batang" w:hAnsi="Times New Roman"/>
          <w:color w:val="000000"/>
          <w:sz w:val="24"/>
          <w:szCs w:val="24"/>
          <w:lang w:val="en-GB" w:eastAsia="ko-KR"/>
        </w:rPr>
        <w:t>–</w:t>
      </w:r>
      <w:r w:rsidRPr="00FB2A56">
        <w:rPr>
          <w:rFonts w:ascii="Times New Roman" w:hAnsi="Times New Roman"/>
          <w:sz w:val="24"/>
          <w:szCs w:val="24"/>
          <w:lang w:val="en-GB"/>
        </w:rPr>
        <w:t>570 °C. They suggested that the α-iron was a product of iron carbides decomposition. The missing α-iron in our samples might be explained by relatively lower amount of iron carbides. In addition, the eventual traces of α-iron might have been re-oxidised upon its exposure to the ambient atmosphere after the cells were open. The relatively high temperature of 550 °C is probably the cause of gradually increasing crystallite size within the series; from 56 nm to 162 nm for samples T550H1 and T550H12, respectively. The dramatic increase in particle size was also observed in SEM images of samples T500H1 and T550H12 (Fig</w:t>
      </w:r>
      <w:r w:rsidR="00073AE9">
        <w:rPr>
          <w:rFonts w:ascii="Times New Roman" w:hAnsi="Times New Roman"/>
          <w:sz w:val="24"/>
          <w:szCs w:val="24"/>
          <w:lang w:val="en-GB"/>
        </w:rPr>
        <w:t>ure</w:t>
      </w:r>
      <w:r w:rsidRPr="00FB2A56">
        <w:rPr>
          <w:rFonts w:ascii="Times New Roman" w:hAnsi="Times New Roman"/>
          <w:sz w:val="24"/>
          <w:szCs w:val="24"/>
          <w:lang w:val="en-GB"/>
        </w:rPr>
        <w:t xml:space="preserve"> 4.).</w:t>
      </w:r>
    </w:p>
    <w:p w:rsidR="00C90EEE" w:rsidRPr="00FB2A56" w:rsidRDefault="00C90EEE" w:rsidP="00B5307E">
      <w:pPr>
        <w:keepNext/>
        <w:spacing w:line="360" w:lineRule="auto"/>
        <w:rPr>
          <w:rFonts w:ascii="Times New Roman" w:hAnsi="Times New Roman" w:cs="Times New Roman"/>
          <w:color w:val="000000" w:themeColor="text1"/>
          <w:sz w:val="24"/>
          <w:szCs w:val="24"/>
          <w:lang w:val="en-GB"/>
        </w:rPr>
      </w:pPr>
      <w:r w:rsidRPr="00FB2A56">
        <w:rPr>
          <w:rFonts w:ascii="Times New Roman" w:hAnsi="Times New Roman" w:cs="Times New Roman"/>
          <w:noProof/>
          <w:color w:val="000000" w:themeColor="text1"/>
          <w:sz w:val="24"/>
          <w:szCs w:val="24"/>
          <w:lang w:eastAsia="cs-CZ"/>
        </w:rPr>
        <w:drawing>
          <wp:inline distT="0" distB="0" distL="0" distR="0" wp14:anchorId="1CA10F10" wp14:editId="69CB8E16">
            <wp:extent cx="5759450" cy="21990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T550H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199005"/>
                    </a:xfrm>
                    <a:prstGeom prst="rect">
                      <a:avLst/>
                    </a:prstGeom>
                  </pic:spPr>
                </pic:pic>
              </a:graphicData>
            </a:graphic>
          </wp:inline>
        </w:drawing>
      </w:r>
    </w:p>
    <w:p w:rsidR="00C90EEE" w:rsidRPr="00073AE9" w:rsidRDefault="00C90EEE" w:rsidP="00B5307E">
      <w:pPr>
        <w:pStyle w:val="Titulek"/>
        <w:spacing w:line="360" w:lineRule="auto"/>
        <w:rPr>
          <w:rFonts w:ascii="Times New Roman" w:hAnsi="Times New Roman" w:cs="Times New Roman"/>
          <w:i w:val="0"/>
          <w:color w:val="000000" w:themeColor="text1"/>
          <w:sz w:val="16"/>
          <w:szCs w:val="16"/>
          <w:lang w:val="en-GB"/>
        </w:rPr>
      </w:pPr>
      <w:proofErr w:type="gramStart"/>
      <w:r w:rsidRPr="00A95435">
        <w:rPr>
          <w:rFonts w:ascii="Times New Roman" w:hAnsi="Times New Roman" w:cs="Times New Roman"/>
          <w:b/>
          <w:i w:val="0"/>
          <w:color w:val="000000" w:themeColor="text1"/>
          <w:sz w:val="16"/>
          <w:szCs w:val="16"/>
          <w:lang w:val="en-GB"/>
        </w:rPr>
        <w:t>Fig</w:t>
      </w:r>
      <w:r w:rsidR="00073AE9" w:rsidRPr="00A95435">
        <w:rPr>
          <w:rFonts w:ascii="Times New Roman" w:hAnsi="Times New Roman" w:cs="Times New Roman"/>
          <w:b/>
          <w:i w:val="0"/>
          <w:color w:val="000000" w:themeColor="text1"/>
          <w:sz w:val="16"/>
          <w:szCs w:val="16"/>
          <w:lang w:val="en-GB"/>
        </w:rPr>
        <w:t>ure</w:t>
      </w:r>
      <w:r w:rsidRPr="00A95435">
        <w:rPr>
          <w:rFonts w:ascii="Times New Roman" w:hAnsi="Times New Roman" w:cs="Times New Roman"/>
          <w:b/>
          <w:i w:val="0"/>
          <w:color w:val="000000" w:themeColor="text1"/>
          <w:sz w:val="16"/>
          <w:szCs w:val="16"/>
          <w:lang w:val="en-GB"/>
        </w:rPr>
        <w:t xml:space="preserve"> </w:t>
      </w:r>
      <w:r w:rsidRPr="00A95435">
        <w:rPr>
          <w:rFonts w:ascii="Times New Roman" w:hAnsi="Times New Roman" w:cs="Times New Roman"/>
          <w:b/>
          <w:i w:val="0"/>
          <w:color w:val="000000" w:themeColor="text1"/>
          <w:sz w:val="16"/>
          <w:szCs w:val="16"/>
          <w:lang w:val="en-GB"/>
        </w:rPr>
        <w:fldChar w:fldCharType="begin"/>
      </w:r>
      <w:r w:rsidRPr="00A95435">
        <w:rPr>
          <w:rFonts w:ascii="Times New Roman" w:hAnsi="Times New Roman" w:cs="Times New Roman"/>
          <w:b/>
          <w:i w:val="0"/>
          <w:color w:val="000000" w:themeColor="text1"/>
          <w:sz w:val="16"/>
          <w:szCs w:val="16"/>
          <w:lang w:val="en-GB"/>
        </w:rPr>
        <w:instrText xml:space="preserve"> SEQ Figure \* ARABIC </w:instrText>
      </w:r>
      <w:r w:rsidRPr="00A95435">
        <w:rPr>
          <w:rFonts w:ascii="Times New Roman" w:hAnsi="Times New Roman" w:cs="Times New Roman"/>
          <w:b/>
          <w:i w:val="0"/>
          <w:color w:val="000000" w:themeColor="text1"/>
          <w:sz w:val="16"/>
          <w:szCs w:val="16"/>
          <w:lang w:val="en-GB"/>
        </w:rPr>
        <w:fldChar w:fldCharType="separate"/>
      </w:r>
      <w:r w:rsidR="00B5307E">
        <w:rPr>
          <w:rFonts w:ascii="Times New Roman" w:hAnsi="Times New Roman" w:cs="Times New Roman"/>
          <w:b/>
          <w:i w:val="0"/>
          <w:noProof/>
          <w:color w:val="000000" w:themeColor="text1"/>
          <w:sz w:val="16"/>
          <w:szCs w:val="16"/>
          <w:lang w:val="en-GB"/>
        </w:rPr>
        <w:t>3</w:t>
      </w:r>
      <w:r w:rsidRPr="00A95435">
        <w:rPr>
          <w:rFonts w:ascii="Times New Roman" w:hAnsi="Times New Roman" w:cs="Times New Roman"/>
          <w:b/>
          <w:i w:val="0"/>
          <w:color w:val="000000" w:themeColor="text1"/>
          <w:sz w:val="16"/>
          <w:szCs w:val="16"/>
          <w:lang w:val="en-GB"/>
        </w:rPr>
        <w:fldChar w:fldCharType="end"/>
      </w:r>
      <w:r w:rsidRPr="00073AE9">
        <w:rPr>
          <w:rFonts w:ascii="Times New Roman" w:hAnsi="Times New Roman" w:cs="Times New Roman"/>
          <w:i w:val="0"/>
          <w:color w:val="000000" w:themeColor="text1"/>
          <w:sz w:val="16"/>
          <w:szCs w:val="16"/>
          <w:lang w:val="en-GB"/>
        </w:rPr>
        <w:t>.</w:t>
      </w:r>
      <w:proofErr w:type="gramEnd"/>
      <w:r w:rsidRPr="00073AE9">
        <w:rPr>
          <w:rFonts w:ascii="Times New Roman" w:hAnsi="Times New Roman" w:cs="Times New Roman"/>
          <w:i w:val="0"/>
          <w:color w:val="000000" w:themeColor="text1"/>
          <w:sz w:val="16"/>
          <w:szCs w:val="16"/>
          <w:lang w:val="en-GB"/>
        </w:rPr>
        <w:t xml:space="preserve"> Mössbauer and XRD data of sample T550H1.</w:t>
      </w:r>
    </w:p>
    <w:p w:rsidR="00C90EEE" w:rsidRPr="00FB2A56" w:rsidRDefault="00C90EEE" w:rsidP="00DA780F">
      <w:pPr>
        <w:keepNext/>
        <w:spacing w:line="360" w:lineRule="auto"/>
        <w:rPr>
          <w:rFonts w:ascii="Times New Roman" w:hAnsi="Times New Roman" w:cs="Times New Roman"/>
          <w:sz w:val="24"/>
          <w:szCs w:val="24"/>
          <w:lang w:val="en-GB"/>
        </w:rPr>
      </w:pPr>
      <w:r w:rsidRPr="00FB2A56">
        <w:rPr>
          <w:rFonts w:ascii="Times New Roman" w:hAnsi="Times New Roman" w:cs="Times New Roman"/>
          <w:noProof/>
          <w:sz w:val="24"/>
          <w:szCs w:val="24"/>
          <w:lang w:eastAsia="cs-CZ"/>
        </w:rPr>
        <w:lastRenderedPageBreak/>
        <w:drawing>
          <wp:anchor distT="0" distB="0" distL="114300" distR="114300" simplePos="0" relativeHeight="251661312" behindDoc="0" locked="0" layoutInCell="1" allowOverlap="1" wp14:anchorId="4116C173" wp14:editId="2108425B">
            <wp:simplePos x="0" y="0"/>
            <wp:positionH relativeFrom="column">
              <wp:posOffset>2978150</wp:posOffset>
            </wp:positionH>
            <wp:positionV relativeFrom="paragraph">
              <wp:posOffset>-1270</wp:posOffset>
            </wp:positionV>
            <wp:extent cx="2775699" cy="3101340"/>
            <wp:effectExtent l="0" t="0" r="5715" b="381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550H12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5699" cy="3101340"/>
                    </a:xfrm>
                    <a:prstGeom prst="rect">
                      <a:avLst/>
                    </a:prstGeom>
                  </pic:spPr>
                </pic:pic>
              </a:graphicData>
            </a:graphic>
            <wp14:sizeRelH relativeFrom="page">
              <wp14:pctWidth>0</wp14:pctWidth>
            </wp14:sizeRelH>
            <wp14:sizeRelV relativeFrom="page">
              <wp14:pctHeight>0</wp14:pctHeight>
            </wp14:sizeRelV>
          </wp:anchor>
        </w:drawing>
      </w:r>
      <w:r w:rsidRPr="00FB2A56">
        <w:rPr>
          <w:rFonts w:ascii="Times New Roman" w:hAnsi="Times New Roman" w:cs="Times New Roman"/>
          <w:noProof/>
          <w:sz w:val="24"/>
          <w:szCs w:val="24"/>
          <w:lang w:eastAsia="cs-CZ"/>
        </w:rPr>
        <w:drawing>
          <wp:inline distT="0" distB="0" distL="0" distR="0" wp14:anchorId="54E64DE9" wp14:editId="2247CDF8">
            <wp:extent cx="2769175" cy="3093720"/>
            <wp:effectExtent l="0" t="0" r="0" b="0"/>
            <wp:docPr id="5" name="Obrázek 5" descr="Obsah obrázku strom, exteriér, fotka, černá&#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550H1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9327" cy="3105062"/>
                    </a:xfrm>
                    <a:prstGeom prst="rect">
                      <a:avLst/>
                    </a:prstGeom>
                  </pic:spPr>
                </pic:pic>
              </a:graphicData>
            </a:graphic>
          </wp:inline>
        </w:drawing>
      </w:r>
    </w:p>
    <w:p w:rsidR="00C90EEE" w:rsidRPr="00073AE9" w:rsidRDefault="00C90EEE" w:rsidP="00B5307E">
      <w:pPr>
        <w:pStyle w:val="Titulek"/>
        <w:spacing w:line="360" w:lineRule="auto"/>
        <w:rPr>
          <w:rFonts w:ascii="Times New Roman" w:hAnsi="Times New Roman" w:cs="Times New Roman"/>
          <w:i w:val="0"/>
          <w:color w:val="000000" w:themeColor="text1"/>
          <w:sz w:val="16"/>
          <w:szCs w:val="16"/>
          <w:lang w:val="en-GB"/>
        </w:rPr>
      </w:pPr>
      <w:proofErr w:type="gramStart"/>
      <w:r w:rsidRPr="00A95435">
        <w:rPr>
          <w:rFonts w:ascii="Times New Roman" w:hAnsi="Times New Roman" w:cs="Times New Roman"/>
          <w:b/>
          <w:i w:val="0"/>
          <w:color w:val="000000" w:themeColor="text1"/>
          <w:sz w:val="16"/>
          <w:szCs w:val="16"/>
          <w:lang w:val="en-GB"/>
        </w:rPr>
        <w:t>Fig</w:t>
      </w:r>
      <w:r w:rsidR="00073AE9" w:rsidRPr="00A95435">
        <w:rPr>
          <w:rFonts w:ascii="Times New Roman" w:hAnsi="Times New Roman" w:cs="Times New Roman"/>
          <w:b/>
          <w:i w:val="0"/>
          <w:color w:val="000000" w:themeColor="text1"/>
          <w:sz w:val="16"/>
          <w:szCs w:val="16"/>
          <w:lang w:val="en-GB"/>
        </w:rPr>
        <w:t>ure</w:t>
      </w:r>
      <w:r w:rsidRPr="00A95435">
        <w:rPr>
          <w:rFonts w:ascii="Times New Roman" w:hAnsi="Times New Roman" w:cs="Times New Roman"/>
          <w:b/>
          <w:i w:val="0"/>
          <w:color w:val="000000" w:themeColor="text1"/>
          <w:sz w:val="16"/>
          <w:szCs w:val="16"/>
          <w:lang w:val="en-GB"/>
        </w:rPr>
        <w:t xml:space="preserve"> </w:t>
      </w:r>
      <w:r w:rsidRPr="00A95435">
        <w:rPr>
          <w:rFonts w:ascii="Times New Roman" w:hAnsi="Times New Roman" w:cs="Times New Roman"/>
          <w:b/>
          <w:i w:val="0"/>
          <w:color w:val="000000" w:themeColor="text1"/>
          <w:sz w:val="16"/>
          <w:szCs w:val="16"/>
          <w:lang w:val="en-GB"/>
        </w:rPr>
        <w:fldChar w:fldCharType="begin"/>
      </w:r>
      <w:r w:rsidRPr="00A95435">
        <w:rPr>
          <w:rFonts w:ascii="Times New Roman" w:hAnsi="Times New Roman" w:cs="Times New Roman"/>
          <w:b/>
          <w:i w:val="0"/>
          <w:color w:val="000000" w:themeColor="text1"/>
          <w:sz w:val="16"/>
          <w:szCs w:val="16"/>
          <w:lang w:val="en-GB"/>
        </w:rPr>
        <w:instrText xml:space="preserve"> SEQ Figure \* ARABIC </w:instrText>
      </w:r>
      <w:r w:rsidRPr="00A95435">
        <w:rPr>
          <w:rFonts w:ascii="Times New Roman" w:hAnsi="Times New Roman" w:cs="Times New Roman"/>
          <w:b/>
          <w:i w:val="0"/>
          <w:color w:val="000000" w:themeColor="text1"/>
          <w:sz w:val="16"/>
          <w:szCs w:val="16"/>
          <w:lang w:val="en-GB"/>
        </w:rPr>
        <w:fldChar w:fldCharType="separate"/>
      </w:r>
      <w:r w:rsidR="00B5307E">
        <w:rPr>
          <w:rFonts w:ascii="Times New Roman" w:hAnsi="Times New Roman" w:cs="Times New Roman"/>
          <w:b/>
          <w:i w:val="0"/>
          <w:noProof/>
          <w:color w:val="000000" w:themeColor="text1"/>
          <w:sz w:val="16"/>
          <w:szCs w:val="16"/>
          <w:lang w:val="en-GB"/>
        </w:rPr>
        <w:t>4</w:t>
      </w:r>
      <w:r w:rsidRPr="00A95435">
        <w:rPr>
          <w:rFonts w:ascii="Times New Roman" w:hAnsi="Times New Roman" w:cs="Times New Roman"/>
          <w:b/>
          <w:i w:val="0"/>
          <w:color w:val="000000" w:themeColor="text1"/>
          <w:sz w:val="16"/>
          <w:szCs w:val="16"/>
          <w:lang w:val="en-GB"/>
        </w:rPr>
        <w:fldChar w:fldCharType="end"/>
      </w:r>
      <w:r w:rsidRPr="00073AE9">
        <w:rPr>
          <w:rFonts w:ascii="Times New Roman" w:hAnsi="Times New Roman" w:cs="Times New Roman"/>
          <w:i w:val="0"/>
          <w:color w:val="000000" w:themeColor="text1"/>
          <w:sz w:val="16"/>
          <w:szCs w:val="16"/>
          <w:lang w:val="en-GB"/>
        </w:rPr>
        <w:t>.</w:t>
      </w:r>
      <w:proofErr w:type="gramEnd"/>
      <w:r w:rsidRPr="00073AE9">
        <w:rPr>
          <w:rFonts w:ascii="Times New Roman" w:hAnsi="Times New Roman" w:cs="Times New Roman"/>
          <w:i w:val="0"/>
          <w:color w:val="000000" w:themeColor="text1"/>
          <w:sz w:val="16"/>
          <w:szCs w:val="16"/>
          <w:lang w:val="en-GB"/>
        </w:rPr>
        <w:t xml:space="preserve"> </w:t>
      </w:r>
      <w:proofErr w:type="gramStart"/>
      <w:r w:rsidRPr="00073AE9">
        <w:rPr>
          <w:rFonts w:ascii="Times New Roman" w:hAnsi="Times New Roman" w:cs="Times New Roman"/>
          <w:i w:val="0"/>
          <w:color w:val="000000" w:themeColor="text1"/>
          <w:sz w:val="16"/>
          <w:szCs w:val="16"/>
          <w:lang w:val="en-GB"/>
        </w:rPr>
        <w:t>SEM images of samples T550H1 (left) and T550H12 (right).</w:t>
      </w:r>
      <w:proofErr w:type="gramEnd"/>
    </w:p>
    <w:p w:rsidR="00C90EEE" w:rsidRPr="00FB2A56" w:rsidRDefault="00C90EEE" w:rsidP="00DA780F">
      <w:pPr>
        <w:pStyle w:val="Bezmezer"/>
        <w:spacing w:line="360" w:lineRule="auto"/>
        <w:jc w:val="both"/>
        <w:rPr>
          <w:rFonts w:ascii="Times New Roman" w:hAnsi="Times New Roman"/>
          <w:b/>
          <w:sz w:val="24"/>
          <w:szCs w:val="24"/>
          <w:lang w:val="en-GB"/>
        </w:rPr>
      </w:pPr>
      <w:proofErr w:type="gramStart"/>
      <w:r w:rsidRPr="00FB2A56">
        <w:rPr>
          <w:rFonts w:ascii="Times New Roman" w:hAnsi="Times New Roman"/>
          <w:b/>
          <w:sz w:val="24"/>
          <w:szCs w:val="24"/>
          <w:lang w:val="en-GB"/>
        </w:rPr>
        <w:t>The T600 series.</w:t>
      </w:r>
      <w:proofErr w:type="gramEnd"/>
    </w:p>
    <w:p w:rsidR="00C90EEE" w:rsidRPr="00FB2A56" w:rsidRDefault="00C90EEE" w:rsidP="00DA780F">
      <w:pPr>
        <w:pStyle w:val="Bezmezer"/>
        <w:spacing w:line="360" w:lineRule="auto"/>
        <w:jc w:val="both"/>
        <w:rPr>
          <w:rFonts w:ascii="Times New Roman" w:hAnsi="Times New Roman"/>
          <w:sz w:val="24"/>
          <w:szCs w:val="24"/>
          <w:lang w:val="en-GB"/>
        </w:rPr>
      </w:pPr>
      <w:r w:rsidRPr="00FB2A56">
        <w:rPr>
          <w:rFonts w:ascii="Times New Roman" w:hAnsi="Times New Roman"/>
          <w:sz w:val="24"/>
          <w:szCs w:val="24"/>
          <w:lang w:val="en-GB"/>
        </w:rPr>
        <w:t xml:space="preserve">  After the samples of the seventh series had been </w:t>
      </w:r>
      <w:proofErr w:type="spellStart"/>
      <w:r w:rsidRPr="00FB2A56">
        <w:rPr>
          <w:rFonts w:ascii="Times New Roman" w:hAnsi="Times New Roman"/>
          <w:sz w:val="24"/>
          <w:szCs w:val="24"/>
          <w:lang w:val="en-GB"/>
        </w:rPr>
        <w:t>calcinated</w:t>
      </w:r>
      <w:proofErr w:type="spellEnd"/>
      <w:r w:rsidRPr="00FB2A56">
        <w:rPr>
          <w:rFonts w:ascii="Times New Roman" w:hAnsi="Times New Roman"/>
          <w:sz w:val="24"/>
          <w:szCs w:val="24"/>
          <w:lang w:val="en-GB"/>
        </w:rPr>
        <w:t xml:space="preserve"> at 600 °C, the significant</w:t>
      </w:r>
      <w:r w:rsidRPr="00FB2A56" w:rsidDel="003761D0">
        <w:rPr>
          <w:rFonts w:ascii="Times New Roman" w:hAnsi="Times New Roman"/>
          <w:sz w:val="24"/>
          <w:szCs w:val="24"/>
          <w:lang w:val="en-GB"/>
        </w:rPr>
        <w:t xml:space="preserve"> </w:t>
      </w:r>
      <w:r w:rsidRPr="00FB2A56">
        <w:rPr>
          <w:rFonts w:ascii="Times New Roman" w:hAnsi="Times New Roman"/>
          <w:sz w:val="24"/>
          <w:szCs w:val="24"/>
          <w:lang w:val="en-GB"/>
        </w:rPr>
        <w:t>change</w:t>
      </w:r>
      <w:r w:rsidRPr="00FB2A56" w:rsidDel="003761D0">
        <w:rPr>
          <w:rFonts w:ascii="Times New Roman" w:hAnsi="Times New Roman"/>
          <w:sz w:val="24"/>
          <w:szCs w:val="24"/>
          <w:lang w:val="en-GB"/>
        </w:rPr>
        <w:t xml:space="preserve"> </w:t>
      </w:r>
      <w:r w:rsidRPr="00FB2A56">
        <w:rPr>
          <w:rFonts w:ascii="Times New Roman" w:hAnsi="Times New Roman"/>
          <w:sz w:val="24"/>
          <w:szCs w:val="24"/>
          <w:lang w:val="en-GB"/>
        </w:rPr>
        <w:t xml:space="preserve">in Mössbauer spectra was observed. The two sextets which were ascribed to magnetite remained, but they were reduced in area and only a trace amount of </w:t>
      </w:r>
      <w:proofErr w:type="spellStart"/>
      <w:r w:rsidRPr="00FB2A56">
        <w:rPr>
          <w:rFonts w:ascii="Times New Roman" w:hAnsi="Times New Roman"/>
          <w:sz w:val="24"/>
          <w:szCs w:val="24"/>
          <w:lang w:val="en-GB"/>
        </w:rPr>
        <w:t>maghemite</w:t>
      </w:r>
      <w:proofErr w:type="spellEnd"/>
      <w:r w:rsidRPr="00FB2A56">
        <w:rPr>
          <w:rFonts w:ascii="Times New Roman" w:hAnsi="Times New Roman"/>
          <w:sz w:val="24"/>
          <w:szCs w:val="24"/>
          <w:lang w:val="en-GB"/>
        </w:rPr>
        <w:t xml:space="preserve"> was detected. Additionally, two new components appeared. Firstly, a relatively narrow sextet with hyperfine parameters </w:t>
      </w:r>
      <w:r w:rsidRPr="00FB2A56">
        <w:rPr>
          <w:rFonts w:ascii="Times New Roman" w:hAnsi="Times New Roman"/>
          <w:i/>
          <w:sz w:val="24"/>
          <w:szCs w:val="24"/>
          <w:lang w:val="en-GB"/>
        </w:rPr>
        <w:t>δ</w:t>
      </w:r>
      <w:r w:rsidRPr="00FB2A56">
        <w:rPr>
          <w:rFonts w:ascii="Times New Roman" w:hAnsi="Times New Roman"/>
          <w:sz w:val="24"/>
          <w:szCs w:val="24"/>
          <w:lang w:val="en-GB"/>
        </w:rPr>
        <w:t xml:space="preserve"> = 0.0 mm/s, </w:t>
      </w:r>
      <w:r w:rsidRPr="00FB2A56">
        <w:rPr>
          <w:rFonts w:ascii="Times New Roman" w:hAnsi="Times New Roman"/>
          <w:i/>
          <w:sz w:val="24"/>
          <w:szCs w:val="24"/>
          <w:lang w:val="en-GB"/>
        </w:rPr>
        <w:t>H</w:t>
      </w:r>
      <w:r w:rsidRPr="00FB2A56">
        <w:rPr>
          <w:rFonts w:ascii="Times New Roman" w:hAnsi="Times New Roman"/>
          <w:sz w:val="24"/>
          <w:szCs w:val="24"/>
          <w:lang w:val="en-GB"/>
        </w:rPr>
        <w:t xml:space="preserve"> = 33.0 T was identified as α-iron. </w:t>
      </w:r>
      <w:proofErr w:type="gramStart"/>
      <w:r w:rsidRPr="00FB2A56">
        <w:rPr>
          <w:rFonts w:ascii="Times New Roman" w:hAnsi="Times New Roman"/>
          <w:sz w:val="24"/>
          <w:szCs w:val="24"/>
          <w:lang w:val="en-GB"/>
        </w:rPr>
        <w:t>Secondly, a doublet with a low quadrupole splitting, which was assigned to non-</w:t>
      </w:r>
      <w:proofErr w:type="spellStart"/>
      <w:r w:rsidRPr="00FB2A56">
        <w:rPr>
          <w:rFonts w:ascii="Times New Roman" w:hAnsi="Times New Roman"/>
          <w:sz w:val="24"/>
          <w:szCs w:val="24"/>
          <w:lang w:val="en-GB"/>
        </w:rPr>
        <w:t>stochiometric</w:t>
      </w:r>
      <w:proofErr w:type="spellEnd"/>
      <w:r w:rsidRPr="00FB2A56">
        <w:rPr>
          <w:rFonts w:ascii="Times New Roman" w:hAnsi="Times New Roman"/>
          <w:sz w:val="24"/>
          <w:szCs w:val="24"/>
          <w:lang w:val="en-GB"/>
        </w:rPr>
        <w:t xml:space="preserve">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w:t>
      </w:r>
      <w:proofErr w:type="gramEnd"/>
      <w:r w:rsidRPr="00FB2A56">
        <w:rPr>
          <w:rFonts w:ascii="Times New Roman" w:hAnsi="Times New Roman"/>
          <w:sz w:val="24"/>
          <w:szCs w:val="24"/>
          <w:lang w:val="en-GB"/>
        </w:rPr>
        <w:t xml:space="preserve"> The exhibition of quadrupole splitting in Mössbauer spectra is a manifestation of the non-equivalent surroundings of iron cations and implies that the observed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phase is non-stoichiometric. The non-stoichiometry of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is generally caused by missing iron cations in its structure</w:t>
      </w:r>
      <w:r w:rsidR="00073AE9">
        <w:rPr>
          <w:rFonts w:ascii="Times New Roman" w:hAnsi="Times New Roman"/>
          <w:sz w:val="24"/>
          <w:szCs w:val="24"/>
          <w:lang w:val="en-GB"/>
        </w:rPr>
        <w:t>.</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{"citationItems":[{"id":"ITEM-1","itemData":{"DOI":"10.1002/3527602097","ISBN":"3527302743","ISSN":"0026-461X","PMID":"2580369","abstract":"This book brings together in one, compact volume all aspects of the available information about the iron oxides. It presents a coherent, up to date account of the properties, reactions and mechanisms of formation of these compounds. In addition, there are chapters dealing with iron oxides in rocks and soils, as biominerals and as corrosion products together with methods of synthesis and the numerous application of these compounds. Their role in the environment is also discussed. The authors are experts in the field of iron oxides and have worked on all the topics covered. Much recent data from the authors' own laboratories is included and opportunities for further research are indicated. Special features are the electron micrographs and colour plates together with the many different spectra used to illustrate properties and aspects of behaviour. Numerous tables and graphs enable trends and relationships to be seen at a glance. The book concludes with an extensive bibliography. This book should prove invaluable to industry and to all researchers who, whatever their background and level of experience, are interested in this rapidly expanding field. It is an essential volume for any scientific library and is now in its second, completely revised and extended edition!","author":[{"dropping-particle":"","family":"Cornell","given":"R. M.","non-dropping-particle":"","parse-names":false,"suffix":""},{"dropping-particle":"","family":"Schwertmann","given":"U.","non-dropping-particle":"","parse-names":false,"suffix":""}],"id":"ITEM-1","issued":{"date-parts":[["2003"]]},"title":"The Iron Oxides","type":"book"},"uris":["http://www.mendeley.com/documents/?uuid=ea0bdcc3-325b-4d4b-91ad-9351c7d4f2c4","http://www.mendeley.com/documents/?uuid=e88b34fc-a9a1-4a01-a928-863855c8f157","http://www.mendeley.com/documents/?uuid=d9d7162a-0b79-3a03-95d5-76bb8ca371ad"]}],"mendeley":{"formattedCitation":"&lt;sup&gt;44&lt;/sup&gt;","plainTextFormattedCitation":"44","previouslyFormattedCitation":"&lt;sup&gt;44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On the other hand, in some cases it is also possible to fit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component with broad singlet, which suggests it being stochiometric</w:t>
      </w:r>
      <w:r w:rsidR="00073AE9">
        <w:rPr>
          <w:rFonts w:ascii="Times New Roman" w:hAnsi="Times New Roman"/>
          <w:sz w:val="24"/>
          <w:szCs w:val="24"/>
          <w:lang w:val="en-GB"/>
        </w:rPr>
        <w:t>.</w:t>
      </w:r>
      <w:r w:rsidRPr="00FB2A56">
        <w:rPr>
          <w:rFonts w:ascii="Times New Roman" w:hAnsi="Times New Roman"/>
          <w:sz w:val="24"/>
          <w:szCs w:val="24"/>
          <w:lang w:val="en-GB"/>
        </w:rPr>
        <w:fldChar w:fldCharType="begin" w:fldLock="1"/>
      </w:r>
      <w:r w:rsidR="005222FA">
        <w:rPr>
          <w:rFonts w:ascii="Times New Roman" w:hAnsi="Times New Roman"/>
          <w:sz w:val="24"/>
          <w:szCs w:val="24"/>
          <w:lang w:val="en-GB"/>
        </w:rPr>
        <w:instrText>ADDIN CSL_CITATION {"citationItems":[{"id":"ITEM-1","itemData":{"DOI":"10.1002/3527602097","ISBN":"3527302743","ISSN":"0026-461X","PMID":"2580369","abstract":"This book brings together in one, compact volume all aspects of the available information about the iron oxides. It presents a coherent, up to date account of the properties, reactions and mechanisms of formation of these compounds. In addition, there are chapters dealing with iron oxides in rocks and soils, as biominerals and as corrosion products together with methods of synthesis and the numerous application of these compounds. Their role in the environment is also discussed. The authors are experts in the field of iron oxides and have worked on all the topics covered. Much recent data from the authors' own laboratories is included and opportunities for further research are indicated. Special features are the electron micrographs and colour plates together with the many different spectra used to illustrate properties and aspects of behaviour. Numerous tables and graphs enable trends and relationships to be seen at a glance. The book concludes with an extensive bibliography. This book should prove invaluable to industry and to all researchers who, whatever their background and level of experience, are interested in this rapidly expanding field. It is an essential volume for any scientific library and is now in its second, completely revised and extended edition!","author":[{"dropping-particle":"","family":"Cornell","given":"R. M.","non-dropping-particle":"","parse-names":false,"suffix":""},{"dropping-particle":"","family":"Schwertmann","given":"U.","non-dropping-particle":"","parse-names":false,"suffix":""}],"id":"ITEM-1","issued":{"date-parts":[["2003"]]},"title":"The Iron Oxides","type":"book"},"uris":["http://www.mendeley.com/documents/?uuid=ea0bdcc3-325b-4d4b-91ad-9351c7d4f2c4","http://www.mendeley.com/documents/?uuid=e88b34fc-a9a1-4a01-a928-863855c8f157","http://www.mendeley.com/documents/?uuid=d9d7162a-0b79-3a03-95d5-76bb8ca371ad"]}],"mendeley":{"formattedCitation":"&lt;sup&gt;44&lt;/sup&gt;","plainTextFormattedCitation":"44","previouslyFormattedCitation":"&lt;sup&gt;44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44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The detailed hyperfine parameters obtained for individual samples of the T600 series are listed in Table 2. The results obtained by Mössbauer spectroscopy were in good agreement to those obtained by XRD (Table 1.). All diffraction peaks could be ascribed to magnetite,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and α-iron. Such significant change in both Mössbauer spectra and XRD patterns was probably caused by the combination of increased temperature and reducing nature of conversion gases, which resulted in thermally induced reduction of magnetite to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and α-iron, as it was suggested </w:t>
      </w:r>
      <w:r w:rsidR="00073AE9">
        <w:rPr>
          <w:rFonts w:ascii="Times New Roman" w:hAnsi="Times New Roman"/>
          <w:sz w:val="24"/>
          <w:szCs w:val="24"/>
          <w:lang w:val="en-GB"/>
        </w:rPr>
        <w:t xml:space="preserve">by </w:t>
      </w:r>
      <w:proofErr w:type="spellStart"/>
      <w:r w:rsidR="00073AE9">
        <w:rPr>
          <w:rFonts w:ascii="Times New Roman" w:hAnsi="Times New Roman"/>
          <w:sz w:val="24"/>
          <w:szCs w:val="24"/>
          <w:lang w:val="en-GB"/>
        </w:rPr>
        <w:t>Hermanek</w:t>
      </w:r>
      <w:proofErr w:type="spellEnd"/>
      <w:r w:rsidR="00073AE9">
        <w:rPr>
          <w:rFonts w:ascii="Times New Roman" w:hAnsi="Times New Roman"/>
          <w:sz w:val="24"/>
          <w:szCs w:val="24"/>
          <w:lang w:val="en-GB"/>
        </w:rPr>
        <w:t xml:space="preserve"> et al.</w:t>
      </w:r>
      <w:r w:rsidRPr="00FB2A56">
        <w:rPr>
          <w:rFonts w:ascii="Times New Roman" w:hAnsi="Times New Roman"/>
          <w:sz w:val="24"/>
          <w:szCs w:val="24"/>
          <w:lang w:val="en-GB"/>
        </w:rPr>
        <w:fldChar w:fldCharType="begin" w:fldLock="1"/>
      </w:r>
      <w:r w:rsidR="00752133">
        <w:rPr>
          <w:rFonts w:ascii="Times New Roman" w:hAnsi="Times New Roman"/>
          <w:sz w:val="24"/>
          <w:szCs w:val="24"/>
          <w:lang w:val="en-GB"/>
        </w:rPr>
        <w:instrText>ADDIN CSL_CITATION {"citationItems":[{"id":"ITEM-1","itemData":{"DOI":"10.1039/b514565a","ISSN":"0959-9428","abstract":"Using a device for thermogravimetric analysis, a dynamic study of thermally induced solid-state transformations of FeC2O4?2H2Oin the atmosphere allowing full participation of gaseous products (CO, CO2,H2O) in the reaction system was carried out. Solid phases formed at various temperatures between 25 and 640 uC were identified and characterized using 57Fe Mo ¨ssbauer spectroscopy, TG and XRD. Up to 230 uC, evolution of two molecules of the water of crystallization takes place. Superparamagnetic nanoparticles of magnetite (Fe3O4) are formed as the primary product of the decomposition of FeC2O4, together with gaseous CO and CO2. In the next stage above 380 uC, the crystallization of magnetite is accompanied by a reduction of the remaining ferrous oxalate to iron carbide (Fe3C) by carbon monoxide. Thermally induced conversion of iron carbide into a-Fe and carbon is expected between 400 and 535 uC as the major chemical process. In the last reaction step, above 535 uC, magnetite is reduced to wu ¨ stite (FeO) by carbon monoxide evolved at lower temperatures. On the grounds of quantitativeMo ¨ssbauer data possible competitive reactions are discussed and a temperature dependent reaction model is suggested.","author":[{"dropping-particle":"","family":"Hermanek","given":"Martin","non-dropping-particle":"","parse-names":false,"suffix":""},{"dropping-particle":"","family":"Zboril","given":"Radek","non-dropping-particle":"","parse-names":false,"suffix":""},{"dropping-particle":"","family":"Mashlan","given":"Miroslav","non-dropping-particle":"","parse-names":false,"suffix":""},{"dropping-particle":"","family":"Machala","given":"Libor","non-dropping-particle":"","parse-names":false,"suffix":""},{"dropping-particle":"","family":"Schneeweiss","given":"Oldrich","non-dropping-particle":"","parse-names":false,"suffix":""}],"container-title":"Journal of Materials Chemistry","id":"ITEM-1","issue":"13","issued":{"date-parts":[["2006"]]},"page":"1273","title":"Thermal behaviour of iron(ii) oxalate dihydrate in the atmosphere of its conversion gases","type":"article-journal","volume":"16"},"uris":["http://www.mendeley.com/documents/?uuid=88a71a42-1124-4191-bc5d-fa03eecdcb9a"]}],"mendeley":{"formattedCitation":"&lt;sup&gt;34&lt;/sup&gt;","plainTextFormattedCitation":"34","previouslyFormattedCitation":"&lt;sup&gt;34&lt;/sup&gt;"},"properties":{"noteIndex":0},"schema":"https://github.com/citation-style-language/schema/raw/master/csl-citation.json"}</w:instrText>
      </w:r>
      <w:r w:rsidRPr="00FB2A56">
        <w:rPr>
          <w:rFonts w:ascii="Times New Roman" w:hAnsi="Times New Roman"/>
          <w:sz w:val="24"/>
          <w:szCs w:val="24"/>
          <w:lang w:val="en-GB"/>
        </w:rPr>
        <w:fldChar w:fldCharType="separate"/>
      </w:r>
      <w:r w:rsidR="00FB2A56" w:rsidRPr="00FB2A56">
        <w:rPr>
          <w:rFonts w:ascii="Times New Roman" w:hAnsi="Times New Roman"/>
          <w:noProof/>
          <w:sz w:val="24"/>
          <w:szCs w:val="24"/>
          <w:vertAlign w:val="superscript"/>
          <w:lang w:val="en-GB"/>
        </w:rPr>
        <w:t>34</w:t>
      </w:r>
      <w:r w:rsidRPr="00FB2A56">
        <w:rPr>
          <w:rFonts w:ascii="Times New Roman" w:hAnsi="Times New Roman"/>
          <w:sz w:val="24"/>
          <w:szCs w:val="24"/>
          <w:lang w:val="en-GB"/>
        </w:rPr>
        <w:fldChar w:fldCharType="end"/>
      </w:r>
      <w:r w:rsidRPr="00FB2A56">
        <w:rPr>
          <w:rFonts w:ascii="Times New Roman" w:hAnsi="Times New Roman"/>
          <w:sz w:val="24"/>
          <w:szCs w:val="24"/>
          <w:lang w:val="en-GB"/>
        </w:rPr>
        <w:t xml:space="preserve"> The increase in quadrupole splitting of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phase, which was observed in samples </w:t>
      </w:r>
      <w:r w:rsidRPr="00FB2A56">
        <w:rPr>
          <w:rFonts w:ascii="Times New Roman" w:hAnsi="Times New Roman"/>
          <w:sz w:val="24"/>
          <w:szCs w:val="24"/>
          <w:lang w:val="en-GB"/>
        </w:rPr>
        <w:lastRenderedPageBreak/>
        <w:t xml:space="preserve">T600H6 and T600H12, was probably caused by the prolonged exposure of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to high temperature and it could be suggested that this rise was a result of </w:t>
      </w:r>
      <w:proofErr w:type="spellStart"/>
      <w:r w:rsidRPr="00FB2A56">
        <w:rPr>
          <w:rFonts w:ascii="Times New Roman" w:hAnsi="Times New Roman"/>
          <w:sz w:val="24"/>
          <w:szCs w:val="24"/>
          <w:lang w:val="en-GB"/>
        </w:rPr>
        <w:t>wüstite</w:t>
      </w:r>
      <w:proofErr w:type="spellEnd"/>
      <w:r w:rsidRPr="00FB2A56">
        <w:rPr>
          <w:rFonts w:ascii="Times New Roman" w:hAnsi="Times New Roman"/>
          <w:sz w:val="24"/>
          <w:szCs w:val="24"/>
          <w:lang w:val="en-GB"/>
        </w:rPr>
        <w:t xml:space="preserve"> increasing non-stoichiometry. Similar trend was also observed in the T650 series.</w:t>
      </w:r>
    </w:p>
    <w:p w:rsidR="00C90EEE" w:rsidRPr="00FB2A56" w:rsidRDefault="00C90EEE" w:rsidP="00DA780F">
      <w:pPr>
        <w:pStyle w:val="Bezmezer"/>
        <w:spacing w:line="360" w:lineRule="auto"/>
        <w:jc w:val="both"/>
        <w:rPr>
          <w:rFonts w:ascii="Times New Roman" w:hAnsi="Times New Roman"/>
          <w:b/>
          <w:sz w:val="24"/>
          <w:szCs w:val="24"/>
          <w:lang w:val="en-GB"/>
        </w:rPr>
      </w:pPr>
      <w:r w:rsidRPr="00FB2A56">
        <w:rPr>
          <w:rFonts w:ascii="Times New Roman" w:hAnsi="Times New Roman"/>
          <w:sz w:val="24"/>
          <w:szCs w:val="24"/>
          <w:lang w:val="en-GB"/>
        </w:rPr>
        <w:br w:type="column"/>
      </w:r>
      <w:proofErr w:type="gramStart"/>
      <w:r w:rsidRPr="00FB2A56">
        <w:rPr>
          <w:rFonts w:ascii="Times New Roman" w:hAnsi="Times New Roman"/>
          <w:b/>
          <w:sz w:val="24"/>
          <w:szCs w:val="24"/>
          <w:lang w:val="en-GB"/>
        </w:rPr>
        <w:lastRenderedPageBreak/>
        <w:t>The T650 series.</w:t>
      </w:r>
      <w:proofErr w:type="gramEnd"/>
    </w:p>
    <w:p w:rsidR="00C90EEE" w:rsidRPr="00FB2A56" w:rsidRDefault="00C90EEE" w:rsidP="00DA780F">
      <w:pPr>
        <w:spacing w:line="360" w:lineRule="auto"/>
        <w:jc w:val="both"/>
        <w:rPr>
          <w:rFonts w:ascii="Times New Roman" w:hAnsi="Times New Roman" w:cs="Times New Roman"/>
          <w:color w:val="FF0000"/>
          <w:sz w:val="24"/>
          <w:szCs w:val="24"/>
          <w:lang w:val="en-GB"/>
        </w:rPr>
      </w:pPr>
      <w:r w:rsidRPr="00FB2A56">
        <w:rPr>
          <w:rFonts w:ascii="Times New Roman" w:hAnsi="Times New Roman" w:cs="Times New Roman"/>
          <w:sz w:val="24"/>
          <w:szCs w:val="24"/>
          <w:lang w:val="en-GB"/>
        </w:rPr>
        <w:t xml:space="preserve">    Evaluation of data acquired for samples of the last T650 series showed very similar composition in comparison to the samples of T600 series. Mössbauer spectra revealed the increased amount of </w:t>
      </w:r>
      <w:proofErr w:type="spellStart"/>
      <w:r w:rsidRPr="00FB2A56">
        <w:rPr>
          <w:rFonts w:ascii="Times New Roman" w:hAnsi="Times New Roman" w:cs="Times New Roman"/>
          <w:sz w:val="24"/>
          <w:szCs w:val="24"/>
          <w:lang w:val="en-GB"/>
        </w:rPr>
        <w:t>wüstite</w:t>
      </w:r>
      <w:proofErr w:type="spellEnd"/>
      <w:r w:rsidRPr="00FB2A56">
        <w:rPr>
          <w:rFonts w:ascii="Times New Roman" w:hAnsi="Times New Roman" w:cs="Times New Roman"/>
          <w:sz w:val="24"/>
          <w:szCs w:val="24"/>
          <w:lang w:val="en-GB"/>
        </w:rPr>
        <w:t xml:space="preserve"> and decreased amount of α-iron and magnetite. An increase in a quadrupole splitting of the </w:t>
      </w:r>
      <w:proofErr w:type="spellStart"/>
      <w:r w:rsidRPr="00FB2A56">
        <w:rPr>
          <w:rFonts w:ascii="Times New Roman" w:hAnsi="Times New Roman" w:cs="Times New Roman"/>
          <w:sz w:val="24"/>
          <w:szCs w:val="24"/>
          <w:lang w:val="en-GB"/>
        </w:rPr>
        <w:t>wüstite</w:t>
      </w:r>
      <w:proofErr w:type="spellEnd"/>
      <w:r w:rsidRPr="00FB2A56">
        <w:rPr>
          <w:rFonts w:ascii="Times New Roman" w:hAnsi="Times New Roman" w:cs="Times New Roman"/>
          <w:sz w:val="24"/>
          <w:szCs w:val="24"/>
          <w:lang w:val="en-GB"/>
        </w:rPr>
        <w:t xml:space="preserve"> was observed with prolonged calcination, similarly to the previous series. Moreover, the large middle component in the spectrum of the sample T650H12 could not be fitted by only one doublet. </w:t>
      </w:r>
      <w:r w:rsidRPr="00FB2A56">
        <w:rPr>
          <w:rFonts w:ascii="Times New Roman" w:hAnsi="Times New Roman" w:cs="Times New Roman"/>
          <w:color w:val="000000" w:themeColor="text1"/>
          <w:sz w:val="24"/>
          <w:szCs w:val="24"/>
          <w:lang w:val="en-GB"/>
        </w:rPr>
        <w:t xml:space="preserve">Two doublets with following </w:t>
      </w:r>
      <w:r w:rsidRPr="00FB2A56">
        <w:rPr>
          <w:rFonts w:ascii="Times New Roman" w:hAnsi="Times New Roman" w:cs="Times New Roman"/>
          <w:sz w:val="24"/>
          <w:szCs w:val="24"/>
          <w:lang w:val="en-GB"/>
        </w:rPr>
        <w:t xml:space="preserve">hyperfine parameters were thus ascribed to </w:t>
      </w:r>
      <w:proofErr w:type="spellStart"/>
      <w:r w:rsidRPr="00FB2A56">
        <w:rPr>
          <w:rFonts w:ascii="Times New Roman" w:hAnsi="Times New Roman" w:cs="Times New Roman"/>
          <w:sz w:val="24"/>
          <w:szCs w:val="24"/>
          <w:lang w:val="en-GB"/>
        </w:rPr>
        <w:t>wüstite</w:t>
      </w:r>
      <w:proofErr w:type="spellEnd"/>
      <w:r w:rsidRPr="00FB2A56">
        <w:rPr>
          <w:rFonts w:ascii="Times New Roman" w:hAnsi="Times New Roman" w:cs="Times New Roman"/>
          <w:sz w:val="24"/>
          <w:szCs w:val="24"/>
          <w:lang w:val="en-GB"/>
        </w:rPr>
        <w:t xml:space="preserve"> in overall T650H12 spectrum fit, </w:t>
      </w:r>
      <w:r w:rsidRPr="00FB2A56">
        <w:rPr>
          <w:rFonts w:ascii="Times New Roman" w:hAnsi="Times New Roman" w:cs="Times New Roman"/>
          <w:i/>
          <w:sz w:val="24"/>
          <w:szCs w:val="24"/>
          <w:lang w:val="en-GB"/>
        </w:rPr>
        <w:t>δ</w:t>
      </w:r>
      <w:r w:rsidRPr="00FB2A56">
        <w:rPr>
          <w:rFonts w:ascii="Times New Roman" w:hAnsi="Times New Roman" w:cs="Times New Roman"/>
          <w:sz w:val="24"/>
          <w:szCs w:val="24"/>
          <w:lang w:val="en-GB"/>
        </w:rPr>
        <w:t> = 1.04 mm/s, ∆</w:t>
      </w:r>
      <w:r w:rsidRPr="00FB2A56">
        <w:rPr>
          <w:rFonts w:ascii="Times New Roman" w:hAnsi="Times New Roman" w:cs="Times New Roman"/>
          <w:i/>
          <w:sz w:val="24"/>
          <w:szCs w:val="24"/>
          <w:lang w:val="en-GB"/>
        </w:rPr>
        <w:t>E</w:t>
      </w:r>
      <w:r w:rsidRPr="00FB2A56">
        <w:rPr>
          <w:rFonts w:ascii="Times New Roman" w:hAnsi="Times New Roman" w:cs="Times New Roman"/>
          <w:sz w:val="24"/>
          <w:szCs w:val="24"/>
          <w:vertAlign w:val="subscript"/>
          <w:lang w:val="en-GB"/>
        </w:rPr>
        <w:t>Q </w:t>
      </w:r>
      <w:r w:rsidRPr="00FB2A56">
        <w:rPr>
          <w:rFonts w:ascii="Times New Roman" w:hAnsi="Times New Roman" w:cs="Times New Roman"/>
          <w:sz w:val="24"/>
          <w:szCs w:val="24"/>
          <w:lang w:val="en-GB"/>
        </w:rPr>
        <w:t xml:space="preserve">= 0.27 mm/s for the first one of the two </w:t>
      </w:r>
      <w:proofErr w:type="spellStart"/>
      <w:r w:rsidRPr="00FB2A56">
        <w:rPr>
          <w:rFonts w:ascii="Times New Roman" w:hAnsi="Times New Roman" w:cs="Times New Roman"/>
          <w:sz w:val="24"/>
          <w:szCs w:val="24"/>
          <w:lang w:val="en-GB"/>
        </w:rPr>
        <w:t>doublets</w:t>
      </w:r>
      <w:proofErr w:type="spellEnd"/>
      <w:r w:rsidRPr="00FB2A56">
        <w:rPr>
          <w:rFonts w:ascii="Times New Roman" w:hAnsi="Times New Roman" w:cs="Times New Roman"/>
          <w:sz w:val="24"/>
          <w:szCs w:val="24"/>
          <w:lang w:val="en-GB"/>
        </w:rPr>
        <w:t xml:space="preserve"> and </w:t>
      </w:r>
      <w:r w:rsidRPr="00FB2A56">
        <w:rPr>
          <w:rFonts w:ascii="Times New Roman" w:hAnsi="Times New Roman" w:cs="Times New Roman"/>
          <w:i/>
          <w:sz w:val="24"/>
          <w:szCs w:val="24"/>
          <w:lang w:val="en-GB"/>
        </w:rPr>
        <w:t>δ</w:t>
      </w:r>
      <w:r w:rsidRPr="00FB2A56">
        <w:rPr>
          <w:rFonts w:ascii="Times New Roman" w:hAnsi="Times New Roman" w:cs="Times New Roman"/>
          <w:sz w:val="24"/>
          <w:szCs w:val="24"/>
          <w:lang w:val="en-GB"/>
        </w:rPr>
        <w:t> = 0.86 mm/s, ∆</w:t>
      </w:r>
      <w:r w:rsidRPr="00FB2A56">
        <w:rPr>
          <w:rFonts w:ascii="Times New Roman" w:hAnsi="Times New Roman" w:cs="Times New Roman"/>
          <w:i/>
          <w:sz w:val="24"/>
          <w:szCs w:val="24"/>
          <w:lang w:val="en-GB"/>
        </w:rPr>
        <w:t>E</w:t>
      </w:r>
      <w:r w:rsidRPr="00FB2A56">
        <w:rPr>
          <w:rFonts w:ascii="Times New Roman" w:hAnsi="Times New Roman" w:cs="Times New Roman"/>
          <w:sz w:val="24"/>
          <w:szCs w:val="24"/>
          <w:vertAlign w:val="subscript"/>
          <w:lang w:val="en-GB"/>
        </w:rPr>
        <w:t>Q </w:t>
      </w:r>
      <w:r w:rsidRPr="00FB2A56">
        <w:rPr>
          <w:rFonts w:ascii="Times New Roman" w:hAnsi="Times New Roman" w:cs="Times New Roman"/>
          <w:sz w:val="24"/>
          <w:szCs w:val="24"/>
          <w:lang w:val="en-GB"/>
        </w:rPr>
        <w:t xml:space="preserve">= 0.72 mm/s for the other one. Concerning the XRD analysis of the sample T650H12, </w:t>
      </w:r>
      <w:r w:rsidRPr="00FB2A56">
        <w:rPr>
          <w:rFonts w:ascii="Times New Roman" w:hAnsi="Times New Roman" w:cs="Times New Roman"/>
          <w:color w:val="000000" w:themeColor="text1"/>
          <w:sz w:val="24"/>
          <w:szCs w:val="24"/>
          <w:lang w:val="en-GB"/>
        </w:rPr>
        <w:t xml:space="preserve">the acquired patterns were composed of two </w:t>
      </w:r>
      <w:proofErr w:type="spellStart"/>
      <w:r w:rsidRPr="00FB2A56">
        <w:rPr>
          <w:rFonts w:ascii="Times New Roman" w:hAnsi="Times New Roman" w:cs="Times New Roman"/>
          <w:color w:val="000000" w:themeColor="text1"/>
          <w:sz w:val="24"/>
          <w:szCs w:val="24"/>
          <w:lang w:val="en-GB"/>
        </w:rPr>
        <w:t>wüstite</w:t>
      </w:r>
      <w:proofErr w:type="spellEnd"/>
      <w:r w:rsidRPr="00FB2A56">
        <w:rPr>
          <w:rFonts w:ascii="Times New Roman" w:hAnsi="Times New Roman" w:cs="Times New Roman"/>
          <w:color w:val="000000" w:themeColor="text1"/>
          <w:sz w:val="24"/>
          <w:szCs w:val="24"/>
          <w:lang w:val="en-GB"/>
        </w:rPr>
        <w:t xml:space="preserve"> structures with different cell parameters thus pointing to the presence of two different forms of </w:t>
      </w:r>
      <w:proofErr w:type="spellStart"/>
      <w:r w:rsidRPr="00FB2A56">
        <w:rPr>
          <w:rFonts w:ascii="Times New Roman" w:hAnsi="Times New Roman" w:cs="Times New Roman"/>
          <w:color w:val="000000" w:themeColor="text1"/>
          <w:sz w:val="24"/>
          <w:szCs w:val="24"/>
          <w:lang w:val="en-GB"/>
        </w:rPr>
        <w:t>wüstite</w:t>
      </w:r>
      <w:proofErr w:type="spellEnd"/>
      <w:r w:rsidRPr="00FB2A56">
        <w:rPr>
          <w:rFonts w:ascii="Times New Roman" w:hAnsi="Times New Roman" w:cs="Times New Roman"/>
          <w:color w:val="000000" w:themeColor="text1"/>
          <w:sz w:val="24"/>
          <w:szCs w:val="24"/>
          <w:lang w:val="en-GB"/>
        </w:rPr>
        <w:t xml:space="preserve">. The second </w:t>
      </w:r>
      <w:proofErr w:type="spellStart"/>
      <w:r w:rsidRPr="00FB2A56">
        <w:rPr>
          <w:rFonts w:ascii="Times New Roman" w:hAnsi="Times New Roman" w:cs="Times New Roman"/>
          <w:color w:val="000000" w:themeColor="text1"/>
          <w:sz w:val="24"/>
          <w:szCs w:val="24"/>
          <w:lang w:val="en-GB"/>
        </w:rPr>
        <w:t>wüstite</w:t>
      </w:r>
      <w:proofErr w:type="spellEnd"/>
      <w:r w:rsidRPr="00FB2A56">
        <w:rPr>
          <w:rFonts w:ascii="Times New Roman" w:hAnsi="Times New Roman" w:cs="Times New Roman"/>
          <w:color w:val="000000" w:themeColor="text1"/>
          <w:sz w:val="24"/>
          <w:szCs w:val="24"/>
          <w:lang w:val="en-GB"/>
        </w:rPr>
        <w:t xml:space="preserve"> structure was probably the result of the increased non-stoichiometry after the </w:t>
      </w:r>
      <w:proofErr w:type="spellStart"/>
      <w:r w:rsidRPr="00FB2A56">
        <w:rPr>
          <w:rFonts w:ascii="Times New Roman" w:hAnsi="Times New Roman" w:cs="Times New Roman"/>
          <w:color w:val="000000" w:themeColor="text1"/>
          <w:sz w:val="24"/>
          <w:szCs w:val="24"/>
          <w:lang w:val="en-GB"/>
        </w:rPr>
        <w:t>wüstite</w:t>
      </w:r>
      <w:proofErr w:type="spellEnd"/>
      <w:r w:rsidRPr="00FB2A56">
        <w:rPr>
          <w:rFonts w:ascii="Times New Roman" w:hAnsi="Times New Roman" w:cs="Times New Roman"/>
          <w:color w:val="000000" w:themeColor="text1"/>
          <w:sz w:val="24"/>
          <w:szCs w:val="24"/>
          <w:lang w:val="en-GB"/>
        </w:rPr>
        <w:t xml:space="preserve"> had been exposed to high temperatures for 12 h. In addition to quantified phases, part of the α-Fe might have been re-oxidised back the most stable iron oxide, i.e., hematite, which was in a trace amount identified in the diffraction pattern of the sample T650H12 (Fig</w:t>
      </w:r>
      <w:r w:rsidR="00073AE9">
        <w:rPr>
          <w:rFonts w:ascii="Times New Roman" w:hAnsi="Times New Roman" w:cs="Times New Roman"/>
          <w:color w:val="000000" w:themeColor="text1"/>
          <w:sz w:val="24"/>
          <w:szCs w:val="24"/>
          <w:lang w:val="en-GB"/>
        </w:rPr>
        <w:t>ure</w:t>
      </w:r>
      <w:r w:rsidRPr="00FB2A56">
        <w:rPr>
          <w:rFonts w:ascii="Times New Roman" w:hAnsi="Times New Roman" w:cs="Times New Roman"/>
          <w:color w:val="000000" w:themeColor="text1"/>
          <w:sz w:val="24"/>
          <w:szCs w:val="24"/>
          <w:lang w:val="en-GB"/>
        </w:rPr>
        <w:t> 5.).</w:t>
      </w:r>
    </w:p>
    <w:p w:rsidR="00C90EEE" w:rsidRPr="00FB2A56" w:rsidRDefault="00C90EEE" w:rsidP="00DA780F">
      <w:pPr>
        <w:keepNext/>
        <w:spacing w:line="360" w:lineRule="auto"/>
        <w:jc w:val="center"/>
        <w:rPr>
          <w:rFonts w:ascii="Times New Roman" w:hAnsi="Times New Roman" w:cs="Times New Roman"/>
          <w:color w:val="000000" w:themeColor="text1"/>
          <w:sz w:val="24"/>
          <w:szCs w:val="24"/>
          <w:lang w:val="en-GB"/>
        </w:rPr>
      </w:pPr>
      <w:r w:rsidRPr="00FB2A56">
        <w:rPr>
          <w:rFonts w:ascii="Times New Roman" w:hAnsi="Times New Roman" w:cs="Times New Roman"/>
          <w:noProof/>
          <w:color w:val="000000" w:themeColor="text1"/>
          <w:sz w:val="24"/>
          <w:szCs w:val="24"/>
          <w:lang w:eastAsia="cs-CZ"/>
        </w:rPr>
        <w:drawing>
          <wp:inline distT="0" distB="0" distL="0" distR="0" wp14:anchorId="08DC56F6" wp14:editId="0800CC00">
            <wp:extent cx="5760000" cy="2221442"/>
            <wp:effectExtent l="0" t="0" r="0" b="762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T650H1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221442"/>
                    </a:xfrm>
                    <a:prstGeom prst="rect">
                      <a:avLst/>
                    </a:prstGeom>
                  </pic:spPr>
                </pic:pic>
              </a:graphicData>
            </a:graphic>
          </wp:inline>
        </w:drawing>
      </w:r>
    </w:p>
    <w:p w:rsidR="00C90EEE" w:rsidRPr="00073AE9" w:rsidRDefault="00C90EEE" w:rsidP="00B5307E">
      <w:pPr>
        <w:pStyle w:val="Titulek"/>
        <w:spacing w:line="360" w:lineRule="auto"/>
        <w:rPr>
          <w:rFonts w:ascii="Times New Roman" w:hAnsi="Times New Roman" w:cs="Times New Roman"/>
          <w:i w:val="0"/>
          <w:color w:val="000000" w:themeColor="text1"/>
          <w:sz w:val="16"/>
          <w:szCs w:val="16"/>
          <w:lang w:val="en-GB"/>
        </w:rPr>
      </w:pPr>
      <w:proofErr w:type="gramStart"/>
      <w:r w:rsidRPr="00A95435">
        <w:rPr>
          <w:rFonts w:ascii="Times New Roman" w:hAnsi="Times New Roman" w:cs="Times New Roman"/>
          <w:b/>
          <w:i w:val="0"/>
          <w:color w:val="000000" w:themeColor="text1"/>
          <w:sz w:val="16"/>
          <w:szCs w:val="16"/>
          <w:lang w:val="en-GB"/>
        </w:rPr>
        <w:t>Fig</w:t>
      </w:r>
      <w:r w:rsidR="00073AE9" w:rsidRPr="00A95435">
        <w:rPr>
          <w:rFonts w:ascii="Times New Roman" w:hAnsi="Times New Roman" w:cs="Times New Roman"/>
          <w:b/>
          <w:i w:val="0"/>
          <w:color w:val="000000" w:themeColor="text1"/>
          <w:sz w:val="16"/>
          <w:szCs w:val="16"/>
          <w:lang w:val="en-GB"/>
        </w:rPr>
        <w:t>ure</w:t>
      </w:r>
      <w:r w:rsidRPr="00A95435">
        <w:rPr>
          <w:rFonts w:ascii="Times New Roman" w:hAnsi="Times New Roman" w:cs="Times New Roman"/>
          <w:b/>
          <w:i w:val="0"/>
          <w:color w:val="000000" w:themeColor="text1"/>
          <w:sz w:val="16"/>
          <w:szCs w:val="16"/>
          <w:lang w:val="en-GB"/>
        </w:rPr>
        <w:t xml:space="preserve"> </w:t>
      </w:r>
      <w:r w:rsidRPr="00A95435">
        <w:rPr>
          <w:rFonts w:ascii="Times New Roman" w:hAnsi="Times New Roman" w:cs="Times New Roman"/>
          <w:b/>
          <w:i w:val="0"/>
          <w:color w:val="000000" w:themeColor="text1"/>
          <w:sz w:val="16"/>
          <w:szCs w:val="16"/>
          <w:lang w:val="en-GB"/>
        </w:rPr>
        <w:fldChar w:fldCharType="begin"/>
      </w:r>
      <w:r w:rsidRPr="00A95435">
        <w:rPr>
          <w:rFonts w:ascii="Times New Roman" w:hAnsi="Times New Roman" w:cs="Times New Roman"/>
          <w:b/>
          <w:i w:val="0"/>
          <w:color w:val="000000" w:themeColor="text1"/>
          <w:sz w:val="16"/>
          <w:szCs w:val="16"/>
          <w:lang w:val="en-GB"/>
        </w:rPr>
        <w:instrText xml:space="preserve"> SEQ Figure \* ARABIC </w:instrText>
      </w:r>
      <w:r w:rsidRPr="00A95435">
        <w:rPr>
          <w:rFonts w:ascii="Times New Roman" w:hAnsi="Times New Roman" w:cs="Times New Roman"/>
          <w:b/>
          <w:i w:val="0"/>
          <w:color w:val="000000" w:themeColor="text1"/>
          <w:sz w:val="16"/>
          <w:szCs w:val="16"/>
          <w:lang w:val="en-GB"/>
        </w:rPr>
        <w:fldChar w:fldCharType="separate"/>
      </w:r>
      <w:r w:rsidR="00B5307E">
        <w:rPr>
          <w:rFonts w:ascii="Times New Roman" w:hAnsi="Times New Roman" w:cs="Times New Roman"/>
          <w:b/>
          <w:i w:val="0"/>
          <w:noProof/>
          <w:color w:val="000000" w:themeColor="text1"/>
          <w:sz w:val="16"/>
          <w:szCs w:val="16"/>
          <w:lang w:val="en-GB"/>
        </w:rPr>
        <w:t>5</w:t>
      </w:r>
      <w:r w:rsidRPr="00A95435">
        <w:rPr>
          <w:rFonts w:ascii="Times New Roman" w:hAnsi="Times New Roman" w:cs="Times New Roman"/>
          <w:b/>
          <w:i w:val="0"/>
          <w:color w:val="000000" w:themeColor="text1"/>
          <w:sz w:val="16"/>
          <w:szCs w:val="16"/>
          <w:lang w:val="en-GB"/>
        </w:rPr>
        <w:fldChar w:fldCharType="end"/>
      </w:r>
      <w:r w:rsidRPr="00073AE9">
        <w:rPr>
          <w:rFonts w:ascii="Times New Roman" w:hAnsi="Times New Roman" w:cs="Times New Roman"/>
          <w:i w:val="0"/>
          <w:color w:val="000000" w:themeColor="text1"/>
          <w:sz w:val="16"/>
          <w:szCs w:val="16"/>
          <w:lang w:val="en-GB"/>
        </w:rPr>
        <w:t>.</w:t>
      </w:r>
      <w:proofErr w:type="gramEnd"/>
      <w:r w:rsidRPr="00073AE9">
        <w:rPr>
          <w:rFonts w:ascii="Times New Roman" w:hAnsi="Times New Roman" w:cs="Times New Roman"/>
          <w:i w:val="0"/>
          <w:color w:val="000000" w:themeColor="text1"/>
          <w:sz w:val="16"/>
          <w:szCs w:val="16"/>
          <w:lang w:val="en-GB"/>
        </w:rPr>
        <w:t xml:space="preserve"> Mössbauer and XRD data of sample T650H12.</w:t>
      </w:r>
    </w:p>
    <w:p w:rsidR="00C90EEE" w:rsidRPr="00FB2A56" w:rsidRDefault="00C90EEE" w:rsidP="00DA780F">
      <w:pPr>
        <w:tabs>
          <w:tab w:val="left" w:pos="825"/>
        </w:tabs>
        <w:spacing w:line="360" w:lineRule="auto"/>
        <w:rPr>
          <w:rStyle w:val="1"/>
          <w:rFonts w:eastAsiaTheme="minorEastAsia" w:cs="Times New Roman"/>
          <w:sz w:val="24"/>
          <w:szCs w:val="24"/>
          <w:lang w:val="en-GB"/>
        </w:rPr>
      </w:pPr>
      <w:r w:rsidRPr="00FB2A56">
        <w:rPr>
          <w:rStyle w:val="1"/>
          <w:rFonts w:eastAsiaTheme="minorEastAsia" w:cs="Times New Roman"/>
          <w:sz w:val="24"/>
          <w:szCs w:val="24"/>
          <w:lang w:val="en-GB"/>
        </w:rPr>
        <w:tab/>
      </w:r>
    </w:p>
    <w:p w:rsidR="00C90EEE" w:rsidRDefault="00C90EEE" w:rsidP="00DA780F">
      <w:pPr>
        <w:spacing w:line="360" w:lineRule="auto"/>
        <w:rPr>
          <w:rStyle w:val="1"/>
          <w:rFonts w:eastAsiaTheme="minorEastAsia" w:cs="Times New Roman"/>
          <w:sz w:val="24"/>
          <w:szCs w:val="24"/>
          <w:lang w:val="en-GB"/>
        </w:rPr>
      </w:pPr>
    </w:p>
    <w:p w:rsidR="004A0F92" w:rsidRPr="00FB2A56" w:rsidRDefault="004A0F92" w:rsidP="00DA780F">
      <w:pPr>
        <w:spacing w:line="360" w:lineRule="auto"/>
        <w:rPr>
          <w:rStyle w:val="1"/>
          <w:rFonts w:eastAsiaTheme="minorEastAsia" w:cs="Times New Roman"/>
          <w:sz w:val="24"/>
          <w:szCs w:val="24"/>
          <w:lang w:val="en-GB"/>
        </w:rPr>
      </w:pPr>
    </w:p>
    <w:p w:rsidR="00C90EEE" w:rsidRPr="00FB2A56" w:rsidRDefault="00C90EEE" w:rsidP="00DA780F">
      <w:pPr>
        <w:spacing w:line="360" w:lineRule="auto"/>
        <w:rPr>
          <w:rStyle w:val="Maintext"/>
          <w:rFonts w:cs="Times New Roman"/>
          <w:lang w:val="en-GB"/>
        </w:rPr>
      </w:pPr>
    </w:p>
    <w:p w:rsidR="00C90EEE" w:rsidRPr="004A0F92" w:rsidRDefault="00C90EEE" w:rsidP="00DA780F">
      <w:pPr>
        <w:pStyle w:val="Bezmezer"/>
        <w:numPr>
          <w:ilvl w:val="0"/>
          <w:numId w:val="2"/>
        </w:numPr>
        <w:spacing w:line="360" w:lineRule="auto"/>
        <w:jc w:val="both"/>
        <w:rPr>
          <w:rStyle w:val="Maintext"/>
          <w:sz w:val="32"/>
          <w:szCs w:val="24"/>
          <w:lang w:val="en-GB"/>
        </w:rPr>
      </w:pPr>
      <w:r w:rsidRPr="004A0F92">
        <w:rPr>
          <w:rFonts w:ascii="Times New Roman" w:hAnsi="Times New Roman"/>
          <w:b/>
          <w:sz w:val="32"/>
          <w:szCs w:val="24"/>
          <w:lang w:val="en-GB"/>
        </w:rPr>
        <w:lastRenderedPageBreak/>
        <w:t>Conclusion</w:t>
      </w:r>
    </w:p>
    <w:p w:rsidR="00C90EEE" w:rsidRPr="00FB2A56" w:rsidRDefault="00C90EEE" w:rsidP="00DA780F">
      <w:pPr>
        <w:spacing w:line="360" w:lineRule="auto"/>
        <w:ind w:firstLine="360"/>
        <w:jc w:val="both"/>
        <w:rPr>
          <w:rStyle w:val="Maintext"/>
          <w:rFonts w:cs="Times New Roman"/>
          <w:lang w:val="en-GB"/>
        </w:rPr>
      </w:pPr>
      <w:r w:rsidRPr="00FB2A56">
        <w:rPr>
          <w:rFonts w:ascii="Times New Roman" w:eastAsia="Batang" w:hAnsi="Times New Roman" w:cs="Times New Roman"/>
          <w:color w:val="000000"/>
          <w:sz w:val="24"/>
          <w:szCs w:val="24"/>
          <w:lang w:val="en-GB" w:eastAsia="ko-KR"/>
        </w:rPr>
        <w:t xml:space="preserve">Ferrous oxalate </w:t>
      </w:r>
      <w:proofErr w:type="spellStart"/>
      <w:r w:rsidRPr="00FB2A56">
        <w:rPr>
          <w:rFonts w:ascii="Times New Roman" w:eastAsia="Batang" w:hAnsi="Times New Roman" w:cs="Times New Roman"/>
          <w:color w:val="000000"/>
          <w:sz w:val="24"/>
          <w:szCs w:val="24"/>
          <w:lang w:val="en-GB" w:eastAsia="ko-KR"/>
        </w:rPr>
        <w:t>dihydrate</w:t>
      </w:r>
      <w:proofErr w:type="spellEnd"/>
      <w:r w:rsidRPr="00FB2A56">
        <w:rPr>
          <w:rFonts w:ascii="Times New Roman" w:eastAsia="Batang" w:hAnsi="Times New Roman" w:cs="Times New Roman"/>
          <w:color w:val="000000"/>
          <w:sz w:val="24"/>
          <w:szCs w:val="24"/>
          <w:lang w:val="en-GB" w:eastAsia="ko-KR"/>
        </w:rPr>
        <w:t xml:space="preserve"> was enclosed inside stainless-steel cells under the nitrogen atmosphere. Thermal decomposition of the precursor was systematically carried out at 24 different temperature/time combinations (300–650 °C; 1, 6 and 12 hours) to find the optimal route for magnetite preparation. The prepared materials were studied by Mössbauer spectroscopy and XRD. However, all decomposition routes resulted in obtaining the magnetite particles containing impurities. The remains of the precursor were observed in all the samples calcined below 400 °C, even after long calcination time (12 h). Almost spinel-structured iron oxide particles, magnetite and </w:t>
      </w:r>
      <w:proofErr w:type="spellStart"/>
      <w:r w:rsidRPr="00FB2A56">
        <w:rPr>
          <w:rFonts w:ascii="Times New Roman" w:eastAsia="Batang" w:hAnsi="Times New Roman" w:cs="Times New Roman"/>
          <w:color w:val="000000"/>
          <w:sz w:val="24"/>
          <w:szCs w:val="24"/>
          <w:lang w:val="en-GB" w:eastAsia="ko-KR"/>
        </w:rPr>
        <w:t>maghemite</w:t>
      </w:r>
      <w:proofErr w:type="spellEnd"/>
      <w:r w:rsidRPr="00FB2A56">
        <w:rPr>
          <w:rFonts w:ascii="Times New Roman" w:eastAsia="Batang" w:hAnsi="Times New Roman" w:cs="Times New Roman"/>
          <w:color w:val="000000"/>
          <w:sz w:val="24"/>
          <w:szCs w:val="24"/>
          <w:lang w:val="en-GB" w:eastAsia="ko-KR"/>
        </w:rPr>
        <w:t xml:space="preserve">, (e.g. 90 %) were prepared in the temperature range of 400–500 °C. </w:t>
      </w:r>
      <w:proofErr w:type="spellStart"/>
      <w:r w:rsidRPr="00FB2A56">
        <w:rPr>
          <w:rFonts w:ascii="Times New Roman" w:eastAsia="Batang" w:hAnsi="Times New Roman" w:cs="Times New Roman"/>
          <w:color w:val="000000"/>
          <w:sz w:val="24"/>
          <w:szCs w:val="24"/>
          <w:lang w:val="en-GB" w:eastAsia="ko-KR"/>
        </w:rPr>
        <w:t>Maghemite</w:t>
      </w:r>
      <w:proofErr w:type="spellEnd"/>
      <w:r w:rsidRPr="00FB2A56">
        <w:rPr>
          <w:rFonts w:ascii="Times New Roman" w:eastAsia="Batang" w:hAnsi="Times New Roman" w:cs="Times New Roman"/>
          <w:color w:val="000000"/>
          <w:sz w:val="24"/>
          <w:szCs w:val="24"/>
          <w:lang w:val="en-GB" w:eastAsia="ko-KR"/>
        </w:rPr>
        <w:t xml:space="preserve"> was most probably formed by oxidation of small particles of magnetite, which is unstable in the air. Other phases consisted solely of iron carbides phases (i.e., Fe</w:t>
      </w:r>
      <w:r w:rsidRPr="00FB2A56">
        <w:rPr>
          <w:rFonts w:ascii="Times New Roman" w:eastAsia="Batang" w:hAnsi="Times New Roman" w:cs="Times New Roman"/>
          <w:color w:val="000000"/>
          <w:sz w:val="24"/>
          <w:szCs w:val="24"/>
          <w:vertAlign w:val="subscript"/>
          <w:lang w:val="en-GB" w:eastAsia="ko-KR"/>
        </w:rPr>
        <w:t>3</w:t>
      </w:r>
      <w:r w:rsidRPr="00FB2A56">
        <w:rPr>
          <w:rFonts w:ascii="Times New Roman" w:eastAsia="Batang" w:hAnsi="Times New Roman" w:cs="Times New Roman"/>
          <w:color w:val="000000"/>
          <w:sz w:val="24"/>
          <w:szCs w:val="24"/>
          <w:lang w:val="en-GB" w:eastAsia="ko-KR"/>
        </w:rPr>
        <w:t>C and Fe</w:t>
      </w:r>
      <w:r w:rsidRPr="00FB2A56">
        <w:rPr>
          <w:rFonts w:ascii="Times New Roman" w:eastAsia="Batang" w:hAnsi="Times New Roman" w:cs="Times New Roman"/>
          <w:color w:val="000000"/>
          <w:sz w:val="24"/>
          <w:szCs w:val="24"/>
          <w:vertAlign w:val="subscript"/>
          <w:lang w:val="en-GB" w:eastAsia="ko-KR"/>
        </w:rPr>
        <w:t>5</w:t>
      </w:r>
      <w:r w:rsidRPr="00FB2A56">
        <w:rPr>
          <w:rFonts w:ascii="Times New Roman" w:eastAsia="Batang" w:hAnsi="Times New Roman" w:cs="Times New Roman"/>
          <w:color w:val="000000"/>
          <w:sz w:val="24"/>
          <w:szCs w:val="24"/>
          <w:lang w:val="en-GB" w:eastAsia="ko-KR"/>
        </w:rPr>
        <w:t>C</w:t>
      </w:r>
      <w:r w:rsidRPr="00FB2A56">
        <w:rPr>
          <w:rFonts w:ascii="Times New Roman" w:eastAsia="Batang" w:hAnsi="Times New Roman" w:cs="Times New Roman"/>
          <w:color w:val="000000"/>
          <w:sz w:val="24"/>
          <w:szCs w:val="24"/>
          <w:vertAlign w:val="subscript"/>
          <w:lang w:val="en-GB" w:eastAsia="ko-KR"/>
        </w:rPr>
        <w:t>2</w:t>
      </w:r>
      <w:r w:rsidRPr="00FB2A56">
        <w:rPr>
          <w:rFonts w:ascii="Times New Roman" w:eastAsia="Batang" w:hAnsi="Times New Roman" w:cs="Times New Roman"/>
          <w:color w:val="000000"/>
          <w:sz w:val="24"/>
          <w:szCs w:val="24"/>
          <w:lang w:val="en-GB" w:eastAsia="ko-KR"/>
        </w:rPr>
        <w:t xml:space="preserve">). Mixture of magnetite and </w:t>
      </w:r>
      <w:proofErr w:type="spellStart"/>
      <w:r w:rsidRPr="00FB2A56">
        <w:rPr>
          <w:rFonts w:ascii="Times New Roman" w:eastAsia="Batang" w:hAnsi="Times New Roman" w:cs="Times New Roman"/>
          <w:color w:val="000000"/>
          <w:sz w:val="24"/>
          <w:szCs w:val="24"/>
          <w:lang w:val="en-GB" w:eastAsia="ko-KR"/>
        </w:rPr>
        <w:t>maghemite</w:t>
      </w:r>
      <w:proofErr w:type="spellEnd"/>
      <w:r w:rsidRPr="00FB2A56">
        <w:rPr>
          <w:rFonts w:ascii="Times New Roman" w:eastAsia="Batang" w:hAnsi="Times New Roman" w:cs="Times New Roman"/>
          <w:color w:val="000000"/>
          <w:sz w:val="24"/>
          <w:szCs w:val="24"/>
          <w:lang w:val="en-GB" w:eastAsia="ko-KR"/>
        </w:rPr>
        <w:t xml:space="preserve">, free of carbides, was obtained at 550 °C. Above that temperature the formation of </w:t>
      </w:r>
      <w:proofErr w:type="spellStart"/>
      <w:r w:rsidRPr="00FB2A56">
        <w:rPr>
          <w:rFonts w:ascii="Times New Roman" w:eastAsia="Batang" w:hAnsi="Times New Roman" w:cs="Times New Roman"/>
          <w:color w:val="000000"/>
          <w:sz w:val="24"/>
          <w:szCs w:val="24"/>
          <w:lang w:val="en-GB" w:eastAsia="ko-KR"/>
        </w:rPr>
        <w:t>wüstite</w:t>
      </w:r>
      <w:proofErr w:type="spellEnd"/>
      <w:r w:rsidRPr="00FB2A56">
        <w:rPr>
          <w:rFonts w:ascii="Times New Roman" w:eastAsia="Batang" w:hAnsi="Times New Roman" w:cs="Times New Roman"/>
          <w:color w:val="000000"/>
          <w:sz w:val="24"/>
          <w:szCs w:val="24"/>
          <w:lang w:val="en-GB" w:eastAsia="ko-KR"/>
        </w:rPr>
        <w:t xml:space="preserve"> and α-iron was observed. Both of them seemed to be products of thermally induced reduction of magnetite and </w:t>
      </w:r>
      <w:proofErr w:type="spellStart"/>
      <w:r w:rsidRPr="00FB2A56">
        <w:rPr>
          <w:rFonts w:ascii="Times New Roman" w:eastAsia="Batang" w:hAnsi="Times New Roman" w:cs="Times New Roman"/>
          <w:color w:val="000000"/>
          <w:sz w:val="24"/>
          <w:szCs w:val="24"/>
          <w:lang w:val="en-GB" w:eastAsia="ko-KR"/>
        </w:rPr>
        <w:t>maghemite</w:t>
      </w:r>
      <w:proofErr w:type="spellEnd"/>
      <w:r w:rsidRPr="00FB2A56">
        <w:rPr>
          <w:rFonts w:ascii="Times New Roman" w:eastAsia="Batang" w:hAnsi="Times New Roman" w:cs="Times New Roman"/>
          <w:color w:val="000000"/>
          <w:sz w:val="24"/>
          <w:szCs w:val="24"/>
          <w:lang w:val="en-GB" w:eastAsia="ko-KR"/>
        </w:rPr>
        <w:t xml:space="preserve"> by CO. The crystallite size of the obtained iron oxide particles was in the range of </w:t>
      </w:r>
      <w:r w:rsidRPr="00FB2A56">
        <w:rPr>
          <w:rFonts w:ascii="Times New Roman" w:eastAsia="Batang" w:hAnsi="Times New Roman" w:cs="Times New Roman"/>
          <w:sz w:val="24"/>
          <w:szCs w:val="24"/>
          <w:lang w:val="en-GB" w:eastAsia="ko-KR"/>
        </w:rPr>
        <w:t>41</w:t>
      </w:r>
      <w:r w:rsidRPr="00FB2A56">
        <w:rPr>
          <w:rFonts w:ascii="Times New Roman" w:eastAsia="Batang" w:hAnsi="Times New Roman" w:cs="Times New Roman"/>
          <w:color w:val="000000"/>
          <w:sz w:val="24"/>
          <w:szCs w:val="24"/>
          <w:lang w:val="en-GB" w:eastAsia="ko-KR"/>
        </w:rPr>
        <w:t xml:space="preserve"> to </w:t>
      </w:r>
      <w:r w:rsidRPr="00FB2A56">
        <w:rPr>
          <w:rFonts w:ascii="Times New Roman" w:eastAsia="Batang" w:hAnsi="Times New Roman" w:cs="Times New Roman"/>
          <w:sz w:val="24"/>
          <w:szCs w:val="24"/>
          <w:lang w:val="en-GB" w:eastAsia="ko-KR"/>
        </w:rPr>
        <w:t>162</w:t>
      </w:r>
      <w:r w:rsidRPr="00FB2A56">
        <w:rPr>
          <w:rFonts w:ascii="Times New Roman" w:eastAsia="Batang" w:hAnsi="Times New Roman" w:cs="Times New Roman"/>
          <w:color w:val="000000"/>
          <w:sz w:val="24"/>
          <w:szCs w:val="24"/>
          <w:lang w:val="en-GB" w:eastAsia="ko-KR"/>
        </w:rPr>
        <w:t> nm, depending on the temperature and the calcination time of the preparation process.</w:t>
      </w:r>
    </w:p>
    <w:p w:rsidR="00C90EEE" w:rsidRPr="00FB2A56" w:rsidRDefault="00C90EEE" w:rsidP="00DA780F">
      <w:pPr>
        <w:spacing w:line="360" w:lineRule="auto"/>
        <w:rPr>
          <w:rStyle w:val="Maintext"/>
          <w:rFonts w:cs="Times New Roman"/>
          <w:lang w:val="en-GB"/>
        </w:rPr>
      </w:pPr>
    </w:p>
    <w:p w:rsidR="00C90EEE" w:rsidRPr="00FB2A56" w:rsidRDefault="00C90EEE" w:rsidP="00DA780F">
      <w:pPr>
        <w:spacing w:line="360" w:lineRule="auto"/>
        <w:rPr>
          <w:rStyle w:val="Maintext"/>
          <w:rFonts w:cs="Times New Roman"/>
          <w:lang w:val="en-GB"/>
        </w:rPr>
      </w:pPr>
      <w:r w:rsidRPr="00FB2A56">
        <w:rPr>
          <w:rStyle w:val="Maintext"/>
          <w:rFonts w:cs="Times New Roman"/>
          <w:b/>
          <w:lang w:val="en-GB"/>
        </w:rPr>
        <w:t>Acknowledgment</w:t>
      </w:r>
    </w:p>
    <w:p w:rsidR="00C90EEE" w:rsidRPr="00FB2A56" w:rsidRDefault="00A95435" w:rsidP="00DA780F">
      <w:pPr>
        <w:spacing w:line="360" w:lineRule="auto"/>
        <w:jc w:val="both"/>
        <w:rPr>
          <w:rStyle w:val="Maintext"/>
          <w:rFonts w:cs="Times New Roman"/>
          <w:lang w:val="en-GB"/>
        </w:rPr>
      </w:pPr>
      <w:r w:rsidRPr="00A95435">
        <w:rPr>
          <w:rStyle w:val="Maintext"/>
          <w:rFonts w:cs="Times New Roman"/>
          <w:szCs w:val="24"/>
          <w:lang w:val="en-GB"/>
        </w:rPr>
        <w:t xml:space="preserve">The authors gratefully acknowledge the financial support from the internal IGA grants of </w:t>
      </w:r>
      <w:proofErr w:type="spellStart"/>
      <w:r w:rsidRPr="00A95435">
        <w:rPr>
          <w:rStyle w:val="Maintext"/>
          <w:rFonts w:cs="Times New Roman"/>
          <w:szCs w:val="24"/>
          <w:lang w:val="en-GB"/>
        </w:rPr>
        <w:t>Palacký</w:t>
      </w:r>
      <w:proofErr w:type="spellEnd"/>
      <w:r w:rsidRPr="00A95435">
        <w:rPr>
          <w:rStyle w:val="Maintext"/>
          <w:rFonts w:cs="Times New Roman"/>
          <w:szCs w:val="24"/>
          <w:lang w:val="en-GB"/>
        </w:rPr>
        <w:t xml:space="preserve"> University (IGA_PrF_2018_002 and IGA_PrF_2018_021) and from the Czech-China mobility project </w:t>
      </w:r>
      <w:proofErr w:type="spellStart"/>
      <w:r w:rsidRPr="00A95435">
        <w:rPr>
          <w:rStyle w:val="Maintext"/>
          <w:rFonts w:cs="Times New Roman"/>
          <w:szCs w:val="24"/>
          <w:lang w:val="en-GB"/>
        </w:rPr>
        <w:t>Nr</w:t>
      </w:r>
      <w:proofErr w:type="spellEnd"/>
      <w:r w:rsidRPr="00A95435">
        <w:rPr>
          <w:rStyle w:val="Maintext"/>
          <w:rFonts w:cs="Times New Roman"/>
          <w:szCs w:val="24"/>
          <w:lang w:val="en-GB"/>
        </w:rPr>
        <w:t>. 8H17065 of Ministry of Education, Youth and Sports of the Czech Republic.</w:t>
      </w:r>
      <w:r>
        <w:rPr>
          <w:rStyle w:val="Maintext"/>
          <w:rFonts w:cs="Times New Roman"/>
          <w:szCs w:val="24"/>
          <w:lang w:val="en-GB"/>
        </w:rPr>
        <w:t xml:space="preserve"> </w:t>
      </w:r>
      <w:r w:rsidR="00C90EEE" w:rsidRPr="00FB2A56">
        <w:rPr>
          <w:rFonts w:ascii="Times New Roman" w:eastAsia="Batang" w:hAnsi="Times New Roman" w:cs="Times New Roman"/>
          <w:color w:val="000000"/>
          <w:sz w:val="24"/>
          <w:szCs w:val="24"/>
          <w:lang w:val="en-GB" w:eastAsia="ko-KR"/>
        </w:rPr>
        <w:t xml:space="preserve">Authors would also like to thank Mgr. Ivo </w:t>
      </w:r>
      <w:proofErr w:type="spellStart"/>
      <w:r w:rsidR="00C90EEE" w:rsidRPr="00FB2A56">
        <w:rPr>
          <w:rFonts w:ascii="Times New Roman" w:eastAsia="Batang" w:hAnsi="Times New Roman" w:cs="Times New Roman"/>
          <w:color w:val="000000"/>
          <w:sz w:val="24"/>
          <w:szCs w:val="24"/>
          <w:lang w:val="en-GB" w:eastAsia="ko-KR"/>
        </w:rPr>
        <w:t>Medřík</w:t>
      </w:r>
      <w:proofErr w:type="spellEnd"/>
      <w:r w:rsidR="00C90EEE" w:rsidRPr="00FB2A56">
        <w:rPr>
          <w:rFonts w:ascii="Times New Roman" w:eastAsia="Batang" w:hAnsi="Times New Roman" w:cs="Times New Roman"/>
          <w:color w:val="000000"/>
          <w:sz w:val="24"/>
          <w:szCs w:val="24"/>
          <w:lang w:val="en-GB" w:eastAsia="ko-KR"/>
        </w:rPr>
        <w:t xml:space="preserve"> for sharing his expertise and offering a practical advice, Mgr. </w:t>
      </w:r>
      <w:proofErr w:type="spellStart"/>
      <w:r w:rsidR="00C90EEE" w:rsidRPr="00FB2A56">
        <w:rPr>
          <w:rFonts w:ascii="Times New Roman" w:eastAsia="Batang" w:hAnsi="Times New Roman" w:cs="Times New Roman"/>
          <w:color w:val="000000"/>
          <w:sz w:val="24"/>
          <w:szCs w:val="24"/>
          <w:lang w:val="en-GB" w:eastAsia="ko-KR"/>
        </w:rPr>
        <w:t>Tomáš</w:t>
      </w:r>
      <w:proofErr w:type="spellEnd"/>
      <w:r w:rsidR="00C90EEE" w:rsidRPr="00FB2A56">
        <w:rPr>
          <w:rFonts w:ascii="Times New Roman" w:eastAsia="Batang" w:hAnsi="Times New Roman" w:cs="Times New Roman"/>
          <w:color w:val="000000"/>
          <w:sz w:val="24"/>
          <w:szCs w:val="24"/>
          <w:lang w:val="en-GB" w:eastAsia="ko-KR"/>
        </w:rPr>
        <w:t xml:space="preserve"> </w:t>
      </w:r>
      <w:proofErr w:type="spellStart"/>
      <w:r w:rsidR="00C90EEE" w:rsidRPr="00FB2A56">
        <w:rPr>
          <w:rFonts w:ascii="Times New Roman" w:eastAsia="Batang" w:hAnsi="Times New Roman" w:cs="Times New Roman"/>
          <w:color w:val="000000"/>
          <w:sz w:val="24"/>
          <w:szCs w:val="24"/>
          <w:lang w:val="en-GB" w:eastAsia="ko-KR"/>
        </w:rPr>
        <w:t>Ingr</w:t>
      </w:r>
      <w:proofErr w:type="spellEnd"/>
      <w:r w:rsidR="00C90EEE" w:rsidRPr="00FB2A56">
        <w:rPr>
          <w:rFonts w:ascii="Times New Roman" w:eastAsia="Batang" w:hAnsi="Times New Roman" w:cs="Times New Roman"/>
          <w:color w:val="000000"/>
          <w:sz w:val="24"/>
          <w:szCs w:val="24"/>
          <w:lang w:val="en-GB" w:eastAsia="ko-KR"/>
        </w:rPr>
        <w:t xml:space="preserve"> for SEM images and Helena </w:t>
      </w:r>
      <w:proofErr w:type="spellStart"/>
      <w:r w:rsidR="00C90EEE" w:rsidRPr="00FB2A56">
        <w:rPr>
          <w:rFonts w:ascii="Times New Roman" w:eastAsia="Batang" w:hAnsi="Times New Roman" w:cs="Times New Roman"/>
          <w:color w:val="000000"/>
          <w:sz w:val="24"/>
          <w:szCs w:val="24"/>
          <w:lang w:val="en-GB" w:eastAsia="ko-KR"/>
        </w:rPr>
        <w:t>Sedláčková</w:t>
      </w:r>
      <w:proofErr w:type="spellEnd"/>
      <w:r w:rsidR="00C90EEE" w:rsidRPr="00FB2A56">
        <w:rPr>
          <w:rFonts w:ascii="Times New Roman" w:eastAsia="Batang" w:hAnsi="Times New Roman" w:cs="Times New Roman"/>
          <w:color w:val="000000"/>
          <w:sz w:val="24"/>
          <w:szCs w:val="24"/>
          <w:lang w:val="en-GB" w:eastAsia="ko-KR"/>
        </w:rPr>
        <w:t xml:space="preserve"> for her help with the paper.</w:t>
      </w:r>
      <w:r w:rsidRPr="00A95435">
        <w:t xml:space="preserve"> </w:t>
      </w:r>
    </w:p>
    <w:p w:rsidR="00C90EEE" w:rsidRPr="00FB2A56" w:rsidRDefault="00C90EEE" w:rsidP="00DA780F">
      <w:pPr>
        <w:spacing w:line="360" w:lineRule="auto"/>
        <w:rPr>
          <w:rStyle w:val="Maintext"/>
          <w:rFonts w:cs="Times New Roman"/>
          <w:b/>
          <w:color w:val="000000" w:themeColor="text1"/>
          <w:lang w:val="en-GB"/>
        </w:rPr>
      </w:pPr>
      <w:r w:rsidRPr="00FB2A56">
        <w:rPr>
          <w:rStyle w:val="Maintext"/>
          <w:rFonts w:cs="Times New Roman"/>
          <w:b/>
          <w:color w:val="000000" w:themeColor="text1"/>
          <w:lang w:val="en-GB"/>
        </w:rPr>
        <w:t>References</w:t>
      </w:r>
    </w:p>
    <w:p w:rsidR="00752133" w:rsidRPr="00752133" w:rsidRDefault="00C90EEE"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FB2A56">
        <w:rPr>
          <w:rFonts w:ascii="Times New Roman" w:hAnsi="Times New Roman" w:cs="Times New Roman"/>
          <w:lang w:val="en-GB" w:eastAsia="cs-CZ"/>
        </w:rPr>
        <w:fldChar w:fldCharType="begin" w:fldLock="1"/>
      </w:r>
      <w:r w:rsidRPr="00FB2A56">
        <w:rPr>
          <w:rFonts w:ascii="Times New Roman" w:hAnsi="Times New Roman" w:cs="Times New Roman"/>
          <w:lang w:val="en-GB"/>
        </w:rPr>
        <w:instrText xml:space="preserve">ADDIN Mendeley Bibliography CSL_BIBLIOGRAPHY </w:instrText>
      </w:r>
      <w:r w:rsidRPr="00FB2A56">
        <w:rPr>
          <w:rFonts w:ascii="Times New Roman" w:hAnsi="Times New Roman" w:cs="Times New Roman"/>
          <w:lang w:val="en-GB" w:eastAsia="cs-CZ"/>
        </w:rPr>
        <w:fldChar w:fldCharType="separate"/>
      </w:r>
      <w:r w:rsidR="00752133" w:rsidRPr="00752133">
        <w:rPr>
          <w:rFonts w:ascii="Times New Roman" w:hAnsi="Times New Roman" w:cs="Times New Roman"/>
          <w:noProof/>
          <w:sz w:val="20"/>
          <w:szCs w:val="24"/>
        </w:rPr>
        <w:t>1</w:t>
      </w:r>
      <w:r w:rsidR="00752133" w:rsidRPr="00752133">
        <w:rPr>
          <w:rFonts w:ascii="Times New Roman" w:hAnsi="Times New Roman" w:cs="Times New Roman"/>
          <w:noProof/>
          <w:sz w:val="20"/>
          <w:szCs w:val="24"/>
        </w:rPr>
        <w:tab/>
        <w:t xml:space="preserve">A. S. Teja and P. Y. Koh, Synthesis, properties, and applications of magnetic iron oxide nanoparticles, </w:t>
      </w:r>
      <w:r w:rsidR="00752133" w:rsidRPr="00752133">
        <w:rPr>
          <w:rFonts w:ascii="Times New Roman" w:hAnsi="Times New Roman" w:cs="Times New Roman"/>
          <w:i/>
          <w:iCs/>
          <w:noProof/>
          <w:sz w:val="20"/>
          <w:szCs w:val="24"/>
        </w:rPr>
        <w:t>Prog. Cryst. Growth Charact. Mater.</w:t>
      </w:r>
      <w:r w:rsidR="00752133" w:rsidRPr="00752133">
        <w:rPr>
          <w:rFonts w:ascii="Times New Roman" w:hAnsi="Times New Roman" w:cs="Times New Roman"/>
          <w:noProof/>
          <w:sz w:val="20"/>
          <w:szCs w:val="24"/>
        </w:rPr>
        <w:t xml:space="preserve">, </w:t>
      </w:r>
      <w:r w:rsidR="00752133" w:rsidRPr="00752133">
        <w:rPr>
          <w:rFonts w:ascii="Times New Roman" w:hAnsi="Times New Roman" w:cs="Times New Roman"/>
          <w:b/>
          <w:noProof/>
          <w:sz w:val="20"/>
          <w:szCs w:val="24"/>
        </w:rPr>
        <w:t>2009</w:t>
      </w:r>
      <w:r w:rsidR="00752133" w:rsidRPr="00752133">
        <w:rPr>
          <w:rFonts w:ascii="Times New Roman" w:hAnsi="Times New Roman" w:cs="Times New Roman"/>
          <w:noProof/>
          <w:sz w:val="20"/>
          <w:szCs w:val="24"/>
        </w:rPr>
        <w:t xml:space="preserve">, </w:t>
      </w:r>
      <w:r w:rsidR="00752133" w:rsidRPr="00752133">
        <w:rPr>
          <w:rFonts w:ascii="Times New Roman" w:hAnsi="Times New Roman" w:cs="Times New Roman"/>
          <w:bCs/>
          <w:i/>
          <w:noProof/>
          <w:sz w:val="20"/>
          <w:szCs w:val="24"/>
        </w:rPr>
        <w:t>55</w:t>
      </w:r>
      <w:r w:rsidR="00752133" w:rsidRPr="00752133">
        <w:rPr>
          <w:rFonts w:ascii="Times New Roman" w:hAnsi="Times New Roman" w:cs="Times New Roman"/>
          <w:noProof/>
          <w:sz w:val="20"/>
          <w:szCs w:val="24"/>
        </w:rPr>
        <w:t>, 22–45.</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w:t>
      </w:r>
      <w:r w:rsidRPr="00752133">
        <w:rPr>
          <w:rFonts w:ascii="Times New Roman" w:hAnsi="Times New Roman" w:cs="Times New Roman"/>
          <w:noProof/>
          <w:sz w:val="20"/>
          <w:szCs w:val="24"/>
        </w:rPr>
        <w:tab/>
        <w:t xml:space="preserve">A. Ito, M. Shinkai, H. Honda and T. Kobayashi, Medical application of functionalized magnetic nanoparticles, </w:t>
      </w:r>
      <w:r w:rsidRPr="00752133">
        <w:rPr>
          <w:rFonts w:ascii="Times New Roman" w:hAnsi="Times New Roman" w:cs="Times New Roman"/>
          <w:i/>
          <w:iCs/>
          <w:noProof/>
          <w:sz w:val="20"/>
          <w:szCs w:val="24"/>
        </w:rPr>
        <w:t>J. Biosci. Bioeng.</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2005</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100</w:t>
      </w:r>
      <w:r w:rsidRPr="00752133">
        <w:rPr>
          <w:rFonts w:ascii="Times New Roman" w:hAnsi="Times New Roman" w:cs="Times New Roman"/>
          <w:noProof/>
          <w:sz w:val="20"/>
          <w:szCs w:val="24"/>
        </w:rPr>
        <w:t>, 1–11.</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lastRenderedPageBreak/>
        <w:t>3</w:t>
      </w:r>
      <w:r w:rsidRPr="00752133">
        <w:rPr>
          <w:rFonts w:ascii="Times New Roman" w:hAnsi="Times New Roman" w:cs="Times New Roman"/>
          <w:noProof/>
          <w:sz w:val="20"/>
          <w:szCs w:val="24"/>
        </w:rPr>
        <w:tab/>
        <w:t xml:space="preserve">S. Saeidi, N. A. S. Amin and M. R. Rahimpour, Hydrogenation of CO2 to value-added products - A review and potential future developments, </w:t>
      </w:r>
      <w:r w:rsidRPr="00752133">
        <w:rPr>
          <w:rFonts w:ascii="Times New Roman" w:hAnsi="Times New Roman" w:cs="Times New Roman"/>
          <w:i/>
          <w:iCs/>
          <w:noProof/>
          <w:sz w:val="20"/>
          <w:szCs w:val="24"/>
        </w:rPr>
        <w:t>J. CO2 Util.</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2014</w:t>
      </w:r>
      <w:r w:rsidRPr="00752133">
        <w:rPr>
          <w:rFonts w:ascii="Times New Roman" w:hAnsi="Times New Roman" w:cs="Times New Roman"/>
          <w:noProof/>
          <w:sz w:val="20"/>
          <w:szCs w:val="24"/>
        </w:rPr>
        <w:t>,</w:t>
      </w:r>
      <w:r w:rsidRPr="00752133">
        <w:rPr>
          <w:rFonts w:ascii="Times New Roman" w:hAnsi="Times New Roman" w:cs="Times New Roman"/>
          <w:i/>
          <w:noProof/>
          <w:sz w:val="20"/>
          <w:szCs w:val="24"/>
        </w:rPr>
        <w:t xml:space="preserve"> </w:t>
      </w:r>
      <w:r w:rsidRPr="00752133">
        <w:rPr>
          <w:rFonts w:ascii="Times New Roman" w:hAnsi="Times New Roman" w:cs="Times New Roman"/>
          <w:bCs/>
          <w:i/>
          <w:noProof/>
          <w:sz w:val="20"/>
          <w:szCs w:val="24"/>
        </w:rPr>
        <w:t>5</w:t>
      </w:r>
      <w:r w:rsidRPr="00752133">
        <w:rPr>
          <w:rFonts w:ascii="Times New Roman" w:hAnsi="Times New Roman" w:cs="Times New Roman"/>
          <w:noProof/>
          <w:sz w:val="20"/>
          <w:szCs w:val="24"/>
        </w:rPr>
        <w:t>, 66–81.</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w:t>
      </w:r>
      <w:r w:rsidRPr="00752133">
        <w:rPr>
          <w:rFonts w:ascii="Times New Roman" w:hAnsi="Times New Roman" w:cs="Times New Roman"/>
          <w:noProof/>
          <w:sz w:val="20"/>
          <w:szCs w:val="24"/>
        </w:rPr>
        <w:tab/>
        <w:t xml:space="preserve">M. Zhu and I. E. Wachs, Iron-Based Catalysts for the High-Temperature Water-Gas Shift (HT-WGS) Reaction: A Review, </w:t>
      </w:r>
      <w:r w:rsidRPr="00752133">
        <w:rPr>
          <w:rFonts w:ascii="Times New Roman" w:hAnsi="Times New Roman" w:cs="Times New Roman"/>
          <w:i/>
          <w:iCs/>
          <w:noProof/>
          <w:sz w:val="20"/>
          <w:szCs w:val="24"/>
        </w:rPr>
        <w:t>ACS Catal.</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2016</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6</w:t>
      </w:r>
      <w:r w:rsidRPr="00752133">
        <w:rPr>
          <w:rFonts w:ascii="Times New Roman" w:hAnsi="Times New Roman" w:cs="Times New Roman"/>
          <w:noProof/>
          <w:sz w:val="20"/>
          <w:szCs w:val="24"/>
        </w:rPr>
        <w:t>, 722–732.</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5</w:t>
      </w:r>
      <w:r w:rsidRPr="00752133">
        <w:rPr>
          <w:rFonts w:ascii="Times New Roman" w:hAnsi="Times New Roman" w:cs="Times New Roman"/>
          <w:noProof/>
          <w:sz w:val="20"/>
          <w:szCs w:val="24"/>
        </w:rPr>
        <w:tab/>
        <w:t xml:space="preserve">J. M. Honig, The synthesis, crystal-growth, and characterization of nonstoichiometric magnetite, </w:t>
      </w:r>
      <w:r w:rsidRPr="00752133">
        <w:rPr>
          <w:rFonts w:ascii="Times New Roman" w:hAnsi="Times New Roman" w:cs="Times New Roman"/>
          <w:i/>
          <w:iCs/>
          <w:noProof/>
          <w:sz w:val="20"/>
          <w:szCs w:val="24"/>
        </w:rPr>
        <w:t>Proc. Indian Acad. Sci.s-Chem. Sci.</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1986</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96</w:t>
      </w:r>
      <w:r w:rsidRPr="00752133">
        <w:rPr>
          <w:rFonts w:ascii="Times New Roman" w:hAnsi="Times New Roman" w:cs="Times New Roman"/>
          <w:noProof/>
          <w:sz w:val="20"/>
          <w:szCs w:val="24"/>
        </w:rPr>
        <w:t>, 391–409.</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6</w:t>
      </w:r>
      <w:r w:rsidRPr="00752133">
        <w:rPr>
          <w:rFonts w:ascii="Times New Roman" w:hAnsi="Times New Roman" w:cs="Times New Roman"/>
          <w:noProof/>
          <w:sz w:val="20"/>
          <w:szCs w:val="24"/>
        </w:rPr>
        <w:tab/>
        <w:t xml:space="preserve">X. Li, Z. Si, Y. Lei, J. Tang, S. Wang, S. Su, S. Song, L. Zhao and H. Zhang, Direct hydrothermal synthesis of single-crystalline triangular Fe3O4 nanoprisms, </w:t>
      </w:r>
      <w:r w:rsidRPr="00752133">
        <w:rPr>
          <w:rFonts w:ascii="Times New Roman" w:hAnsi="Times New Roman" w:cs="Times New Roman"/>
          <w:i/>
          <w:iCs/>
          <w:noProof/>
          <w:sz w:val="20"/>
          <w:szCs w:val="24"/>
        </w:rPr>
        <w:t>CrystEngComm</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2010</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12</w:t>
      </w:r>
      <w:r w:rsidRPr="00752133">
        <w:rPr>
          <w:rFonts w:ascii="Times New Roman" w:hAnsi="Times New Roman" w:cs="Times New Roman"/>
          <w:noProof/>
          <w:sz w:val="20"/>
          <w:szCs w:val="24"/>
        </w:rPr>
        <w:t>, 2060.</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7</w:t>
      </w:r>
      <w:r w:rsidRPr="00752133">
        <w:rPr>
          <w:rFonts w:ascii="Times New Roman" w:hAnsi="Times New Roman" w:cs="Times New Roman"/>
          <w:noProof/>
          <w:sz w:val="20"/>
          <w:szCs w:val="24"/>
        </w:rPr>
        <w:tab/>
        <w:t xml:space="preserve">S. Komarneni, W. Hu, Y. D. Noh, A. Van Orden, S. Feng, C. Wei, H. Pang, F. Gao, Q. Lu and H. Katsuki, Magnetite syntheses from room temperature to 150°C with and without microwaves, </w:t>
      </w:r>
      <w:r w:rsidRPr="00752133">
        <w:rPr>
          <w:rFonts w:ascii="Times New Roman" w:hAnsi="Times New Roman" w:cs="Times New Roman"/>
          <w:i/>
          <w:iCs/>
          <w:noProof/>
          <w:sz w:val="20"/>
          <w:szCs w:val="24"/>
        </w:rPr>
        <w:t>Ceram. Int.</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2012</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38</w:t>
      </w:r>
      <w:r w:rsidRPr="00752133">
        <w:rPr>
          <w:rFonts w:ascii="Times New Roman" w:hAnsi="Times New Roman" w:cs="Times New Roman"/>
          <w:noProof/>
          <w:sz w:val="20"/>
          <w:szCs w:val="24"/>
        </w:rPr>
        <w:t>, 2563–2568.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8</w:t>
      </w:r>
      <w:r w:rsidRPr="00752133">
        <w:rPr>
          <w:rFonts w:ascii="Times New Roman" w:hAnsi="Times New Roman" w:cs="Times New Roman"/>
          <w:noProof/>
          <w:sz w:val="20"/>
          <w:szCs w:val="24"/>
        </w:rPr>
        <w:tab/>
        <w:t xml:space="preserve">S. H. Sun and H. Zeng, Size-controlled synthesis of magnetite nanoparticles, </w:t>
      </w:r>
      <w:r w:rsidRPr="00752133">
        <w:rPr>
          <w:rFonts w:ascii="Times New Roman" w:hAnsi="Times New Roman" w:cs="Times New Roman"/>
          <w:i/>
          <w:iCs/>
          <w:noProof/>
          <w:sz w:val="20"/>
          <w:szCs w:val="24"/>
        </w:rPr>
        <w:t>J. Am. Chem. Soc.</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2002</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124</w:t>
      </w:r>
      <w:r w:rsidRPr="00752133">
        <w:rPr>
          <w:rFonts w:ascii="Times New Roman" w:hAnsi="Times New Roman" w:cs="Times New Roman"/>
          <w:noProof/>
          <w:sz w:val="20"/>
          <w:szCs w:val="24"/>
        </w:rPr>
        <w:t>, 8204–8205.</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9</w:t>
      </w:r>
      <w:r w:rsidRPr="00752133">
        <w:rPr>
          <w:rFonts w:ascii="Times New Roman" w:hAnsi="Times New Roman" w:cs="Times New Roman"/>
          <w:noProof/>
          <w:sz w:val="20"/>
          <w:szCs w:val="24"/>
        </w:rPr>
        <w:tab/>
        <w:t xml:space="preserve">D. Amara, I. Felner, I. Nowik and S. Margel, Synthesis and characterization of Fe and Fe3O4 nanoparticles by thermal decomposition of triiron dodecacarbonyl, </w:t>
      </w:r>
      <w:r w:rsidRPr="00752133">
        <w:rPr>
          <w:rFonts w:ascii="Times New Roman" w:hAnsi="Times New Roman" w:cs="Times New Roman"/>
          <w:i/>
          <w:iCs/>
          <w:noProof/>
          <w:sz w:val="20"/>
          <w:szCs w:val="24"/>
        </w:rPr>
        <w:t>Colloids Surfaces A Physicochem. Eng. Asp.</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2009</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339</w:t>
      </w:r>
      <w:r w:rsidRPr="00752133">
        <w:rPr>
          <w:rFonts w:ascii="Times New Roman" w:hAnsi="Times New Roman" w:cs="Times New Roman"/>
          <w:noProof/>
          <w:sz w:val="20"/>
          <w:szCs w:val="24"/>
        </w:rPr>
        <w:t>, 106–110.</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10</w:t>
      </w:r>
      <w:r w:rsidRPr="00752133">
        <w:rPr>
          <w:rFonts w:ascii="Times New Roman" w:hAnsi="Times New Roman" w:cs="Times New Roman"/>
          <w:noProof/>
          <w:sz w:val="20"/>
          <w:szCs w:val="24"/>
        </w:rPr>
        <w:tab/>
        <w:t xml:space="preserve">J.-N. Park, P. Zhang, Y.-S. Hu and E. W. McFarland, Synthesis and characterization of sintering-resistant silica-encapsulated Fe3O4 magnetic nanoparticles active for oxidation and chemical looping combustion., </w:t>
      </w:r>
      <w:r w:rsidRPr="00752133">
        <w:rPr>
          <w:rFonts w:ascii="Times New Roman" w:hAnsi="Times New Roman" w:cs="Times New Roman"/>
          <w:i/>
          <w:iCs/>
          <w:noProof/>
          <w:sz w:val="20"/>
          <w:szCs w:val="24"/>
        </w:rPr>
        <w:t>Nanotechnology</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2010</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21</w:t>
      </w:r>
      <w:r w:rsidRPr="00752133">
        <w:rPr>
          <w:rFonts w:ascii="Times New Roman" w:hAnsi="Times New Roman" w:cs="Times New Roman"/>
          <w:noProof/>
          <w:sz w:val="20"/>
          <w:szCs w:val="24"/>
        </w:rPr>
        <w:t>, 225708.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11</w:t>
      </w:r>
      <w:r w:rsidRPr="00752133">
        <w:rPr>
          <w:rFonts w:ascii="Times New Roman" w:hAnsi="Times New Roman" w:cs="Times New Roman"/>
          <w:noProof/>
          <w:sz w:val="20"/>
          <w:szCs w:val="24"/>
        </w:rPr>
        <w:tab/>
        <w:t xml:space="preserve">D. Maity, S. G. Choo, J. Yi, J. Ding and J. M. Xue, Synthesis of magnetite nanoparticles via a solvent-free thermal decomposition route, </w:t>
      </w:r>
      <w:r w:rsidRPr="00752133">
        <w:rPr>
          <w:rFonts w:ascii="Times New Roman" w:hAnsi="Times New Roman" w:cs="Times New Roman"/>
          <w:i/>
          <w:iCs/>
          <w:noProof/>
          <w:sz w:val="20"/>
          <w:szCs w:val="24"/>
        </w:rPr>
        <w:t>J. Magn. Magn. Mater.</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2009</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321</w:t>
      </w:r>
      <w:r w:rsidRPr="00752133">
        <w:rPr>
          <w:rFonts w:ascii="Times New Roman" w:hAnsi="Times New Roman" w:cs="Times New Roman"/>
          <w:noProof/>
          <w:sz w:val="20"/>
          <w:szCs w:val="24"/>
        </w:rPr>
        <w:t>, 1256–1259.</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12</w:t>
      </w:r>
      <w:r w:rsidRPr="00752133">
        <w:rPr>
          <w:rFonts w:ascii="Times New Roman" w:hAnsi="Times New Roman" w:cs="Times New Roman"/>
          <w:noProof/>
          <w:sz w:val="20"/>
          <w:szCs w:val="24"/>
        </w:rPr>
        <w:tab/>
        <w:t xml:space="preserve">M. Stoia and C. Lazau, THERMAL DECOMPOSITION OF SOME METAL-ORGANIC PRECURSORS Fe2O3 nanoparticles, </w:t>
      </w:r>
      <w:r w:rsidRPr="00752133">
        <w:rPr>
          <w:rFonts w:ascii="Times New Roman" w:hAnsi="Times New Roman" w:cs="Times New Roman"/>
          <w:i/>
          <w:iCs/>
          <w:noProof/>
          <w:sz w:val="20"/>
          <w:szCs w:val="24"/>
        </w:rPr>
        <w:t>J. Therm. Anal. Calorim.</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2007</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88</w:t>
      </w:r>
      <w:r w:rsidRPr="00752133">
        <w:rPr>
          <w:rFonts w:ascii="Times New Roman" w:hAnsi="Times New Roman" w:cs="Times New Roman"/>
          <w:i/>
          <w:noProof/>
          <w:sz w:val="20"/>
          <w:szCs w:val="24"/>
        </w:rPr>
        <w:t>,</w:t>
      </w:r>
      <w:r w:rsidRPr="00752133">
        <w:rPr>
          <w:rFonts w:ascii="Times New Roman" w:hAnsi="Times New Roman" w:cs="Times New Roman"/>
          <w:noProof/>
          <w:sz w:val="20"/>
          <w:szCs w:val="24"/>
        </w:rPr>
        <w:t xml:space="preserve"> 27–32.</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13</w:t>
      </w:r>
      <w:r w:rsidRPr="00752133">
        <w:rPr>
          <w:rFonts w:ascii="Times New Roman" w:hAnsi="Times New Roman" w:cs="Times New Roman"/>
          <w:noProof/>
          <w:sz w:val="20"/>
          <w:szCs w:val="24"/>
        </w:rPr>
        <w:tab/>
        <w:t xml:space="preserve">R. Zboril, M. Mashlan and D. Petridis, Iron(III) oxides from thermal processes-synthesis, structural and magnetic properties, Mössbauer spectroscopy characterization, and applications, </w:t>
      </w:r>
      <w:r w:rsidRPr="00752133">
        <w:rPr>
          <w:rFonts w:ascii="Times New Roman" w:hAnsi="Times New Roman" w:cs="Times New Roman"/>
          <w:i/>
          <w:iCs/>
          <w:noProof/>
          <w:sz w:val="20"/>
          <w:szCs w:val="24"/>
        </w:rPr>
        <w:t>Chem. Mater.</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2002</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14</w:t>
      </w:r>
      <w:r w:rsidRPr="00752133">
        <w:rPr>
          <w:rFonts w:ascii="Times New Roman" w:hAnsi="Times New Roman" w:cs="Times New Roman"/>
          <w:noProof/>
          <w:sz w:val="20"/>
          <w:szCs w:val="24"/>
        </w:rPr>
        <w:t>, 969–982.</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14</w:t>
      </w:r>
      <w:r w:rsidRPr="00752133">
        <w:rPr>
          <w:rFonts w:ascii="Times New Roman" w:hAnsi="Times New Roman" w:cs="Times New Roman"/>
          <w:noProof/>
          <w:sz w:val="20"/>
          <w:szCs w:val="24"/>
        </w:rPr>
        <w:tab/>
        <w:t xml:space="preserve">E. J. Baran, Natural iron oxalates and their analogous synthetic counterparts : A review, </w:t>
      </w:r>
      <w:r w:rsidRPr="00752133">
        <w:rPr>
          <w:rFonts w:ascii="Times New Roman" w:hAnsi="Times New Roman" w:cs="Times New Roman"/>
          <w:i/>
          <w:iCs/>
          <w:noProof/>
          <w:sz w:val="20"/>
          <w:szCs w:val="24"/>
        </w:rPr>
        <w:t>Chemie der Erde - Geochemistry</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2016</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76</w:t>
      </w:r>
      <w:r w:rsidRPr="00752133">
        <w:rPr>
          <w:rFonts w:ascii="Times New Roman" w:hAnsi="Times New Roman" w:cs="Times New Roman"/>
          <w:noProof/>
          <w:sz w:val="20"/>
          <w:szCs w:val="24"/>
        </w:rPr>
        <w:t>, 449–460.</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15</w:t>
      </w:r>
      <w:r w:rsidRPr="00752133">
        <w:rPr>
          <w:rFonts w:ascii="Times New Roman" w:hAnsi="Times New Roman" w:cs="Times New Roman"/>
          <w:noProof/>
          <w:sz w:val="20"/>
          <w:szCs w:val="24"/>
        </w:rPr>
        <w:tab/>
        <w:t xml:space="preserve">W. Zhou, K. Tang, S. Zeng and Y. Qi, Room temperature synthesis of rod-like FeC(2)O(4)·2H(2)O and its transition to maghemite, magnetite and hematite nanorods through controlled thermal decomposition., </w:t>
      </w:r>
      <w:r w:rsidRPr="00752133">
        <w:rPr>
          <w:rFonts w:ascii="Times New Roman" w:hAnsi="Times New Roman" w:cs="Times New Roman"/>
          <w:i/>
          <w:iCs/>
          <w:noProof/>
          <w:sz w:val="20"/>
          <w:szCs w:val="24"/>
        </w:rPr>
        <w:t>Nanotechnology</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2008</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19</w:t>
      </w:r>
      <w:r w:rsidRPr="00752133">
        <w:rPr>
          <w:rFonts w:ascii="Times New Roman" w:hAnsi="Times New Roman" w:cs="Times New Roman"/>
          <w:noProof/>
          <w:sz w:val="20"/>
          <w:szCs w:val="24"/>
        </w:rPr>
        <w:t>, 065602.</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16</w:t>
      </w:r>
      <w:r w:rsidRPr="00752133">
        <w:rPr>
          <w:rFonts w:ascii="Times New Roman" w:hAnsi="Times New Roman" w:cs="Times New Roman"/>
          <w:noProof/>
          <w:sz w:val="20"/>
          <w:szCs w:val="24"/>
        </w:rPr>
        <w:tab/>
        <w:t xml:space="preserve">C. Gregor, M. Hermanek, D. Jancik, J. Pechousek, J. Filip, J. Hrbac and R. Zboril, The effect of surface area and crystal structure on the catalytic efficiency of Iron(III) oxide nanoparticles in hydrogen peroxide </w:t>
      </w:r>
      <w:r w:rsidRPr="00752133">
        <w:rPr>
          <w:rFonts w:ascii="Times New Roman" w:hAnsi="Times New Roman" w:cs="Times New Roman"/>
          <w:noProof/>
          <w:sz w:val="20"/>
          <w:szCs w:val="24"/>
        </w:rPr>
        <w:lastRenderedPageBreak/>
        <w:t xml:space="preserve">decomposition, </w:t>
      </w:r>
      <w:r w:rsidRPr="00752133">
        <w:rPr>
          <w:rFonts w:ascii="Times New Roman" w:hAnsi="Times New Roman" w:cs="Times New Roman"/>
          <w:i/>
          <w:iCs/>
          <w:noProof/>
          <w:sz w:val="20"/>
          <w:szCs w:val="24"/>
        </w:rPr>
        <w:t>Eur. J. Inorg. Chem.</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2010</w:t>
      </w:r>
      <w:r w:rsidRPr="00752133">
        <w:rPr>
          <w:rFonts w:ascii="Times New Roman" w:hAnsi="Times New Roman" w:cs="Times New Roman"/>
          <w:noProof/>
          <w:sz w:val="20"/>
          <w:szCs w:val="24"/>
        </w:rPr>
        <w:t>, 2343–2351.</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17</w:t>
      </w:r>
      <w:r w:rsidRPr="00752133">
        <w:rPr>
          <w:rFonts w:ascii="Times New Roman" w:hAnsi="Times New Roman" w:cs="Times New Roman"/>
          <w:noProof/>
          <w:sz w:val="20"/>
          <w:szCs w:val="24"/>
        </w:rPr>
        <w:tab/>
        <w:t xml:space="preserve">R. Zboril, L. Machala, M. Mashlan, M. Hermanek, M. Miglierini and A. Fojtik, Structural, magnetic and size transformations induced by isothermal treatment of ferrous oxalate dihydrate in static air conditions, </w:t>
      </w:r>
      <w:r w:rsidRPr="00752133">
        <w:rPr>
          <w:rFonts w:ascii="Times New Roman" w:hAnsi="Times New Roman" w:cs="Times New Roman"/>
          <w:i/>
          <w:iCs/>
          <w:noProof/>
          <w:sz w:val="20"/>
          <w:szCs w:val="24"/>
        </w:rPr>
        <w:t>Phys. Status Solidi C Conf.</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2004</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w:t>
      </w:r>
      <w:r w:rsidRPr="00752133">
        <w:rPr>
          <w:rFonts w:ascii="Times New Roman" w:hAnsi="Times New Roman" w:cs="Times New Roman"/>
          <w:noProof/>
          <w:sz w:val="20"/>
          <w:szCs w:val="24"/>
        </w:rPr>
        <w:t>, 3583–3588.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18</w:t>
      </w:r>
      <w:r w:rsidRPr="00752133">
        <w:rPr>
          <w:rFonts w:ascii="Times New Roman" w:hAnsi="Times New Roman" w:cs="Times New Roman"/>
          <w:noProof/>
          <w:sz w:val="20"/>
          <w:szCs w:val="24"/>
        </w:rPr>
        <w:tab/>
        <w:t xml:space="preserve">N. Koga and Y. Sato, Formation and transformation kinetics of amorphous iron(III) oxide during the thermally induced transformation of ferrous oxalate dihydrate in air, </w:t>
      </w:r>
      <w:r w:rsidRPr="00752133">
        <w:rPr>
          <w:rFonts w:ascii="Times New Roman" w:hAnsi="Times New Roman" w:cs="Times New Roman"/>
          <w:i/>
          <w:iCs/>
          <w:noProof/>
          <w:sz w:val="20"/>
          <w:szCs w:val="24"/>
        </w:rPr>
        <w:t>J. Phys. Chem. A</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2011</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115</w:t>
      </w:r>
      <w:r w:rsidRPr="00752133">
        <w:rPr>
          <w:rFonts w:ascii="Times New Roman" w:hAnsi="Times New Roman" w:cs="Times New Roman"/>
          <w:noProof/>
          <w:sz w:val="20"/>
          <w:szCs w:val="24"/>
        </w:rPr>
        <w:t>, 141–151.</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19</w:t>
      </w:r>
      <w:r w:rsidRPr="00752133">
        <w:rPr>
          <w:rFonts w:ascii="Times New Roman" w:hAnsi="Times New Roman" w:cs="Times New Roman"/>
          <w:noProof/>
          <w:sz w:val="20"/>
          <w:szCs w:val="24"/>
        </w:rPr>
        <w:tab/>
        <w:t xml:space="preserve">M. Hermanek and R. Zboril, Polymorphous exhibitions of iron(III) oxide during isothermal oxidative decompositions of iron salts: A key role of the powder layer thickness, </w:t>
      </w:r>
      <w:r w:rsidRPr="00752133">
        <w:rPr>
          <w:rFonts w:ascii="Times New Roman" w:hAnsi="Times New Roman" w:cs="Times New Roman"/>
          <w:i/>
          <w:iCs/>
          <w:noProof/>
          <w:sz w:val="20"/>
          <w:szCs w:val="24"/>
        </w:rPr>
        <w:t>Chem. Mater.</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2008</w:t>
      </w:r>
      <w:r w:rsidRPr="00752133">
        <w:rPr>
          <w:rFonts w:ascii="Times New Roman" w:hAnsi="Times New Roman" w:cs="Times New Roman"/>
          <w:noProof/>
          <w:sz w:val="20"/>
          <w:szCs w:val="24"/>
        </w:rPr>
        <w:t xml:space="preserve">, </w:t>
      </w:r>
      <w:r w:rsidRPr="00752133">
        <w:rPr>
          <w:rFonts w:ascii="Times New Roman" w:hAnsi="Times New Roman" w:cs="Times New Roman"/>
          <w:bCs/>
          <w:i/>
          <w:noProof/>
          <w:sz w:val="20"/>
          <w:szCs w:val="24"/>
        </w:rPr>
        <w:t>20</w:t>
      </w:r>
      <w:r w:rsidRPr="00752133">
        <w:rPr>
          <w:rFonts w:ascii="Times New Roman" w:hAnsi="Times New Roman" w:cs="Times New Roman"/>
          <w:noProof/>
          <w:sz w:val="20"/>
          <w:szCs w:val="24"/>
        </w:rPr>
        <w:t>, 5284–5295.</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20</w:t>
      </w:r>
      <w:r w:rsidRPr="00752133">
        <w:rPr>
          <w:rFonts w:ascii="Times New Roman" w:hAnsi="Times New Roman" w:cs="Times New Roman"/>
          <w:noProof/>
          <w:sz w:val="20"/>
          <w:szCs w:val="24"/>
        </w:rPr>
        <w:tab/>
        <w:t xml:space="preserve">Y. Feng, T. Hu, Z. Pu, M. Wu and J. Mi, Non-isothermal decomposition kinetics of FeC2O4·2H2O prepared by solid-state method aiming at the formation of Fe2O3, </w:t>
      </w:r>
      <w:r w:rsidRPr="00752133">
        <w:rPr>
          <w:rFonts w:ascii="Times New Roman" w:hAnsi="Times New Roman" w:cs="Times New Roman"/>
          <w:i/>
          <w:iCs/>
          <w:noProof/>
          <w:sz w:val="20"/>
          <w:szCs w:val="24"/>
        </w:rPr>
        <w:t>J. Therm. Anal. Calorim.</w:t>
      </w:r>
      <w:r w:rsidRPr="00752133">
        <w:rPr>
          <w:rFonts w:ascii="Times New Roman" w:hAnsi="Times New Roman" w:cs="Times New Roman"/>
          <w:noProof/>
          <w:sz w:val="20"/>
          <w:szCs w:val="24"/>
        </w:rPr>
        <w:t xml:space="preserve">, </w:t>
      </w:r>
      <w:r w:rsidRPr="00752133">
        <w:rPr>
          <w:rFonts w:ascii="Times New Roman" w:hAnsi="Times New Roman" w:cs="Times New Roman"/>
          <w:b/>
          <w:noProof/>
          <w:sz w:val="20"/>
          <w:szCs w:val="24"/>
        </w:rPr>
        <w:t>2015</w:t>
      </w:r>
      <w:r w:rsidRPr="00752133">
        <w:rPr>
          <w:rFonts w:ascii="Times New Roman" w:hAnsi="Times New Roman" w:cs="Times New Roman"/>
          <w:noProof/>
          <w:sz w:val="20"/>
          <w:szCs w:val="24"/>
        </w:rPr>
        <w:t xml:space="preserve">, </w:t>
      </w:r>
      <w:r w:rsidRPr="001B72F7">
        <w:rPr>
          <w:rFonts w:ascii="Times New Roman" w:hAnsi="Times New Roman" w:cs="Times New Roman"/>
          <w:bCs/>
          <w:i/>
          <w:noProof/>
          <w:sz w:val="20"/>
          <w:szCs w:val="24"/>
        </w:rPr>
        <w:t>122</w:t>
      </w:r>
      <w:r w:rsidRPr="00752133">
        <w:rPr>
          <w:rFonts w:ascii="Times New Roman" w:hAnsi="Times New Roman" w:cs="Times New Roman"/>
          <w:noProof/>
          <w:sz w:val="20"/>
          <w:szCs w:val="24"/>
        </w:rPr>
        <w:t>, 947–953.</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21</w:t>
      </w:r>
      <w:r w:rsidRPr="00752133">
        <w:rPr>
          <w:rFonts w:ascii="Times New Roman" w:hAnsi="Times New Roman" w:cs="Times New Roman"/>
          <w:noProof/>
          <w:sz w:val="20"/>
          <w:szCs w:val="24"/>
        </w:rPr>
        <w:tab/>
        <w:t xml:space="preserve">L. Yue, R. Liu and D. Jin, Synthesis and Electrochemical Properties of Hierarchically Porous Fe2O3, </w:t>
      </w:r>
      <w:r w:rsidRPr="00752133">
        <w:rPr>
          <w:rFonts w:ascii="Times New Roman" w:hAnsi="Times New Roman" w:cs="Times New Roman"/>
          <w:i/>
          <w:iCs/>
          <w:noProof/>
          <w:sz w:val="20"/>
          <w:szCs w:val="24"/>
        </w:rPr>
        <w:t>Russ. J. eletrochemistry</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2015</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51</w:t>
      </w:r>
      <w:r w:rsidRPr="00752133">
        <w:rPr>
          <w:rFonts w:ascii="Times New Roman" w:hAnsi="Times New Roman" w:cs="Times New Roman"/>
          <w:noProof/>
          <w:sz w:val="20"/>
          <w:szCs w:val="24"/>
        </w:rPr>
        <w:t>, 352–357.</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22</w:t>
      </w:r>
      <w:r w:rsidRPr="00752133">
        <w:rPr>
          <w:rFonts w:ascii="Times New Roman" w:hAnsi="Times New Roman" w:cs="Times New Roman"/>
          <w:noProof/>
          <w:sz w:val="20"/>
          <w:szCs w:val="24"/>
        </w:rPr>
        <w:tab/>
        <w:t xml:space="preserve">A. K. Ganguli and T. Ahmad, Nanorods of Iron Oxalate Synthesized Using Reverse Micelles: Facile Route for α-Fe2O3, </w:t>
      </w:r>
      <w:r w:rsidRPr="00752133">
        <w:rPr>
          <w:rFonts w:ascii="Times New Roman" w:hAnsi="Times New Roman" w:cs="Times New Roman"/>
          <w:i/>
          <w:iCs/>
          <w:noProof/>
          <w:sz w:val="20"/>
          <w:szCs w:val="24"/>
        </w:rPr>
        <w:t>J. Nanosci. Nanotechnol.</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2007</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7</w:t>
      </w:r>
      <w:r w:rsidRPr="00752133">
        <w:rPr>
          <w:rFonts w:ascii="Times New Roman" w:hAnsi="Times New Roman" w:cs="Times New Roman"/>
          <w:noProof/>
          <w:sz w:val="20"/>
          <w:szCs w:val="24"/>
        </w:rPr>
        <w:t>, 2029–2035.</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23</w:t>
      </w:r>
      <w:r w:rsidRPr="00752133">
        <w:rPr>
          <w:rFonts w:ascii="Times New Roman" w:hAnsi="Times New Roman" w:cs="Times New Roman"/>
          <w:noProof/>
          <w:sz w:val="20"/>
          <w:szCs w:val="24"/>
        </w:rPr>
        <w:tab/>
        <w:t xml:space="preserve">P. Hermankova, M. Hermanek and R. Zboril, Thermal decomposition of ferric oxalate tetrahydrate in oxidative and inert atmospheres: the role of ferrous oxalate as an intermediate, </w:t>
      </w:r>
      <w:r w:rsidRPr="00752133">
        <w:rPr>
          <w:rFonts w:ascii="Times New Roman" w:hAnsi="Times New Roman" w:cs="Times New Roman"/>
          <w:i/>
          <w:iCs/>
          <w:noProof/>
          <w:sz w:val="20"/>
          <w:szCs w:val="24"/>
        </w:rPr>
        <w:t>Eur. J. Inorg.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2010</w:t>
      </w:r>
      <w:r w:rsidRPr="00752133">
        <w:rPr>
          <w:rFonts w:ascii="Times New Roman" w:hAnsi="Times New Roman" w:cs="Times New Roman"/>
          <w:noProof/>
          <w:sz w:val="20"/>
          <w:szCs w:val="24"/>
        </w:rPr>
        <w:t>, 1110–1118.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24</w:t>
      </w:r>
      <w:r w:rsidRPr="00752133">
        <w:rPr>
          <w:rFonts w:ascii="Times New Roman" w:hAnsi="Times New Roman" w:cs="Times New Roman"/>
          <w:noProof/>
          <w:sz w:val="20"/>
          <w:szCs w:val="24"/>
        </w:rPr>
        <w:tab/>
        <w:t xml:space="preserve">V. Borker and K. S. Rane, Synthesis and decomposition of ferrous oxalato hydrazinate precursors to obtain magnetic oxides, </w:t>
      </w:r>
      <w:r w:rsidRPr="00752133">
        <w:rPr>
          <w:rFonts w:ascii="Times New Roman" w:hAnsi="Times New Roman" w:cs="Times New Roman"/>
          <w:i/>
          <w:iCs/>
          <w:noProof/>
          <w:sz w:val="20"/>
          <w:szCs w:val="24"/>
        </w:rPr>
        <w:t>J. Mater. Sci.</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1993</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4</w:t>
      </w:r>
      <w:r w:rsidRPr="00752133">
        <w:rPr>
          <w:rFonts w:ascii="Times New Roman" w:hAnsi="Times New Roman" w:cs="Times New Roman"/>
          <w:noProof/>
          <w:sz w:val="20"/>
          <w:szCs w:val="24"/>
        </w:rPr>
        <w:t>, 241–248.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25</w:t>
      </w:r>
      <w:r w:rsidRPr="00752133">
        <w:rPr>
          <w:rFonts w:ascii="Times New Roman" w:hAnsi="Times New Roman" w:cs="Times New Roman"/>
          <w:noProof/>
          <w:sz w:val="20"/>
          <w:szCs w:val="24"/>
        </w:rPr>
        <w:tab/>
        <w:t xml:space="preserve">D. Smrčka, V. Procházka, P. Novák, J. Kašlík and V. Vrba, Iron oxalate decomposition process by means of Mössbauer spectroscopy and nuclear forward scattering, </w:t>
      </w:r>
      <w:r w:rsidRPr="00752133">
        <w:rPr>
          <w:rFonts w:ascii="Times New Roman" w:hAnsi="Times New Roman" w:cs="Times New Roman"/>
          <w:i/>
          <w:iCs/>
          <w:noProof/>
          <w:sz w:val="20"/>
          <w:szCs w:val="24"/>
        </w:rPr>
        <w:t>AIP Conf. Proc.</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2016</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1781</w:t>
      </w:r>
      <w:r w:rsidRPr="00752133">
        <w:rPr>
          <w:rFonts w:ascii="Times New Roman" w:hAnsi="Times New Roman" w:cs="Times New Roman"/>
          <w:noProof/>
          <w:sz w:val="20"/>
          <w:szCs w:val="24"/>
        </w:rPr>
        <w:t>, 020012.</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26</w:t>
      </w:r>
      <w:r w:rsidRPr="00752133">
        <w:rPr>
          <w:rFonts w:ascii="Times New Roman" w:hAnsi="Times New Roman" w:cs="Times New Roman"/>
          <w:noProof/>
          <w:sz w:val="20"/>
          <w:szCs w:val="24"/>
        </w:rPr>
        <w:tab/>
        <w:t xml:space="preserve">L. Machala, R. Zboril and A. Gedanken, Amorphous iron(III) oxide--a review., </w:t>
      </w:r>
      <w:r w:rsidRPr="00752133">
        <w:rPr>
          <w:rFonts w:ascii="Times New Roman" w:hAnsi="Times New Roman" w:cs="Times New Roman"/>
          <w:i/>
          <w:iCs/>
          <w:noProof/>
          <w:sz w:val="20"/>
          <w:szCs w:val="24"/>
        </w:rPr>
        <w:t>J. Phys. Chem. B</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2007</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111</w:t>
      </w:r>
      <w:r w:rsidRPr="00752133">
        <w:rPr>
          <w:rFonts w:ascii="Times New Roman" w:hAnsi="Times New Roman" w:cs="Times New Roman"/>
          <w:noProof/>
          <w:sz w:val="20"/>
          <w:szCs w:val="24"/>
        </w:rPr>
        <w:t>, 4003–4018.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27</w:t>
      </w:r>
      <w:r w:rsidRPr="00752133">
        <w:rPr>
          <w:rFonts w:ascii="Times New Roman" w:hAnsi="Times New Roman" w:cs="Times New Roman"/>
          <w:noProof/>
          <w:sz w:val="20"/>
          <w:szCs w:val="24"/>
        </w:rPr>
        <w:tab/>
        <w:t xml:space="preserve">M. Hermanek, R. Zboril, I. Medrik, J. Pechousek and C. Gregor, Catalytic efficiency of iron(III) oxides in decomposition of hydrogen peroxide: Competition between the surface area and crystallinity of nanoparticles, </w:t>
      </w:r>
      <w:r w:rsidRPr="00752133">
        <w:rPr>
          <w:rFonts w:ascii="Times New Roman" w:hAnsi="Times New Roman" w:cs="Times New Roman"/>
          <w:i/>
          <w:iCs/>
          <w:noProof/>
          <w:sz w:val="20"/>
          <w:szCs w:val="24"/>
        </w:rPr>
        <w:t>J. Am. Chem. Soc.</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2007</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129</w:t>
      </w:r>
      <w:r w:rsidRPr="00752133">
        <w:rPr>
          <w:rFonts w:ascii="Times New Roman" w:hAnsi="Times New Roman" w:cs="Times New Roman"/>
          <w:noProof/>
          <w:sz w:val="20"/>
          <w:szCs w:val="24"/>
        </w:rPr>
        <w:t>, 10929–10936.</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28</w:t>
      </w:r>
      <w:r w:rsidRPr="00752133">
        <w:rPr>
          <w:rFonts w:ascii="Times New Roman" w:hAnsi="Times New Roman" w:cs="Times New Roman"/>
          <w:noProof/>
          <w:sz w:val="20"/>
          <w:szCs w:val="24"/>
        </w:rPr>
        <w:tab/>
        <w:t xml:space="preserve">V. Rao, A. L. Shashimohan and A. B. Biswas, Studies on the formation of gamma-Fe203 ( maghemite ) by thermal decomposition of ferrous oxalate dihydrate, </w:t>
      </w:r>
      <w:r w:rsidRPr="00752133">
        <w:rPr>
          <w:rFonts w:ascii="Times New Roman" w:hAnsi="Times New Roman" w:cs="Times New Roman"/>
          <w:i/>
          <w:iCs/>
          <w:noProof/>
          <w:sz w:val="20"/>
          <w:szCs w:val="24"/>
        </w:rPr>
        <w:t>J. Mater. Sci.</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1974</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9</w:t>
      </w:r>
      <w:r w:rsidRPr="00752133">
        <w:rPr>
          <w:rFonts w:ascii="Times New Roman" w:hAnsi="Times New Roman" w:cs="Times New Roman"/>
          <w:noProof/>
          <w:sz w:val="20"/>
          <w:szCs w:val="24"/>
        </w:rPr>
        <w:t>, 4–7.</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29</w:t>
      </w:r>
      <w:r w:rsidRPr="00752133">
        <w:rPr>
          <w:rFonts w:ascii="Times New Roman" w:hAnsi="Times New Roman" w:cs="Times New Roman"/>
          <w:noProof/>
          <w:sz w:val="20"/>
          <w:szCs w:val="24"/>
        </w:rPr>
        <w:tab/>
        <w:t xml:space="preserve">A. Mohamed and A. K. Galwey, A kinetic and mechanistic study of the isothermal decomposition of ferrous oxalate dihydrate, </w:t>
      </w:r>
      <w:r w:rsidRPr="00752133">
        <w:rPr>
          <w:rFonts w:ascii="Times New Roman" w:hAnsi="Times New Roman" w:cs="Times New Roman"/>
          <w:i/>
          <w:iCs/>
          <w:noProof/>
          <w:sz w:val="20"/>
          <w:szCs w:val="24"/>
        </w:rPr>
        <w:t>Thermochim. Acta</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1993</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213</w:t>
      </w:r>
      <w:r w:rsidRPr="00752133">
        <w:rPr>
          <w:rFonts w:ascii="Times New Roman" w:hAnsi="Times New Roman" w:cs="Times New Roman"/>
          <w:noProof/>
          <w:sz w:val="20"/>
          <w:szCs w:val="24"/>
        </w:rPr>
        <w:t>, 269–278.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lastRenderedPageBreak/>
        <w:t>30</w:t>
      </w:r>
      <w:r w:rsidRPr="00752133">
        <w:rPr>
          <w:rFonts w:ascii="Times New Roman" w:hAnsi="Times New Roman" w:cs="Times New Roman"/>
          <w:noProof/>
          <w:sz w:val="20"/>
          <w:szCs w:val="24"/>
        </w:rPr>
        <w:tab/>
        <w:t xml:space="preserve">J. L. Carrillo, M. E. Mendoza, F. Donado, R. Silva and M. A. Pe, Magnetite microcrystals for magneto-rheological fluids, </w:t>
      </w:r>
      <w:r w:rsidRPr="00752133">
        <w:rPr>
          <w:rFonts w:ascii="Times New Roman" w:hAnsi="Times New Roman" w:cs="Times New Roman"/>
          <w:i/>
          <w:iCs/>
          <w:noProof/>
          <w:sz w:val="20"/>
          <w:szCs w:val="24"/>
        </w:rPr>
        <w:t>J. Phys. Chem. Solids</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2005</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66</w:t>
      </w:r>
      <w:r w:rsidRPr="00752133">
        <w:rPr>
          <w:rFonts w:ascii="Times New Roman" w:hAnsi="Times New Roman" w:cs="Times New Roman"/>
          <w:noProof/>
          <w:sz w:val="20"/>
          <w:szCs w:val="24"/>
        </w:rPr>
        <w:t>, 927–931.</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31</w:t>
      </w:r>
      <w:r w:rsidRPr="00752133">
        <w:rPr>
          <w:rFonts w:ascii="Times New Roman" w:hAnsi="Times New Roman" w:cs="Times New Roman"/>
          <w:noProof/>
          <w:sz w:val="20"/>
          <w:szCs w:val="24"/>
        </w:rPr>
        <w:tab/>
        <w:t xml:space="preserve">E. D. Macklen, Influence of atmosphere on the thermal decomposition of ferrous oxalate dihydrate, </w:t>
      </w:r>
      <w:r w:rsidRPr="00752133">
        <w:rPr>
          <w:rFonts w:ascii="Times New Roman" w:hAnsi="Times New Roman" w:cs="Times New Roman"/>
          <w:i/>
          <w:iCs/>
          <w:noProof/>
          <w:sz w:val="20"/>
          <w:szCs w:val="24"/>
        </w:rPr>
        <w:t>J. inorg. nucl.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1967</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29</w:t>
      </w:r>
      <w:r w:rsidRPr="00752133">
        <w:rPr>
          <w:rFonts w:ascii="Times New Roman" w:hAnsi="Times New Roman" w:cs="Times New Roman"/>
          <w:noProof/>
          <w:sz w:val="20"/>
          <w:szCs w:val="24"/>
        </w:rPr>
        <w:t>, 1229–1234.</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32</w:t>
      </w:r>
      <w:r w:rsidRPr="00752133">
        <w:rPr>
          <w:rFonts w:ascii="Times New Roman" w:hAnsi="Times New Roman" w:cs="Times New Roman"/>
          <w:noProof/>
          <w:sz w:val="20"/>
          <w:szCs w:val="24"/>
        </w:rPr>
        <w:tab/>
        <w:t xml:space="preserve">D. Broadbent, D. Dollimore and J. Dollimore, The Thermal Decomposition of Oxalates. Part IX. Decomposition of the Oxalate Complexes of Iron, </w:t>
      </w:r>
      <w:r w:rsidRPr="00752133">
        <w:rPr>
          <w:rFonts w:ascii="Times New Roman" w:hAnsi="Times New Roman" w:cs="Times New Roman"/>
          <w:i/>
          <w:iCs/>
          <w:noProof/>
          <w:sz w:val="20"/>
          <w:szCs w:val="24"/>
        </w:rPr>
        <w:t>J. Chem. Soc.</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1967</w:t>
      </w:r>
      <w:r w:rsidRPr="00752133">
        <w:rPr>
          <w:rFonts w:ascii="Times New Roman" w:hAnsi="Times New Roman" w:cs="Times New Roman"/>
          <w:noProof/>
          <w:sz w:val="20"/>
          <w:szCs w:val="24"/>
        </w:rPr>
        <w:t>, 451–454.</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33</w:t>
      </w:r>
      <w:r w:rsidRPr="00752133">
        <w:rPr>
          <w:rFonts w:ascii="Times New Roman" w:hAnsi="Times New Roman" w:cs="Times New Roman"/>
          <w:noProof/>
          <w:sz w:val="20"/>
          <w:szCs w:val="24"/>
        </w:rPr>
        <w:tab/>
        <w:t xml:space="preserve">R. A. Brown, The thermal decomposition of ferrous oxalate dihydrate, </w:t>
      </w:r>
      <w:r w:rsidRPr="00752133">
        <w:rPr>
          <w:rFonts w:ascii="Times New Roman" w:hAnsi="Times New Roman" w:cs="Times New Roman"/>
          <w:i/>
          <w:iCs/>
          <w:noProof/>
          <w:sz w:val="20"/>
          <w:szCs w:val="24"/>
        </w:rPr>
        <w:t>J. inorg. nucl.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1966</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28</w:t>
      </w:r>
      <w:r w:rsidRPr="00752133">
        <w:rPr>
          <w:rFonts w:ascii="Times New Roman" w:hAnsi="Times New Roman" w:cs="Times New Roman"/>
          <w:noProof/>
          <w:sz w:val="20"/>
          <w:szCs w:val="24"/>
        </w:rPr>
        <w:t>, 387–391.</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34</w:t>
      </w:r>
      <w:r w:rsidRPr="00752133">
        <w:rPr>
          <w:rFonts w:ascii="Times New Roman" w:hAnsi="Times New Roman" w:cs="Times New Roman"/>
          <w:noProof/>
          <w:sz w:val="20"/>
          <w:szCs w:val="24"/>
        </w:rPr>
        <w:tab/>
        <w:t xml:space="preserve">M. Hermanek, R. Zboril, M. Mashlan, L. Machala and O. Schneeweiss, Thermal behaviour of iron(ii) oxalate dihydrate in the atmosphere of its conversion gases, </w:t>
      </w:r>
      <w:r w:rsidRPr="00752133">
        <w:rPr>
          <w:rFonts w:ascii="Times New Roman" w:hAnsi="Times New Roman" w:cs="Times New Roman"/>
          <w:i/>
          <w:iCs/>
          <w:noProof/>
          <w:sz w:val="20"/>
          <w:szCs w:val="24"/>
        </w:rPr>
        <w:t>J. Mater.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2006</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16</w:t>
      </w:r>
      <w:r w:rsidRPr="00752133">
        <w:rPr>
          <w:rFonts w:ascii="Times New Roman" w:hAnsi="Times New Roman" w:cs="Times New Roman"/>
          <w:noProof/>
          <w:sz w:val="20"/>
          <w:szCs w:val="24"/>
        </w:rPr>
        <w:t>, 1273.</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35</w:t>
      </w:r>
      <w:r w:rsidRPr="00752133">
        <w:rPr>
          <w:rFonts w:ascii="Times New Roman" w:hAnsi="Times New Roman" w:cs="Times New Roman"/>
          <w:noProof/>
          <w:sz w:val="20"/>
          <w:szCs w:val="24"/>
        </w:rPr>
        <w:tab/>
        <w:t xml:space="preserve">M. J. Halsey and A. M. Pritchard, Thermal Decomposition of Iron(ii) Oxalate Dihydrate in Nitrogen Using the Mossbauer Effect, </w:t>
      </w:r>
      <w:r w:rsidRPr="00752133">
        <w:rPr>
          <w:rFonts w:ascii="Times New Roman" w:hAnsi="Times New Roman" w:cs="Times New Roman"/>
          <w:i/>
          <w:iCs/>
          <w:noProof/>
          <w:sz w:val="20"/>
          <w:szCs w:val="24"/>
        </w:rPr>
        <w:t>J.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1968</w:t>
      </w:r>
      <w:r w:rsidRPr="00752133">
        <w:rPr>
          <w:rFonts w:ascii="Times New Roman" w:hAnsi="Times New Roman" w:cs="Times New Roman"/>
          <w:noProof/>
          <w:sz w:val="20"/>
          <w:szCs w:val="24"/>
        </w:rPr>
        <w:t>, 2878–2880.</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36</w:t>
      </w:r>
      <w:r w:rsidRPr="00752133">
        <w:rPr>
          <w:rFonts w:ascii="Times New Roman" w:hAnsi="Times New Roman" w:cs="Times New Roman"/>
          <w:noProof/>
          <w:sz w:val="20"/>
          <w:szCs w:val="24"/>
        </w:rPr>
        <w:tab/>
        <w:t xml:space="preserve">M. Katada and T. Ogimoto, Mössbauer spectroscopy of iron oxides and related compounds, </w:t>
      </w:r>
      <w:r w:rsidRPr="00752133">
        <w:rPr>
          <w:rFonts w:ascii="Times New Roman" w:hAnsi="Times New Roman" w:cs="Times New Roman"/>
          <w:i/>
          <w:iCs/>
          <w:noProof/>
          <w:sz w:val="20"/>
          <w:szCs w:val="24"/>
        </w:rPr>
        <w:t>J. Radioanal. Nucl.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2000</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246</w:t>
      </w:r>
      <w:r w:rsidRPr="00752133">
        <w:rPr>
          <w:rFonts w:ascii="Times New Roman" w:hAnsi="Times New Roman" w:cs="Times New Roman"/>
          <w:noProof/>
          <w:sz w:val="20"/>
          <w:szCs w:val="24"/>
        </w:rPr>
        <w:t>, 7–14.</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37</w:t>
      </w:r>
      <w:r w:rsidRPr="00752133">
        <w:rPr>
          <w:rFonts w:ascii="Times New Roman" w:hAnsi="Times New Roman" w:cs="Times New Roman"/>
          <w:noProof/>
          <w:sz w:val="20"/>
          <w:szCs w:val="24"/>
        </w:rPr>
        <w:tab/>
        <w:t xml:space="preserve">M. A. Mohamed, A. K. Galwey and S. A. Halawy, A comparative study of the thermal reactivities of some transition metal oxalates in selected atmospheres, </w:t>
      </w:r>
      <w:r w:rsidRPr="00752133">
        <w:rPr>
          <w:rFonts w:ascii="Times New Roman" w:hAnsi="Times New Roman" w:cs="Times New Roman"/>
          <w:i/>
          <w:iCs/>
          <w:noProof/>
          <w:sz w:val="20"/>
          <w:szCs w:val="24"/>
        </w:rPr>
        <w:t>Thermochim. Acta</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2005</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429</w:t>
      </w:r>
      <w:r w:rsidRPr="00752133">
        <w:rPr>
          <w:rFonts w:ascii="Times New Roman" w:hAnsi="Times New Roman" w:cs="Times New Roman"/>
          <w:noProof/>
          <w:sz w:val="20"/>
          <w:szCs w:val="24"/>
        </w:rPr>
        <w:t>, 57–72.</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38</w:t>
      </w:r>
      <w:r w:rsidRPr="00752133">
        <w:rPr>
          <w:rFonts w:ascii="Times New Roman" w:hAnsi="Times New Roman" w:cs="Times New Roman"/>
          <w:noProof/>
          <w:sz w:val="20"/>
          <w:szCs w:val="24"/>
        </w:rPr>
        <w:tab/>
        <w:t xml:space="preserve">T. Plachy, M. Cvek, Z. Kozakova and M. Sedlacik, The enhanced MR performance of dimorphic MR suspensions containing either magnetic rods or their non-magnetic analogs, </w:t>
      </w:r>
      <w:r w:rsidRPr="00752133">
        <w:rPr>
          <w:rFonts w:ascii="Times New Roman" w:hAnsi="Times New Roman" w:cs="Times New Roman"/>
          <w:i/>
          <w:iCs/>
          <w:noProof/>
          <w:sz w:val="20"/>
          <w:szCs w:val="24"/>
        </w:rPr>
        <w:t>Smart Mater. Struct.</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2017</w:t>
      </w:r>
      <w:r w:rsidRPr="00752133">
        <w:rPr>
          <w:rFonts w:ascii="Times New Roman" w:hAnsi="Times New Roman" w:cs="Times New Roman"/>
          <w:noProof/>
          <w:sz w:val="20"/>
          <w:szCs w:val="24"/>
        </w:rPr>
        <w:t>, 025026.</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39</w:t>
      </w:r>
      <w:r w:rsidRPr="00752133">
        <w:rPr>
          <w:rFonts w:ascii="Times New Roman" w:hAnsi="Times New Roman" w:cs="Times New Roman"/>
          <w:noProof/>
          <w:sz w:val="20"/>
          <w:szCs w:val="24"/>
        </w:rPr>
        <w:tab/>
        <w:t xml:space="preserve">Z. Kozakova, I. Kuritka, P. Bazant, M. Pastorek and V. Babayan, Magnetic needle-like iron oxide particles prepared by microwave-assisted thermal decomposition technique, </w:t>
      </w:r>
      <w:r w:rsidRPr="00752133">
        <w:rPr>
          <w:rFonts w:ascii="Times New Roman" w:hAnsi="Times New Roman" w:cs="Times New Roman"/>
          <w:i/>
          <w:iCs/>
          <w:noProof/>
          <w:sz w:val="20"/>
          <w:szCs w:val="24"/>
        </w:rPr>
        <w:t>Mater. Lett.</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2015</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138</w:t>
      </w:r>
      <w:r w:rsidRPr="00752133">
        <w:rPr>
          <w:rFonts w:ascii="Times New Roman" w:hAnsi="Times New Roman" w:cs="Times New Roman"/>
          <w:noProof/>
          <w:sz w:val="20"/>
          <w:szCs w:val="24"/>
        </w:rPr>
        <w:t>, 116–119.</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40</w:t>
      </w:r>
      <w:r w:rsidRPr="00752133">
        <w:rPr>
          <w:rFonts w:ascii="Times New Roman" w:hAnsi="Times New Roman" w:cs="Times New Roman"/>
          <w:noProof/>
          <w:sz w:val="20"/>
          <w:szCs w:val="24"/>
        </w:rPr>
        <w:tab/>
        <w:t xml:space="preserve">J. Pechoušek, D. Jančík, J. Frydrych, J. Navařík and P. Novák, Setup of Mössbauer spectrometers at RCPTM, </w:t>
      </w:r>
      <w:r w:rsidRPr="00752133">
        <w:rPr>
          <w:rFonts w:ascii="Times New Roman" w:hAnsi="Times New Roman" w:cs="Times New Roman"/>
          <w:i/>
          <w:iCs/>
          <w:noProof/>
          <w:sz w:val="20"/>
          <w:szCs w:val="24"/>
        </w:rPr>
        <w:t>AIP Conf. Proc.</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2012</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1489</w:t>
      </w:r>
      <w:r w:rsidRPr="00752133">
        <w:rPr>
          <w:rFonts w:ascii="Times New Roman" w:hAnsi="Times New Roman" w:cs="Times New Roman"/>
          <w:noProof/>
          <w:sz w:val="20"/>
          <w:szCs w:val="24"/>
        </w:rPr>
        <w:t>, 186–193.</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41</w:t>
      </w:r>
      <w:r w:rsidRPr="00752133">
        <w:rPr>
          <w:rFonts w:ascii="Times New Roman" w:hAnsi="Times New Roman" w:cs="Times New Roman"/>
          <w:noProof/>
          <w:sz w:val="20"/>
          <w:szCs w:val="24"/>
        </w:rPr>
        <w:tab/>
        <w:t xml:space="preserve">J. Pechousek, R. Prochazka, D. Jancik, J. Frydrych and M. Mashlan, Universal LabVIEW-powered Mössbauer spectrometer based on USB, PCI or PXI devices, </w:t>
      </w:r>
      <w:r w:rsidRPr="00752133">
        <w:rPr>
          <w:rFonts w:ascii="Times New Roman" w:hAnsi="Times New Roman" w:cs="Times New Roman"/>
          <w:i/>
          <w:iCs/>
          <w:noProof/>
          <w:sz w:val="20"/>
          <w:szCs w:val="24"/>
        </w:rPr>
        <w:t>J. Phys. Conf. Ser.</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2009</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217</w:t>
      </w:r>
      <w:r w:rsidRPr="00752133">
        <w:rPr>
          <w:rFonts w:ascii="Times New Roman" w:hAnsi="Times New Roman" w:cs="Times New Roman"/>
          <w:noProof/>
          <w:sz w:val="20"/>
          <w:szCs w:val="24"/>
        </w:rPr>
        <w:t>, 012006.</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42</w:t>
      </w:r>
      <w:r w:rsidRPr="00752133">
        <w:rPr>
          <w:rFonts w:ascii="Times New Roman" w:hAnsi="Times New Roman" w:cs="Times New Roman"/>
          <w:noProof/>
          <w:sz w:val="20"/>
          <w:szCs w:val="24"/>
        </w:rPr>
        <w:tab/>
        <w:t xml:space="preserve">Z. Klencsár, E. Kuzmann and  a Vértes, User-friendly software for Mössbauer spectrum analysis, </w:t>
      </w:r>
      <w:r w:rsidRPr="00752133">
        <w:rPr>
          <w:rFonts w:ascii="Times New Roman" w:hAnsi="Times New Roman" w:cs="Times New Roman"/>
          <w:i/>
          <w:iCs/>
          <w:noProof/>
          <w:sz w:val="20"/>
          <w:szCs w:val="24"/>
        </w:rPr>
        <w:t>J. Radioanal. Nucl. Chem.</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1996</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210</w:t>
      </w:r>
      <w:r w:rsidRPr="00752133">
        <w:rPr>
          <w:rFonts w:ascii="Times New Roman" w:hAnsi="Times New Roman" w:cs="Times New Roman"/>
          <w:noProof/>
          <w:sz w:val="20"/>
          <w:szCs w:val="24"/>
        </w:rPr>
        <w:t>, 105–118.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43</w:t>
      </w:r>
      <w:r w:rsidRPr="00752133">
        <w:rPr>
          <w:rFonts w:ascii="Times New Roman" w:hAnsi="Times New Roman" w:cs="Times New Roman"/>
          <w:noProof/>
          <w:sz w:val="20"/>
          <w:szCs w:val="24"/>
        </w:rPr>
        <w:tab/>
        <w:t xml:space="preserve">G. M. Da Costa, E. De Grave, P. M. A. De Bakker and R. E. Vandenberghe, INFLUENCE OF NONSTOICHIOMETRY AND THE PRESENCE OF MAGHEMITE ON THE MOSSBAUER SPECTRUM OF MAGNETITE, </w:t>
      </w:r>
      <w:r w:rsidRPr="00752133">
        <w:rPr>
          <w:rFonts w:ascii="Times New Roman" w:hAnsi="Times New Roman" w:cs="Times New Roman"/>
          <w:i/>
          <w:iCs/>
          <w:noProof/>
          <w:sz w:val="20"/>
          <w:szCs w:val="24"/>
        </w:rPr>
        <w:t>Clays Clay Miner.</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1995</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43</w:t>
      </w:r>
      <w:r w:rsidRPr="00752133">
        <w:rPr>
          <w:rFonts w:ascii="Times New Roman" w:hAnsi="Times New Roman" w:cs="Times New Roman"/>
          <w:noProof/>
          <w:sz w:val="20"/>
          <w:szCs w:val="24"/>
        </w:rPr>
        <w:t>, 656–668.</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44</w:t>
      </w:r>
      <w:r w:rsidRPr="00752133">
        <w:rPr>
          <w:rFonts w:ascii="Times New Roman" w:hAnsi="Times New Roman" w:cs="Times New Roman"/>
          <w:noProof/>
          <w:sz w:val="20"/>
          <w:szCs w:val="24"/>
        </w:rPr>
        <w:tab/>
        <w:t xml:space="preserve">R. M. Cornell and U. Schwertmann, </w:t>
      </w:r>
      <w:r w:rsidRPr="00752133">
        <w:rPr>
          <w:rFonts w:ascii="Times New Roman" w:hAnsi="Times New Roman" w:cs="Times New Roman"/>
          <w:i/>
          <w:iCs/>
          <w:noProof/>
          <w:sz w:val="20"/>
          <w:szCs w:val="24"/>
        </w:rPr>
        <w:t>The Iron Oxides</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2003</w:t>
      </w:r>
      <w:r w:rsidRPr="00752133">
        <w:rPr>
          <w:rFonts w:ascii="Times New Roman" w:hAnsi="Times New Roman" w:cs="Times New Roman"/>
          <w:noProof/>
          <w:sz w:val="20"/>
          <w:szCs w:val="24"/>
        </w:rPr>
        <w:t>.</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lastRenderedPageBreak/>
        <w:t>45</w:t>
      </w:r>
      <w:r w:rsidRPr="00752133">
        <w:rPr>
          <w:rFonts w:ascii="Times New Roman" w:hAnsi="Times New Roman" w:cs="Times New Roman"/>
          <w:noProof/>
          <w:sz w:val="20"/>
          <w:szCs w:val="24"/>
        </w:rPr>
        <w:tab/>
        <w:t xml:space="preserve">O. Malina, P. Jakubec, J. Kaslik, J. Tucek and R. Zbořil, A simple high-yield synthesis of high-purity Hägg carbide (χ-Fe5C2) nanoparticles with extraordinary electrochemical properties, </w:t>
      </w:r>
      <w:r w:rsidRPr="00752133">
        <w:rPr>
          <w:rFonts w:ascii="Times New Roman" w:hAnsi="Times New Roman" w:cs="Times New Roman"/>
          <w:i/>
          <w:iCs/>
          <w:noProof/>
          <w:sz w:val="20"/>
          <w:szCs w:val="24"/>
        </w:rPr>
        <w:t>Nanoscale</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2017</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9</w:t>
      </w:r>
      <w:r w:rsidRPr="00752133">
        <w:rPr>
          <w:rFonts w:ascii="Times New Roman" w:hAnsi="Times New Roman" w:cs="Times New Roman"/>
          <w:noProof/>
          <w:sz w:val="20"/>
          <w:szCs w:val="24"/>
        </w:rPr>
        <w:t>, 10440–10446.</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szCs w:val="24"/>
        </w:rPr>
      </w:pPr>
      <w:r w:rsidRPr="00752133">
        <w:rPr>
          <w:rFonts w:ascii="Times New Roman" w:hAnsi="Times New Roman" w:cs="Times New Roman"/>
          <w:noProof/>
          <w:sz w:val="20"/>
          <w:szCs w:val="24"/>
        </w:rPr>
        <w:t>46</w:t>
      </w:r>
      <w:r w:rsidRPr="00752133">
        <w:rPr>
          <w:rFonts w:ascii="Times New Roman" w:hAnsi="Times New Roman" w:cs="Times New Roman"/>
          <w:noProof/>
          <w:sz w:val="20"/>
          <w:szCs w:val="24"/>
        </w:rPr>
        <w:tab/>
        <w:t xml:space="preserve">S. Y. Hong, D. H. Chun, J.-I. Yang, H. Jung, H.-T. Lee, S. Hong, S. Jang, J. T. Lim, C. S. Kim and J. C. Park, A new synthesis of carbon encapsulated Fe5C2 nanoparticles for high-temperature Fischer–Tropsch synthesis, </w:t>
      </w:r>
      <w:r w:rsidRPr="00752133">
        <w:rPr>
          <w:rFonts w:ascii="Times New Roman" w:hAnsi="Times New Roman" w:cs="Times New Roman"/>
          <w:i/>
          <w:iCs/>
          <w:noProof/>
          <w:sz w:val="20"/>
          <w:szCs w:val="24"/>
        </w:rPr>
        <w:t>Nanoscale</w:t>
      </w:r>
      <w:r w:rsidRPr="00752133">
        <w:rPr>
          <w:rFonts w:ascii="Times New Roman" w:hAnsi="Times New Roman" w:cs="Times New Roman"/>
          <w:noProof/>
          <w:sz w:val="20"/>
          <w:szCs w:val="24"/>
        </w:rPr>
        <w:t xml:space="preserve">, </w:t>
      </w:r>
      <w:r w:rsidRPr="00070E4E">
        <w:rPr>
          <w:rFonts w:ascii="Times New Roman" w:hAnsi="Times New Roman" w:cs="Times New Roman"/>
          <w:b/>
          <w:noProof/>
          <w:sz w:val="20"/>
          <w:szCs w:val="24"/>
        </w:rPr>
        <w:t>2015</w:t>
      </w:r>
      <w:r w:rsidRPr="00752133">
        <w:rPr>
          <w:rFonts w:ascii="Times New Roman" w:hAnsi="Times New Roman" w:cs="Times New Roman"/>
          <w:noProof/>
          <w:sz w:val="20"/>
          <w:szCs w:val="24"/>
        </w:rPr>
        <w:t xml:space="preserve">, </w:t>
      </w:r>
      <w:r w:rsidRPr="00070E4E">
        <w:rPr>
          <w:rFonts w:ascii="Times New Roman" w:hAnsi="Times New Roman" w:cs="Times New Roman"/>
          <w:bCs/>
          <w:i/>
          <w:noProof/>
          <w:sz w:val="20"/>
          <w:szCs w:val="24"/>
        </w:rPr>
        <w:t>7</w:t>
      </w:r>
      <w:r w:rsidRPr="00070E4E">
        <w:rPr>
          <w:rFonts w:ascii="Times New Roman" w:hAnsi="Times New Roman" w:cs="Times New Roman"/>
          <w:i/>
          <w:noProof/>
          <w:sz w:val="20"/>
          <w:szCs w:val="24"/>
        </w:rPr>
        <w:t xml:space="preserve">, </w:t>
      </w:r>
      <w:r w:rsidRPr="00752133">
        <w:rPr>
          <w:rFonts w:ascii="Times New Roman" w:hAnsi="Times New Roman" w:cs="Times New Roman"/>
          <w:noProof/>
          <w:sz w:val="20"/>
          <w:szCs w:val="24"/>
        </w:rPr>
        <w:t>16616–16620.</w:t>
      </w:r>
    </w:p>
    <w:p w:rsidR="00752133" w:rsidRPr="00752133" w:rsidRDefault="00752133" w:rsidP="00752133">
      <w:pPr>
        <w:widowControl w:val="0"/>
        <w:autoSpaceDE w:val="0"/>
        <w:autoSpaceDN w:val="0"/>
        <w:adjustRightInd w:val="0"/>
        <w:spacing w:line="360" w:lineRule="auto"/>
        <w:ind w:left="640" w:hanging="640"/>
        <w:rPr>
          <w:rFonts w:ascii="Times New Roman" w:hAnsi="Times New Roman" w:cs="Times New Roman"/>
          <w:noProof/>
          <w:sz w:val="20"/>
        </w:rPr>
      </w:pPr>
      <w:r w:rsidRPr="00752133">
        <w:rPr>
          <w:rFonts w:ascii="Times New Roman" w:hAnsi="Times New Roman" w:cs="Times New Roman"/>
          <w:noProof/>
          <w:sz w:val="20"/>
          <w:szCs w:val="24"/>
        </w:rPr>
        <w:t>47</w:t>
      </w:r>
      <w:r w:rsidRPr="00752133">
        <w:rPr>
          <w:rFonts w:ascii="Times New Roman" w:hAnsi="Times New Roman" w:cs="Times New Roman"/>
          <w:noProof/>
          <w:sz w:val="20"/>
          <w:szCs w:val="24"/>
        </w:rPr>
        <w:tab/>
        <w:t xml:space="preserve">A. Angermann and J. Töpfer, Synthesis of magnetite nanoparticles by thermal decomposition of ferrous oxalate dihydrate, </w:t>
      </w:r>
      <w:r w:rsidRPr="00752133">
        <w:rPr>
          <w:rFonts w:ascii="Times New Roman" w:hAnsi="Times New Roman" w:cs="Times New Roman"/>
          <w:i/>
          <w:iCs/>
          <w:noProof/>
          <w:sz w:val="20"/>
          <w:szCs w:val="24"/>
        </w:rPr>
        <w:t>J. Mater. Sci.</w:t>
      </w:r>
      <w:r w:rsidRPr="00752133">
        <w:rPr>
          <w:rFonts w:ascii="Times New Roman" w:hAnsi="Times New Roman" w:cs="Times New Roman"/>
          <w:noProof/>
          <w:sz w:val="20"/>
          <w:szCs w:val="24"/>
        </w:rPr>
        <w:t xml:space="preserve">, </w:t>
      </w:r>
      <w:bookmarkStart w:id="7" w:name="_GoBack"/>
      <w:r w:rsidRPr="00070E4E">
        <w:rPr>
          <w:rFonts w:ascii="Times New Roman" w:hAnsi="Times New Roman" w:cs="Times New Roman"/>
          <w:b/>
          <w:noProof/>
          <w:sz w:val="20"/>
          <w:szCs w:val="24"/>
        </w:rPr>
        <w:t>2008</w:t>
      </w:r>
      <w:bookmarkEnd w:id="7"/>
      <w:r w:rsidRPr="00752133">
        <w:rPr>
          <w:rFonts w:ascii="Times New Roman" w:hAnsi="Times New Roman" w:cs="Times New Roman"/>
          <w:noProof/>
          <w:sz w:val="20"/>
          <w:szCs w:val="24"/>
        </w:rPr>
        <w:t>, 5123–5130.</w:t>
      </w:r>
    </w:p>
    <w:p w:rsidR="00C90EEE" w:rsidRPr="00FB2A56" w:rsidRDefault="00C90EEE" w:rsidP="00752133">
      <w:pPr>
        <w:widowControl w:val="0"/>
        <w:autoSpaceDE w:val="0"/>
        <w:autoSpaceDN w:val="0"/>
        <w:adjustRightInd w:val="0"/>
        <w:spacing w:line="360" w:lineRule="auto"/>
        <w:ind w:left="640" w:hanging="640"/>
        <w:jc w:val="both"/>
        <w:rPr>
          <w:rFonts w:ascii="Times New Roman" w:hAnsi="Times New Roman" w:cs="Times New Roman"/>
          <w:sz w:val="32"/>
          <w:szCs w:val="32"/>
        </w:rPr>
      </w:pPr>
      <w:r w:rsidRPr="00FB2A56">
        <w:rPr>
          <w:rFonts w:ascii="Times New Roman" w:hAnsi="Times New Roman" w:cs="Times New Roman"/>
          <w:lang w:val="en-GB"/>
        </w:rPr>
        <w:fldChar w:fldCharType="end"/>
      </w:r>
    </w:p>
    <w:sectPr w:rsidR="00C90EEE" w:rsidRPr="00FB2A56" w:rsidSect="00752133">
      <w:pgSz w:w="11906" w:h="16838"/>
      <w:pgMar w:top="1417" w:right="1417" w:bottom="1417" w:left="1417"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9CA" w:rsidRDefault="008A09CA" w:rsidP="00C90EEE">
      <w:pPr>
        <w:spacing w:after="0" w:line="240" w:lineRule="auto"/>
      </w:pPr>
      <w:r>
        <w:separator/>
      </w:r>
    </w:p>
  </w:endnote>
  <w:endnote w:type="continuationSeparator" w:id="0">
    <w:p w:rsidR="008A09CA" w:rsidRDefault="008A09CA" w:rsidP="00C90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Liberation Sans">
    <w:panose1 w:val="00000000000000000000"/>
    <w:charset w:val="00"/>
    <w:family w:val="roman"/>
    <w:notTrueType/>
    <w:pitch w:val="default"/>
  </w:font>
  <w:font w:name="Droid Sans Fallback">
    <w:panose1 w:val="00000000000000000000"/>
    <w:charset w:val="00"/>
    <w:family w:val="roman"/>
    <w:notTrueType/>
    <w:pitch w:val="default"/>
  </w:font>
  <w:font w:name="DejaVu Sans Mono">
    <w:altName w:val="Times New Roman"/>
    <w:panose1 w:val="00000000000000000000"/>
    <w:charset w:val="00"/>
    <w:family w:val="roman"/>
    <w:notTrueType/>
    <w:pitch w:val="default"/>
  </w:font>
  <w:font w:name="Cambria Math">
    <w:panose1 w:val="02040503050406030204"/>
    <w:charset w:val="EE"/>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9CA" w:rsidRDefault="008A09CA" w:rsidP="00C90EEE">
      <w:pPr>
        <w:spacing w:after="0" w:line="240" w:lineRule="auto"/>
      </w:pPr>
      <w:r>
        <w:separator/>
      </w:r>
    </w:p>
  </w:footnote>
  <w:footnote w:type="continuationSeparator" w:id="0">
    <w:p w:rsidR="008A09CA" w:rsidRDefault="008A09CA" w:rsidP="00C90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C4427"/>
    <w:multiLevelType w:val="multilevel"/>
    <w:tmpl w:val="B65EEBF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4DB3E6F"/>
    <w:multiLevelType w:val="hybridMultilevel"/>
    <w:tmpl w:val="1DD02250"/>
    <w:lvl w:ilvl="0" w:tplc="201EA2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671C56"/>
    <w:multiLevelType w:val="multilevel"/>
    <w:tmpl w:val="CDC8E85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3BE59F7"/>
    <w:multiLevelType w:val="hybridMultilevel"/>
    <w:tmpl w:val="7D4C6822"/>
    <w:lvl w:ilvl="0" w:tplc="6CAA4D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FE67C7"/>
    <w:multiLevelType w:val="hybridMultilevel"/>
    <w:tmpl w:val="847CF896"/>
    <w:lvl w:ilvl="0" w:tplc="0706EF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41A779F"/>
    <w:multiLevelType w:val="multilevel"/>
    <w:tmpl w:val="B34AB88C"/>
    <w:lvl w:ilvl="0">
      <w:start w:val="1"/>
      <w:numFmt w:val="decimal"/>
      <w:pStyle w:val="section"/>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EE"/>
    <w:rsid w:val="0007077D"/>
    <w:rsid w:val="00070E4E"/>
    <w:rsid w:val="00073AE9"/>
    <w:rsid w:val="001B72F7"/>
    <w:rsid w:val="002714E3"/>
    <w:rsid w:val="003A66F7"/>
    <w:rsid w:val="003D3179"/>
    <w:rsid w:val="00421EFB"/>
    <w:rsid w:val="004A0F92"/>
    <w:rsid w:val="005222FA"/>
    <w:rsid w:val="00660144"/>
    <w:rsid w:val="00752133"/>
    <w:rsid w:val="008A09CA"/>
    <w:rsid w:val="008B6FEE"/>
    <w:rsid w:val="009E41BA"/>
    <w:rsid w:val="00A95435"/>
    <w:rsid w:val="00AF4713"/>
    <w:rsid w:val="00B5307E"/>
    <w:rsid w:val="00C90EEE"/>
    <w:rsid w:val="00D13595"/>
    <w:rsid w:val="00DA0ADE"/>
    <w:rsid w:val="00DA780F"/>
    <w:rsid w:val="00E01F4F"/>
    <w:rsid w:val="00ED0C6C"/>
    <w:rsid w:val="00FB2A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Vchoz"/>
    <w:next w:val="Tlotextu"/>
    <w:link w:val="Nadpis1Char"/>
    <w:rsid w:val="00C90EEE"/>
    <w:pPr>
      <w:spacing w:before="100" w:after="100" w:line="100" w:lineRule="atLeast"/>
      <w:outlineLvl w:val="0"/>
    </w:pPr>
    <w:rPr>
      <w:rFonts w:ascii="Times New Roman" w:eastAsia="Times New Roman" w:hAnsi="Times New Roman"/>
      <w:b/>
      <w:bCs/>
      <w:sz w:val="48"/>
      <w:szCs w:val="48"/>
      <w:lang w:eastAsia="cs-CZ"/>
    </w:rPr>
  </w:style>
  <w:style w:type="paragraph" w:styleId="Nadpis2">
    <w:name w:val="heading 2"/>
    <w:basedOn w:val="Normln"/>
    <w:next w:val="Normln"/>
    <w:link w:val="Nadpis2Char"/>
    <w:uiPriority w:val="9"/>
    <w:unhideWhenUsed/>
    <w:qFormat/>
    <w:rsid w:val="00C90EE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hoz">
    <w:name w:val="Výchozí"/>
    <w:rsid w:val="00C90EEE"/>
    <w:pPr>
      <w:suppressAutoHyphens/>
    </w:pPr>
    <w:rPr>
      <w:rFonts w:ascii="Calibri" w:eastAsia="Calibri" w:hAnsi="Calibri" w:cs="Times New Roman"/>
    </w:rPr>
  </w:style>
  <w:style w:type="paragraph" w:customStyle="1" w:styleId="Tlotextu">
    <w:name w:val="Tělo textu"/>
    <w:basedOn w:val="Vchoz"/>
    <w:rsid w:val="00C90EEE"/>
    <w:pPr>
      <w:spacing w:after="120"/>
    </w:pPr>
  </w:style>
  <w:style w:type="character" w:customStyle="1" w:styleId="Nadpis1Char">
    <w:name w:val="Nadpis 1 Char"/>
    <w:basedOn w:val="Standardnpsmoodstavce"/>
    <w:link w:val="Nadpis1"/>
    <w:rsid w:val="00C90EEE"/>
    <w:rPr>
      <w:rFonts w:ascii="Times New Roman" w:eastAsia="Times New Roman" w:hAnsi="Times New Roman" w:cs="Times New Roman"/>
      <w:b/>
      <w:bCs/>
      <w:sz w:val="48"/>
      <w:szCs w:val="48"/>
      <w:lang w:eastAsia="cs-CZ"/>
    </w:rPr>
  </w:style>
  <w:style w:type="character" w:customStyle="1" w:styleId="Nadpis2Char">
    <w:name w:val="Nadpis 2 Char"/>
    <w:basedOn w:val="Standardnpsmoodstavce"/>
    <w:link w:val="Nadpis2"/>
    <w:uiPriority w:val="9"/>
    <w:rsid w:val="00C90EEE"/>
    <w:rPr>
      <w:rFonts w:asciiTheme="majorHAnsi" w:eastAsiaTheme="majorEastAsia" w:hAnsiTheme="majorHAnsi" w:cstheme="majorBidi"/>
      <w:b/>
      <w:bCs/>
      <w:kern w:val="2"/>
      <w:sz w:val="32"/>
      <w:szCs w:val="32"/>
      <w:lang w:val="en-US" w:eastAsia="zh-CN"/>
    </w:rPr>
  </w:style>
  <w:style w:type="character" w:styleId="Zstupntext">
    <w:name w:val="Placeholder Text"/>
    <w:basedOn w:val="Standardnpsmoodstavce"/>
    <w:rsid w:val="00C90EEE"/>
    <w:rPr>
      <w:color w:val="808080"/>
    </w:rPr>
  </w:style>
  <w:style w:type="paragraph" w:styleId="Textbubliny">
    <w:name w:val="Balloon Text"/>
    <w:basedOn w:val="Normln"/>
    <w:link w:val="TextbublinyChar"/>
    <w:unhideWhenUsed/>
    <w:rsid w:val="00C90EEE"/>
    <w:pPr>
      <w:widowControl w:val="0"/>
      <w:spacing w:after="0" w:line="240" w:lineRule="auto"/>
      <w:jc w:val="both"/>
    </w:pPr>
    <w:rPr>
      <w:rFonts w:eastAsiaTheme="minorEastAsia"/>
      <w:kern w:val="2"/>
      <w:sz w:val="18"/>
      <w:szCs w:val="18"/>
      <w:lang w:val="en-US" w:eastAsia="zh-CN"/>
    </w:rPr>
  </w:style>
  <w:style w:type="character" w:customStyle="1" w:styleId="TextbublinyChar">
    <w:name w:val="Text bubliny Char"/>
    <w:basedOn w:val="Standardnpsmoodstavce"/>
    <w:link w:val="Textbubliny"/>
    <w:rsid w:val="00C90EEE"/>
    <w:rPr>
      <w:rFonts w:eastAsiaTheme="minorEastAsia"/>
      <w:kern w:val="2"/>
      <w:sz w:val="18"/>
      <w:szCs w:val="18"/>
      <w:lang w:val="en-US" w:eastAsia="zh-CN"/>
    </w:rPr>
  </w:style>
  <w:style w:type="character" w:customStyle="1" w:styleId="1">
    <w:name w:val="标题1"/>
    <w:basedOn w:val="Standardnpsmoodstavce"/>
    <w:uiPriority w:val="1"/>
    <w:rsid w:val="00C90EEE"/>
    <w:rPr>
      <w:rFonts w:ascii="Times New Roman" w:eastAsia="Times New Roman" w:hAnsi="Times New Roman"/>
      <w:b/>
      <w:sz w:val="28"/>
    </w:rPr>
  </w:style>
  <w:style w:type="paragraph" w:styleId="Zhlav">
    <w:name w:val="header"/>
    <w:basedOn w:val="Normln"/>
    <w:link w:val="ZhlavChar"/>
    <w:unhideWhenUsed/>
    <w:rsid w:val="00C90EEE"/>
    <w:pPr>
      <w:widowControl w:val="0"/>
      <w:pBdr>
        <w:bottom w:val="single" w:sz="6" w:space="1" w:color="auto"/>
      </w:pBdr>
      <w:tabs>
        <w:tab w:val="center" w:pos="4153"/>
        <w:tab w:val="right" w:pos="8306"/>
      </w:tabs>
      <w:snapToGrid w:val="0"/>
      <w:spacing w:after="0" w:line="240" w:lineRule="auto"/>
      <w:jc w:val="center"/>
    </w:pPr>
    <w:rPr>
      <w:rFonts w:eastAsiaTheme="minorEastAsia"/>
      <w:kern w:val="2"/>
      <w:sz w:val="18"/>
      <w:szCs w:val="18"/>
      <w:lang w:val="en-US" w:eastAsia="zh-CN"/>
    </w:rPr>
  </w:style>
  <w:style w:type="character" w:customStyle="1" w:styleId="ZhlavChar">
    <w:name w:val="Záhlaví Char"/>
    <w:basedOn w:val="Standardnpsmoodstavce"/>
    <w:link w:val="Zhlav"/>
    <w:rsid w:val="00C90EEE"/>
    <w:rPr>
      <w:rFonts w:eastAsiaTheme="minorEastAsia"/>
      <w:kern w:val="2"/>
      <w:sz w:val="18"/>
      <w:szCs w:val="18"/>
      <w:lang w:val="en-US" w:eastAsia="zh-CN"/>
    </w:rPr>
  </w:style>
  <w:style w:type="paragraph" w:styleId="Zpat">
    <w:name w:val="footer"/>
    <w:basedOn w:val="Normln"/>
    <w:link w:val="ZpatChar"/>
    <w:unhideWhenUsed/>
    <w:rsid w:val="00C90EEE"/>
    <w:pPr>
      <w:widowControl w:val="0"/>
      <w:tabs>
        <w:tab w:val="center" w:pos="4153"/>
        <w:tab w:val="right" w:pos="8306"/>
      </w:tabs>
      <w:snapToGrid w:val="0"/>
      <w:spacing w:after="0" w:line="240" w:lineRule="auto"/>
    </w:pPr>
    <w:rPr>
      <w:rFonts w:eastAsiaTheme="minorEastAsia"/>
      <w:kern w:val="2"/>
      <w:sz w:val="18"/>
      <w:szCs w:val="18"/>
      <w:lang w:val="en-US" w:eastAsia="zh-CN"/>
    </w:rPr>
  </w:style>
  <w:style w:type="character" w:customStyle="1" w:styleId="ZpatChar">
    <w:name w:val="Zápatí Char"/>
    <w:basedOn w:val="Standardnpsmoodstavce"/>
    <w:link w:val="Zpat"/>
    <w:rsid w:val="00C90EEE"/>
    <w:rPr>
      <w:rFonts w:eastAsiaTheme="minorEastAsia"/>
      <w:kern w:val="2"/>
      <w:sz w:val="18"/>
      <w:szCs w:val="18"/>
      <w:lang w:val="en-US" w:eastAsia="zh-CN"/>
    </w:rPr>
  </w:style>
  <w:style w:type="character" w:customStyle="1" w:styleId="Authors">
    <w:name w:val="Authors"/>
    <w:basedOn w:val="Standardnpsmoodstavce"/>
    <w:uiPriority w:val="1"/>
    <w:rsid w:val="00C90EEE"/>
    <w:rPr>
      <w:rFonts w:ascii="Times New Roman" w:eastAsia="Times New Roman" w:hAnsi="Times New Roman"/>
      <w:color w:val="000000" w:themeColor="text1"/>
      <w:sz w:val="24"/>
    </w:rPr>
  </w:style>
  <w:style w:type="character" w:customStyle="1" w:styleId="3">
    <w:name w:val="样式3"/>
    <w:basedOn w:val="Standardnpsmoodstavce"/>
    <w:uiPriority w:val="1"/>
    <w:rsid w:val="00C90EEE"/>
    <w:rPr>
      <w:rFonts w:ascii="Times New Roman" w:eastAsia="Times New Roman" w:hAnsi="Times New Roman"/>
      <w:sz w:val="24"/>
    </w:rPr>
  </w:style>
  <w:style w:type="paragraph" w:styleId="Podtitul">
    <w:name w:val="Subtitle"/>
    <w:basedOn w:val="Normln"/>
    <w:next w:val="Normln"/>
    <w:link w:val="PodtitulChar"/>
    <w:uiPriority w:val="11"/>
    <w:qFormat/>
    <w:rsid w:val="00C90EEE"/>
    <w:pPr>
      <w:widowControl w:val="0"/>
      <w:spacing w:before="240" w:after="60" w:line="312" w:lineRule="auto"/>
      <w:jc w:val="center"/>
      <w:outlineLvl w:val="1"/>
    </w:pPr>
    <w:rPr>
      <w:rFonts w:asciiTheme="majorHAnsi" w:eastAsia="SimSun" w:hAnsiTheme="majorHAnsi" w:cstheme="majorBidi"/>
      <w:b/>
      <w:bCs/>
      <w:kern w:val="28"/>
      <w:sz w:val="32"/>
      <w:szCs w:val="32"/>
      <w:lang w:val="en-US" w:eastAsia="zh-CN"/>
    </w:rPr>
  </w:style>
  <w:style w:type="character" w:customStyle="1" w:styleId="PodtitulChar">
    <w:name w:val="Podtitul Char"/>
    <w:basedOn w:val="Standardnpsmoodstavce"/>
    <w:link w:val="Podtitul"/>
    <w:uiPriority w:val="11"/>
    <w:rsid w:val="00C90EEE"/>
    <w:rPr>
      <w:rFonts w:asciiTheme="majorHAnsi" w:eastAsia="SimSun" w:hAnsiTheme="majorHAnsi" w:cstheme="majorBidi"/>
      <w:b/>
      <w:bCs/>
      <w:kern w:val="28"/>
      <w:sz w:val="32"/>
      <w:szCs w:val="32"/>
      <w:lang w:val="en-US" w:eastAsia="zh-CN"/>
    </w:rPr>
  </w:style>
  <w:style w:type="paragraph" w:customStyle="1" w:styleId="Affiliations">
    <w:name w:val="Affiliations"/>
    <w:basedOn w:val="Normln"/>
    <w:link w:val="AffiliationsChar"/>
    <w:rsid w:val="00C90EEE"/>
    <w:pPr>
      <w:widowControl w:val="0"/>
      <w:spacing w:after="0" w:line="360" w:lineRule="auto"/>
      <w:jc w:val="center"/>
    </w:pPr>
    <w:rPr>
      <w:rFonts w:ascii="Times New Roman" w:eastAsia="Times New Roman" w:hAnsi="Times New Roman"/>
      <w:kern w:val="2"/>
      <w:sz w:val="24"/>
      <w:lang w:val="en-US" w:eastAsia="zh-CN"/>
    </w:rPr>
  </w:style>
  <w:style w:type="character" w:customStyle="1" w:styleId="AffiliationsChar">
    <w:name w:val="Affiliations Char"/>
    <w:basedOn w:val="Standardnpsmoodstavce"/>
    <w:link w:val="Affiliations"/>
    <w:rsid w:val="00C90EEE"/>
    <w:rPr>
      <w:rFonts w:ascii="Times New Roman" w:eastAsia="Times New Roman" w:hAnsi="Times New Roman"/>
      <w:kern w:val="2"/>
      <w:sz w:val="24"/>
      <w:lang w:val="en-US" w:eastAsia="zh-CN"/>
    </w:rPr>
  </w:style>
  <w:style w:type="paragraph" w:styleId="Odstavecseseznamem">
    <w:name w:val="List Paragraph"/>
    <w:basedOn w:val="Normln"/>
    <w:link w:val="OdstavecseseznamemChar"/>
    <w:uiPriority w:val="34"/>
    <w:qFormat/>
    <w:rsid w:val="00C90EEE"/>
    <w:pPr>
      <w:widowControl w:val="0"/>
      <w:spacing w:after="0" w:line="240" w:lineRule="auto"/>
      <w:ind w:firstLineChars="200" w:firstLine="420"/>
      <w:jc w:val="both"/>
    </w:pPr>
    <w:rPr>
      <w:rFonts w:eastAsiaTheme="minorEastAsia"/>
      <w:kern w:val="2"/>
      <w:sz w:val="21"/>
      <w:lang w:val="en-US" w:eastAsia="zh-CN"/>
    </w:rPr>
  </w:style>
  <w:style w:type="character" w:customStyle="1" w:styleId="OdstavecseseznamemChar">
    <w:name w:val="Odstavec se seznamem Char"/>
    <w:basedOn w:val="Standardnpsmoodstavce"/>
    <w:link w:val="Odstavecseseznamem"/>
    <w:uiPriority w:val="34"/>
    <w:rsid w:val="00C90EEE"/>
    <w:rPr>
      <w:rFonts w:eastAsiaTheme="minorEastAsia"/>
      <w:kern w:val="2"/>
      <w:sz w:val="21"/>
      <w:lang w:val="en-US" w:eastAsia="zh-CN"/>
    </w:rPr>
  </w:style>
  <w:style w:type="paragraph" w:styleId="Textpoznpodarou">
    <w:name w:val="footnote text"/>
    <w:basedOn w:val="Normln"/>
    <w:link w:val="TextpoznpodarouChar"/>
    <w:uiPriority w:val="99"/>
    <w:semiHidden/>
    <w:unhideWhenUsed/>
    <w:rsid w:val="00C90EEE"/>
    <w:pPr>
      <w:widowControl w:val="0"/>
      <w:snapToGrid w:val="0"/>
      <w:spacing w:after="0" w:line="240" w:lineRule="auto"/>
    </w:pPr>
    <w:rPr>
      <w:rFonts w:eastAsiaTheme="minorEastAsia"/>
      <w:kern w:val="2"/>
      <w:sz w:val="18"/>
      <w:szCs w:val="18"/>
      <w:lang w:val="en-US" w:eastAsia="zh-CN"/>
    </w:rPr>
  </w:style>
  <w:style w:type="character" w:customStyle="1" w:styleId="TextpoznpodarouChar">
    <w:name w:val="Text pozn. pod čarou Char"/>
    <w:basedOn w:val="Standardnpsmoodstavce"/>
    <w:link w:val="Textpoznpodarou"/>
    <w:uiPriority w:val="99"/>
    <w:semiHidden/>
    <w:rsid w:val="00C90EEE"/>
    <w:rPr>
      <w:rFonts w:eastAsiaTheme="minorEastAsia"/>
      <w:kern w:val="2"/>
      <w:sz w:val="18"/>
      <w:szCs w:val="18"/>
      <w:lang w:val="en-US" w:eastAsia="zh-CN"/>
    </w:rPr>
  </w:style>
  <w:style w:type="character" w:styleId="Znakapoznpodarou">
    <w:name w:val="footnote reference"/>
    <w:basedOn w:val="Standardnpsmoodstavce"/>
    <w:uiPriority w:val="99"/>
    <w:semiHidden/>
    <w:unhideWhenUsed/>
    <w:rsid w:val="00C90EEE"/>
    <w:rPr>
      <w:vertAlign w:val="superscript"/>
    </w:rPr>
  </w:style>
  <w:style w:type="character" w:customStyle="1" w:styleId="Project">
    <w:name w:val="Project"/>
    <w:basedOn w:val="Standardnpsmoodstavce"/>
    <w:uiPriority w:val="1"/>
    <w:rsid w:val="00C90EEE"/>
    <w:rPr>
      <w:rFonts w:ascii="Times New Roman" w:hAnsi="Times New Roman"/>
      <w:sz w:val="18"/>
    </w:rPr>
  </w:style>
  <w:style w:type="character" w:customStyle="1" w:styleId="CAuthor">
    <w:name w:val="CAuthor"/>
    <w:basedOn w:val="Standardnpsmoodstavce"/>
    <w:uiPriority w:val="1"/>
    <w:rsid w:val="00C90EEE"/>
    <w:rPr>
      <w:rFonts w:ascii="Times New Roman" w:eastAsia="Times New Roman" w:hAnsi="Times New Roman"/>
      <w:sz w:val="18"/>
    </w:rPr>
  </w:style>
  <w:style w:type="paragraph" w:customStyle="1" w:styleId="Abstract">
    <w:name w:val="Abstract"/>
    <w:basedOn w:val="Odstavecseseznamem"/>
    <w:link w:val="AbstractChar"/>
    <w:rsid w:val="00C90EEE"/>
    <w:pPr>
      <w:adjustRightInd w:val="0"/>
      <w:spacing w:line="360" w:lineRule="auto"/>
      <w:ind w:firstLineChars="0" w:firstLine="0"/>
    </w:pPr>
    <w:rPr>
      <w:rFonts w:ascii="Times New Roman" w:hAnsi="Times New Roman"/>
    </w:rPr>
  </w:style>
  <w:style w:type="character" w:customStyle="1" w:styleId="AbstractChar">
    <w:name w:val="Abstract Char"/>
    <w:basedOn w:val="OdstavecseseznamemChar"/>
    <w:link w:val="Abstract"/>
    <w:rsid w:val="00C90EEE"/>
    <w:rPr>
      <w:rFonts w:ascii="Times New Roman" w:eastAsiaTheme="minorEastAsia" w:hAnsi="Times New Roman"/>
      <w:kern w:val="2"/>
      <w:sz w:val="21"/>
      <w:lang w:val="en-US" w:eastAsia="zh-CN"/>
    </w:rPr>
  </w:style>
  <w:style w:type="character" w:customStyle="1" w:styleId="10">
    <w:name w:val="样式1"/>
    <w:basedOn w:val="Standardnpsmoodstavce"/>
    <w:uiPriority w:val="1"/>
    <w:rsid w:val="00C90EEE"/>
    <w:rPr>
      <w:rFonts w:ascii="Times New Roman" w:eastAsia="Times New Roman" w:hAnsi="Times New Roman"/>
      <w:sz w:val="24"/>
    </w:rPr>
  </w:style>
  <w:style w:type="character" w:styleId="Hypertextovodkaz">
    <w:name w:val="Hyperlink"/>
    <w:basedOn w:val="Standardnpsmoodstavce"/>
    <w:uiPriority w:val="99"/>
    <w:unhideWhenUsed/>
    <w:rsid w:val="00C90EEE"/>
    <w:rPr>
      <w:color w:val="0000FF" w:themeColor="hyperlink"/>
      <w:u w:val="single"/>
    </w:rPr>
  </w:style>
  <w:style w:type="character" w:customStyle="1" w:styleId="Maintext">
    <w:name w:val="Main text"/>
    <w:basedOn w:val="Standardnpsmoodstavce"/>
    <w:uiPriority w:val="1"/>
    <w:rsid w:val="00C90EEE"/>
    <w:rPr>
      <w:rFonts w:ascii="Times New Roman" w:hAnsi="Times New Roman"/>
      <w:sz w:val="24"/>
    </w:rPr>
  </w:style>
  <w:style w:type="paragraph" w:customStyle="1" w:styleId="Heading">
    <w:name w:val="Heading"/>
    <w:basedOn w:val="Normln"/>
    <w:link w:val="HeadingChar"/>
    <w:rsid w:val="00C90EEE"/>
    <w:pPr>
      <w:widowControl w:val="0"/>
      <w:snapToGrid w:val="0"/>
      <w:spacing w:after="0" w:line="360" w:lineRule="auto"/>
      <w:ind w:firstLineChars="200" w:firstLine="200"/>
      <w:jc w:val="both"/>
    </w:pPr>
    <w:rPr>
      <w:rFonts w:ascii="Times New Roman" w:eastAsia="Times New Roman" w:hAnsi="Times New Roman"/>
      <w:b/>
      <w:kern w:val="2"/>
      <w:sz w:val="24"/>
      <w:lang w:val="en-US" w:eastAsia="zh-CN"/>
    </w:rPr>
  </w:style>
  <w:style w:type="character" w:customStyle="1" w:styleId="HeadingChar">
    <w:name w:val="Heading Char"/>
    <w:basedOn w:val="Standardnpsmoodstavce"/>
    <w:link w:val="Heading"/>
    <w:rsid w:val="00C90EEE"/>
    <w:rPr>
      <w:rFonts w:ascii="Times New Roman" w:eastAsia="Times New Roman" w:hAnsi="Times New Roman"/>
      <w:b/>
      <w:kern w:val="2"/>
      <w:sz w:val="24"/>
      <w:lang w:val="en-US" w:eastAsia="zh-CN"/>
    </w:rPr>
  </w:style>
  <w:style w:type="character" w:customStyle="1" w:styleId="TextvysvtlivekChar">
    <w:name w:val="Text vysvětlivek Char"/>
    <w:basedOn w:val="Standardnpsmoodstavce"/>
    <w:link w:val="Textvysvtlivek"/>
    <w:uiPriority w:val="99"/>
    <w:semiHidden/>
    <w:rsid w:val="00C90EEE"/>
    <w:rPr>
      <w:rFonts w:eastAsiaTheme="minorEastAsia"/>
      <w:kern w:val="2"/>
      <w:sz w:val="21"/>
      <w:lang w:val="en-US" w:eastAsia="zh-CN"/>
    </w:rPr>
  </w:style>
  <w:style w:type="paragraph" w:styleId="Textvysvtlivek">
    <w:name w:val="endnote text"/>
    <w:basedOn w:val="Normln"/>
    <w:link w:val="TextvysvtlivekChar"/>
    <w:uiPriority w:val="99"/>
    <w:semiHidden/>
    <w:unhideWhenUsed/>
    <w:rsid w:val="00C90EEE"/>
    <w:pPr>
      <w:widowControl w:val="0"/>
      <w:snapToGrid w:val="0"/>
      <w:spacing w:after="0" w:line="240" w:lineRule="auto"/>
    </w:pPr>
    <w:rPr>
      <w:rFonts w:eastAsiaTheme="minorEastAsia"/>
      <w:kern w:val="2"/>
      <w:sz w:val="21"/>
      <w:lang w:val="en-US" w:eastAsia="zh-CN"/>
    </w:rPr>
  </w:style>
  <w:style w:type="character" w:customStyle="1" w:styleId="heading2">
    <w:name w:val="heading2"/>
    <w:basedOn w:val="Standardnpsmoodstavce"/>
    <w:uiPriority w:val="1"/>
    <w:rsid w:val="00C90EEE"/>
    <w:rPr>
      <w:rFonts w:ascii="Times New Roman" w:eastAsia="Times New Roman" w:hAnsi="Times New Roman"/>
      <w:b/>
      <w:sz w:val="24"/>
    </w:rPr>
  </w:style>
  <w:style w:type="character" w:customStyle="1" w:styleId="heading3">
    <w:name w:val="heading3"/>
    <w:basedOn w:val="Standardnpsmoodstavce"/>
    <w:uiPriority w:val="1"/>
    <w:rsid w:val="00C90EEE"/>
    <w:rPr>
      <w:rFonts w:ascii="Times New Roman" w:hAnsi="Times New Roman"/>
      <w:sz w:val="24"/>
    </w:rPr>
  </w:style>
  <w:style w:type="paragraph" w:styleId="Bezmezer">
    <w:name w:val="No Spacing"/>
    <w:rsid w:val="00C90EEE"/>
    <w:pPr>
      <w:suppressAutoHyphens/>
    </w:pPr>
    <w:rPr>
      <w:rFonts w:ascii="Calibri" w:eastAsia="Calibri" w:hAnsi="Calibri" w:cs="Times New Roman"/>
    </w:rPr>
  </w:style>
  <w:style w:type="character" w:styleId="Odkaznakoment">
    <w:name w:val="annotation reference"/>
    <w:basedOn w:val="Standardnpsmoodstavce"/>
    <w:rsid w:val="00C90EEE"/>
    <w:rPr>
      <w:sz w:val="16"/>
      <w:szCs w:val="16"/>
    </w:rPr>
  </w:style>
  <w:style w:type="paragraph" w:customStyle="1" w:styleId="Rejstk">
    <w:name w:val="Rejstřík"/>
    <w:basedOn w:val="Vchoz"/>
    <w:rsid w:val="00C90EEE"/>
    <w:pPr>
      <w:suppressLineNumbers/>
    </w:pPr>
    <w:rPr>
      <w:rFonts w:cs="DejaVu Sans"/>
    </w:rPr>
  </w:style>
  <w:style w:type="character" w:customStyle="1" w:styleId="label2">
    <w:name w:val="label2"/>
    <w:basedOn w:val="Standardnpsmoodstavce"/>
    <w:rsid w:val="00C90EEE"/>
  </w:style>
  <w:style w:type="character" w:customStyle="1" w:styleId="databold">
    <w:name w:val="data_bold"/>
    <w:basedOn w:val="Standardnpsmoodstavce"/>
    <w:rsid w:val="00C90EEE"/>
  </w:style>
  <w:style w:type="character" w:customStyle="1" w:styleId="Internetovodkaz">
    <w:name w:val="Internetový odkaz"/>
    <w:basedOn w:val="Standardnpsmoodstavce"/>
    <w:rsid w:val="00C90EEE"/>
    <w:rPr>
      <w:color w:val="0000FF"/>
      <w:u w:val="single"/>
      <w:lang w:val="cs-CZ" w:eastAsia="cs-CZ" w:bidi="cs-CZ"/>
    </w:rPr>
  </w:style>
  <w:style w:type="character" w:customStyle="1" w:styleId="MathematicaFormatStandardForm">
    <w:name w:val="MathematicaFormatStandardForm"/>
    <w:rsid w:val="00C90EEE"/>
    <w:rPr>
      <w:rFonts w:ascii="Courier" w:hAnsi="Courier" w:cs="Courier"/>
    </w:rPr>
  </w:style>
  <w:style w:type="character" w:customStyle="1" w:styleId="MathematicaFormatTextForm">
    <w:name w:val="MathematicaFormatTextForm"/>
    <w:rsid w:val="00C90EEE"/>
  </w:style>
  <w:style w:type="character" w:customStyle="1" w:styleId="MathematicaSelectionTI">
    <w:name w:val="MathematicaSelectionTI"/>
    <w:rsid w:val="00C90EEE"/>
    <w:rPr>
      <w:rFonts w:ascii="Times" w:hAnsi="Times" w:cs="Times"/>
      <w:i/>
      <w:iCs/>
    </w:rPr>
  </w:style>
  <w:style w:type="character" w:styleId="slodku">
    <w:name w:val="line number"/>
    <w:basedOn w:val="Standardnpsmoodstavce"/>
    <w:rsid w:val="00C90EEE"/>
  </w:style>
  <w:style w:type="character" w:customStyle="1" w:styleId="Zdraznn1">
    <w:name w:val="Zdůraznění1"/>
    <w:basedOn w:val="Standardnpsmoodstavce"/>
    <w:rsid w:val="00C90EEE"/>
    <w:rPr>
      <w:i/>
      <w:iCs/>
      <w:position w:val="0"/>
      <w:sz w:val="24"/>
      <w:szCs w:val="24"/>
      <w:vertAlign w:val="baseline"/>
    </w:rPr>
  </w:style>
  <w:style w:type="character" w:customStyle="1" w:styleId="a-size-extra-large3">
    <w:name w:val="a-size-extra-large3"/>
    <w:basedOn w:val="Standardnpsmoodstavce"/>
    <w:rsid w:val="00C90EEE"/>
    <w:rPr>
      <w:rFonts w:ascii="Arial" w:hAnsi="Arial" w:cs="Arial"/>
    </w:rPr>
  </w:style>
  <w:style w:type="character" w:customStyle="1" w:styleId="TextkomenteChar">
    <w:name w:val="Text komentáře Char"/>
    <w:basedOn w:val="Standardnpsmoodstavce"/>
    <w:rsid w:val="00C90EEE"/>
    <w:rPr>
      <w:lang w:eastAsia="en-US"/>
    </w:rPr>
  </w:style>
  <w:style w:type="character" w:customStyle="1" w:styleId="PedmtkomenteChar">
    <w:name w:val="Předmět komentáře Char"/>
    <w:basedOn w:val="TextkomenteChar"/>
    <w:rsid w:val="00C90EEE"/>
    <w:rPr>
      <w:b/>
      <w:bCs/>
      <w:lang w:eastAsia="en-US"/>
    </w:rPr>
  </w:style>
  <w:style w:type="character" w:customStyle="1" w:styleId="ZkladntextChar">
    <w:name w:val="Základní text Char"/>
    <w:basedOn w:val="Standardnpsmoodstavce"/>
    <w:rsid w:val="00C90EEE"/>
    <w:rPr>
      <w:sz w:val="22"/>
      <w:szCs w:val="22"/>
      <w:lang w:eastAsia="en-US"/>
    </w:rPr>
  </w:style>
  <w:style w:type="character" w:customStyle="1" w:styleId="ListLabel1">
    <w:name w:val="ListLabel 1"/>
    <w:rsid w:val="00C90EEE"/>
    <w:rPr>
      <w:sz w:val="20"/>
    </w:rPr>
  </w:style>
  <w:style w:type="character" w:customStyle="1" w:styleId="apple-converted-space">
    <w:name w:val="apple-converted-space"/>
    <w:basedOn w:val="Standardnpsmoodstavce"/>
    <w:rsid w:val="00C90EEE"/>
  </w:style>
  <w:style w:type="character" w:customStyle="1" w:styleId="slovndk">
    <w:name w:val="Číslování řádků"/>
    <w:rsid w:val="00C90EEE"/>
  </w:style>
  <w:style w:type="paragraph" w:customStyle="1" w:styleId="Nadpis">
    <w:name w:val="Nadpis"/>
    <w:basedOn w:val="Vchoz"/>
    <w:next w:val="Tlotextu"/>
    <w:rsid w:val="00C90EEE"/>
    <w:pPr>
      <w:keepNext/>
      <w:spacing w:before="240" w:after="120"/>
    </w:pPr>
    <w:rPr>
      <w:rFonts w:ascii="Liberation Sans" w:eastAsia="Droid Sans Fallback" w:hAnsi="Liberation Sans" w:cs="DejaVu Sans"/>
      <w:sz w:val="28"/>
      <w:szCs w:val="28"/>
    </w:rPr>
  </w:style>
  <w:style w:type="paragraph" w:styleId="Seznam">
    <w:name w:val="List"/>
    <w:basedOn w:val="Tlotextu"/>
    <w:rsid w:val="00C90EEE"/>
    <w:rPr>
      <w:rFonts w:cs="DejaVu Sans"/>
    </w:rPr>
  </w:style>
  <w:style w:type="paragraph" w:customStyle="1" w:styleId="Popisek">
    <w:name w:val="Popisek"/>
    <w:basedOn w:val="Vchoz"/>
    <w:rsid w:val="00C90EEE"/>
    <w:pPr>
      <w:suppressLineNumbers/>
      <w:spacing w:before="120" w:after="120"/>
    </w:pPr>
    <w:rPr>
      <w:rFonts w:cs="DejaVu Sans"/>
      <w:i/>
      <w:iCs/>
      <w:sz w:val="24"/>
      <w:szCs w:val="24"/>
    </w:rPr>
  </w:style>
  <w:style w:type="paragraph" w:styleId="Textkomente">
    <w:name w:val="annotation text"/>
    <w:basedOn w:val="Vchoz"/>
    <w:link w:val="TextkomenteChar1"/>
    <w:rsid w:val="00C90EEE"/>
    <w:pPr>
      <w:spacing w:line="100" w:lineRule="atLeast"/>
    </w:pPr>
    <w:rPr>
      <w:sz w:val="20"/>
      <w:szCs w:val="20"/>
    </w:rPr>
  </w:style>
  <w:style w:type="character" w:customStyle="1" w:styleId="TextkomenteChar1">
    <w:name w:val="Text komentáře Char1"/>
    <w:basedOn w:val="Standardnpsmoodstavce"/>
    <w:link w:val="Textkomente"/>
    <w:rsid w:val="00C90EEE"/>
    <w:rPr>
      <w:rFonts w:ascii="Calibri" w:eastAsia="Calibri" w:hAnsi="Calibri" w:cs="Times New Roman"/>
      <w:sz w:val="20"/>
      <w:szCs w:val="20"/>
    </w:rPr>
  </w:style>
  <w:style w:type="paragraph" w:styleId="Pedmtkomente">
    <w:name w:val="annotation subject"/>
    <w:basedOn w:val="Textkomente"/>
    <w:link w:val="PedmtkomenteChar1"/>
    <w:rsid w:val="00C90EEE"/>
    <w:rPr>
      <w:b/>
      <w:bCs/>
    </w:rPr>
  </w:style>
  <w:style w:type="character" w:customStyle="1" w:styleId="PedmtkomenteChar1">
    <w:name w:val="Předmět komentáře Char1"/>
    <w:basedOn w:val="TextkomenteChar1"/>
    <w:link w:val="Pedmtkomente"/>
    <w:rsid w:val="00C90EEE"/>
    <w:rPr>
      <w:rFonts w:ascii="Calibri" w:eastAsia="Calibri" w:hAnsi="Calibri" w:cs="Times New Roman"/>
      <w:b/>
      <w:bCs/>
      <w:sz w:val="20"/>
      <w:szCs w:val="20"/>
    </w:rPr>
  </w:style>
  <w:style w:type="paragraph" w:customStyle="1" w:styleId="keywords">
    <w:name w:val="keywords"/>
    <w:rsid w:val="00C90EEE"/>
    <w:pPr>
      <w:suppressAutoHyphens/>
      <w:spacing w:line="260" w:lineRule="exact"/>
      <w:jc w:val="both"/>
    </w:pPr>
    <w:rPr>
      <w:rFonts w:ascii="Times New Roman" w:eastAsia="Times New Roman" w:hAnsi="Times New Roman" w:cs="Times New Roman"/>
      <w:lang w:val="en-US" w:eastAsia="ru-RU"/>
    </w:rPr>
  </w:style>
  <w:style w:type="paragraph" w:customStyle="1" w:styleId="Pedformtovantext">
    <w:name w:val="Předformátovaný text"/>
    <w:basedOn w:val="Vchoz"/>
    <w:rsid w:val="00C90EEE"/>
    <w:pPr>
      <w:tabs>
        <w:tab w:val="left" w:pos="708"/>
      </w:tabs>
      <w:spacing w:after="0"/>
    </w:pPr>
    <w:rPr>
      <w:rFonts w:ascii="DejaVu Sans Mono" w:eastAsia="Droid Sans Fallback" w:hAnsi="DejaVu Sans Mono" w:cs="DejaVu Sans Mono"/>
      <w:color w:val="00000A"/>
      <w:sz w:val="20"/>
      <w:szCs w:val="20"/>
      <w:lang w:val="en-US" w:eastAsia="zh-CN"/>
    </w:rPr>
  </w:style>
  <w:style w:type="paragraph" w:customStyle="1" w:styleId="section">
    <w:name w:val="section"/>
    <w:rsid w:val="00C90EEE"/>
    <w:pPr>
      <w:keepNext/>
      <w:keepLines/>
      <w:numPr>
        <w:numId w:val="5"/>
      </w:numPr>
      <w:suppressAutoHyphens/>
      <w:spacing w:before="240" w:after="160"/>
    </w:pPr>
    <w:rPr>
      <w:rFonts w:ascii="Times New Roman" w:eastAsia="Times New Roman" w:hAnsi="Times New Roman" w:cs="Times New Roman"/>
      <w:b/>
      <w:sz w:val="24"/>
      <w:szCs w:val="20"/>
      <w:lang w:val="en-US" w:eastAsia="ru-RU"/>
    </w:rPr>
  </w:style>
  <w:style w:type="paragraph" w:customStyle="1" w:styleId="Subsection">
    <w:name w:val="Subsection"/>
    <w:rsid w:val="00C90EEE"/>
    <w:pPr>
      <w:keepNext/>
      <w:keepLines/>
      <w:suppressAutoHyphens/>
      <w:spacing w:before="120" w:after="120"/>
      <w:ind w:left="578" w:hanging="578"/>
    </w:pPr>
    <w:rPr>
      <w:rFonts w:ascii="Times New Roman" w:eastAsia="Times New Roman" w:hAnsi="Times New Roman" w:cs="Times New Roman"/>
      <w:b/>
      <w:sz w:val="20"/>
      <w:szCs w:val="20"/>
      <w:lang w:val="en-US" w:eastAsia="ru-RU"/>
    </w:rPr>
  </w:style>
  <w:style w:type="paragraph" w:customStyle="1" w:styleId="Subsubsection">
    <w:name w:val="Subsubsection"/>
    <w:basedOn w:val="Subsection"/>
    <w:rsid w:val="00C90EEE"/>
    <w:pPr>
      <w:ind w:left="432" w:hanging="432"/>
    </w:pPr>
  </w:style>
  <w:style w:type="paragraph" w:styleId="Titulek">
    <w:name w:val="caption"/>
    <w:basedOn w:val="Normln"/>
    <w:next w:val="Normln"/>
    <w:uiPriority w:val="35"/>
    <w:unhideWhenUsed/>
    <w:qFormat/>
    <w:rsid w:val="00C90EEE"/>
    <w:pPr>
      <w:spacing w:line="240" w:lineRule="auto"/>
    </w:pPr>
    <w:rPr>
      <w:i/>
      <w:iCs/>
      <w:color w:val="1F497D" w:themeColor="text2"/>
      <w:sz w:val="18"/>
      <w:szCs w:val="18"/>
      <w:lang w:val="en-US"/>
    </w:rPr>
  </w:style>
  <w:style w:type="table" w:styleId="Mkatabulky">
    <w:name w:val="Table Grid"/>
    <w:basedOn w:val="Normlntabulka"/>
    <w:uiPriority w:val="39"/>
    <w:rsid w:val="00C90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Vchoz"/>
    <w:next w:val="Tlotextu"/>
    <w:link w:val="Nadpis1Char"/>
    <w:rsid w:val="00C90EEE"/>
    <w:pPr>
      <w:spacing w:before="100" w:after="100" w:line="100" w:lineRule="atLeast"/>
      <w:outlineLvl w:val="0"/>
    </w:pPr>
    <w:rPr>
      <w:rFonts w:ascii="Times New Roman" w:eastAsia="Times New Roman" w:hAnsi="Times New Roman"/>
      <w:b/>
      <w:bCs/>
      <w:sz w:val="48"/>
      <w:szCs w:val="48"/>
      <w:lang w:eastAsia="cs-CZ"/>
    </w:rPr>
  </w:style>
  <w:style w:type="paragraph" w:styleId="Nadpis2">
    <w:name w:val="heading 2"/>
    <w:basedOn w:val="Normln"/>
    <w:next w:val="Normln"/>
    <w:link w:val="Nadpis2Char"/>
    <w:uiPriority w:val="9"/>
    <w:unhideWhenUsed/>
    <w:qFormat/>
    <w:rsid w:val="00C90EE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hoz">
    <w:name w:val="Výchozí"/>
    <w:rsid w:val="00C90EEE"/>
    <w:pPr>
      <w:suppressAutoHyphens/>
    </w:pPr>
    <w:rPr>
      <w:rFonts w:ascii="Calibri" w:eastAsia="Calibri" w:hAnsi="Calibri" w:cs="Times New Roman"/>
    </w:rPr>
  </w:style>
  <w:style w:type="paragraph" w:customStyle="1" w:styleId="Tlotextu">
    <w:name w:val="Tělo textu"/>
    <w:basedOn w:val="Vchoz"/>
    <w:rsid w:val="00C90EEE"/>
    <w:pPr>
      <w:spacing w:after="120"/>
    </w:pPr>
  </w:style>
  <w:style w:type="character" w:customStyle="1" w:styleId="Nadpis1Char">
    <w:name w:val="Nadpis 1 Char"/>
    <w:basedOn w:val="Standardnpsmoodstavce"/>
    <w:link w:val="Nadpis1"/>
    <w:rsid w:val="00C90EEE"/>
    <w:rPr>
      <w:rFonts w:ascii="Times New Roman" w:eastAsia="Times New Roman" w:hAnsi="Times New Roman" w:cs="Times New Roman"/>
      <w:b/>
      <w:bCs/>
      <w:sz w:val="48"/>
      <w:szCs w:val="48"/>
      <w:lang w:eastAsia="cs-CZ"/>
    </w:rPr>
  </w:style>
  <w:style w:type="character" w:customStyle="1" w:styleId="Nadpis2Char">
    <w:name w:val="Nadpis 2 Char"/>
    <w:basedOn w:val="Standardnpsmoodstavce"/>
    <w:link w:val="Nadpis2"/>
    <w:uiPriority w:val="9"/>
    <w:rsid w:val="00C90EEE"/>
    <w:rPr>
      <w:rFonts w:asciiTheme="majorHAnsi" w:eastAsiaTheme="majorEastAsia" w:hAnsiTheme="majorHAnsi" w:cstheme="majorBidi"/>
      <w:b/>
      <w:bCs/>
      <w:kern w:val="2"/>
      <w:sz w:val="32"/>
      <w:szCs w:val="32"/>
      <w:lang w:val="en-US" w:eastAsia="zh-CN"/>
    </w:rPr>
  </w:style>
  <w:style w:type="character" w:styleId="Zstupntext">
    <w:name w:val="Placeholder Text"/>
    <w:basedOn w:val="Standardnpsmoodstavce"/>
    <w:rsid w:val="00C90EEE"/>
    <w:rPr>
      <w:color w:val="808080"/>
    </w:rPr>
  </w:style>
  <w:style w:type="paragraph" w:styleId="Textbubliny">
    <w:name w:val="Balloon Text"/>
    <w:basedOn w:val="Normln"/>
    <w:link w:val="TextbublinyChar"/>
    <w:unhideWhenUsed/>
    <w:rsid w:val="00C90EEE"/>
    <w:pPr>
      <w:widowControl w:val="0"/>
      <w:spacing w:after="0" w:line="240" w:lineRule="auto"/>
      <w:jc w:val="both"/>
    </w:pPr>
    <w:rPr>
      <w:rFonts w:eastAsiaTheme="minorEastAsia"/>
      <w:kern w:val="2"/>
      <w:sz w:val="18"/>
      <w:szCs w:val="18"/>
      <w:lang w:val="en-US" w:eastAsia="zh-CN"/>
    </w:rPr>
  </w:style>
  <w:style w:type="character" w:customStyle="1" w:styleId="TextbublinyChar">
    <w:name w:val="Text bubliny Char"/>
    <w:basedOn w:val="Standardnpsmoodstavce"/>
    <w:link w:val="Textbubliny"/>
    <w:rsid w:val="00C90EEE"/>
    <w:rPr>
      <w:rFonts w:eastAsiaTheme="minorEastAsia"/>
      <w:kern w:val="2"/>
      <w:sz w:val="18"/>
      <w:szCs w:val="18"/>
      <w:lang w:val="en-US" w:eastAsia="zh-CN"/>
    </w:rPr>
  </w:style>
  <w:style w:type="character" w:customStyle="1" w:styleId="1">
    <w:name w:val="标题1"/>
    <w:basedOn w:val="Standardnpsmoodstavce"/>
    <w:uiPriority w:val="1"/>
    <w:rsid w:val="00C90EEE"/>
    <w:rPr>
      <w:rFonts w:ascii="Times New Roman" w:eastAsia="Times New Roman" w:hAnsi="Times New Roman"/>
      <w:b/>
      <w:sz w:val="28"/>
    </w:rPr>
  </w:style>
  <w:style w:type="paragraph" w:styleId="Zhlav">
    <w:name w:val="header"/>
    <w:basedOn w:val="Normln"/>
    <w:link w:val="ZhlavChar"/>
    <w:unhideWhenUsed/>
    <w:rsid w:val="00C90EEE"/>
    <w:pPr>
      <w:widowControl w:val="0"/>
      <w:pBdr>
        <w:bottom w:val="single" w:sz="6" w:space="1" w:color="auto"/>
      </w:pBdr>
      <w:tabs>
        <w:tab w:val="center" w:pos="4153"/>
        <w:tab w:val="right" w:pos="8306"/>
      </w:tabs>
      <w:snapToGrid w:val="0"/>
      <w:spacing w:after="0" w:line="240" w:lineRule="auto"/>
      <w:jc w:val="center"/>
    </w:pPr>
    <w:rPr>
      <w:rFonts w:eastAsiaTheme="minorEastAsia"/>
      <w:kern w:val="2"/>
      <w:sz w:val="18"/>
      <w:szCs w:val="18"/>
      <w:lang w:val="en-US" w:eastAsia="zh-CN"/>
    </w:rPr>
  </w:style>
  <w:style w:type="character" w:customStyle="1" w:styleId="ZhlavChar">
    <w:name w:val="Záhlaví Char"/>
    <w:basedOn w:val="Standardnpsmoodstavce"/>
    <w:link w:val="Zhlav"/>
    <w:rsid w:val="00C90EEE"/>
    <w:rPr>
      <w:rFonts w:eastAsiaTheme="minorEastAsia"/>
      <w:kern w:val="2"/>
      <w:sz w:val="18"/>
      <w:szCs w:val="18"/>
      <w:lang w:val="en-US" w:eastAsia="zh-CN"/>
    </w:rPr>
  </w:style>
  <w:style w:type="paragraph" w:styleId="Zpat">
    <w:name w:val="footer"/>
    <w:basedOn w:val="Normln"/>
    <w:link w:val="ZpatChar"/>
    <w:unhideWhenUsed/>
    <w:rsid w:val="00C90EEE"/>
    <w:pPr>
      <w:widowControl w:val="0"/>
      <w:tabs>
        <w:tab w:val="center" w:pos="4153"/>
        <w:tab w:val="right" w:pos="8306"/>
      </w:tabs>
      <w:snapToGrid w:val="0"/>
      <w:spacing w:after="0" w:line="240" w:lineRule="auto"/>
    </w:pPr>
    <w:rPr>
      <w:rFonts w:eastAsiaTheme="minorEastAsia"/>
      <w:kern w:val="2"/>
      <w:sz w:val="18"/>
      <w:szCs w:val="18"/>
      <w:lang w:val="en-US" w:eastAsia="zh-CN"/>
    </w:rPr>
  </w:style>
  <w:style w:type="character" w:customStyle="1" w:styleId="ZpatChar">
    <w:name w:val="Zápatí Char"/>
    <w:basedOn w:val="Standardnpsmoodstavce"/>
    <w:link w:val="Zpat"/>
    <w:rsid w:val="00C90EEE"/>
    <w:rPr>
      <w:rFonts w:eastAsiaTheme="minorEastAsia"/>
      <w:kern w:val="2"/>
      <w:sz w:val="18"/>
      <w:szCs w:val="18"/>
      <w:lang w:val="en-US" w:eastAsia="zh-CN"/>
    </w:rPr>
  </w:style>
  <w:style w:type="character" w:customStyle="1" w:styleId="Authors">
    <w:name w:val="Authors"/>
    <w:basedOn w:val="Standardnpsmoodstavce"/>
    <w:uiPriority w:val="1"/>
    <w:rsid w:val="00C90EEE"/>
    <w:rPr>
      <w:rFonts w:ascii="Times New Roman" w:eastAsia="Times New Roman" w:hAnsi="Times New Roman"/>
      <w:color w:val="000000" w:themeColor="text1"/>
      <w:sz w:val="24"/>
    </w:rPr>
  </w:style>
  <w:style w:type="character" w:customStyle="1" w:styleId="3">
    <w:name w:val="样式3"/>
    <w:basedOn w:val="Standardnpsmoodstavce"/>
    <w:uiPriority w:val="1"/>
    <w:rsid w:val="00C90EEE"/>
    <w:rPr>
      <w:rFonts w:ascii="Times New Roman" w:eastAsia="Times New Roman" w:hAnsi="Times New Roman"/>
      <w:sz w:val="24"/>
    </w:rPr>
  </w:style>
  <w:style w:type="paragraph" w:styleId="Podtitul">
    <w:name w:val="Subtitle"/>
    <w:basedOn w:val="Normln"/>
    <w:next w:val="Normln"/>
    <w:link w:val="PodtitulChar"/>
    <w:uiPriority w:val="11"/>
    <w:qFormat/>
    <w:rsid w:val="00C90EEE"/>
    <w:pPr>
      <w:widowControl w:val="0"/>
      <w:spacing w:before="240" w:after="60" w:line="312" w:lineRule="auto"/>
      <w:jc w:val="center"/>
      <w:outlineLvl w:val="1"/>
    </w:pPr>
    <w:rPr>
      <w:rFonts w:asciiTheme="majorHAnsi" w:eastAsia="SimSun" w:hAnsiTheme="majorHAnsi" w:cstheme="majorBidi"/>
      <w:b/>
      <w:bCs/>
      <w:kern w:val="28"/>
      <w:sz w:val="32"/>
      <w:szCs w:val="32"/>
      <w:lang w:val="en-US" w:eastAsia="zh-CN"/>
    </w:rPr>
  </w:style>
  <w:style w:type="character" w:customStyle="1" w:styleId="PodtitulChar">
    <w:name w:val="Podtitul Char"/>
    <w:basedOn w:val="Standardnpsmoodstavce"/>
    <w:link w:val="Podtitul"/>
    <w:uiPriority w:val="11"/>
    <w:rsid w:val="00C90EEE"/>
    <w:rPr>
      <w:rFonts w:asciiTheme="majorHAnsi" w:eastAsia="SimSun" w:hAnsiTheme="majorHAnsi" w:cstheme="majorBidi"/>
      <w:b/>
      <w:bCs/>
      <w:kern w:val="28"/>
      <w:sz w:val="32"/>
      <w:szCs w:val="32"/>
      <w:lang w:val="en-US" w:eastAsia="zh-CN"/>
    </w:rPr>
  </w:style>
  <w:style w:type="paragraph" w:customStyle="1" w:styleId="Affiliations">
    <w:name w:val="Affiliations"/>
    <w:basedOn w:val="Normln"/>
    <w:link w:val="AffiliationsChar"/>
    <w:rsid w:val="00C90EEE"/>
    <w:pPr>
      <w:widowControl w:val="0"/>
      <w:spacing w:after="0" w:line="360" w:lineRule="auto"/>
      <w:jc w:val="center"/>
    </w:pPr>
    <w:rPr>
      <w:rFonts w:ascii="Times New Roman" w:eastAsia="Times New Roman" w:hAnsi="Times New Roman"/>
      <w:kern w:val="2"/>
      <w:sz w:val="24"/>
      <w:lang w:val="en-US" w:eastAsia="zh-CN"/>
    </w:rPr>
  </w:style>
  <w:style w:type="character" w:customStyle="1" w:styleId="AffiliationsChar">
    <w:name w:val="Affiliations Char"/>
    <w:basedOn w:val="Standardnpsmoodstavce"/>
    <w:link w:val="Affiliations"/>
    <w:rsid w:val="00C90EEE"/>
    <w:rPr>
      <w:rFonts w:ascii="Times New Roman" w:eastAsia="Times New Roman" w:hAnsi="Times New Roman"/>
      <w:kern w:val="2"/>
      <w:sz w:val="24"/>
      <w:lang w:val="en-US" w:eastAsia="zh-CN"/>
    </w:rPr>
  </w:style>
  <w:style w:type="paragraph" w:styleId="Odstavecseseznamem">
    <w:name w:val="List Paragraph"/>
    <w:basedOn w:val="Normln"/>
    <w:link w:val="OdstavecseseznamemChar"/>
    <w:uiPriority w:val="34"/>
    <w:qFormat/>
    <w:rsid w:val="00C90EEE"/>
    <w:pPr>
      <w:widowControl w:val="0"/>
      <w:spacing w:after="0" w:line="240" w:lineRule="auto"/>
      <w:ind w:firstLineChars="200" w:firstLine="420"/>
      <w:jc w:val="both"/>
    </w:pPr>
    <w:rPr>
      <w:rFonts w:eastAsiaTheme="minorEastAsia"/>
      <w:kern w:val="2"/>
      <w:sz w:val="21"/>
      <w:lang w:val="en-US" w:eastAsia="zh-CN"/>
    </w:rPr>
  </w:style>
  <w:style w:type="character" w:customStyle="1" w:styleId="OdstavecseseznamemChar">
    <w:name w:val="Odstavec se seznamem Char"/>
    <w:basedOn w:val="Standardnpsmoodstavce"/>
    <w:link w:val="Odstavecseseznamem"/>
    <w:uiPriority w:val="34"/>
    <w:rsid w:val="00C90EEE"/>
    <w:rPr>
      <w:rFonts w:eastAsiaTheme="minorEastAsia"/>
      <w:kern w:val="2"/>
      <w:sz w:val="21"/>
      <w:lang w:val="en-US" w:eastAsia="zh-CN"/>
    </w:rPr>
  </w:style>
  <w:style w:type="paragraph" w:styleId="Textpoznpodarou">
    <w:name w:val="footnote text"/>
    <w:basedOn w:val="Normln"/>
    <w:link w:val="TextpoznpodarouChar"/>
    <w:uiPriority w:val="99"/>
    <w:semiHidden/>
    <w:unhideWhenUsed/>
    <w:rsid w:val="00C90EEE"/>
    <w:pPr>
      <w:widowControl w:val="0"/>
      <w:snapToGrid w:val="0"/>
      <w:spacing w:after="0" w:line="240" w:lineRule="auto"/>
    </w:pPr>
    <w:rPr>
      <w:rFonts w:eastAsiaTheme="minorEastAsia"/>
      <w:kern w:val="2"/>
      <w:sz w:val="18"/>
      <w:szCs w:val="18"/>
      <w:lang w:val="en-US" w:eastAsia="zh-CN"/>
    </w:rPr>
  </w:style>
  <w:style w:type="character" w:customStyle="1" w:styleId="TextpoznpodarouChar">
    <w:name w:val="Text pozn. pod čarou Char"/>
    <w:basedOn w:val="Standardnpsmoodstavce"/>
    <w:link w:val="Textpoznpodarou"/>
    <w:uiPriority w:val="99"/>
    <w:semiHidden/>
    <w:rsid w:val="00C90EEE"/>
    <w:rPr>
      <w:rFonts w:eastAsiaTheme="minorEastAsia"/>
      <w:kern w:val="2"/>
      <w:sz w:val="18"/>
      <w:szCs w:val="18"/>
      <w:lang w:val="en-US" w:eastAsia="zh-CN"/>
    </w:rPr>
  </w:style>
  <w:style w:type="character" w:styleId="Znakapoznpodarou">
    <w:name w:val="footnote reference"/>
    <w:basedOn w:val="Standardnpsmoodstavce"/>
    <w:uiPriority w:val="99"/>
    <w:semiHidden/>
    <w:unhideWhenUsed/>
    <w:rsid w:val="00C90EEE"/>
    <w:rPr>
      <w:vertAlign w:val="superscript"/>
    </w:rPr>
  </w:style>
  <w:style w:type="character" w:customStyle="1" w:styleId="Project">
    <w:name w:val="Project"/>
    <w:basedOn w:val="Standardnpsmoodstavce"/>
    <w:uiPriority w:val="1"/>
    <w:rsid w:val="00C90EEE"/>
    <w:rPr>
      <w:rFonts w:ascii="Times New Roman" w:hAnsi="Times New Roman"/>
      <w:sz w:val="18"/>
    </w:rPr>
  </w:style>
  <w:style w:type="character" w:customStyle="1" w:styleId="CAuthor">
    <w:name w:val="CAuthor"/>
    <w:basedOn w:val="Standardnpsmoodstavce"/>
    <w:uiPriority w:val="1"/>
    <w:rsid w:val="00C90EEE"/>
    <w:rPr>
      <w:rFonts w:ascii="Times New Roman" w:eastAsia="Times New Roman" w:hAnsi="Times New Roman"/>
      <w:sz w:val="18"/>
    </w:rPr>
  </w:style>
  <w:style w:type="paragraph" w:customStyle="1" w:styleId="Abstract">
    <w:name w:val="Abstract"/>
    <w:basedOn w:val="Odstavecseseznamem"/>
    <w:link w:val="AbstractChar"/>
    <w:rsid w:val="00C90EEE"/>
    <w:pPr>
      <w:adjustRightInd w:val="0"/>
      <w:spacing w:line="360" w:lineRule="auto"/>
      <w:ind w:firstLineChars="0" w:firstLine="0"/>
    </w:pPr>
    <w:rPr>
      <w:rFonts w:ascii="Times New Roman" w:hAnsi="Times New Roman"/>
    </w:rPr>
  </w:style>
  <w:style w:type="character" w:customStyle="1" w:styleId="AbstractChar">
    <w:name w:val="Abstract Char"/>
    <w:basedOn w:val="OdstavecseseznamemChar"/>
    <w:link w:val="Abstract"/>
    <w:rsid w:val="00C90EEE"/>
    <w:rPr>
      <w:rFonts w:ascii="Times New Roman" w:eastAsiaTheme="minorEastAsia" w:hAnsi="Times New Roman"/>
      <w:kern w:val="2"/>
      <w:sz w:val="21"/>
      <w:lang w:val="en-US" w:eastAsia="zh-CN"/>
    </w:rPr>
  </w:style>
  <w:style w:type="character" w:customStyle="1" w:styleId="10">
    <w:name w:val="样式1"/>
    <w:basedOn w:val="Standardnpsmoodstavce"/>
    <w:uiPriority w:val="1"/>
    <w:rsid w:val="00C90EEE"/>
    <w:rPr>
      <w:rFonts w:ascii="Times New Roman" w:eastAsia="Times New Roman" w:hAnsi="Times New Roman"/>
      <w:sz w:val="24"/>
    </w:rPr>
  </w:style>
  <w:style w:type="character" w:styleId="Hypertextovodkaz">
    <w:name w:val="Hyperlink"/>
    <w:basedOn w:val="Standardnpsmoodstavce"/>
    <w:uiPriority w:val="99"/>
    <w:unhideWhenUsed/>
    <w:rsid w:val="00C90EEE"/>
    <w:rPr>
      <w:color w:val="0000FF" w:themeColor="hyperlink"/>
      <w:u w:val="single"/>
    </w:rPr>
  </w:style>
  <w:style w:type="character" w:customStyle="1" w:styleId="Maintext">
    <w:name w:val="Main text"/>
    <w:basedOn w:val="Standardnpsmoodstavce"/>
    <w:uiPriority w:val="1"/>
    <w:rsid w:val="00C90EEE"/>
    <w:rPr>
      <w:rFonts w:ascii="Times New Roman" w:hAnsi="Times New Roman"/>
      <w:sz w:val="24"/>
    </w:rPr>
  </w:style>
  <w:style w:type="paragraph" w:customStyle="1" w:styleId="Heading">
    <w:name w:val="Heading"/>
    <w:basedOn w:val="Normln"/>
    <w:link w:val="HeadingChar"/>
    <w:rsid w:val="00C90EEE"/>
    <w:pPr>
      <w:widowControl w:val="0"/>
      <w:snapToGrid w:val="0"/>
      <w:spacing w:after="0" w:line="360" w:lineRule="auto"/>
      <w:ind w:firstLineChars="200" w:firstLine="200"/>
      <w:jc w:val="both"/>
    </w:pPr>
    <w:rPr>
      <w:rFonts w:ascii="Times New Roman" w:eastAsia="Times New Roman" w:hAnsi="Times New Roman"/>
      <w:b/>
      <w:kern w:val="2"/>
      <w:sz w:val="24"/>
      <w:lang w:val="en-US" w:eastAsia="zh-CN"/>
    </w:rPr>
  </w:style>
  <w:style w:type="character" w:customStyle="1" w:styleId="HeadingChar">
    <w:name w:val="Heading Char"/>
    <w:basedOn w:val="Standardnpsmoodstavce"/>
    <w:link w:val="Heading"/>
    <w:rsid w:val="00C90EEE"/>
    <w:rPr>
      <w:rFonts w:ascii="Times New Roman" w:eastAsia="Times New Roman" w:hAnsi="Times New Roman"/>
      <w:b/>
      <w:kern w:val="2"/>
      <w:sz w:val="24"/>
      <w:lang w:val="en-US" w:eastAsia="zh-CN"/>
    </w:rPr>
  </w:style>
  <w:style w:type="character" w:customStyle="1" w:styleId="TextvysvtlivekChar">
    <w:name w:val="Text vysvětlivek Char"/>
    <w:basedOn w:val="Standardnpsmoodstavce"/>
    <w:link w:val="Textvysvtlivek"/>
    <w:uiPriority w:val="99"/>
    <w:semiHidden/>
    <w:rsid w:val="00C90EEE"/>
    <w:rPr>
      <w:rFonts w:eastAsiaTheme="minorEastAsia"/>
      <w:kern w:val="2"/>
      <w:sz w:val="21"/>
      <w:lang w:val="en-US" w:eastAsia="zh-CN"/>
    </w:rPr>
  </w:style>
  <w:style w:type="paragraph" w:styleId="Textvysvtlivek">
    <w:name w:val="endnote text"/>
    <w:basedOn w:val="Normln"/>
    <w:link w:val="TextvysvtlivekChar"/>
    <w:uiPriority w:val="99"/>
    <w:semiHidden/>
    <w:unhideWhenUsed/>
    <w:rsid w:val="00C90EEE"/>
    <w:pPr>
      <w:widowControl w:val="0"/>
      <w:snapToGrid w:val="0"/>
      <w:spacing w:after="0" w:line="240" w:lineRule="auto"/>
    </w:pPr>
    <w:rPr>
      <w:rFonts w:eastAsiaTheme="minorEastAsia"/>
      <w:kern w:val="2"/>
      <w:sz w:val="21"/>
      <w:lang w:val="en-US" w:eastAsia="zh-CN"/>
    </w:rPr>
  </w:style>
  <w:style w:type="character" w:customStyle="1" w:styleId="heading2">
    <w:name w:val="heading2"/>
    <w:basedOn w:val="Standardnpsmoodstavce"/>
    <w:uiPriority w:val="1"/>
    <w:rsid w:val="00C90EEE"/>
    <w:rPr>
      <w:rFonts w:ascii="Times New Roman" w:eastAsia="Times New Roman" w:hAnsi="Times New Roman"/>
      <w:b/>
      <w:sz w:val="24"/>
    </w:rPr>
  </w:style>
  <w:style w:type="character" w:customStyle="1" w:styleId="heading3">
    <w:name w:val="heading3"/>
    <w:basedOn w:val="Standardnpsmoodstavce"/>
    <w:uiPriority w:val="1"/>
    <w:rsid w:val="00C90EEE"/>
    <w:rPr>
      <w:rFonts w:ascii="Times New Roman" w:hAnsi="Times New Roman"/>
      <w:sz w:val="24"/>
    </w:rPr>
  </w:style>
  <w:style w:type="paragraph" w:styleId="Bezmezer">
    <w:name w:val="No Spacing"/>
    <w:rsid w:val="00C90EEE"/>
    <w:pPr>
      <w:suppressAutoHyphens/>
    </w:pPr>
    <w:rPr>
      <w:rFonts w:ascii="Calibri" w:eastAsia="Calibri" w:hAnsi="Calibri" w:cs="Times New Roman"/>
    </w:rPr>
  </w:style>
  <w:style w:type="character" w:styleId="Odkaznakoment">
    <w:name w:val="annotation reference"/>
    <w:basedOn w:val="Standardnpsmoodstavce"/>
    <w:rsid w:val="00C90EEE"/>
    <w:rPr>
      <w:sz w:val="16"/>
      <w:szCs w:val="16"/>
    </w:rPr>
  </w:style>
  <w:style w:type="paragraph" w:customStyle="1" w:styleId="Rejstk">
    <w:name w:val="Rejstřík"/>
    <w:basedOn w:val="Vchoz"/>
    <w:rsid w:val="00C90EEE"/>
    <w:pPr>
      <w:suppressLineNumbers/>
    </w:pPr>
    <w:rPr>
      <w:rFonts w:cs="DejaVu Sans"/>
    </w:rPr>
  </w:style>
  <w:style w:type="character" w:customStyle="1" w:styleId="label2">
    <w:name w:val="label2"/>
    <w:basedOn w:val="Standardnpsmoodstavce"/>
    <w:rsid w:val="00C90EEE"/>
  </w:style>
  <w:style w:type="character" w:customStyle="1" w:styleId="databold">
    <w:name w:val="data_bold"/>
    <w:basedOn w:val="Standardnpsmoodstavce"/>
    <w:rsid w:val="00C90EEE"/>
  </w:style>
  <w:style w:type="character" w:customStyle="1" w:styleId="Internetovodkaz">
    <w:name w:val="Internetový odkaz"/>
    <w:basedOn w:val="Standardnpsmoodstavce"/>
    <w:rsid w:val="00C90EEE"/>
    <w:rPr>
      <w:color w:val="0000FF"/>
      <w:u w:val="single"/>
      <w:lang w:val="cs-CZ" w:eastAsia="cs-CZ" w:bidi="cs-CZ"/>
    </w:rPr>
  </w:style>
  <w:style w:type="character" w:customStyle="1" w:styleId="MathematicaFormatStandardForm">
    <w:name w:val="MathematicaFormatStandardForm"/>
    <w:rsid w:val="00C90EEE"/>
    <w:rPr>
      <w:rFonts w:ascii="Courier" w:hAnsi="Courier" w:cs="Courier"/>
    </w:rPr>
  </w:style>
  <w:style w:type="character" w:customStyle="1" w:styleId="MathematicaFormatTextForm">
    <w:name w:val="MathematicaFormatTextForm"/>
    <w:rsid w:val="00C90EEE"/>
  </w:style>
  <w:style w:type="character" w:customStyle="1" w:styleId="MathematicaSelectionTI">
    <w:name w:val="MathematicaSelectionTI"/>
    <w:rsid w:val="00C90EEE"/>
    <w:rPr>
      <w:rFonts w:ascii="Times" w:hAnsi="Times" w:cs="Times"/>
      <w:i/>
      <w:iCs/>
    </w:rPr>
  </w:style>
  <w:style w:type="character" w:styleId="slodku">
    <w:name w:val="line number"/>
    <w:basedOn w:val="Standardnpsmoodstavce"/>
    <w:rsid w:val="00C90EEE"/>
  </w:style>
  <w:style w:type="character" w:customStyle="1" w:styleId="Zdraznn1">
    <w:name w:val="Zdůraznění1"/>
    <w:basedOn w:val="Standardnpsmoodstavce"/>
    <w:rsid w:val="00C90EEE"/>
    <w:rPr>
      <w:i/>
      <w:iCs/>
      <w:position w:val="0"/>
      <w:sz w:val="24"/>
      <w:szCs w:val="24"/>
      <w:vertAlign w:val="baseline"/>
    </w:rPr>
  </w:style>
  <w:style w:type="character" w:customStyle="1" w:styleId="a-size-extra-large3">
    <w:name w:val="a-size-extra-large3"/>
    <w:basedOn w:val="Standardnpsmoodstavce"/>
    <w:rsid w:val="00C90EEE"/>
    <w:rPr>
      <w:rFonts w:ascii="Arial" w:hAnsi="Arial" w:cs="Arial"/>
    </w:rPr>
  </w:style>
  <w:style w:type="character" w:customStyle="1" w:styleId="TextkomenteChar">
    <w:name w:val="Text komentáře Char"/>
    <w:basedOn w:val="Standardnpsmoodstavce"/>
    <w:rsid w:val="00C90EEE"/>
    <w:rPr>
      <w:lang w:eastAsia="en-US"/>
    </w:rPr>
  </w:style>
  <w:style w:type="character" w:customStyle="1" w:styleId="PedmtkomenteChar">
    <w:name w:val="Předmět komentáře Char"/>
    <w:basedOn w:val="TextkomenteChar"/>
    <w:rsid w:val="00C90EEE"/>
    <w:rPr>
      <w:b/>
      <w:bCs/>
      <w:lang w:eastAsia="en-US"/>
    </w:rPr>
  </w:style>
  <w:style w:type="character" w:customStyle="1" w:styleId="ZkladntextChar">
    <w:name w:val="Základní text Char"/>
    <w:basedOn w:val="Standardnpsmoodstavce"/>
    <w:rsid w:val="00C90EEE"/>
    <w:rPr>
      <w:sz w:val="22"/>
      <w:szCs w:val="22"/>
      <w:lang w:eastAsia="en-US"/>
    </w:rPr>
  </w:style>
  <w:style w:type="character" w:customStyle="1" w:styleId="ListLabel1">
    <w:name w:val="ListLabel 1"/>
    <w:rsid w:val="00C90EEE"/>
    <w:rPr>
      <w:sz w:val="20"/>
    </w:rPr>
  </w:style>
  <w:style w:type="character" w:customStyle="1" w:styleId="apple-converted-space">
    <w:name w:val="apple-converted-space"/>
    <w:basedOn w:val="Standardnpsmoodstavce"/>
    <w:rsid w:val="00C90EEE"/>
  </w:style>
  <w:style w:type="character" w:customStyle="1" w:styleId="slovndk">
    <w:name w:val="Číslování řádků"/>
    <w:rsid w:val="00C90EEE"/>
  </w:style>
  <w:style w:type="paragraph" w:customStyle="1" w:styleId="Nadpis">
    <w:name w:val="Nadpis"/>
    <w:basedOn w:val="Vchoz"/>
    <w:next w:val="Tlotextu"/>
    <w:rsid w:val="00C90EEE"/>
    <w:pPr>
      <w:keepNext/>
      <w:spacing w:before="240" w:after="120"/>
    </w:pPr>
    <w:rPr>
      <w:rFonts w:ascii="Liberation Sans" w:eastAsia="Droid Sans Fallback" w:hAnsi="Liberation Sans" w:cs="DejaVu Sans"/>
      <w:sz w:val="28"/>
      <w:szCs w:val="28"/>
    </w:rPr>
  </w:style>
  <w:style w:type="paragraph" w:styleId="Seznam">
    <w:name w:val="List"/>
    <w:basedOn w:val="Tlotextu"/>
    <w:rsid w:val="00C90EEE"/>
    <w:rPr>
      <w:rFonts w:cs="DejaVu Sans"/>
    </w:rPr>
  </w:style>
  <w:style w:type="paragraph" w:customStyle="1" w:styleId="Popisek">
    <w:name w:val="Popisek"/>
    <w:basedOn w:val="Vchoz"/>
    <w:rsid w:val="00C90EEE"/>
    <w:pPr>
      <w:suppressLineNumbers/>
      <w:spacing w:before="120" w:after="120"/>
    </w:pPr>
    <w:rPr>
      <w:rFonts w:cs="DejaVu Sans"/>
      <w:i/>
      <w:iCs/>
      <w:sz w:val="24"/>
      <w:szCs w:val="24"/>
    </w:rPr>
  </w:style>
  <w:style w:type="paragraph" w:styleId="Textkomente">
    <w:name w:val="annotation text"/>
    <w:basedOn w:val="Vchoz"/>
    <w:link w:val="TextkomenteChar1"/>
    <w:rsid w:val="00C90EEE"/>
    <w:pPr>
      <w:spacing w:line="100" w:lineRule="atLeast"/>
    </w:pPr>
    <w:rPr>
      <w:sz w:val="20"/>
      <w:szCs w:val="20"/>
    </w:rPr>
  </w:style>
  <w:style w:type="character" w:customStyle="1" w:styleId="TextkomenteChar1">
    <w:name w:val="Text komentáře Char1"/>
    <w:basedOn w:val="Standardnpsmoodstavce"/>
    <w:link w:val="Textkomente"/>
    <w:rsid w:val="00C90EEE"/>
    <w:rPr>
      <w:rFonts w:ascii="Calibri" w:eastAsia="Calibri" w:hAnsi="Calibri" w:cs="Times New Roman"/>
      <w:sz w:val="20"/>
      <w:szCs w:val="20"/>
    </w:rPr>
  </w:style>
  <w:style w:type="paragraph" w:styleId="Pedmtkomente">
    <w:name w:val="annotation subject"/>
    <w:basedOn w:val="Textkomente"/>
    <w:link w:val="PedmtkomenteChar1"/>
    <w:rsid w:val="00C90EEE"/>
    <w:rPr>
      <w:b/>
      <w:bCs/>
    </w:rPr>
  </w:style>
  <w:style w:type="character" w:customStyle="1" w:styleId="PedmtkomenteChar1">
    <w:name w:val="Předmět komentáře Char1"/>
    <w:basedOn w:val="TextkomenteChar1"/>
    <w:link w:val="Pedmtkomente"/>
    <w:rsid w:val="00C90EEE"/>
    <w:rPr>
      <w:rFonts w:ascii="Calibri" w:eastAsia="Calibri" w:hAnsi="Calibri" w:cs="Times New Roman"/>
      <w:b/>
      <w:bCs/>
      <w:sz w:val="20"/>
      <w:szCs w:val="20"/>
    </w:rPr>
  </w:style>
  <w:style w:type="paragraph" w:customStyle="1" w:styleId="keywords">
    <w:name w:val="keywords"/>
    <w:rsid w:val="00C90EEE"/>
    <w:pPr>
      <w:suppressAutoHyphens/>
      <w:spacing w:line="260" w:lineRule="exact"/>
      <w:jc w:val="both"/>
    </w:pPr>
    <w:rPr>
      <w:rFonts w:ascii="Times New Roman" w:eastAsia="Times New Roman" w:hAnsi="Times New Roman" w:cs="Times New Roman"/>
      <w:lang w:val="en-US" w:eastAsia="ru-RU"/>
    </w:rPr>
  </w:style>
  <w:style w:type="paragraph" w:customStyle="1" w:styleId="Pedformtovantext">
    <w:name w:val="Předformátovaný text"/>
    <w:basedOn w:val="Vchoz"/>
    <w:rsid w:val="00C90EEE"/>
    <w:pPr>
      <w:tabs>
        <w:tab w:val="left" w:pos="708"/>
      </w:tabs>
      <w:spacing w:after="0"/>
    </w:pPr>
    <w:rPr>
      <w:rFonts w:ascii="DejaVu Sans Mono" w:eastAsia="Droid Sans Fallback" w:hAnsi="DejaVu Sans Mono" w:cs="DejaVu Sans Mono"/>
      <w:color w:val="00000A"/>
      <w:sz w:val="20"/>
      <w:szCs w:val="20"/>
      <w:lang w:val="en-US" w:eastAsia="zh-CN"/>
    </w:rPr>
  </w:style>
  <w:style w:type="paragraph" w:customStyle="1" w:styleId="section">
    <w:name w:val="section"/>
    <w:rsid w:val="00C90EEE"/>
    <w:pPr>
      <w:keepNext/>
      <w:keepLines/>
      <w:numPr>
        <w:numId w:val="5"/>
      </w:numPr>
      <w:suppressAutoHyphens/>
      <w:spacing w:before="240" w:after="160"/>
    </w:pPr>
    <w:rPr>
      <w:rFonts w:ascii="Times New Roman" w:eastAsia="Times New Roman" w:hAnsi="Times New Roman" w:cs="Times New Roman"/>
      <w:b/>
      <w:sz w:val="24"/>
      <w:szCs w:val="20"/>
      <w:lang w:val="en-US" w:eastAsia="ru-RU"/>
    </w:rPr>
  </w:style>
  <w:style w:type="paragraph" w:customStyle="1" w:styleId="Subsection">
    <w:name w:val="Subsection"/>
    <w:rsid w:val="00C90EEE"/>
    <w:pPr>
      <w:keepNext/>
      <w:keepLines/>
      <w:suppressAutoHyphens/>
      <w:spacing w:before="120" w:after="120"/>
      <w:ind w:left="578" w:hanging="578"/>
    </w:pPr>
    <w:rPr>
      <w:rFonts w:ascii="Times New Roman" w:eastAsia="Times New Roman" w:hAnsi="Times New Roman" w:cs="Times New Roman"/>
      <w:b/>
      <w:sz w:val="20"/>
      <w:szCs w:val="20"/>
      <w:lang w:val="en-US" w:eastAsia="ru-RU"/>
    </w:rPr>
  </w:style>
  <w:style w:type="paragraph" w:customStyle="1" w:styleId="Subsubsection">
    <w:name w:val="Subsubsection"/>
    <w:basedOn w:val="Subsection"/>
    <w:rsid w:val="00C90EEE"/>
    <w:pPr>
      <w:ind w:left="432" w:hanging="432"/>
    </w:pPr>
  </w:style>
  <w:style w:type="paragraph" w:styleId="Titulek">
    <w:name w:val="caption"/>
    <w:basedOn w:val="Normln"/>
    <w:next w:val="Normln"/>
    <w:uiPriority w:val="35"/>
    <w:unhideWhenUsed/>
    <w:qFormat/>
    <w:rsid w:val="00C90EEE"/>
    <w:pPr>
      <w:spacing w:line="240" w:lineRule="auto"/>
    </w:pPr>
    <w:rPr>
      <w:i/>
      <w:iCs/>
      <w:color w:val="1F497D" w:themeColor="text2"/>
      <w:sz w:val="18"/>
      <w:szCs w:val="18"/>
      <w:lang w:val="en-US"/>
    </w:rPr>
  </w:style>
  <w:style w:type="table" w:styleId="Mkatabulky">
    <w:name w:val="Table Grid"/>
    <w:basedOn w:val="Normlntabulka"/>
    <w:uiPriority w:val="39"/>
    <w:rsid w:val="00C90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C16D8-8F5D-477D-B822-D7870E6D6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23</Pages>
  <Words>29686</Words>
  <Characters>175148</Characters>
  <Application>Microsoft Office Word</Application>
  <DocSecurity>0</DocSecurity>
  <Lines>1459</Lines>
  <Paragraphs>408</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204426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Petr Novák, Ph.D.</dc:creator>
  <cp:lastModifiedBy>Mgr. Petr Novák, Ph.D.</cp:lastModifiedBy>
  <cp:revision>14</cp:revision>
  <cp:lastPrinted>2019-01-02T11:34:00Z</cp:lastPrinted>
  <dcterms:created xsi:type="dcterms:W3CDTF">2019-01-02T09:05:00Z</dcterms:created>
  <dcterms:modified xsi:type="dcterms:W3CDTF">2019-01-04T10:24:00Z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bd5709e5-1f19-31b5-9d01-7b334dadbe70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http://www.zotero.org/styles/journal-of-the-american-chemical-society</vt:lpwstr>
  </property>
  <property fmtid="{D5CDD505-2E9C-101B-9397-08002B2CF9AE}" pid="17" name="Mendeley Recent Style Name 6_1">
    <vt:lpwstr>Journal of the American Chemical Society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http://www.zotero.org/styles/nuclear-inst-and-methods-in-physics-research-a</vt:lpwstr>
  </property>
  <property fmtid="{D5CDD505-2E9C-101B-9397-08002B2CF9AE}" pid="21" name="Mendeley Recent Style Name 8_1">
    <vt:lpwstr>Nuclear Inst. and Methods in Physics Research, A</vt:lpwstr>
  </property>
  <property fmtid="{D5CDD505-2E9C-101B-9397-08002B2CF9AE}" pid="22" name="Mendeley Recent Style Id 9_1">
    <vt:lpwstr>http://www.zotero.org/styles/physical-chemistry-chemical-physics</vt:lpwstr>
  </property>
  <property fmtid="{D5CDD505-2E9C-101B-9397-08002B2CF9AE}" pid="23" name="Mendeley Recent Style Name 9_1">
    <vt:lpwstr>Physical Chemistry Chemical Physics</vt:lpwstr>
  </property>
  <property fmtid="{D5CDD505-2E9C-101B-9397-08002B2CF9AE}" pid="24" name="Mendeley Citation Style_1">
    <vt:lpwstr>http://www.zotero.org/styles/physical-chemistry-chemical-physics</vt:lpwstr>
  </property>
</Properties>
</file>