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92" w:rsidRDefault="00310492" w:rsidP="00310492">
      <w:pPr>
        <w:autoSpaceDE w:val="0"/>
        <w:autoSpaceDN w:val="0"/>
        <w:adjustRightInd w:val="0"/>
        <w:spacing w:after="0" w:line="360" w:lineRule="auto"/>
        <w:jc w:val="both"/>
        <w:rPr>
          <w:rFonts w:ascii="Times New Roman" w:hAnsi="Times New Roman" w:cs="Times New Roman"/>
          <w:b/>
          <w:sz w:val="24"/>
          <w:szCs w:val="24"/>
        </w:rPr>
      </w:pPr>
      <w:r w:rsidRPr="005C6A37">
        <w:rPr>
          <w:rFonts w:ascii="Times New Roman" w:hAnsi="Times New Roman" w:cs="Times New Roman"/>
          <w:b/>
          <w:sz w:val="24"/>
          <w:szCs w:val="24"/>
        </w:rPr>
        <w:t>S</w:t>
      </w:r>
      <w:r w:rsidR="004A2C36" w:rsidRPr="005C6A37">
        <w:rPr>
          <w:rFonts w:ascii="Times New Roman" w:hAnsi="Times New Roman" w:cs="Times New Roman"/>
          <w:b/>
          <w:sz w:val="24"/>
          <w:szCs w:val="24"/>
        </w:rPr>
        <w:t>cientific paper</w:t>
      </w:r>
    </w:p>
    <w:p w:rsidR="00A300A1" w:rsidRDefault="00A300A1" w:rsidP="00310492">
      <w:pPr>
        <w:autoSpaceDE w:val="0"/>
        <w:autoSpaceDN w:val="0"/>
        <w:adjustRightInd w:val="0"/>
        <w:spacing w:after="0" w:line="360" w:lineRule="auto"/>
        <w:jc w:val="both"/>
        <w:rPr>
          <w:rFonts w:ascii="Times New Roman" w:hAnsi="Times New Roman" w:cs="Times New Roman"/>
          <w:b/>
          <w:sz w:val="24"/>
          <w:szCs w:val="24"/>
        </w:rPr>
      </w:pPr>
    </w:p>
    <w:p w:rsidR="00D82E5F" w:rsidRDefault="00310492" w:rsidP="00310492">
      <w:pPr>
        <w:autoSpaceDE w:val="0"/>
        <w:autoSpaceDN w:val="0"/>
        <w:adjustRightInd w:val="0"/>
        <w:spacing w:after="0"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Isocratic high performance liquid chromatography assay for quantification of ceftiofur hydrochloride in buffalo plasma</w:t>
      </w:r>
      <w:r w:rsidR="002066C9" w:rsidRPr="00310492">
        <w:rPr>
          <w:rFonts w:ascii="Times New Roman" w:hAnsi="Times New Roman" w:cs="Times New Roman"/>
          <w:b/>
          <w:sz w:val="24"/>
          <w:szCs w:val="24"/>
        </w:rPr>
        <w:t> </w:t>
      </w:r>
    </w:p>
    <w:p w:rsidR="00A300A1" w:rsidRDefault="00A300A1" w:rsidP="00310492">
      <w:pPr>
        <w:autoSpaceDE w:val="0"/>
        <w:autoSpaceDN w:val="0"/>
        <w:adjustRightInd w:val="0"/>
        <w:spacing w:after="0" w:line="360" w:lineRule="auto"/>
        <w:jc w:val="both"/>
        <w:rPr>
          <w:rFonts w:ascii="Times New Roman" w:hAnsi="Times New Roman" w:cs="Times New Roman"/>
          <w:sz w:val="24"/>
          <w:szCs w:val="24"/>
        </w:rPr>
      </w:pPr>
    </w:p>
    <w:p w:rsidR="004A2C36" w:rsidRPr="00310492" w:rsidRDefault="00A202DF" w:rsidP="00310492">
      <w:pPr>
        <w:autoSpaceDE w:val="0"/>
        <w:autoSpaceDN w:val="0"/>
        <w:adjustRightInd w:val="0"/>
        <w:spacing w:after="0" w:line="360" w:lineRule="auto"/>
        <w:jc w:val="both"/>
        <w:rPr>
          <w:rFonts w:ascii="Times New Roman" w:hAnsi="Times New Roman" w:cs="Times New Roman"/>
          <w:sz w:val="24"/>
          <w:szCs w:val="24"/>
          <w:vertAlign w:val="superscript"/>
        </w:rPr>
      </w:pPr>
      <w:r w:rsidRPr="00310492">
        <w:rPr>
          <w:rFonts w:ascii="Times New Roman" w:hAnsi="Times New Roman" w:cs="Times New Roman"/>
          <w:sz w:val="24"/>
          <w:szCs w:val="24"/>
        </w:rPr>
        <w:t>Muhammad Adil</w:t>
      </w:r>
      <w:r w:rsidR="00CE51E9" w:rsidRPr="00310492">
        <w:rPr>
          <w:rFonts w:ascii="Times New Roman" w:hAnsi="Times New Roman" w:cs="Times New Roman"/>
          <w:sz w:val="24"/>
          <w:szCs w:val="24"/>
          <w:vertAlign w:val="superscript"/>
        </w:rPr>
        <w:t>1</w:t>
      </w:r>
      <w:r w:rsidR="0068328B" w:rsidRPr="00310492">
        <w:rPr>
          <w:rFonts w:ascii="Times New Roman" w:hAnsi="Times New Roman" w:cs="Times New Roman"/>
          <w:sz w:val="24"/>
          <w:szCs w:val="24"/>
          <w:vertAlign w:val="superscript"/>
        </w:rPr>
        <w:t xml:space="preserve">, </w:t>
      </w:r>
      <w:r w:rsidR="00CE51E9" w:rsidRPr="00310492">
        <w:rPr>
          <w:rFonts w:ascii="Times New Roman" w:hAnsi="Times New Roman" w:cs="Times New Roman"/>
          <w:sz w:val="24"/>
          <w:szCs w:val="24"/>
          <w:vertAlign w:val="superscript"/>
        </w:rPr>
        <w:t>2</w:t>
      </w:r>
      <w:r w:rsidRPr="00310492">
        <w:rPr>
          <w:rFonts w:ascii="Times New Roman" w:hAnsi="Times New Roman" w:cs="Times New Roman"/>
          <w:sz w:val="24"/>
          <w:szCs w:val="24"/>
        </w:rPr>
        <w:t>, Muhammad Ovais Omer</w:t>
      </w:r>
      <w:r w:rsidR="00CE51E9" w:rsidRPr="00310492">
        <w:rPr>
          <w:rFonts w:ascii="Times New Roman" w:hAnsi="Times New Roman" w:cs="Times New Roman"/>
          <w:sz w:val="24"/>
          <w:szCs w:val="24"/>
          <w:vertAlign w:val="superscript"/>
        </w:rPr>
        <w:t>2</w:t>
      </w:r>
      <w:r w:rsidR="007349DF" w:rsidRPr="00310492">
        <w:rPr>
          <w:rFonts w:ascii="Times New Roman" w:hAnsi="Times New Roman" w:cs="Times New Roman"/>
          <w:sz w:val="24"/>
          <w:szCs w:val="24"/>
          <w:vertAlign w:val="superscript"/>
        </w:rPr>
        <w:t>*</w:t>
      </w:r>
      <w:r w:rsidRPr="00310492">
        <w:rPr>
          <w:rFonts w:ascii="Times New Roman" w:hAnsi="Times New Roman" w:cs="Times New Roman"/>
          <w:sz w:val="24"/>
          <w:szCs w:val="24"/>
        </w:rPr>
        <w:t>, Aqeel Javeed</w:t>
      </w:r>
      <w:r w:rsidR="00CE51E9" w:rsidRPr="00310492">
        <w:rPr>
          <w:rFonts w:ascii="Times New Roman" w:hAnsi="Times New Roman" w:cs="Times New Roman"/>
          <w:sz w:val="24"/>
          <w:szCs w:val="24"/>
          <w:vertAlign w:val="superscript"/>
        </w:rPr>
        <w:t>2</w:t>
      </w:r>
      <w:r w:rsidRPr="00310492">
        <w:rPr>
          <w:rFonts w:ascii="Times New Roman" w:hAnsi="Times New Roman" w:cs="Times New Roman"/>
          <w:sz w:val="24"/>
          <w:szCs w:val="24"/>
        </w:rPr>
        <w:t>, A</w:t>
      </w:r>
      <w:r w:rsidR="00961871" w:rsidRPr="00310492">
        <w:rPr>
          <w:rFonts w:ascii="Times New Roman" w:hAnsi="Times New Roman" w:cs="Times New Roman"/>
          <w:sz w:val="24"/>
          <w:szCs w:val="24"/>
        </w:rPr>
        <w:t>a</w:t>
      </w:r>
      <w:r w:rsidRPr="00310492">
        <w:rPr>
          <w:rFonts w:ascii="Times New Roman" w:hAnsi="Times New Roman" w:cs="Times New Roman"/>
          <w:sz w:val="24"/>
          <w:szCs w:val="24"/>
        </w:rPr>
        <w:t>mir Ghafoor</w:t>
      </w:r>
      <w:r w:rsidR="00CE51E9" w:rsidRPr="00310492">
        <w:rPr>
          <w:rFonts w:ascii="Times New Roman" w:hAnsi="Times New Roman" w:cs="Times New Roman"/>
          <w:sz w:val="24"/>
          <w:szCs w:val="24"/>
          <w:vertAlign w:val="superscript"/>
        </w:rPr>
        <w:t>3</w:t>
      </w:r>
    </w:p>
    <w:p w:rsidR="00CE51E9" w:rsidRPr="00310492" w:rsidRDefault="00CE51E9"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vertAlign w:val="superscript"/>
        </w:rPr>
        <w:t>1</w:t>
      </w:r>
      <w:r w:rsidRPr="00310492">
        <w:rPr>
          <w:rFonts w:ascii="Times New Roman" w:hAnsi="Times New Roman" w:cs="Times New Roman"/>
          <w:sz w:val="24"/>
          <w:szCs w:val="24"/>
        </w:rPr>
        <w:t>Pharm</w:t>
      </w:r>
      <w:r w:rsidR="009937A0" w:rsidRPr="00310492">
        <w:rPr>
          <w:rFonts w:ascii="Times New Roman" w:hAnsi="Times New Roman" w:cs="Times New Roman"/>
          <w:sz w:val="24"/>
          <w:szCs w:val="24"/>
        </w:rPr>
        <w:t>acology and Toxicology S</w:t>
      </w:r>
      <w:r w:rsidR="007349DF" w:rsidRPr="00310492">
        <w:rPr>
          <w:rFonts w:ascii="Times New Roman" w:hAnsi="Times New Roman" w:cs="Times New Roman"/>
          <w:sz w:val="24"/>
          <w:szCs w:val="24"/>
        </w:rPr>
        <w:t xml:space="preserve">ection, </w:t>
      </w:r>
      <w:r w:rsidRPr="00310492">
        <w:rPr>
          <w:rFonts w:ascii="Times New Roman" w:hAnsi="Times New Roman" w:cs="Times New Roman"/>
          <w:sz w:val="24"/>
          <w:szCs w:val="24"/>
        </w:rPr>
        <w:t>University of Veterinary and Animal Sciences</w:t>
      </w:r>
      <w:r w:rsidR="00F502C0" w:rsidRPr="00310492">
        <w:rPr>
          <w:rFonts w:ascii="Times New Roman" w:hAnsi="Times New Roman" w:cs="Times New Roman"/>
          <w:sz w:val="24"/>
          <w:szCs w:val="24"/>
        </w:rPr>
        <w:t xml:space="preserve"> (UVAS)</w:t>
      </w:r>
      <w:r w:rsidRPr="00310492">
        <w:rPr>
          <w:rFonts w:ascii="Times New Roman" w:hAnsi="Times New Roman" w:cs="Times New Roman"/>
          <w:sz w:val="24"/>
          <w:szCs w:val="24"/>
        </w:rPr>
        <w:t>, Lahore-Jhang Campus, Pakistan</w:t>
      </w:r>
      <w:r w:rsidR="004A2C36" w:rsidRPr="00310492">
        <w:rPr>
          <w:rFonts w:ascii="Times New Roman" w:hAnsi="Times New Roman" w:cs="Times New Roman"/>
          <w:sz w:val="24"/>
          <w:szCs w:val="24"/>
        </w:rPr>
        <w:t>.</w:t>
      </w:r>
    </w:p>
    <w:p w:rsidR="00CE51E9" w:rsidRPr="00310492" w:rsidRDefault="00CE51E9"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vertAlign w:val="superscript"/>
        </w:rPr>
        <w:t>2</w:t>
      </w:r>
      <w:r w:rsidRPr="00310492">
        <w:rPr>
          <w:rFonts w:ascii="Times New Roman" w:hAnsi="Times New Roman" w:cs="Times New Roman"/>
          <w:sz w:val="24"/>
          <w:szCs w:val="24"/>
        </w:rPr>
        <w:t>Department of Pharmacology and Toxicology, University of Veterinary and Animal Sciences</w:t>
      </w:r>
      <w:r w:rsidR="00F502C0" w:rsidRPr="00310492">
        <w:rPr>
          <w:rFonts w:ascii="Times New Roman" w:hAnsi="Times New Roman" w:cs="Times New Roman"/>
          <w:sz w:val="24"/>
          <w:szCs w:val="24"/>
        </w:rPr>
        <w:t xml:space="preserve"> (UVAS)</w:t>
      </w:r>
      <w:r w:rsidRPr="00310492">
        <w:rPr>
          <w:rFonts w:ascii="Times New Roman" w:hAnsi="Times New Roman" w:cs="Times New Roman"/>
          <w:sz w:val="24"/>
          <w:szCs w:val="24"/>
        </w:rPr>
        <w:t>, Lahore, Pakistan</w:t>
      </w:r>
      <w:r w:rsidR="004A2C36" w:rsidRPr="00310492">
        <w:rPr>
          <w:rFonts w:ascii="Times New Roman" w:hAnsi="Times New Roman" w:cs="Times New Roman"/>
          <w:sz w:val="24"/>
          <w:szCs w:val="24"/>
        </w:rPr>
        <w:t>.</w:t>
      </w:r>
    </w:p>
    <w:p w:rsidR="004A2C36" w:rsidRDefault="00CE51E9"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vertAlign w:val="superscript"/>
        </w:rPr>
        <w:t>3</w:t>
      </w:r>
      <w:r w:rsidR="00C4466F" w:rsidRPr="00310492">
        <w:rPr>
          <w:rFonts w:ascii="Times New Roman" w:hAnsi="Times New Roman" w:cs="Times New Roman"/>
          <w:sz w:val="24"/>
          <w:szCs w:val="24"/>
        </w:rPr>
        <w:t>University Diagnostic Laboratory</w:t>
      </w:r>
      <w:r w:rsidR="00F502C0" w:rsidRPr="00310492">
        <w:rPr>
          <w:rFonts w:ascii="Times New Roman" w:hAnsi="Times New Roman" w:cs="Times New Roman"/>
          <w:sz w:val="24"/>
          <w:szCs w:val="24"/>
        </w:rPr>
        <w:t xml:space="preserve"> (UDL)</w:t>
      </w:r>
      <w:r w:rsidRPr="00310492">
        <w:rPr>
          <w:rFonts w:ascii="Times New Roman" w:hAnsi="Times New Roman" w:cs="Times New Roman"/>
          <w:sz w:val="24"/>
          <w:szCs w:val="24"/>
        </w:rPr>
        <w:t>, University of Veterinary and Animal Sciences</w:t>
      </w:r>
      <w:r w:rsidR="00F502C0" w:rsidRPr="00310492">
        <w:rPr>
          <w:rFonts w:ascii="Times New Roman" w:hAnsi="Times New Roman" w:cs="Times New Roman"/>
          <w:sz w:val="24"/>
          <w:szCs w:val="24"/>
        </w:rPr>
        <w:t xml:space="preserve"> (UVAS)</w:t>
      </w:r>
      <w:r w:rsidRPr="00310492">
        <w:rPr>
          <w:rFonts w:ascii="Times New Roman" w:hAnsi="Times New Roman" w:cs="Times New Roman"/>
          <w:sz w:val="24"/>
          <w:szCs w:val="24"/>
        </w:rPr>
        <w:t>, Lahore, Pakistan</w:t>
      </w:r>
      <w:r w:rsidR="004A2C36" w:rsidRPr="00310492">
        <w:rPr>
          <w:rFonts w:ascii="Times New Roman" w:hAnsi="Times New Roman" w:cs="Times New Roman"/>
          <w:sz w:val="24"/>
          <w:szCs w:val="24"/>
        </w:rPr>
        <w:t>.</w:t>
      </w:r>
    </w:p>
    <w:p w:rsidR="00A300A1" w:rsidRPr="00310492" w:rsidRDefault="00A300A1" w:rsidP="00310492">
      <w:pPr>
        <w:autoSpaceDE w:val="0"/>
        <w:autoSpaceDN w:val="0"/>
        <w:adjustRightInd w:val="0"/>
        <w:spacing w:after="0" w:line="360" w:lineRule="auto"/>
        <w:jc w:val="both"/>
        <w:rPr>
          <w:rFonts w:ascii="Times New Roman" w:hAnsi="Times New Roman" w:cs="Times New Roman"/>
          <w:sz w:val="24"/>
          <w:szCs w:val="24"/>
        </w:rPr>
      </w:pPr>
    </w:p>
    <w:p w:rsidR="004A2C36" w:rsidRPr="00310492" w:rsidRDefault="007349DF" w:rsidP="00310492">
      <w:pPr>
        <w:autoSpaceDE w:val="0"/>
        <w:autoSpaceDN w:val="0"/>
        <w:adjustRightInd w:val="0"/>
        <w:spacing w:after="0" w:line="360" w:lineRule="auto"/>
        <w:jc w:val="both"/>
        <w:rPr>
          <w:rFonts w:ascii="Times New Roman" w:hAnsi="Times New Roman" w:cs="Times New Roman"/>
          <w:b/>
          <w:sz w:val="24"/>
          <w:szCs w:val="24"/>
        </w:rPr>
      </w:pPr>
      <w:r w:rsidRPr="00310492">
        <w:rPr>
          <w:rFonts w:ascii="Times New Roman" w:hAnsi="Times New Roman" w:cs="Times New Roman"/>
          <w:sz w:val="24"/>
          <w:szCs w:val="24"/>
          <w:vertAlign w:val="superscript"/>
        </w:rPr>
        <w:t>*</w:t>
      </w:r>
      <w:r w:rsidR="007E00A1" w:rsidRPr="00310492">
        <w:rPr>
          <w:rFonts w:ascii="Times New Roman" w:hAnsi="Times New Roman" w:cs="Times New Roman"/>
          <w:b/>
          <w:sz w:val="24"/>
          <w:szCs w:val="24"/>
        </w:rPr>
        <w:t>Correspondence</w:t>
      </w:r>
      <w:r w:rsidRPr="00310492">
        <w:rPr>
          <w:rFonts w:ascii="Times New Roman" w:hAnsi="Times New Roman" w:cs="Times New Roman"/>
          <w:b/>
          <w:sz w:val="24"/>
          <w:szCs w:val="24"/>
        </w:rPr>
        <w:t xml:space="preserve">: </w:t>
      </w:r>
    </w:p>
    <w:p w:rsidR="004A2C36" w:rsidRPr="00310492" w:rsidRDefault="007E00A1"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rPr>
        <w:t>Prof</w:t>
      </w:r>
      <w:r w:rsidR="007B6CD4" w:rsidRPr="00310492">
        <w:rPr>
          <w:rFonts w:ascii="Times New Roman" w:hAnsi="Times New Roman" w:cs="Times New Roman"/>
          <w:sz w:val="24"/>
          <w:szCs w:val="24"/>
        </w:rPr>
        <w:t>.</w:t>
      </w:r>
      <w:r w:rsidRPr="00310492">
        <w:rPr>
          <w:rFonts w:ascii="Times New Roman" w:hAnsi="Times New Roman" w:cs="Times New Roman"/>
          <w:sz w:val="24"/>
          <w:szCs w:val="24"/>
        </w:rPr>
        <w:t xml:space="preserve"> Dr. Muhammad Ovais Omer, </w:t>
      </w:r>
    </w:p>
    <w:p w:rsidR="004A2C36" w:rsidRPr="00310492" w:rsidRDefault="007E00A1"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Department of Pharmacology and Toxicology, </w:t>
      </w:r>
    </w:p>
    <w:p w:rsidR="004A2C36" w:rsidRDefault="007E00A1"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University of Veterinary and Animal Sciences, Lahore, </w:t>
      </w:r>
      <w:r w:rsidR="00310492">
        <w:rPr>
          <w:rFonts w:ascii="Times New Roman" w:hAnsi="Times New Roman" w:cs="Times New Roman"/>
          <w:sz w:val="24"/>
          <w:szCs w:val="24"/>
        </w:rPr>
        <w:t xml:space="preserve">54000, </w:t>
      </w:r>
      <w:r w:rsidRPr="00310492">
        <w:rPr>
          <w:rFonts w:ascii="Times New Roman" w:hAnsi="Times New Roman" w:cs="Times New Roman"/>
          <w:sz w:val="24"/>
          <w:szCs w:val="24"/>
        </w:rPr>
        <w:t xml:space="preserve">Pakistan. </w:t>
      </w:r>
    </w:p>
    <w:p w:rsidR="00310492" w:rsidRPr="00310492" w:rsidRDefault="00310492"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b/>
          <w:sz w:val="24"/>
          <w:szCs w:val="24"/>
        </w:rPr>
        <w:t>Contact no.</w:t>
      </w:r>
      <w:r>
        <w:rPr>
          <w:rFonts w:ascii="Times New Roman" w:hAnsi="Times New Roman" w:cs="Times New Roman"/>
          <w:sz w:val="24"/>
          <w:szCs w:val="24"/>
        </w:rPr>
        <w:t xml:space="preserve"> +923334244780</w:t>
      </w:r>
    </w:p>
    <w:p w:rsidR="00A300A1" w:rsidRPr="00A300A1" w:rsidRDefault="007E00A1"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b/>
          <w:sz w:val="24"/>
          <w:szCs w:val="24"/>
        </w:rPr>
        <w:t>E-mail:</w:t>
      </w:r>
      <w:r w:rsidRPr="00310492">
        <w:rPr>
          <w:rFonts w:ascii="Times New Roman" w:hAnsi="Times New Roman" w:cs="Times New Roman"/>
          <w:sz w:val="24"/>
          <w:szCs w:val="24"/>
        </w:rPr>
        <w:t xml:space="preserve"> </w:t>
      </w:r>
      <w:r w:rsidR="00992772" w:rsidRPr="00310492">
        <w:rPr>
          <w:rFonts w:ascii="Times New Roman" w:hAnsi="Times New Roman" w:cs="Times New Roman"/>
          <w:sz w:val="24"/>
          <w:szCs w:val="24"/>
          <w:u w:val="single"/>
        </w:rPr>
        <w:t>drovaisomer@uvas.edu.pk</w:t>
      </w:r>
    </w:p>
    <w:p w:rsidR="00A300A1" w:rsidRDefault="00A300A1" w:rsidP="00310492">
      <w:pPr>
        <w:autoSpaceDE w:val="0"/>
        <w:autoSpaceDN w:val="0"/>
        <w:adjustRightInd w:val="0"/>
        <w:spacing w:after="0" w:line="360" w:lineRule="auto"/>
        <w:jc w:val="both"/>
        <w:rPr>
          <w:rFonts w:ascii="Times New Roman" w:hAnsi="Times New Roman" w:cs="Times New Roman"/>
          <w:b/>
          <w:sz w:val="24"/>
          <w:szCs w:val="24"/>
        </w:rPr>
      </w:pPr>
    </w:p>
    <w:p w:rsidR="00D8092A" w:rsidRPr="00310492" w:rsidRDefault="00B52422" w:rsidP="00310492">
      <w:pPr>
        <w:autoSpaceDE w:val="0"/>
        <w:autoSpaceDN w:val="0"/>
        <w:adjustRightInd w:val="0"/>
        <w:spacing w:after="0"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A</w:t>
      </w:r>
      <w:r w:rsidR="00F36EF5" w:rsidRPr="00310492">
        <w:rPr>
          <w:rFonts w:ascii="Times New Roman" w:hAnsi="Times New Roman" w:cs="Times New Roman"/>
          <w:b/>
          <w:sz w:val="24"/>
          <w:szCs w:val="24"/>
        </w:rPr>
        <w:t>bstract</w:t>
      </w:r>
    </w:p>
    <w:p w:rsidR="00310492" w:rsidRDefault="00310492" w:rsidP="00310492">
      <w:pPr>
        <w:autoSpaceDE w:val="0"/>
        <w:autoSpaceDN w:val="0"/>
        <w:adjustRightInd w:val="0"/>
        <w:spacing w:after="0"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The current study aimed to optimize and validate an isocratic high-performance liquid chromatography (HPLC) assay for quantification of ceftiofur hydrochloride in water buffalo plasma.  Ceftiofur, its metabolic products and protein-bound residues were cleaved, derivatized into desfuroylceftiofur acetamide and injected into HPLC system. The mobile phase comprising of 0.3% sodium dihydrogen phosphate and acetonitrile (34:66) was delivered at a flow rate of 1 mL.min-1 and separation was achieved using C18 column.  Isocratic elution was performed with an injection volume of 45 µL and analyte was scanned at 310 nm. The limit of detection, limit of quantification and linearity range were 0.03 </w:t>
      </w:r>
      <w:r w:rsidR="005531B9">
        <w:rPr>
          <w:rFonts w:ascii="Times New Roman" w:hAnsi="Times New Roman" w:cs="Times New Roman"/>
          <w:bCs/>
          <w:sz w:val="24"/>
          <w:szCs w:val="24"/>
        </w:rPr>
        <w:t>µg/mL</w:t>
      </w:r>
      <w:r w:rsidRPr="00310492">
        <w:rPr>
          <w:rFonts w:ascii="Times New Roman" w:hAnsi="Times New Roman" w:cs="Times New Roman"/>
          <w:bCs/>
          <w:sz w:val="24"/>
          <w:szCs w:val="24"/>
        </w:rPr>
        <w:t xml:space="preserve">, 0.11 </w:t>
      </w:r>
      <w:r w:rsidR="005531B9">
        <w:rPr>
          <w:rFonts w:ascii="Times New Roman" w:hAnsi="Times New Roman" w:cs="Times New Roman"/>
          <w:bCs/>
          <w:sz w:val="24"/>
          <w:szCs w:val="24"/>
        </w:rPr>
        <w:t>µg/mL</w:t>
      </w:r>
      <w:r w:rsidRPr="00310492">
        <w:rPr>
          <w:rFonts w:ascii="Times New Roman" w:hAnsi="Times New Roman" w:cs="Times New Roman"/>
          <w:bCs/>
          <w:sz w:val="24"/>
          <w:szCs w:val="24"/>
        </w:rPr>
        <w:t xml:space="preserve"> and 0.05-10 </w:t>
      </w:r>
      <w:r w:rsidR="005531B9">
        <w:rPr>
          <w:rFonts w:ascii="Times New Roman" w:hAnsi="Times New Roman" w:cs="Times New Roman"/>
          <w:bCs/>
          <w:sz w:val="24"/>
          <w:szCs w:val="24"/>
        </w:rPr>
        <w:t>µg/mL</w:t>
      </w:r>
      <w:r w:rsidRPr="00310492">
        <w:rPr>
          <w:rFonts w:ascii="Times New Roman" w:hAnsi="Times New Roman" w:cs="Times New Roman"/>
          <w:bCs/>
          <w:sz w:val="24"/>
          <w:szCs w:val="24"/>
        </w:rPr>
        <w:t xml:space="preserve"> respectively. The accuracy and precision on within-day and between-day basis, and recovery remained within </w:t>
      </w:r>
      <w:r w:rsidRPr="00310492">
        <w:rPr>
          <w:rFonts w:ascii="Times New Roman" w:hAnsi="Times New Roman" w:cs="Times New Roman"/>
          <w:bCs/>
          <w:sz w:val="24"/>
          <w:szCs w:val="24"/>
        </w:rPr>
        <w:lastRenderedPageBreak/>
        <w:t>the acceptable ranges. The assay was effectively applied to quantity the concentration of ceftiofur in plasma samples of ceftiofur-treated buffalo calves.</w:t>
      </w:r>
    </w:p>
    <w:p w:rsidR="00A300A1" w:rsidRPr="00A300A1" w:rsidRDefault="00A300A1" w:rsidP="00A300A1">
      <w:pPr>
        <w:tabs>
          <w:tab w:val="left" w:pos="4100"/>
        </w:tabs>
        <w:spacing w:line="360" w:lineRule="auto"/>
        <w:jc w:val="both"/>
        <w:rPr>
          <w:rFonts w:ascii="Times New Roman" w:hAnsi="Times New Roman" w:cs="Times New Roman"/>
          <w:sz w:val="24"/>
          <w:szCs w:val="24"/>
        </w:rPr>
      </w:pPr>
      <w:r w:rsidRPr="00310492">
        <w:rPr>
          <w:rFonts w:ascii="Times New Roman" w:hAnsi="Times New Roman" w:cs="Times New Roman"/>
          <w:b/>
          <w:sz w:val="24"/>
          <w:szCs w:val="24"/>
        </w:rPr>
        <w:t>Key-words:</w:t>
      </w:r>
      <w:r w:rsidRPr="00310492">
        <w:rPr>
          <w:rFonts w:ascii="Times New Roman" w:hAnsi="Times New Roman" w:cs="Times New Roman"/>
          <w:sz w:val="24"/>
          <w:szCs w:val="24"/>
        </w:rPr>
        <w:t xml:space="preserve"> Ceftiofur hydrochloride, buffalo plasma, isocratic, HPLC </w:t>
      </w:r>
    </w:p>
    <w:p w:rsidR="003A17C0" w:rsidRPr="00310492" w:rsidRDefault="00B52422" w:rsidP="00310492">
      <w:pPr>
        <w:autoSpaceDE w:val="0"/>
        <w:autoSpaceDN w:val="0"/>
        <w:adjustRightInd w:val="0"/>
        <w:spacing w:after="0"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I</w:t>
      </w:r>
      <w:r w:rsidR="00F36EF5" w:rsidRPr="00310492">
        <w:rPr>
          <w:rFonts w:ascii="Times New Roman" w:hAnsi="Times New Roman" w:cs="Times New Roman"/>
          <w:b/>
          <w:sz w:val="24"/>
          <w:szCs w:val="24"/>
        </w:rPr>
        <w:t>ntroduction</w:t>
      </w:r>
    </w:p>
    <w:p w:rsidR="00F446C3" w:rsidRPr="00310492" w:rsidRDefault="009C0E3B" w:rsidP="00310492">
      <w:pPr>
        <w:autoSpaceDE w:val="0"/>
        <w:autoSpaceDN w:val="0"/>
        <w:adjustRightInd w:val="0"/>
        <w:spacing w:after="0"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Ceftiofur </w:t>
      </w:r>
      <w:r w:rsidR="000F2D00" w:rsidRPr="00310492">
        <w:rPr>
          <w:rFonts w:ascii="Times New Roman" w:hAnsi="Times New Roman" w:cs="Times New Roman"/>
          <w:sz w:val="24"/>
          <w:szCs w:val="24"/>
        </w:rPr>
        <w:t xml:space="preserve">represents a broad-spectrum, bactericidal, third generation cephalosporin antibiotic </w:t>
      </w:r>
      <w:r w:rsidR="009030FE" w:rsidRPr="00310492">
        <w:rPr>
          <w:rFonts w:ascii="Times New Roman" w:hAnsi="Times New Roman" w:cs="Times New Roman"/>
          <w:sz w:val="24"/>
          <w:szCs w:val="24"/>
        </w:rPr>
        <w:t>specifically</w:t>
      </w:r>
      <w:r w:rsidR="000F2D00" w:rsidRPr="00310492">
        <w:rPr>
          <w:rFonts w:ascii="Times New Roman" w:hAnsi="Times New Roman" w:cs="Times New Roman"/>
          <w:sz w:val="24"/>
          <w:szCs w:val="24"/>
        </w:rPr>
        <w:t xml:space="preserve"> </w:t>
      </w:r>
      <w:r w:rsidR="00231307" w:rsidRPr="00310492">
        <w:rPr>
          <w:rFonts w:ascii="Times New Roman" w:hAnsi="Times New Roman" w:cs="Times New Roman"/>
          <w:sz w:val="24"/>
          <w:szCs w:val="24"/>
        </w:rPr>
        <w:t xml:space="preserve">developed </w:t>
      </w:r>
      <w:r w:rsidR="000F2D00" w:rsidRPr="00310492">
        <w:rPr>
          <w:rFonts w:ascii="Times New Roman" w:hAnsi="Times New Roman" w:cs="Times New Roman"/>
          <w:sz w:val="24"/>
          <w:szCs w:val="24"/>
        </w:rPr>
        <w:t>for use in veterinary medicine</w:t>
      </w:r>
      <w:r w:rsidR="007E73CA" w:rsidRPr="00310492">
        <w:rPr>
          <w:rFonts w:ascii="Times New Roman" w:hAnsi="Times New Roman" w:cs="Times New Roman"/>
          <w:sz w:val="24"/>
          <w:szCs w:val="24"/>
        </w:rPr>
        <w:t>.</w:t>
      </w:r>
      <w:r w:rsidR="00F449E6">
        <w:rPr>
          <w:rFonts w:ascii="Times New Roman" w:hAnsi="Times New Roman" w:cs="Times New Roman"/>
          <w:sz w:val="24"/>
          <w:szCs w:val="24"/>
          <w:vertAlign w:val="superscript"/>
        </w:rPr>
        <w:t>1</w:t>
      </w:r>
      <w:r w:rsidR="00322681" w:rsidRPr="00310492">
        <w:rPr>
          <w:rFonts w:ascii="Times New Roman" w:hAnsi="Times New Roman" w:cs="Times New Roman"/>
          <w:sz w:val="24"/>
          <w:szCs w:val="24"/>
        </w:rPr>
        <w:t xml:space="preserve"> It is available as ceftiofur hydrochloride, ceftiofur sodium and ceftiofur crystalline-free acid suspension. </w:t>
      </w:r>
      <w:r w:rsidR="00C76B97" w:rsidRPr="00310492">
        <w:rPr>
          <w:rFonts w:ascii="Times New Roman" w:hAnsi="Times New Roman" w:cs="Times New Roman"/>
          <w:sz w:val="24"/>
          <w:szCs w:val="24"/>
        </w:rPr>
        <w:t xml:space="preserve">The molecular formula </w:t>
      </w:r>
      <w:r w:rsidR="00322681" w:rsidRPr="00310492">
        <w:rPr>
          <w:rFonts w:ascii="Times New Roman" w:hAnsi="Times New Roman" w:cs="Times New Roman"/>
          <w:sz w:val="24"/>
          <w:szCs w:val="24"/>
        </w:rPr>
        <w:t>of ceftiofur hydrochloride is C</w:t>
      </w:r>
      <w:r w:rsidR="00322681" w:rsidRPr="00310492">
        <w:rPr>
          <w:rFonts w:ascii="Times New Roman" w:hAnsi="Times New Roman" w:cs="Times New Roman"/>
          <w:sz w:val="24"/>
          <w:szCs w:val="24"/>
          <w:vertAlign w:val="subscript"/>
        </w:rPr>
        <w:t>19</w:t>
      </w:r>
      <w:r w:rsidR="00322681" w:rsidRPr="00310492">
        <w:rPr>
          <w:rFonts w:ascii="Times New Roman" w:hAnsi="Times New Roman" w:cs="Times New Roman"/>
          <w:sz w:val="24"/>
          <w:szCs w:val="24"/>
        </w:rPr>
        <w:t>H</w:t>
      </w:r>
      <w:r w:rsidR="00322681" w:rsidRPr="00310492">
        <w:rPr>
          <w:rFonts w:ascii="Times New Roman" w:hAnsi="Times New Roman" w:cs="Times New Roman"/>
          <w:sz w:val="24"/>
          <w:szCs w:val="24"/>
          <w:vertAlign w:val="subscript"/>
        </w:rPr>
        <w:t>17</w:t>
      </w:r>
      <w:r w:rsidR="00322681" w:rsidRPr="00310492">
        <w:rPr>
          <w:rFonts w:ascii="Times New Roman" w:hAnsi="Times New Roman" w:cs="Times New Roman"/>
          <w:sz w:val="24"/>
          <w:szCs w:val="24"/>
        </w:rPr>
        <w:t>N</w:t>
      </w:r>
      <w:r w:rsidR="00322681" w:rsidRPr="00310492">
        <w:rPr>
          <w:rFonts w:ascii="Times New Roman" w:hAnsi="Times New Roman" w:cs="Times New Roman"/>
          <w:sz w:val="24"/>
          <w:szCs w:val="24"/>
          <w:vertAlign w:val="subscript"/>
        </w:rPr>
        <w:t>5</w:t>
      </w:r>
      <w:r w:rsidR="00322681" w:rsidRPr="00310492">
        <w:rPr>
          <w:rFonts w:ascii="Times New Roman" w:hAnsi="Times New Roman" w:cs="Times New Roman"/>
          <w:sz w:val="24"/>
          <w:szCs w:val="24"/>
        </w:rPr>
        <w:t>O</w:t>
      </w:r>
      <w:r w:rsidR="00322681" w:rsidRPr="00310492">
        <w:rPr>
          <w:rFonts w:ascii="Times New Roman" w:hAnsi="Times New Roman" w:cs="Times New Roman"/>
          <w:sz w:val="24"/>
          <w:szCs w:val="24"/>
          <w:vertAlign w:val="subscript"/>
        </w:rPr>
        <w:t>7</w:t>
      </w:r>
      <w:r w:rsidR="00322681" w:rsidRPr="00310492">
        <w:rPr>
          <w:rFonts w:ascii="Times New Roman" w:hAnsi="Times New Roman" w:cs="Times New Roman"/>
          <w:sz w:val="24"/>
          <w:szCs w:val="24"/>
        </w:rPr>
        <w:t>S</w:t>
      </w:r>
      <w:r w:rsidR="00322681" w:rsidRPr="00310492">
        <w:rPr>
          <w:rFonts w:ascii="Times New Roman" w:hAnsi="Times New Roman" w:cs="Times New Roman"/>
          <w:sz w:val="24"/>
          <w:szCs w:val="24"/>
          <w:vertAlign w:val="subscript"/>
        </w:rPr>
        <w:t>3</w:t>
      </w:r>
      <w:r w:rsidR="00322681" w:rsidRPr="00310492">
        <w:rPr>
          <w:rFonts w:ascii="Times New Roman" w:hAnsi="Times New Roman" w:cs="Times New Roman"/>
          <w:sz w:val="24"/>
          <w:szCs w:val="24"/>
        </w:rPr>
        <w:t xml:space="preserve">•HCl and it has a molecular weight of 560.2 grams. The chemical structure of ceftiofur hydrochloride has been illustrated in </w:t>
      </w:r>
      <w:r w:rsidR="008C2AF4" w:rsidRPr="00310492">
        <w:rPr>
          <w:rFonts w:ascii="Times New Roman" w:hAnsi="Times New Roman" w:cs="Times New Roman"/>
          <w:sz w:val="24"/>
          <w:szCs w:val="24"/>
        </w:rPr>
        <w:t>F</w:t>
      </w:r>
      <w:r w:rsidR="00322681" w:rsidRPr="00310492">
        <w:rPr>
          <w:rFonts w:ascii="Times New Roman" w:hAnsi="Times New Roman" w:cs="Times New Roman"/>
          <w:sz w:val="24"/>
          <w:szCs w:val="24"/>
        </w:rPr>
        <w:t>igure 1.</w:t>
      </w:r>
      <w:r w:rsidR="0054441C" w:rsidRPr="00310492">
        <w:rPr>
          <w:rFonts w:ascii="Times New Roman" w:hAnsi="Times New Roman" w:cs="Times New Roman"/>
          <w:sz w:val="24"/>
          <w:szCs w:val="24"/>
          <w:vertAlign w:val="superscript"/>
        </w:rPr>
        <w:t>2</w:t>
      </w:r>
      <w:r w:rsidR="00322681" w:rsidRPr="00310492">
        <w:rPr>
          <w:rFonts w:ascii="Times New Roman" w:hAnsi="Times New Roman" w:cs="Times New Roman"/>
          <w:sz w:val="24"/>
          <w:szCs w:val="24"/>
          <w:vertAlign w:val="superscript"/>
        </w:rPr>
        <w:t xml:space="preserve"> </w:t>
      </w:r>
      <w:r w:rsidR="000F2D00" w:rsidRPr="00310492">
        <w:rPr>
          <w:rFonts w:ascii="Times New Roman" w:hAnsi="Times New Roman" w:cs="Times New Roman"/>
          <w:sz w:val="24"/>
          <w:szCs w:val="24"/>
        </w:rPr>
        <w:t>Many gram-positive, gram negative and anaerobic bacterial pathogens of domestic animals are susceptible to ceftiofur</w:t>
      </w:r>
      <w:r w:rsidR="006236CE"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3</w:t>
      </w:r>
      <w:r w:rsidR="000F2D00" w:rsidRPr="00310492">
        <w:rPr>
          <w:rFonts w:ascii="Times New Roman" w:hAnsi="Times New Roman" w:cs="Times New Roman"/>
          <w:sz w:val="24"/>
          <w:szCs w:val="24"/>
        </w:rPr>
        <w:t xml:space="preserve"> </w:t>
      </w:r>
      <w:r w:rsidR="00294D8A" w:rsidRPr="00310492">
        <w:rPr>
          <w:rFonts w:ascii="Times New Roman" w:hAnsi="Times New Roman" w:cs="Times New Roman"/>
          <w:sz w:val="24"/>
          <w:szCs w:val="24"/>
        </w:rPr>
        <w:t xml:space="preserve">The </w:t>
      </w:r>
      <w:r w:rsidR="00294D8A" w:rsidRPr="00310492">
        <w:rPr>
          <w:rFonts w:ascii="Times New Roman" w:hAnsi="Times New Roman" w:cs="Times New Roman"/>
          <w:iCs/>
          <w:sz w:val="24"/>
          <w:szCs w:val="24"/>
        </w:rPr>
        <w:t xml:space="preserve">ready-to-use, </w:t>
      </w:r>
      <w:r w:rsidR="00294D8A" w:rsidRPr="00310492">
        <w:rPr>
          <w:rFonts w:ascii="Times New Roman" w:hAnsi="Times New Roman" w:cs="Times New Roman"/>
          <w:sz w:val="24"/>
          <w:szCs w:val="24"/>
        </w:rPr>
        <w:t xml:space="preserve">parenteral formulation of ceftiofur hydrochloride is predominantly used against the bacterial respiratory disease </w:t>
      </w:r>
      <w:r w:rsidR="00420AA5" w:rsidRPr="00310492">
        <w:rPr>
          <w:rFonts w:ascii="Times New Roman" w:hAnsi="Times New Roman" w:cs="Times New Roman"/>
          <w:sz w:val="24"/>
          <w:szCs w:val="24"/>
        </w:rPr>
        <w:t>in cattle and pigs</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4</w:t>
      </w:r>
      <w:r w:rsidR="006236CE" w:rsidRPr="00310492">
        <w:rPr>
          <w:rFonts w:ascii="Times New Roman" w:hAnsi="Times New Roman" w:cs="Times New Roman"/>
          <w:sz w:val="24"/>
          <w:szCs w:val="24"/>
        </w:rPr>
        <w:t xml:space="preserve"> </w:t>
      </w:r>
      <w:r w:rsidR="001226F0" w:rsidRPr="00310492">
        <w:rPr>
          <w:rFonts w:ascii="Times New Roman" w:hAnsi="Times New Roman" w:cs="Times New Roman"/>
          <w:sz w:val="24"/>
          <w:szCs w:val="24"/>
        </w:rPr>
        <w:t xml:space="preserve">Additionally, it is also approved for </w:t>
      </w:r>
      <w:r w:rsidR="00C74C4D" w:rsidRPr="00310492">
        <w:rPr>
          <w:rFonts w:ascii="Times New Roman" w:hAnsi="Times New Roman" w:cs="Times New Roman"/>
          <w:sz w:val="24"/>
          <w:szCs w:val="24"/>
        </w:rPr>
        <w:t xml:space="preserve">the </w:t>
      </w:r>
      <w:r w:rsidR="00420AA5" w:rsidRPr="00310492">
        <w:rPr>
          <w:rFonts w:ascii="Times New Roman" w:hAnsi="Times New Roman" w:cs="Times New Roman"/>
          <w:sz w:val="24"/>
          <w:szCs w:val="24"/>
        </w:rPr>
        <w:t>treatment of acute foot rot</w:t>
      </w:r>
      <w:r w:rsidR="00C74C4D" w:rsidRPr="00310492">
        <w:rPr>
          <w:rFonts w:ascii="Times New Roman" w:hAnsi="Times New Roman" w:cs="Times New Roman"/>
          <w:sz w:val="24"/>
          <w:szCs w:val="24"/>
        </w:rPr>
        <w:t xml:space="preserve"> and</w:t>
      </w:r>
      <w:r w:rsidR="001226F0" w:rsidRPr="00310492">
        <w:rPr>
          <w:rFonts w:ascii="Times New Roman" w:hAnsi="Times New Roman" w:cs="Times New Roman"/>
          <w:sz w:val="24"/>
          <w:szCs w:val="24"/>
        </w:rPr>
        <w:t xml:space="preserve"> </w:t>
      </w:r>
      <w:r w:rsidR="00420AA5" w:rsidRPr="00310492">
        <w:rPr>
          <w:rFonts w:ascii="Times New Roman" w:hAnsi="Times New Roman" w:cs="Times New Roman"/>
          <w:sz w:val="24"/>
          <w:szCs w:val="24"/>
        </w:rPr>
        <w:t xml:space="preserve">postpartum </w:t>
      </w:r>
      <w:r w:rsidR="00C74C4D" w:rsidRPr="00310492">
        <w:rPr>
          <w:rFonts w:ascii="Times New Roman" w:hAnsi="Times New Roman" w:cs="Times New Roman"/>
          <w:sz w:val="24"/>
          <w:szCs w:val="24"/>
        </w:rPr>
        <w:t xml:space="preserve">metritis </w:t>
      </w:r>
      <w:r w:rsidR="001226F0" w:rsidRPr="00310492">
        <w:rPr>
          <w:rFonts w:ascii="Times New Roman" w:hAnsi="Times New Roman" w:cs="Times New Roman"/>
          <w:sz w:val="24"/>
          <w:szCs w:val="24"/>
        </w:rPr>
        <w:t>in cattle</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5</w:t>
      </w:r>
      <w:r w:rsidR="006236CE" w:rsidRPr="00310492">
        <w:rPr>
          <w:rFonts w:ascii="Times New Roman" w:hAnsi="Times New Roman" w:cs="Times New Roman"/>
          <w:sz w:val="24"/>
          <w:szCs w:val="24"/>
          <w:vertAlign w:val="superscript"/>
        </w:rPr>
        <w:t xml:space="preserve"> </w:t>
      </w:r>
      <w:r w:rsidR="000D6BB1" w:rsidRPr="00310492">
        <w:rPr>
          <w:rFonts w:ascii="Times New Roman" w:hAnsi="Times New Roman" w:cs="Times New Roman"/>
          <w:bCs/>
          <w:sz w:val="24"/>
          <w:szCs w:val="24"/>
        </w:rPr>
        <w:t>Desfuroylceftiofur</w:t>
      </w:r>
      <w:r w:rsidR="00A56C8F" w:rsidRPr="00310492">
        <w:rPr>
          <w:rFonts w:ascii="Times New Roman" w:hAnsi="Times New Roman" w:cs="Times New Roman"/>
          <w:bCs/>
          <w:sz w:val="24"/>
          <w:szCs w:val="24"/>
        </w:rPr>
        <w:t xml:space="preserve"> c</w:t>
      </w:r>
      <w:r w:rsidR="009C566F" w:rsidRPr="00310492">
        <w:rPr>
          <w:rFonts w:ascii="Times New Roman" w:hAnsi="Times New Roman" w:cs="Times New Roman"/>
          <w:bCs/>
          <w:sz w:val="24"/>
          <w:szCs w:val="24"/>
        </w:rPr>
        <w:t>onstitutes the primary metabolite</w:t>
      </w:r>
      <w:r w:rsidR="00A56C8F" w:rsidRPr="00310492">
        <w:rPr>
          <w:rFonts w:ascii="Times New Roman" w:hAnsi="Times New Roman" w:cs="Times New Roman"/>
          <w:bCs/>
          <w:sz w:val="24"/>
          <w:szCs w:val="24"/>
        </w:rPr>
        <w:t xml:space="preserve"> of ceftiofur with proven antimicrobial activity</w:t>
      </w:r>
      <w:r w:rsidR="007E73CA" w:rsidRPr="00310492">
        <w:rPr>
          <w:rFonts w:ascii="Times New Roman" w:hAnsi="Times New Roman" w:cs="Times New Roman"/>
          <w:bCs/>
          <w:sz w:val="24"/>
          <w:szCs w:val="24"/>
        </w:rPr>
        <w:t>.</w:t>
      </w:r>
      <w:r w:rsidR="00670E65" w:rsidRPr="00310492">
        <w:rPr>
          <w:rFonts w:ascii="Times New Roman" w:hAnsi="Times New Roman" w:cs="Times New Roman"/>
          <w:bCs/>
          <w:sz w:val="24"/>
          <w:szCs w:val="24"/>
          <w:vertAlign w:val="superscript"/>
        </w:rPr>
        <w:t>6</w:t>
      </w:r>
      <w:r w:rsidR="006236CE" w:rsidRPr="00310492">
        <w:rPr>
          <w:rFonts w:ascii="Times New Roman" w:hAnsi="Times New Roman" w:cs="Times New Roman"/>
          <w:bCs/>
          <w:sz w:val="24"/>
          <w:szCs w:val="24"/>
        </w:rPr>
        <w:t xml:space="preserve"> </w:t>
      </w:r>
      <w:r w:rsidR="00FE5335" w:rsidRPr="00310492">
        <w:rPr>
          <w:rFonts w:ascii="Times New Roman" w:hAnsi="Times New Roman" w:cs="Times New Roman"/>
          <w:sz w:val="24"/>
          <w:szCs w:val="24"/>
        </w:rPr>
        <w:t xml:space="preserve">The </w:t>
      </w:r>
      <w:r w:rsidR="00A31D3D" w:rsidRPr="00310492">
        <w:rPr>
          <w:rFonts w:ascii="Times New Roman" w:hAnsi="Times New Roman" w:cs="Times New Roman"/>
          <w:sz w:val="24"/>
          <w:szCs w:val="24"/>
        </w:rPr>
        <w:t xml:space="preserve">most </w:t>
      </w:r>
      <w:r w:rsidR="0078773F" w:rsidRPr="00310492">
        <w:rPr>
          <w:rFonts w:ascii="Times New Roman" w:hAnsi="Times New Roman" w:cs="Times New Roman"/>
          <w:sz w:val="24"/>
          <w:szCs w:val="24"/>
        </w:rPr>
        <w:t xml:space="preserve">primitive </w:t>
      </w:r>
      <w:r w:rsidR="00A31D3D" w:rsidRPr="00310492">
        <w:rPr>
          <w:rFonts w:ascii="Times New Roman" w:hAnsi="Times New Roman" w:cs="Times New Roman"/>
          <w:sz w:val="24"/>
          <w:szCs w:val="24"/>
        </w:rPr>
        <w:t xml:space="preserve">analytical </w:t>
      </w:r>
      <w:r w:rsidR="0078773F" w:rsidRPr="00310492">
        <w:rPr>
          <w:rFonts w:ascii="Times New Roman" w:hAnsi="Times New Roman" w:cs="Times New Roman"/>
          <w:sz w:val="24"/>
          <w:szCs w:val="24"/>
        </w:rPr>
        <w:t>assay</w:t>
      </w:r>
      <w:r w:rsidR="00A31D3D" w:rsidRPr="00310492">
        <w:rPr>
          <w:rFonts w:ascii="Times New Roman" w:hAnsi="Times New Roman" w:cs="Times New Roman"/>
          <w:sz w:val="24"/>
          <w:szCs w:val="24"/>
        </w:rPr>
        <w:t xml:space="preserve"> </w:t>
      </w:r>
      <w:r w:rsidR="009030FE" w:rsidRPr="00310492">
        <w:rPr>
          <w:rFonts w:ascii="Times New Roman" w:hAnsi="Times New Roman" w:cs="Times New Roman"/>
          <w:sz w:val="24"/>
          <w:szCs w:val="24"/>
        </w:rPr>
        <w:t xml:space="preserve">for estimation of ceftiofur </w:t>
      </w:r>
      <w:r w:rsidR="00C4466F" w:rsidRPr="00310492">
        <w:rPr>
          <w:rFonts w:ascii="Times New Roman" w:hAnsi="Times New Roman" w:cs="Times New Roman"/>
          <w:sz w:val="24"/>
          <w:szCs w:val="24"/>
        </w:rPr>
        <w:t xml:space="preserve">in biological fluids </w:t>
      </w:r>
      <w:r w:rsidR="008C2AF4" w:rsidRPr="00310492">
        <w:rPr>
          <w:rFonts w:ascii="Times New Roman" w:hAnsi="Times New Roman" w:cs="Times New Roman"/>
          <w:sz w:val="24"/>
          <w:szCs w:val="24"/>
        </w:rPr>
        <w:t>involved</w:t>
      </w:r>
      <w:r w:rsidR="00A31D3D" w:rsidRPr="00310492">
        <w:rPr>
          <w:rFonts w:ascii="Times New Roman" w:hAnsi="Times New Roman" w:cs="Times New Roman"/>
          <w:sz w:val="24"/>
          <w:szCs w:val="24"/>
        </w:rPr>
        <w:t xml:space="preserve"> the derivatization of </w:t>
      </w:r>
      <w:r w:rsidR="009030FE" w:rsidRPr="00310492">
        <w:rPr>
          <w:rFonts w:ascii="Times New Roman" w:hAnsi="Times New Roman" w:cs="Times New Roman"/>
          <w:sz w:val="24"/>
          <w:szCs w:val="24"/>
        </w:rPr>
        <w:t xml:space="preserve">parent drug </w:t>
      </w:r>
      <w:r w:rsidR="00A31D3D" w:rsidRPr="00310492">
        <w:rPr>
          <w:rFonts w:ascii="Times New Roman" w:hAnsi="Times New Roman" w:cs="Times New Roman"/>
          <w:sz w:val="24"/>
          <w:szCs w:val="24"/>
        </w:rPr>
        <w:t>and resultant metabolites followed by a time-consuming, solid-phase extraction process</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7</w:t>
      </w:r>
      <w:r w:rsidR="006236CE" w:rsidRPr="00310492">
        <w:rPr>
          <w:rFonts w:ascii="Times New Roman" w:hAnsi="Times New Roman" w:cs="Times New Roman"/>
          <w:sz w:val="24"/>
          <w:szCs w:val="24"/>
          <w:vertAlign w:val="superscript"/>
        </w:rPr>
        <w:t xml:space="preserve">, </w:t>
      </w:r>
      <w:r w:rsidR="00670E65" w:rsidRPr="00310492">
        <w:rPr>
          <w:rFonts w:ascii="Times New Roman" w:hAnsi="Times New Roman" w:cs="Times New Roman"/>
          <w:sz w:val="24"/>
          <w:szCs w:val="24"/>
          <w:vertAlign w:val="superscript"/>
        </w:rPr>
        <w:t>8</w:t>
      </w:r>
      <w:r w:rsidR="006236CE" w:rsidRPr="00310492">
        <w:rPr>
          <w:rFonts w:ascii="Times New Roman" w:hAnsi="Times New Roman" w:cs="Times New Roman"/>
          <w:sz w:val="24"/>
          <w:szCs w:val="24"/>
        </w:rPr>
        <w:t xml:space="preserve"> </w:t>
      </w:r>
      <w:r w:rsidR="009030FE" w:rsidRPr="00310492">
        <w:rPr>
          <w:rFonts w:ascii="Times New Roman" w:hAnsi="Times New Roman" w:cs="Times New Roman"/>
          <w:sz w:val="24"/>
          <w:szCs w:val="24"/>
        </w:rPr>
        <w:t>Furthermore</w:t>
      </w:r>
      <w:r w:rsidR="0071155B" w:rsidRPr="00310492">
        <w:rPr>
          <w:rFonts w:ascii="Times New Roman" w:hAnsi="Times New Roman" w:cs="Times New Roman"/>
          <w:sz w:val="24"/>
          <w:szCs w:val="24"/>
        </w:rPr>
        <w:t xml:space="preserve">, the </w:t>
      </w:r>
      <w:r w:rsidR="00734041" w:rsidRPr="00310492">
        <w:rPr>
          <w:rFonts w:ascii="Times New Roman" w:hAnsi="Times New Roman" w:cs="Times New Roman"/>
          <w:sz w:val="24"/>
          <w:szCs w:val="24"/>
        </w:rPr>
        <w:t>suggested</w:t>
      </w:r>
      <w:r w:rsidR="00A31D3D" w:rsidRPr="00310492">
        <w:rPr>
          <w:rFonts w:ascii="Times New Roman" w:hAnsi="Times New Roman" w:cs="Times New Roman"/>
          <w:sz w:val="24"/>
          <w:szCs w:val="24"/>
        </w:rPr>
        <w:t xml:space="preserve"> alternative method </w:t>
      </w:r>
      <w:r w:rsidR="0071155B" w:rsidRPr="00310492">
        <w:rPr>
          <w:rFonts w:ascii="Times New Roman" w:hAnsi="Times New Roman" w:cs="Times New Roman"/>
          <w:sz w:val="24"/>
          <w:szCs w:val="24"/>
        </w:rPr>
        <w:t xml:space="preserve">was only applicable for </w:t>
      </w:r>
      <w:r w:rsidR="00C4466F" w:rsidRPr="00310492">
        <w:rPr>
          <w:rFonts w:ascii="Times New Roman" w:hAnsi="Times New Roman" w:cs="Times New Roman"/>
          <w:sz w:val="24"/>
          <w:szCs w:val="24"/>
        </w:rPr>
        <w:t>quantitative assessment</w:t>
      </w:r>
      <w:r w:rsidR="00FE5335" w:rsidRPr="00310492">
        <w:rPr>
          <w:rFonts w:ascii="Times New Roman" w:hAnsi="Times New Roman" w:cs="Times New Roman"/>
          <w:sz w:val="24"/>
          <w:szCs w:val="24"/>
        </w:rPr>
        <w:t xml:space="preserve"> of </w:t>
      </w:r>
      <w:r w:rsidR="00231307" w:rsidRPr="00310492">
        <w:rPr>
          <w:rFonts w:ascii="Times New Roman" w:hAnsi="Times New Roman" w:cs="Times New Roman"/>
          <w:sz w:val="24"/>
          <w:szCs w:val="24"/>
        </w:rPr>
        <w:t xml:space="preserve">parent </w:t>
      </w:r>
      <w:r w:rsidR="00A31D3D" w:rsidRPr="00310492">
        <w:rPr>
          <w:rFonts w:ascii="Times New Roman" w:hAnsi="Times New Roman" w:cs="Times New Roman"/>
          <w:sz w:val="24"/>
          <w:szCs w:val="24"/>
        </w:rPr>
        <w:t>drug</w:t>
      </w:r>
      <w:r w:rsidR="00FE5335" w:rsidRPr="00310492">
        <w:rPr>
          <w:rFonts w:ascii="Times New Roman" w:hAnsi="Times New Roman" w:cs="Times New Roman"/>
          <w:sz w:val="24"/>
          <w:szCs w:val="24"/>
        </w:rPr>
        <w:t xml:space="preserve"> without </w:t>
      </w:r>
      <w:r w:rsidR="00231307" w:rsidRPr="00310492">
        <w:rPr>
          <w:rFonts w:ascii="Times New Roman" w:hAnsi="Times New Roman" w:cs="Times New Roman"/>
          <w:sz w:val="24"/>
          <w:szCs w:val="24"/>
        </w:rPr>
        <w:t>determining the concentration of microbiologically active metabolic compounds</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9</w:t>
      </w:r>
      <w:r w:rsidR="00AB3A34" w:rsidRPr="00310492">
        <w:rPr>
          <w:rFonts w:ascii="Times New Roman" w:hAnsi="Times New Roman" w:cs="Times New Roman"/>
          <w:sz w:val="24"/>
          <w:szCs w:val="24"/>
        </w:rPr>
        <w:t xml:space="preserve"> </w:t>
      </w:r>
      <w:r w:rsidR="00CD0313" w:rsidRPr="00310492">
        <w:rPr>
          <w:rFonts w:ascii="Times New Roman" w:hAnsi="Times New Roman" w:cs="Times New Roman"/>
          <w:sz w:val="24"/>
          <w:szCs w:val="24"/>
        </w:rPr>
        <w:t xml:space="preserve">Subsequent modification of the conventional </w:t>
      </w:r>
      <w:r w:rsidR="00091703" w:rsidRPr="00310492">
        <w:rPr>
          <w:rFonts w:ascii="Times New Roman" w:hAnsi="Times New Roman" w:cs="Times New Roman"/>
          <w:sz w:val="24"/>
          <w:szCs w:val="24"/>
        </w:rPr>
        <w:t>analytical</w:t>
      </w:r>
      <w:r w:rsidR="00CD0313" w:rsidRPr="00310492">
        <w:rPr>
          <w:rFonts w:ascii="Times New Roman" w:hAnsi="Times New Roman" w:cs="Times New Roman"/>
          <w:sz w:val="24"/>
          <w:szCs w:val="24"/>
        </w:rPr>
        <w:t xml:space="preserve"> method </w:t>
      </w:r>
      <w:r w:rsidR="00091703" w:rsidRPr="00310492">
        <w:rPr>
          <w:rFonts w:ascii="Times New Roman" w:hAnsi="Times New Roman" w:cs="Times New Roman"/>
          <w:sz w:val="24"/>
          <w:szCs w:val="24"/>
        </w:rPr>
        <w:t>led to simplified assay</w:t>
      </w:r>
      <w:r w:rsidR="004261C5" w:rsidRPr="00310492">
        <w:rPr>
          <w:rFonts w:ascii="Times New Roman" w:hAnsi="Times New Roman" w:cs="Times New Roman"/>
          <w:sz w:val="24"/>
          <w:szCs w:val="24"/>
        </w:rPr>
        <w:t>s</w:t>
      </w:r>
      <w:r w:rsidR="00091703" w:rsidRPr="00310492">
        <w:rPr>
          <w:rFonts w:ascii="Times New Roman" w:hAnsi="Times New Roman" w:cs="Times New Roman"/>
          <w:sz w:val="24"/>
          <w:szCs w:val="24"/>
        </w:rPr>
        <w:t xml:space="preserve"> involving the direct HPLC injection of derivatized sample without solid-phase extraction clean-up</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10</w:t>
      </w:r>
      <w:r w:rsidR="006236CE"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1</w:t>
      </w:r>
      <w:r w:rsidR="006236CE" w:rsidRPr="00310492">
        <w:rPr>
          <w:rFonts w:ascii="Times New Roman" w:hAnsi="Times New Roman" w:cs="Times New Roman"/>
          <w:sz w:val="24"/>
          <w:szCs w:val="24"/>
        </w:rPr>
        <w:t xml:space="preserve"> </w:t>
      </w:r>
      <w:r w:rsidR="003A3CD5" w:rsidRPr="00310492">
        <w:rPr>
          <w:rFonts w:ascii="Times New Roman" w:hAnsi="Times New Roman" w:cs="Times New Roman"/>
          <w:sz w:val="24"/>
          <w:szCs w:val="24"/>
        </w:rPr>
        <w:t xml:space="preserve">Nevertheless, </w:t>
      </w:r>
      <w:r w:rsidR="005E2993" w:rsidRPr="00310492">
        <w:rPr>
          <w:rFonts w:ascii="Times New Roman" w:hAnsi="Times New Roman" w:cs="Times New Roman"/>
          <w:sz w:val="24"/>
          <w:szCs w:val="24"/>
        </w:rPr>
        <w:t>there is scarcity of literature data regarding the isocratic</w:t>
      </w:r>
      <w:r w:rsidR="00AC6FD6" w:rsidRPr="00310492">
        <w:rPr>
          <w:rFonts w:ascii="Times New Roman" w:hAnsi="Times New Roman" w:cs="Times New Roman"/>
          <w:sz w:val="24"/>
          <w:szCs w:val="24"/>
        </w:rPr>
        <w:t>,</w:t>
      </w:r>
      <w:r w:rsidR="005E2993" w:rsidRPr="00310492">
        <w:rPr>
          <w:rFonts w:ascii="Times New Roman" w:hAnsi="Times New Roman" w:cs="Times New Roman"/>
          <w:sz w:val="24"/>
          <w:szCs w:val="24"/>
        </w:rPr>
        <w:t xml:space="preserve"> HPLC-based analysis of ceftiofur in b</w:t>
      </w:r>
      <w:r w:rsidR="00307B97" w:rsidRPr="00310492">
        <w:rPr>
          <w:rFonts w:ascii="Times New Roman" w:hAnsi="Times New Roman" w:cs="Times New Roman"/>
          <w:sz w:val="24"/>
          <w:szCs w:val="24"/>
        </w:rPr>
        <w:t>uffalo</w:t>
      </w:r>
      <w:r w:rsidR="005E2993" w:rsidRPr="00310492">
        <w:rPr>
          <w:rFonts w:ascii="Times New Roman" w:hAnsi="Times New Roman" w:cs="Times New Roman"/>
          <w:sz w:val="24"/>
          <w:szCs w:val="24"/>
        </w:rPr>
        <w:t xml:space="preserve"> plasma</w:t>
      </w:r>
      <w:r w:rsidR="00BB2427" w:rsidRPr="00310492">
        <w:rPr>
          <w:rFonts w:ascii="Times New Roman" w:hAnsi="Times New Roman" w:cs="Times New Roman"/>
          <w:sz w:val="24"/>
          <w:szCs w:val="24"/>
        </w:rPr>
        <w:t xml:space="preserve">. </w:t>
      </w:r>
      <w:r w:rsidR="002550F3" w:rsidRPr="00310492">
        <w:rPr>
          <w:rFonts w:ascii="Times New Roman" w:hAnsi="Times New Roman" w:cs="Times New Roman"/>
          <w:sz w:val="24"/>
          <w:szCs w:val="24"/>
        </w:rPr>
        <w:t xml:space="preserve">Consequently, </w:t>
      </w:r>
      <w:r w:rsidR="00E51594" w:rsidRPr="00310492">
        <w:rPr>
          <w:rFonts w:ascii="Times New Roman" w:hAnsi="Times New Roman" w:cs="Times New Roman"/>
          <w:sz w:val="24"/>
          <w:szCs w:val="24"/>
        </w:rPr>
        <w:t>th</w:t>
      </w:r>
      <w:r w:rsidR="004261C5" w:rsidRPr="00310492">
        <w:rPr>
          <w:rFonts w:ascii="Times New Roman" w:hAnsi="Times New Roman" w:cs="Times New Roman"/>
          <w:sz w:val="24"/>
          <w:szCs w:val="24"/>
        </w:rPr>
        <w:t xml:space="preserve">is project was devised </w:t>
      </w:r>
      <w:r w:rsidR="00E51594" w:rsidRPr="00310492">
        <w:rPr>
          <w:rFonts w:ascii="Times New Roman" w:hAnsi="Times New Roman" w:cs="Times New Roman"/>
          <w:sz w:val="24"/>
          <w:szCs w:val="24"/>
        </w:rPr>
        <w:t xml:space="preserve">to </w:t>
      </w:r>
      <w:r w:rsidR="007B1C15" w:rsidRPr="00310492">
        <w:rPr>
          <w:rFonts w:ascii="Times New Roman" w:hAnsi="Times New Roman" w:cs="Times New Roman"/>
          <w:sz w:val="24"/>
          <w:szCs w:val="24"/>
        </w:rPr>
        <w:t>optimize</w:t>
      </w:r>
      <w:r w:rsidR="00E51594" w:rsidRPr="00310492">
        <w:rPr>
          <w:rFonts w:ascii="Times New Roman" w:hAnsi="Times New Roman" w:cs="Times New Roman"/>
          <w:sz w:val="24"/>
          <w:szCs w:val="24"/>
        </w:rPr>
        <w:t xml:space="preserve"> and validate an isocratic, HPLC assay </w:t>
      </w:r>
      <w:r w:rsidR="00AB3A34" w:rsidRPr="00310492">
        <w:rPr>
          <w:rFonts w:ascii="Times New Roman" w:hAnsi="Times New Roman" w:cs="Times New Roman"/>
          <w:sz w:val="24"/>
          <w:szCs w:val="24"/>
        </w:rPr>
        <w:t xml:space="preserve">for quantification of ceftiofur hydrochloride in </w:t>
      </w:r>
      <w:r w:rsidR="00307B97" w:rsidRPr="00310492">
        <w:rPr>
          <w:rFonts w:ascii="Times New Roman" w:hAnsi="Times New Roman" w:cs="Times New Roman"/>
          <w:sz w:val="24"/>
          <w:szCs w:val="24"/>
        </w:rPr>
        <w:t>water buffalo</w:t>
      </w:r>
      <w:r w:rsidR="00AB3A34" w:rsidRPr="00310492">
        <w:rPr>
          <w:rFonts w:ascii="Times New Roman" w:hAnsi="Times New Roman" w:cs="Times New Roman"/>
          <w:sz w:val="24"/>
          <w:szCs w:val="24"/>
        </w:rPr>
        <w:t xml:space="preserve"> plasma.</w:t>
      </w:r>
    </w:p>
    <w:p w:rsidR="000179CE" w:rsidRPr="00310492" w:rsidRDefault="00A300A1" w:rsidP="000179CE">
      <w:pPr>
        <w:tabs>
          <w:tab w:val="left" w:pos="1450"/>
          <w:tab w:val="center" w:pos="4680"/>
        </w:tabs>
        <w:spacing w:after="0" w:line="480" w:lineRule="atLeast"/>
        <w:textAlignment w:val="center"/>
        <w:outlineLvl w:val="1"/>
        <w:rPr>
          <w:rFonts w:ascii="Times New Roman" w:hAnsi="Times New Roman" w:cs="Times New Roman"/>
          <w:b/>
          <w:sz w:val="24"/>
          <w:szCs w:val="24"/>
        </w:rPr>
      </w:pPr>
      <w:r w:rsidRPr="00310492">
        <w:rPr>
          <w:rFonts w:ascii="Times New Roman" w:hAnsi="Times New Roman" w:cs="Times New Roman"/>
          <w:noProof/>
          <w:sz w:val="24"/>
          <w:szCs w:val="24"/>
        </w:rPr>
        <w:drawing>
          <wp:anchor distT="0" distB="0" distL="114300" distR="114300" simplePos="0" relativeHeight="251659264" behindDoc="0" locked="0" layoutInCell="1" allowOverlap="1" wp14:anchorId="179C7778" wp14:editId="689FE81F">
            <wp:simplePos x="0" y="0"/>
            <wp:positionH relativeFrom="margin">
              <wp:posOffset>-7298</wp:posOffset>
            </wp:positionH>
            <wp:positionV relativeFrom="paragraph">
              <wp:posOffset>147320</wp:posOffset>
            </wp:positionV>
            <wp:extent cx="3186430" cy="1665027"/>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86430" cy="1665027"/>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rsidR="000179CE" w:rsidRPr="00310492" w:rsidRDefault="000179CE" w:rsidP="000179CE">
      <w:pPr>
        <w:tabs>
          <w:tab w:val="left" w:pos="1450"/>
          <w:tab w:val="center" w:pos="4680"/>
        </w:tabs>
        <w:spacing w:after="0" w:line="480" w:lineRule="atLeast"/>
        <w:textAlignment w:val="center"/>
        <w:outlineLvl w:val="1"/>
        <w:rPr>
          <w:rFonts w:ascii="Times New Roman" w:hAnsi="Times New Roman" w:cs="Times New Roman"/>
          <w:b/>
          <w:sz w:val="24"/>
          <w:szCs w:val="24"/>
        </w:rPr>
      </w:pPr>
    </w:p>
    <w:p w:rsidR="000179CE" w:rsidRPr="00310492" w:rsidRDefault="000179CE" w:rsidP="000179CE">
      <w:pPr>
        <w:tabs>
          <w:tab w:val="left" w:pos="1450"/>
          <w:tab w:val="center" w:pos="4680"/>
        </w:tabs>
        <w:spacing w:after="0" w:line="480" w:lineRule="atLeast"/>
        <w:textAlignment w:val="center"/>
        <w:outlineLvl w:val="1"/>
        <w:rPr>
          <w:rFonts w:ascii="Times New Roman" w:hAnsi="Times New Roman" w:cs="Times New Roman"/>
          <w:b/>
          <w:sz w:val="24"/>
          <w:szCs w:val="24"/>
        </w:rPr>
      </w:pPr>
    </w:p>
    <w:p w:rsidR="000179CE" w:rsidRPr="00310492" w:rsidRDefault="000179CE" w:rsidP="000179CE">
      <w:pPr>
        <w:tabs>
          <w:tab w:val="left" w:pos="1450"/>
          <w:tab w:val="center" w:pos="4680"/>
        </w:tabs>
        <w:spacing w:after="0" w:line="480" w:lineRule="atLeast"/>
        <w:textAlignment w:val="center"/>
        <w:outlineLvl w:val="1"/>
        <w:rPr>
          <w:rFonts w:ascii="Times New Roman" w:hAnsi="Times New Roman" w:cs="Times New Roman"/>
          <w:b/>
          <w:sz w:val="24"/>
          <w:szCs w:val="24"/>
        </w:rPr>
      </w:pPr>
    </w:p>
    <w:p w:rsidR="000179CE" w:rsidRPr="00310492" w:rsidRDefault="000179CE" w:rsidP="000179CE">
      <w:pPr>
        <w:tabs>
          <w:tab w:val="left" w:pos="1450"/>
          <w:tab w:val="center" w:pos="4680"/>
        </w:tabs>
        <w:spacing w:after="0" w:line="480" w:lineRule="atLeast"/>
        <w:textAlignment w:val="center"/>
        <w:outlineLvl w:val="1"/>
        <w:rPr>
          <w:rFonts w:ascii="Times New Roman" w:hAnsi="Times New Roman" w:cs="Times New Roman"/>
          <w:b/>
          <w:sz w:val="24"/>
          <w:szCs w:val="24"/>
        </w:rPr>
      </w:pPr>
    </w:p>
    <w:p w:rsidR="0070185C" w:rsidRDefault="0070185C" w:rsidP="00A300A1">
      <w:pPr>
        <w:tabs>
          <w:tab w:val="left" w:pos="1450"/>
          <w:tab w:val="center" w:pos="4680"/>
        </w:tabs>
        <w:spacing w:after="0" w:line="360" w:lineRule="auto"/>
        <w:textAlignment w:val="center"/>
        <w:outlineLvl w:val="1"/>
        <w:rPr>
          <w:rFonts w:ascii="Times New Roman" w:hAnsi="Times New Roman" w:cs="Times New Roman"/>
          <w:b/>
          <w:sz w:val="24"/>
          <w:szCs w:val="24"/>
        </w:rPr>
      </w:pPr>
    </w:p>
    <w:p w:rsidR="0070185C" w:rsidRDefault="0070185C" w:rsidP="00A300A1">
      <w:pPr>
        <w:tabs>
          <w:tab w:val="left" w:pos="1450"/>
          <w:tab w:val="center" w:pos="4680"/>
        </w:tabs>
        <w:spacing w:after="0" w:line="360" w:lineRule="auto"/>
        <w:textAlignment w:val="center"/>
        <w:outlineLvl w:val="1"/>
        <w:rPr>
          <w:rFonts w:ascii="Times New Roman" w:hAnsi="Times New Roman" w:cs="Times New Roman"/>
          <w:b/>
          <w:sz w:val="24"/>
          <w:szCs w:val="24"/>
        </w:rPr>
      </w:pPr>
    </w:p>
    <w:p w:rsidR="000179CE" w:rsidRPr="00D166DB" w:rsidRDefault="000179CE" w:rsidP="00A300A1">
      <w:pPr>
        <w:tabs>
          <w:tab w:val="left" w:pos="1450"/>
          <w:tab w:val="center" w:pos="4680"/>
        </w:tabs>
        <w:spacing w:after="0" w:line="360" w:lineRule="auto"/>
        <w:textAlignment w:val="center"/>
        <w:outlineLvl w:val="1"/>
        <w:rPr>
          <w:rFonts w:ascii="Arial" w:hAnsi="Arial" w:cs="Arial"/>
          <w:sz w:val="16"/>
          <w:szCs w:val="16"/>
        </w:rPr>
      </w:pPr>
      <w:r w:rsidRPr="00D166DB">
        <w:rPr>
          <w:rFonts w:ascii="Arial" w:hAnsi="Arial" w:cs="Arial"/>
          <w:b/>
          <w:sz w:val="16"/>
          <w:szCs w:val="16"/>
        </w:rPr>
        <w:lastRenderedPageBreak/>
        <w:t>Figure 1.</w:t>
      </w:r>
      <w:r w:rsidRPr="00D166DB">
        <w:rPr>
          <w:rFonts w:ascii="Arial" w:hAnsi="Arial" w:cs="Arial"/>
          <w:sz w:val="16"/>
          <w:szCs w:val="16"/>
        </w:rPr>
        <w:t xml:space="preserve"> Chemical structure of ceftiofur hydrochloride (modified from Palur </w:t>
      </w:r>
      <w:r w:rsidRPr="00D166DB">
        <w:rPr>
          <w:rFonts w:ascii="Arial" w:hAnsi="Arial" w:cs="Arial"/>
          <w:i/>
          <w:sz w:val="16"/>
          <w:szCs w:val="16"/>
        </w:rPr>
        <w:t>et al</w:t>
      </w:r>
      <w:r w:rsidRPr="00D166DB">
        <w:rPr>
          <w:rFonts w:ascii="Arial" w:hAnsi="Arial" w:cs="Arial"/>
          <w:sz w:val="16"/>
          <w:szCs w:val="16"/>
          <w:vertAlign w:val="superscript"/>
        </w:rPr>
        <w:t>.</w:t>
      </w:r>
      <w:r w:rsidR="00D82E5F">
        <w:rPr>
          <w:rFonts w:ascii="Arial" w:hAnsi="Arial" w:cs="Arial"/>
          <w:sz w:val="16"/>
          <w:szCs w:val="16"/>
          <w:vertAlign w:val="superscript"/>
        </w:rPr>
        <w:t>2</w:t>
      </w:r>
      <w:r w:rsidRPr="00D166DB">
        <w:rPr>
          <w:rFonts w:ascii="Arial" w:hAnsi="Arial" w:cs="Arial"/>
          <w:sz w:val="16"/>
          <w:szCs w:val="16"/>
          <w:vertAlign w:val="superscript"/>
        </w:rPr>
        <w:t xml:space="preserve"> </w:t>
      </w:r>
      <w:r w:rsidRPr="00D166DB">
        <w:rPr>
          <w:rFonts w:ascii="Arial" w:hAnsi="Arial" w:cs="Arial"/>
          <w:sz w:val="16"/>
          <w:szCs w:val="16"/>
        </w:rPr>
        <w:t>)</w:t>
      </w:r>
    </w:p>
    <w:p w:rsidR="00C44E14" w:rsidRPr="00310492" w:rsidRDefault="00D14512" w:rsidP="00A300A1">
      <w:pPr>
        <w:spacing w:after="0" w:line="360" w:lineRule="auto"/>
        <w:rPr>
          <w:rFonts w:ascii="Times New Roman" w:hAnsi="Times New Roman" w:cs="Times New Roman"/>
          <w:b/>
          <w:sz w:val="24"/>
          <w:szCs w:val="24"/>
        </w:rPr>
      </w:pPr>
      <w:r w:rsidRPr="00310492">
        <w:rPr>
          <w:rFonts w:ascii="Times New Roman" w:hAnsi="Times New Roman" w:cs="Times New Roman"/>
          <w:b/>
          <w:sz w:val="24"/>
          <w:szCs w:val="24"/>
        </w:rPr>
        <w:t>E</w:t>
      </w:r>
      <w:r w:rsidR="00F36EF5" w:rsidRPr="00310492">
        <w:rPr>
          <w:rFonts w:ascii="Times New Roman" w:hAnsi="Times New Roman" w:cs="Times New Roman"/>
          <w:b/>
          <w:sz w:val="24"/>
          <w:szCs w:val="24"/>
        </w:rPr>
        <w:t>xperimental</w:t>
      </w:r>
    </w:p>
    <w:p w:rsidR="003D7549" w:rsidRPr="00310492" w:rsidRDefault="003D7549" w:rsidP="00310492">
      <w:pPr>
        <w:spacing w:after="0" w:line="360" w:lineRule="auto"/>
        <w:rPr>
          <w:rFonts w:ascii="Times New Roman" w:hAnsi="Times New Roman" w:cs="Times New Roman"/>
          <w:b/>
          <w:sz w:val="24"/>
          <w:szCs w:val="24"/>
        </w:rPr>
      </w:pPr>
      <w:r w:rsidRPr="00310492">
        <w:rPr>
          <w:rFonts w:ascii="Times New Roman" w:hAnsi="Times New Roman" w:cs="Times New Roman"/>
          <w:b/>
          <w:sz w:val="24"/>
          <w:szCs w:val="24"/>
        </w:rPr>
        <w:t>Reference standard and chemicals</w:t>
      </w:r>
    </w:p>
    <w:p w:rsidR="003A17C0" w:rsidRPr="00310492" w:rsidRDefault="00961004" w:rsidP="00310492">
      <w:pPr>
        <w:spacing w:line="360" w:lineRule="auto"/>
        <w:jc w:val="both"/>
        <w:rPr>
          <w:rFonts w:ascii="Times New Roman" w:hAnsi="Times New Roman" w:cs="Times New Roman"/>
          <w:bCs/>
          <w:sz w:val="24"/>
          <w:szCs w:val="24"/>
        </w:rPr>
      </w:pPr>
      <w:r w:rsidRPr="00310492">
        <w:rPr>
          <w:rFonts w:ascii="Times New Roman" w:hAnsi="Times New Roman" w:cs="Times New Roman"/>
          <w:sz w:val="24"/>
          <w:szCs w:val="24"/>
        </w:rPr>
        <w:t xml:space="preserve">The </w:t>
      </w:r>
      <w:r w:rsidR="00E45A0C" w:rsidRPr="00310492">
        <w:rPr>
          <w:rFonts w:ascii="Times New Roman" w:hAnsi="Times New Roman" w:cs="Times New Roman"/>
          <w:sz w:val="24"/>
          <w:szCs w:val="24"/>
        </w:rPr>
        <w:t xml:space="preserve">analytical </w:t>
      </w:r>
      <w:r w:rsidRPr="00310492">
        <w:rPr>
          <w:rFonts w:ascii="Times New Roman" w:hAnsi="Times New Roman" w:cs="Times New Roman"/>
          <w:sz w:val="24"/>
          <w:szCs w:val="24"/>
        </w:rPr>
        <w:t>reference standard</w:t>
      </w:r>
      <w:r w:rsidR="003A17C0" w:rsidRPr="00310492">
        <w:rPr>
          <w:rFonts w:ascii="Times New Roman" w:hAnsi="Times New Roman" w:cs="Times New Roman"/>
          <w:sz w:val="24"/>
          <w:szCs w:val="24"/>
        </w:rPr>
        <w:t xml:space="preserve"> </w:t>
      </w:r>
      <w:r w:rsidR="009030FE" w:rsidRPr="00310492">
        <w:rPr>
          <w:rFonts w:ascii="Times New Roman" w:hAnsi="Times New Roman" w:cs="Times New Roman"/>
          <w:sz w:val="24"/>
          <w:szCs w:val="24"/>
        </w:rPr>
        <w:t>and</w:t>
      </w:r>
      <w:r w:rsidR="009030FE" w:rsidRPr="00310492">
        <w:rPr>
          <w:rFonts w:ascii="Times New Roman" w:hAnsi="Times New Roman" w:cs="Times New Roman"/>
          <w:bCs/>
          <w:sz w:val="24"/>
          <w:szCs w:val="24"/>
        </w:rPr>
        <w:t xml:space="preserve"> injectable formulations </w:t>
      </w:r>
      <w:r w:rsidR="003A17C0" w:rsidRPr="00310492">
        <w:rPr>
          <w:rFonts w:ascii="Times New Roman" w:hAnsi="Times New Roman" w:cs="Times New Roman"/>
          <w:sz w:val="24"/>
          <w:szCs w:val="24"/>
        </w:rPr>
        <w:t xml:space="preserve">of ceftiofur hydrochloride </w:t>
      </w:r>
      <w:r w:rsidRPr="00310492">
        <w:rPr>
          <w:rFonts w:ascii="Times New Roman" w:hAnsi="Times New Roman" w:cs="Times New Roman"/>
          <w:sz w:val="24"/>
          <w:szCs w:val="24"/>
        </w:rPr>
        <w:t>w</w:t>
      </w:r>
      <w:r w:rsidR="009030FE" w:rsidRPr="00310492">
        <w:rPr>
          <w:rFonts w:ascii="Times New Roman" w:hAnsi="Times New Roman" w:cs="Times New Roman"/>
          <w:sz w:val="24"/>
          <w:szCs w:val="24"/>
        </w:rPr>
        <w:t>ere</w:t>
      </w:r>
      <w:r w:rsidR="003A17C0" w:rsidRPr="00310492">
        <w:rPr>
          <w:rFonts w:ascii="Times New Roman" w:hAnsi="Times New Roman" w:cs="Times New Roman"/>
          <w:sz w:val="24"/>
          <w:szCs w:val="24"/>
        </w:rPr>
        <w:t xml:space="preserve"> </w:t>
      </w:r>
      <w:r w:rsidR="00876B39" w:rsidRPr="00310492">
        <w:rPr>
          <w:rFonts w:ascii="Times New Roman" w:hAnsi="Times New Roman" w:cs="Times New Roman"/>
          <w:sz w:val="24"/>
          <w:szCs w:val="24"/>
        </w:rPr>
        <w:t>generously</w:t>
      </w:r>
      <w:r w:rsidR="003A17C0" w:rsidRPr="00310492">
        <w:rPr>
          <w:rFonts w:ascii="Times New Roman" w:hAnsi="Times New Roman" w:cs="Times New Roman"/>
          <w:sz w:val="24"/>
          <w:szCs w:val="24"/>
        </w:rPr>
        <w:t xml:space="preserve"> provided by </w:t>
      </w:r>
      <w:r w:rsidR="009030FE" w:rsidRPr="00310492">
        <w:rPr>
          <w:rFonts w:ascii="Times New Roman" w:hAnsi="Times New Roman" w:cs="Times New Roman"/>
          <w:sz w:val="24"/>
          <w:szCs w:val="24"/>
        </w:rPr>
        <w:t xml:space="preserve">M/S </w:t>
      </w:r>
      <w:r w:rsidR="003A17C0" w:rsidRPr="00310492">
        <w:rPr>
          <w:rFonts w:ascii="Times New Roman" w:hAnsi="Times New Roman" w:cs="Times New Roman"/>
          <w:sz w:val="24"/>
          <w:szCs w:val="24"/>
        </w:rPr>
        <w:t>International Pharma Labs, Lahore, Pakistan</w:t>
      </w:r>
      <w:r w:rsidR="009030FE" w:rsidRPr="00310492">
        <w:rPr>
          <w:rFonts w:ascii="Times New Roman" w:hAnsi="Times New Roman" w:cs="Times New Roman"/>
          <w:sz w:val="24"/>
          <w:szCs w:val="24"/>
        </w:rPr>
        <w:t xml:space="preserve"> and M/S Nawan Laboratories (PVT) LTD., Karachi, Pakistan respectively</w:t>
      </w:r>
      <w:r w:rsidR="003A17C0" w:rsidRPr="00310492">
        <w:rPr>
          <w:rFonts w:ascii="Times New Roman" w:hAnsi="Times New Roman" w:cs="Times New Roman"/>
          <w:sz w:val="24"/>
          <w:szCs w:val="24"/>
        </w:rPr>
        <w:t xml:space="preserve">. </w:t>
      </w:r>
      <w:r w:rsidR="00876B39" w:rsidRPr="00310492">
        <w:rPr>
          <w:rFonts w:ascii="Times New Roman" w:hAnsi="Times New Roman" w:cs="Times New Roman"/>
          <w:sz w:val="24"/>
          <w:szCs w:val="24"/>
        </w:rPr>
        <w:t>D</w:t>
      </w:r>
      <w:r w:rsidR="003A17C0" w:rsidRPr="00310492">
        <w:rPr>
          <w:rFonts w:ascii="Times New Roman" w:hAnsi="Times New Roman" w:cs="Times New Roman"/>
          <w:sz w:val="24"/>
          <w:szCs w:val="24"/>
        </w:rPr>
        <w:t xml:space="preserve">ithioerythritol </w:t>
      </w:r>
      <w:r w:rsidR="00876B39" w:rsidRPr="00310492">
        <w:rPr>
          <w:rFonts w:ascii="Times New Roman" w:hAnsi="Times New Roman" w:cs="Times New Roman"/>
          <w:sz w:val="24"/>
          <w:szCs w:val="24"/>
        </w:rPr>
        <w:t xml:space="preserve">and iodoacetamide </w:t>
      </w:r>
      <w:r w:rsidR="003A17C0" w:rsidRPr="00310492">
        <w:rPr>
          <w:rFonts w:ascii="Times New Roman" w:hAnsi="Times New Roman" w:cs="Times New Roman"/>
          <w:sz w:val="24"/>
          <w:szCs w:val="24"/>
        </w:rPr>
        <w:t xml:space="preserve">were </w:t>
      </w:r>
      <w:r w:rsidR="00C56392" w:rsidRPr="00310492">
        <w:rPr>
          <w:rFonts w:ascii="Times New Roman" w:hAnsi="Times New Roman" w:cs="Times New Roman"/>
          <w:sz w:val="24"/>
          <w:szCs w:val="24"/>
        </w:rPr>
        <w:t>obtaine</w:t>
      </w:r>
      <w:r w:rsidR="003A17C0" w:rsidRPr="00310492">
        <w:rPr>
          <w:rFonts w:ascii="Times New Roman" w:hAnsi="Times New Roman" w:cs="Times New Roman"/>
          <w:sz w:val="24"/>
          <w:szCs w:val="24"/>
        </w:rPr>
        <w:t xml:space="preserve">d from Sigma-Aldrich (St. Louis, MO, USA). </w:t>
      </w:r>
      <w:r w:rsidR="005E6463" w:rsidRPr="00310492">
        <w:rPr>
          <w:rFonts w:ascii="Times New Roman" w:hAnsi="Times New Roman" w:cs="Times New Roman"/>
          <w:bCs/>
          <w:sz w:val="24"/>
          <w:szCs w:val="24"/>
        </w:rPr>
        <w:t>A</w:t>
      </w:r>
      <w:r w:rsidR="003A17C0" w:rsidRPr="00310492">
        <w:rPr>
          <w:rFonts w:ascii="Times New Roman" w:hAnsi="Times New Roman" w:cs="Times New Roman"/>
          <w:bCs/>
          <w:sz w:val="24"/>
          <w:szCs w:val="24"/>
        </w:rPr>
        <w:t>cetonitrile,</w:t>
      </w:r>
      <w:r w:rsidR="003A17C0" w:rsidRPr="00310492">
        <w:rPr>
          <w:rFonts w:ascii="Times New Roman" w:hAnsi="Times New Roman" w:cs="Times New Roman"/>
          <w:sz w:val="24"/>
          <w:szCs w:val="24"/>
        </w:rPr>
        <w:t xml:space="preserve"> </w:t>
      </w:r>
      <w:r w:rsidR="00896CE6" w:rsidRPr="00310492">
        <w:rPr>
          <w:rFonts w:ascii="Times New Roman" w:hAnsi="Times New Roman" w:cs="Times New Roman"/>
          <w:sz w:val="24"/>
          <w:szCs w:val="24"/>
        </w:rPr>
        <w:t>di</w:t>
      </w:r>
      <w:r w:rsidR="003A17C0" w:rsidRPr="00310492">
        <w:rPr>
          <w:rFonts w:ascii="Times New Roman" w:hAnsi="Times New Roman" w:cs="Times New Roman"/>
          <w:sz w:val="24"/>
          <w:szCs w:val="24"/>
        </w:rPr>
        <w:t>sodium tetraborate</w:t>
      </w:r>
      <w:r w:rsidR="00771D3C" w:rsidRPr="00310492">
        <w:rPr>
          <w:rFonts w:ascii="Times New Roman" w:hAnsi="Times New Roman" w:cs="Times New Roman"/>
          <w:sz w:val="24"/>
          <w:szCs w:val="24"/>
        </w:rPr>
        <w:t xml:space="preserve">, </w:t>
      </w:r>
      <w:r w:rsidR="00876B39" w:rsidRPr="00310492">
        <w:rPr>
          <w:rFonts w:ascii="Times New Roman" w:hAnsi="Times New Roman" w:cs="Times New Roman"/>
          <w:sz w:val="24"/>
          <w:szCs w:val="24"/>
        </w:rPr>
        <w:t xml:space="preserve">sodium </w:t>
      </w:r>
      <w:r w:rsidR="00896CE6" w:rsidRPr="00310492">
        <w:rPr>
          <w:rFonts w:ascii="Times New Roman" w:hAnsi="Times New Roman" w:cs="Times New Roman"/>
          <w:sz w:val="24"/>
          <w:szCs w:val="24"/>
        </w:rPr>
        <w:t xml:space="preserve">dihydrogen </w:t>
      </w:r>
      <w:r w:rsidR="00876B39" w:rsidRPr="00310492">
        <w:rPr>
          <w:rFonts w:ascii="Times New Roman" w:hAnsi="Times New Roman" w:cs="Times New Roman"/>
          <w:sz w:val="24"/>
          <w:szCs w:val="24"/>
        </w:rPr>
        <w:t xml:space="preserve">phosphate </w:t>
      </w:r>
      <w:r w:rsidR="00771D3C" w:rsidRPr="00310492">
        <w:rPr>
          <w:rFonts w:ascii="Times New Roman" w:hAnsi="Times New Roman" w:cs="Times New Roman"/>
          <w:sz w:val="24"/>
          <w:szCs w:val="24"/>
        </w:rPr>
        <w:t>and</w:t>
      </w:r>
      <w:r w:rsidR="00771D3C" w:rsidRPr="00310492">
        <w:rPr>
          <w:rFonts w:ascii="Times New Roman" w:hAnsi="Times New Roman" w:cs="Times New Roman"/>
          <w:bCs/>
          <w:sz w:val="24"/>
          <w:szCs w:val="24"/>
        </w:rPr>
        <w:t xml:space="preserve"> </w:t>
      </w:r>
      <w:r w:rsidR="00771D3C" w:rsidRPr="00310492">
        <w:rPr>
          <w:rFonts w:ascii="Times New Roman" w:hAnsi="Times New Roman" w:cs="Times New Roman"/>
          <w:sz w:val="24"/>
          <w:szCs w:val="24"/>
        </w:rPr>
        <w:t>sodium phosphate dibasic heptahydrate</w:t>
      </w:r>
      <w:r w:rsidR="00771D3C" w:rsidRPr="00310492">
        <w:rPr>
          <w:rFonts w:ascii="Times New Roman" w:hAnsi="Times New Roman" w:cs="Times New Roman"/>
          <w:bCs/>
          <w:sz w:val="24"/>
          <w:szCs w:val="24"/>
        </w:rPr>
        <w:t xml:space="preserve"> </w:t>
      </w:r>
      <w:r w:rsidR="003A17C0" w:rsidRPr="00310492">
        <w:rPr>
          <w:rFonts w:ascii="Times New Roman" w:hAnsi="Times New Roman" w:cs="Times New Roman"/>
          <w:bCs/>
          <w:sz w:val="24"/>
          <w:szCs w:val="24"/>
        </w:rPr>
        <w:t xml:space="preserve">were </w:t>
      </w:r>
      <w:r w:rsidR="00876B39" w:rsidRPr="00310492">
        <w:rPr>
          <w:rFonts w:ascii="Times New Roman" w:hAnsi="Times New Roman" w:cs="Times New Roman"/>
          <w:bCs/>
          <w:sz w:val="24"/>
          <w:szCs w:val="24"/>
        </w:rPr>
        <w:t>procured</w:t>
      </w:r>
      <w:r w:rsidR="003A17C0" w:rsidRPr="00310492">
        <w:rPr>
          <w:rFonts w:ascii="Times New Roman" w:hAnsi="Times New Roman" w:cs="Times New Roman"/>
          <w:bCs/>
          <w:sz w:val="24"/>
          <w:szCs w:val="24"/>
        </w:rPr>
        <w:t xml:space="preserve"> from Merck Millipore, Germany.</w:t>
      </w:r>
      <w:r w:rsidR="009030FE" w:rsidRPr="00310492">
        <w:rPr>
          <w:rFonts w:ascii="Times New Roman" w:hAnsi="Times New Roman" w:cs="Times New Roman"/>
          <w:bCs/>
          <w:sz w:val="24"/>
          <w:szCs w:val="24"/>
        </w:rPr>
        <w:t xml:space="preserve"> </w:t>
      </w:r>
    </w:p>
    <w:p w:rsidR="003A17C0" w:rsidRPr="00310492" w:rsidRDefault="003A17C0" w:rsidP="00310492">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 xml:space="preserve">Preparation of </w:t>
      </w:r>
      <w:r w:rsidR="003D7549" w:rsidRPr="00310492">
        <w:rPr>
          <w:rFonts w:ascii="Times New Roman" w:hAnsi="Times New Roman" w:cs="Times New Roman"/>
          <w:b/>
          <w:sz w:val="24"/>
          <w:szCs w:val="24"/>
        </w:rPr>
        <w:t>standard solutions, buffers and reagents</w:t>
      </w:r>
    </w:p>
    <w:p w:rsidR="003A17C0" w:rsidRPr="00310492" w:rsidRDefault="00771D3C" w:rsidP="00310492">
      <w:pPr>
        <w:spacing w:line="360" w:lineRule="auto"/>
        <w:jc w:val="both"/>
        <w:rPr>
          <w:rFonts w:ascii="Times New Roman" w:hAnsi="Times New Roman" w:cs="Times New Roman"/>
          <w:color w:val="FF0000"/>
          <w:sz w:val="24"/>
          <w:szCs w:val="24"/>
        </w:rPr>
      </w:pPr>
      <w:r w:rsidRPr="00310492">
        <w:rPr>
          <w:rFonts w:ascii="Times New Roman" w:hAnsi="Times New Roman" w:cs="Times New Roman"/>
          <w:sz w:val="24"/>
          <w:szCs w:val="24"/>
        </w:rPr>
        <w:t>The</w:t>
      </w:r>
      <w:r w:rsidR="003A17C0" w:rsidRPr="00310492">
        <w:rPr>
          <w:rFonts w:ascii="Times New Roman" w:hAnsi="Times New Roman" w:cs="Times New Roman"/>
          <w:sz w:val="24"/>
          <w:szCs w:val="24"/>
        </w:rPr>
        <w:t xml:space="preserve"> stock solution of ceftiofur </w:t>
      </w:r>
      <w:r w:rsidR="008528DE" w:rsidRPr="00310492">
        <w:rPr>
          <w:rFonts w:ascii="Times New Roman" w:hAnsi="Times New Roman" w:cs="Times New Roman"/>
          <w:sz w:val="24"/>
          <w:szCs w:val="24"/>
        </w:rPr>
        <w:t xml:space="preserve">hydrochloride </w:t>
      </w:r>
      <w:r w:rsidR="00AC6FD6" w:rsidRPr="00310492">
        <w:rPr>
          <w:rFonts w:ascii="Times New Roman" w:hAnsi="Times New Roman" w:cs="Times New Roman"/>
          <w:sz w:val="24"/>
          <w:szCs w:val="24"/>
        </w:rPr>
        <w:t xml:space="preserve">(1 </w:t>
      </w:r>
      <w:r w:rsidR="005531B9">
        <w:rPr>
          <w:rFonts w:ascii="Times New Roman" w:hAnsi="Times New Roman" w:cs="Times New Roman"/>
          <w:sz w:val="24"/>
          <w:szCs w:val="24"/>
        </w:rPr>
        <w:t>mg/</w:t>
      </w:r>
      <w:r w:rsidR="003A17C0" w:rsidRPr="00310492">
        <w:rPr>
          <w:rFonts w:ascii="Times New Roman" w:hAnsi="Times New Roman" w:cs="Times New Roman"/>
          <w:sz w:val="24"/>
          <w:szCs w:val="24"/>
        </w:rPr>
        <w:t xml:space="preserve">mL) was prepared </w:t>
      </w:r>
      <w:r w:rsidR="008528DE" w:rsidRPr="00310492">
        <w:rPr>
          <w:rFonts w:ascii="Times New Roman" w:hAnsi="Times New Roman" w:cs="Times New Roman"/>
          <w:sz w:val="24"/>
          <w:szCs w:val="24"/>
        </w:rPr>
        <w:t xml:space="preserve">in distilled water and </w:t>
      </w:r>
      <w:r w:rsidR="003A17C0" w:rsidRPr="00310492">
        <w:rPr>
          <w:rFonts w:ascii="Times New Roman" w:hAnsi="Times New Roman" w:cs="Times New Roman"/>
          <w:sz w:val="24"/>
          <w:szCs w:val="24"/>
        </w:rPr>
        <w:t xml:space="preserve">further diluted to obtain the quality control </w:t>
      </w:r>
      <w:r w:rsidR="004261C5" w:rsidRPr="00310492">
        <w:rPr>
          <w:rFonts w:ascii="Times New Roman" w:hAnsi="Times New Roman" w:cs="Times New Roman"/>
          <w:sz w:val="24"/>
          <w:szCs w:val="24"/>
        </w:rPr>
        <w:t xml:space="preserve">(QC) </w:t>
      </w:r>
      <w:r w:rsidRPr="00310492">
        <w:rPr>
          <w:rFonts w:ascii="Times New Roman" w:hAnsi="Times New Roman" w:cs="Times New Roman"/>
          <w:sz w:val="24"/>
          <w:szCs w:val="24"/>
        </w:rPr>
        <w:t xml:space="preserve">and calibration </w:t>
      </w:r>
      <w:r w:rsidR="003A17C0" w:rsidRPr="00310492">
        <w:rPr>
          <w:rFonts w:ascii="Times New Roman" w:hAnsi="Times New Roman" w:cs="Times New Roman"/>
          <w:sz w:val="24"/>
          <w:szCs w:val="24"/>
        </w:rPr>
        <w:t>standards</w:t>
      </w:r>
      <w:r w:rsidR="00E01345" w:rsidRPr="00310492">
        <w:rPr>
          <w:rFonts w:ascii="Times New Roman" w:hAnsi="Times New Roman" w:cs="Times New Roman"/>
          <w:sz w:val="24"/>
          <w:szCs w:val="24"/>
        </w:rPr>
        <w:t xml:space="preserve">. </w:t>
      </w:r>
      <w:r w:rsidR="003A17C0" w:rsidRPr="00310492">
        <w:rPr>
          <w:rFonts w:ascii="Times New Roman" w:hAnsi="Times New Roman" w:cs="Times New Roman"/>
          <w:sz w:val="24"/>
          <w:szCs w:val="24"/>
        </w:rPr>
        <w:t xml:space="preserve">The </w:t>
      </w:r>
      <w:r w:rsidR="004261C5" w:rsidRPr="00310492">
        <w:rPr>
          <w:rFonts w:ascii="Times New Roman" w:hAnsi="Times New Roman" w:cs="Times New Roman"/>
          <w:sz w:val="24"/>
          <w:szCs w:val="24"/>
        </w:rPr>
        <w:t xml:space="preserve">QC </w:t>
      </w:r>
      <w:r w:rsidRPr="00310492">
        <w:rPr>
          <w:rFonts w:ascii="Times New Roman" w:hAnsi="Times New Roman" w:cs="Times New Roman"/>
          <w:bCs/>
          <w:sz w:val="24"/>
          <w:szCs w:val="24"/>
        </w:rPr>
        <w:t xml:space="preserve">samples of low, medium and high concentrations were prepared in </w:t>
      </w:r>
      <w:r w:rsidRPr="00310492">
        <w:rPr>
          <w:rFonts w:ascii="Times New Roman" w:hAnsi="Times New Roman" w:cs="Times New Roman"/>
          <w:sz w:val="24"/>
          <w:szCs w:val="24"/>
        </w:rPr>
        <w:t>distilled water</w:t>
      </w:r>
      <w:r w:rsidRPr="00310492">
        <w:rPr>
          <w:rFonts w:ascii="Times New Roman" w:hAnsi="Times New Roman" w:cs="Times New Roman"/>
          <w:bCs/>
          <w:sz w:val="24"/>
          <w:szCs w:val="24"/>
        </w:rPr>
        <w:t xml:space="preserve"> at concentrations of 0.75, 2.5 and 12.5 </w:t>
      </w:r>
      <w:r w:rsidR="005531B9">
        <w:rPr>
          <w:rFonts w:ascii="Times New Roman" w:hAnsi="Times New Roman" w:cs="Times New Roman"/>
          <w:sz w:val="24"/>
          <w:szCs w:val="24"/>
        </w:rPr>
        <w:t>µg/mL</w:t>
      </w:r>
      <w:r w:rsidR="0072716D" w:rsidRPr="00310492">
        <w:rPr>
          <w:rFonts w:ascii="Times New Roman" w:hAnsi="Times New Roman" w:cs="Times New Roman"/>
          <w:bCs/>
          <w:sz w:val="24"/>
          <w:szCs w:val="24"/>
        </w:rPr>
        <w:t xml:space="preserve"> </w:t>
      </w:r>
      <w:r w:rsidRPr="00310492">
        <w:rPr>
          <w:rFonts w:ascii="Times New Roman" w:hAnsi="Times New Roman" w:cs="Times New Roman"/>
          <w:bCs/>
          <w:sz w:val="24"/>
          <w:szCs w:val="24"/>
        </w:rPr>
        <w:t xml:space="preserve">respectively. </w:t>
      </w:r>
      <w:r w:rsidR="00E01345" w:rsidRPr="00310492">
        <w:rPr>
          <w:rFonts w:ascii="Times New Roman" w:hAnsi="Times New Roman" w:cs="Times New Roman"/>
          <w:bCs/>
          <w:sz w:val="24"/>
          <w:szCs w:val="24"/>
        </w:rPr>
        <w:t>Whereas</w:t>
      </w:r>
      <w:r w:rsidR="003A17C0" w:rsidRPr="00310492">
        <w:rPr>
          <w:rFonts w:ascii="Times New Roman" w:hAnsi="Times New Roman" w:cs="Times New Roman"/>
          <w:bCs/>
          <w:sz w:val="24"/>
          <w:szCs w:val="24"/>
        </w:rPr>
        <w:t xml:space="preserve">, </w:t>
      </w:r>
      <w:r w:rsidRPr="00310492">
        <w:rPr>
          <w:rFonts w:ascii="Times New Roman" w:hAnsi="Times New Roman" w:cs="Times New Roman"/>
          <w:bCs/>
          <w:sz w:val="24"/>
          <w:szCs w:val="24"/>
        </w:rPr>
        <w:t xml:space="preserve">the </w:t>
      </w:r>
      <w:r w:rsidRPr="00310492">
        <w:rPr>
          <w:rFonts w:ascii="Times New Roman" w:hAnsi="Times New Roman" w:cs="Times New Roman"/>
          <w:sz w:val="24"/>
          <w:szCs w:val="24"/>
        </w:rPr>
        <w:t xml:space="preserve">calibration standards of ceftiofur </w:t>
      </w:r>
      <w:r w:rsidR="00EB2FBF" w:rsidRPr="00310492">
        <w:rPr>
          <w:rFonts w:ascii="Times New Roman" w:hAnsi="Times New Roman" w:cs="Times New Roman"/>
          <w:sz w:val="24"/>
          <w:szCs w:val="24"/>
        </w:rPr>
        <w:t xml:space="preserve">hydrochloride </w:t>
      </w:r>
      <w:r w:rsidRPr="00310492">
        <w:rPr>
          <w:rFonts w:ascii="Times New Roman" w:hAnsi="Times New Roman" w:cs="Times New Roman"/>
          <w:sz w:val="24"/>
          <w:szCs w:val="24"/>
        </w:rPr>
        <w:t xml:space="preserve">were prepared at concentrations of 0.05, 0.1, 0.15, 0.2, 0.25, 0.5, 1, 5 and 10 </w:t>
      </w:r>
      <w:r w:rsidR="005531B9">
        <w:rPr>
          <w:rFonts w:ascii="Times New Roman" w:hAnsi="Times New Roman" w:cs="Times New Roman"/>
          <w:sz w:val="24"/>
          <w:szCs w:val="24"/>
        </w:rPr>
        <w:t>µg/mL</w:t>
      </w:r>
      <w:r w:rsidR="005531B9" w:rsidRPr="00310492">
        <w:rPr>
          <w:rFonts w:ascii="Times New Roman" w:hAnsi="Times New Roman" w:cs="Times New Roman"/>
          <w:bCs/>
          <w:sz w:val="24"/>
          <w:szCs w:val="24"/>
        </w:rPr>
        <w:t xml:space="preserve"> in</w:t>
      </w:r>
      <w:r w:rsidRPr="00310492">
        <w:rPr>
          <w:rFonts w:ascii="Times New Roman" w:hAnsi="Times New Roman" w:cs="Times New Roman"/>
          <w:sz w:val="24"/>
          <w:szCs w:val="24"/>
        </w:rPr>
        <w:t xml:space="preserve"> buffalo plasma</w:t>
      </w:r>
      <w:r w:rsidRPr="00310492">
        <w:rPr>
          <w:rFonts w:ascii="Times New Roman" w:hAnsi="Times New Roman" w:cs="Times New Roman"/>
          <w:bCs/>
          <w:sz w:val="24"/>
          <w:szCs w:val="24"/>
        </w:rPr>
        <w:t>.</w:t>
      </w:r>
      <w:r w:rsidR="003A17C0" w:rsidRPr="00310492">
        <w:rPr>
          <w:rFonts w:ascii="Times New Roman" w:hAnsi="Times New Roman" w:cs="Times New Roman"/>
          <w:bCs/>
          <w:sz w:val="24"/>
          <w:szCs w:val="24"/>
        </w:rPr>
        <w:t xml:space="preserve"> </w:t>
      </w:r>
      <w:r w:rsidR="00896CE6" w:rsidRPr="00310492">
        <w:rPr>
          <w:rFonts w:ascii="Times New Roman" w:hAnsi="Times New Roman" w:cs="Times New Roman"/>
          <w:bCs/>
          <w:sz w:val="24"/>
          <w:szCs w:val="24"/>
        </w:rPr>
        <w:t xml:space="preserve">Borate buffer (0.05 M, pH 7) was prepared by dissolving 1.9 grams of disodium tetraborate in 100 mL of distilled water. Moreover, 0.14 grams of sodium dihydrogen phosphate and 0.38 grams of sodium phosphate dibasic heptahydrate were dissolved in 100 mL of distilled water to prepare the phosphate buffer (0.025 M, pH 7). </w:t>
      </w:r>
      <w:r w:rsidR="003D7549" w:rsidRPr="00310492">
        <w:rPr>
          <w:rFonts w:ascii="Times New Roman" w:hAnsi="Times New Roman" w:cs="Times New Roman"/>
          <w:bCs/>
          <w:sz w:val="24"/>
          <w:szCs w:val="24"/>
        </w:rPr>
        <w:t xml:space="preserve">The working solutions of </w:t>
      </w:r>
      <w:r w:rsidR="00C106B1" w:rsidRPr="00310492">
        <w:rPr>
          <w:rFonts w:ascii="Times New Roman" w:hAnsi="Times New Roman" w:cs="Times New Roman"/>
          <w:bCs/>
          <w:sz w:val="24"/>
          <w:szCs w:val="24"/>
        </w:rPr>
        <w:t xml:space="preserve">iodoacetamide (0.54 M) and </w:t>
      </w:r>
      <w:r w:rsidR="003D7549" w:rsidRPr="00310492">
        <w:rPr>
          <w:rFonts w:ascii="Times New Roman" w:hAnsi="Times New Roman" w:cs="Times New Roman"/>
          <w:bCs/>
          <w:sz w:val="24"/>
          <w:szCs w:val="24"/>
        </w:rPr>
        <w:t xml:space="preserve">dithioerythritol (0.66 M) were obtained by separately dissolving 1 gram each of </w:t>
      </w:r>
      <w:r w:rsidR="00C106B1" w:rsidRPr="00310492">
        <w:rPr>
          <w:rFonts w:ascii="Times New Roman" w:hAnsi="Times New Roman" w:cs="Times New Roman"/>
          <w:bCs/>
          <w:sz w:val="24"/>
          <w:szCs w:val="24"/>
        </w:rPr>
        <w:t xml:space="preserve">iodoacetamide and </w:t>
      </w:r>
      <w:r w:rsidR="003D7549" w:rsidRPr="00310492">
        <w:rPr>
          <w:rFonts w:ascii="Times New Roman" w:hAnsi="Times New Roman" w:cs="Times New Roman"/>
          <w:bCs/>
          <w:sz w:val="24"/>
          <w:szCs w:val="24"/>
        </w:rPr>
        <w:t xml:space="preserve">dithioerythritol in 10 mL of phosphate buffer </w:t>
      </w:r>
      <w:r w:rsidR="00F25971" w:rsidRPr="00310492">
        <w:rPr>
          <w:rFonts w:ascii="Times New Roman" w:hAnsi="Times New Roman" w:cs="Times New Roman"/>
          <w:bCs/>
          <w:sz w:val="24"/>
          <w:szCs w:val="24"/>
        </w:rPr>
        <w:t xml:space="preserve">and borate buffer </w:t>
      </w:r>
      <w:r w:rsidR="003D7549" w:rsidRPr="00310492">
        <w:rPr>
          <w:rFonts w:ascii="Times New Roman" w:hAnsi="Times New Roman" w:cs="Times New Roman"/>
          <w:bCs/>
          <w:sz w:val="24"/>
          <w:szCs w:val="24"/>
        </w:rPr>
        <w:t>respectively.</w:t>
      </w:r>
      <w:r w:rsidR="00E47E79" w:rsidRPr="00310492">
        <w:rPr>
          <w:rFonts w:ascii="Times New Roman" w:hAnsi="Times New Roman" w:cs="Times New Roman"/>
          <w:bCs/>
          <w:sz w:val="24"/>
          <w:szCs w:val="24"/>
        </w:rPr>
        <w:t xml:space="preserve"> </w:t>
      </w:r>
    </w:p>
    <w:p w:rsidR="003A17C0" w:rsidRPr="00310492" w:rsidRDefault="00AC6FD6"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 xml:space="preserve">Synthesis </w:t>
      </w:r>
      <w:r w:rsidR="003D7549" w:rsidRPr="00310492">
        <w:rPr>
          <w:rFonts w:ascii="Times New Roman" w:hAnsi="Times New Roman" w:cs="Times New Roman"/>
          <w:b/>
          <w:bCs/>
          <w:sz w:val="24"/>
          <w:szCs w:val="24"/>
        </w:rPr>
        <w:t>and de</w:t>
      </w:r>
      <w:r w:rsidR="003A17C0" w:rsidRPr="00310492">
        <w:rPr>
          <w:rFonts w:ascii="Times New Roman" w:hAnsi="Times New Roman" w:cs="Times New Roman"/>
          <w:b/>
          <w:bCs/>
          <w:sz w:val="24"/>
          <w:szCs w:val="24"/>
        </w:rPr>
        <w:t xml:space="preserve">rivatization </w:t>
      </w:r>
      <w:r w:rsidRPr="00310492">
        <w:rPr>
          <w:rFonts w:ascii="Times New Roman" w:hAnsi="Times New Roman" w:cs="Times New Roman"/>
          <w:b/>
          <w:bCs/>
          <w:sz w:val="24"/>
          <w:szCs w:val="24"/>
        </w:rPr>
        <w:t xml:space="preserve">of desfuroylceftiofur </w:t>
      </w:r>
    </w:p>
    <w:p w:rsidR="003A17C0" w:rsidRPr="00310492" w:rsidRDefault="006326F5"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All plasma samples, calibration standards and QC samples were subjected to the following procedure for </w:t>
      </w:r>
      <w:r w:rsidR="000D6BB1" w:rsidRPr="00310492">
        <w:rPr>
          <w:rFonts w:ascii="Times New Roman" w:hAnsi="Times New Roman" w:cs="Times New Roman"/>
          <w:bCs/>
          <w:sz w:val="24"/>
          <w:szCs w:val="24"/>
        </w:rPr>
        <w:t>the production of</w:t>
      </w:r>
      <w:r w:rsidR="00AC6FD6" w:rsidRPr="00310492">
        <w:rPr>
          <w:rFonts w:ascii="Times New Roman" w:hAnsi="Times New Roman" w:cs="Times New Roman"/>
          <w:bCs/>
          <w:sz w:val="24"/>
          <w:szCs w:val="24"/>
        </w:rPr>
        <w:t xml:space="preserve"> desfuroylceftiofur</w:t>
      </w:r>
      <w:r w:rsidR="00AC6FD6" w:rsidRPr="00310492">
        <w:rPr>
          <w:rFonts w:ascii="Times New Roman" w:hAnsi="Times New Roman" w:cs="Times New Roman"/>
          <w:b/>
          <w:bCs/>
          <w:sz w:val="24"/>
          <w:szCs w:val="24"/>
        </w:rPr>
        <w:t xml:space="preserve"> </w:t>
      </w:r>
      <w:r w:rsidRPr="00310492">
        <w:rPr>
          <w:rFonts w:ascii="Times New Roman" w:hAnsi="Times New Roman" w:cs="Times New Roman"/>
          <w:bCs/>
          <w:sz w:val="24"/>
          <w:szCs w:val="24"/>
        </w:rPr>
        <w:t xml:space="preserve">and </w:t>
      </w:r>
      <w:r w:rsidR="00AC6FD6" w:rsidRPr="00310492">
        <w:rPr>
          <w:rFonts w:ascii="Times New Roman" w:hAnsi="Times New Roman" w:cs="Times New Roman"/>
          <w:bCs/>
          <w:sz w:val="24"/>
          <w:szCs w:val="24"/>
        </w:rPr>
        <w:t xml:space="preserve">subsequent </w:t>
      </w:r>
      <w:r w:rsidRPr="00310492">
        <w:rPr>
          <w:rFonts w:ascii="Times New Roman" w:hAnsi="Times New Roman" w:cs="Times New Roman"/>
          <w:bCs/>
          <w:sz w:val="24"/>
          <w:szCs w:val="24"/>
        </w:rPr>
        <w:t>derivatization</w:t>
      </w:r>
      <w:r w:rsidR="00AC6FD6" w:rsidRPr="00310492">
        <w:rPr>
          <w:rFonts w:ascii="Times New Roman" w:hAnsi="Times New Roman" w:cs="Times New Roman"/>
          <w:bCs/>
          <w:sz w:val="24"/>
          <w:szCs w:val="24"/>
        </w:rPr>
        <w:t xml:space="preserve"> into</w:t>
      </w:r>
      <w:r w:rsidR="000D6BB1" w:rsidRPr="00310492">
        <w:rPr>
          <w:rFonts w:ascii="Times New Roman" w:hAnsi="Times New Roman" w:cs="Times New Roman"/>
          <w:bCs/>
          <w:sz w:val="24"/>
          <w:szCs w:val="24"/>
        </w:rPr>
        <w:t xml:space="preserve"> desfuroylceftiofur acetamide</w:t>
      </w:r>
      <w:r w:rsidRPr="00310492">
        <w:rPr>
          <w:rFonts w:ascii="Times New Roman" w:hAnsi="Times New Roman" w:cs="Times New Roman"/>
          <w:bCs/>
          <w:sz w:val="24"/>
          <w:szCs w:val="24"/>
        </w:rPr>
        <w:t xml:space="preserve">. </w:t>
      </w:r>
      <w:r w:rsidR="00CF3C46" w:rsidRPr="00310492">
        <w:rPr>
          <w:rFonts w:ascii="Times New Roman" w:hAnsi="Times New Roman" w:cs="Times New Roman"/>
          <w:bCs/>
          <w:sz w:val="24"/>
          <w:szCs w:val="24"/>
        </w:rPr>
        <w:t>In brief</w:t>
      </w:r>
      <w:r w:rsidR="003A17C0" w:rsidRPr="00310492">
        <w:rPr>
          <w:rFonts w:ascii="Times New Roman" w:hAnsi="Times New Roman" w:cs="Times New Roman"/>
          <w:bCs/>
          <w:sz w:val="24"/>
          <w:szCs w:val="24"/>
        </w:rPr>
        <w:t xml:space="preserve">, </w:t>
      </w:r>
      <w:r w:rsidR="00CF3C46" w:rsidRPr="00310492">
        <w:rPr>
          <w:rFonts w:ascii="Times New Roman" w:hAnsi="Times New Roman" w:cs="Times New Roman"/>
          <w:bCs/>
          <w:sz w:val="24"/>
          <w:szCs w:val="24"/>
        </w:rPr>
        <w:t xml:space="preserve">each sample was </w:t>
      </w:r>
      <w:r w:rsidR="0050137C" w:rsidRPr="00310492">
        <w:rPr>
          <w:rFonts w:ascii="Times New Roman" w:hAnsi="Times New Roman" w:cs="Times New Roman"/>
          <w:bCs/>
          <w:sz w:val="24"/>
          <w:szCs w:val="24"/>
        </w:rPr>
        <w:t xml:space="preserve">transferred into a 2 mL microcentrifuge tube and </w:t>
      </w:r>
      <w:r w:rsidR="003A17C0" w:rsidRPr="00310492">
        <w:rPr>
          <w:rFonts w:ascii="Times New Roman" w:hAnsi="Times New Roman" w:cs="Times New Roman"/>
          <w:bCs/>
          <w:sz w:val="24"/>
          <w:szCs w:val="24"/>
        </w:rPr>
        <w:t>200 μ</w:t>
      </w:r>
      <w:r w:rsidR="00CF3C46" w:rsidRPr="00310492">
        <w:rPr>
          <w:rFonts w:ascii="Times New Roman" w:hAnsi="Times New Roman" w:cs="Times New Roman"/>
          <w:bCs/>
          <w:sz w:val="24"/>
          <w:szCs w:val="24"/>
        </w:rPr>
        <w:t>L</w:t>
      </w:r>
      <w:r w:rsidR="003A17C0" w:rsidRPr="00310492">
        <w:rPr>
          <w:rFonts w:ascii="Times New Roman" w:hAnsi="Times New Roman" w:cs="Times New Roman"/>
          <w:bCs/>
          <w:sz w:val="24"/>
          <w:szCs w:val="24"/>
        </w:rPr>
        <w:t xml:space="preserve"> of methanol</w:t>
      </w:r>
      <w:r w:rsidR="0050137C" w:rsidRPr="00310492">
        <w:rPr>
          <w:rFonts w:ascii="Times New Roman" w:hAnsi="Times New Roman" w:cs="Times New Roman"/>
          <w:bCs/>
          <w:sz w:val="24"/>
          <w:szCs w:val="24"/>
        </w:rPr>
        <w:t xml:space="preserve"> was added. The samples were</w:t>
      </w:r>
      <w:r w:rsidR="003A17C0" w:rsidRPr="00310492">
        <w:rPr>
          <w:rFonts w:ascii="Times New Roman" w:hAnsi="Times New Roman" w:cs="Times New Roman"/>
          <w:bCs/>
          <w:sz w:val="24"/>
          <w:szCs w:val="24"/>
        </w:rPr>
        <w:t xml:space="preserve"> vortexed for 30 seconds and centrifuged </w:t>
      </w:r>
      <w:r w:rsidR="0050137C" w:rsidRPr="00310492">
        <w:rPr>
          <w:rFonts w:ascii="Times New Roman" w:hAnsi="Times New Roman" w:cs="Times New Roman"/>
          <w:bCs/>
          <w:sz w:val="24"/>
          <w:szCs w:val="24"/>
        </w:rPr>
        <w:t xml:space="preserve">at </w:t>
      </w:r>
      <w:r w:rsidR="004C68D6" w:rsidRPr="00310492">
        <w:rPr>
          <w:rFonts w:ascii="Times New Roman" w:hAnsi="Times New Roman" w:cs="Times New Roman"/>
          <w:bCs/>
          <w:sz w:val="24"/>
          <w:szCs w:val="24"/>
        </w:rPr>
        <w:t>13</w:t>
      </w:r>
      <w:r w:rsidR="0050137C" w:rsidRPr="00310492">
        <w:rPr>
          <w:rFonts w:ascii="Times New Roman" w:hAnsi="Times New Roman" w:cs="Times New Roman"/>
          <w:bCs/>
          <w:sz w:val="24"/>
          <w:szCs w:val="24"/>
        </w:rPr>
        <w:t xml:space="preserve">000 g </w:t>
      </w:r>
      <w:r w:rsidR="003A17C0" w:rsidRPr="00310492">
        <w:rPr>
          <w:rFonts w:ascii="Times New Roman" w:hAnsi="Times New Roman" w:cs="Times New Roman"/>
          <w:bCs/>
          <w:sz w:val="24"/>
          <w:szCs w:val="24"/>
        </w:rPr>
        <w:t xml:space="preserve">for 10 minutes. </w:t>
      </w:r>
      <w:r w:rsidR="001F6C9D" w:rsidRPr="00310492">
        <w:rPr>
          <w:rFonts w:ascii="Times New Roman" w:hAnsi="Times New Roman" w:cs="Times New Roman"/>
          <w:bCs/>
          <w:sz w:val="24"/>
          <w:szCs w:val="24"/>
        </w:rPr>
        <w:t>The supernatants were collected in separate 2 mL microcentrifuge tubes</w:t>
      </w:r>
      <w:r w:rsidR="001454A8" w:rsidRPr="00310492">
        <w:rPr>
          <w:rFonts w:ascii="Times New Roman" w:hAnsi="Times New Roman" w:cs="Times New Roman"/>
          <w:bCs/>
          <w:sz w:val="24"/>
          <w:szCs w:val="24"/>
        </w:rPr>
        <w:t xml:space="preserve">, </w:t>
      </w:r>
      <w:r w:rsidR="001F6C9D" w:rsidRPr="00310492">
        <w:rPr>
          <w:rFonts w:ascii="Times New Roman" w:hAnsi="Times New Roman" w:cs="Times New Roman"/>
          <w:bCs/>
          <w:sz w:val="24"/>
          <w:szCs w:val="24"/>
        </w:rPr>
        <w:t xml:space="preserve">mixed with </w:t>
      </w:r>
      <w:r w:rsidR="003A17C0" w:rsidRPr="00310492">
        <w:rPr>
          <w:rFonts w:ascii="Times New Roman" w:hAnsi="Times New Roman" w:cs="Times New Roman"/>
          <w:bCs/>
          <w:sz w:val="24"/>
          <w:szCs w:val="24"/>
        </w:rPr>
        <w:t>100 μ</w:t>
      </w:r>
      <w:r w:rsidR="001F6C9D" w:rsidRPr="00310492">
        <w:rPr>
          <w:rFonts w:ascii="Times New Roman" w:hAnsi="Times New Roman" w:cs="Times New Roman"/>
          <w:bCs/>
          <w:sz w:val="24"/>
          <w:szCs w:val="24"/>
        </w:rPr>
        <w:t>L</w:t>
      </w:r>
      <w:r w:rsidR="003A17C0" w:rsidRPr="00310492">
        <w:rPr>
          <w:rFonts w:ascii="Times New Roman" w:hAnsi="Times New Roman" w:cs="Times New Roman"/>
          <w:bCs/>
          <w:sz w:val="24"/>
          <w:szCs w:val="24"/>
        </w:rPr>
        <w:t xml:space="preserve"> of 10% dithioerythritol </w:t>
      </w:r>
      <w:r w:rsidR="001F6C9D" w:rsidRPr="00310492">
        <w:rPr>
          <w:rFonts w:ascii="Times New Roman" w:hAnsi="Times New Roman" w:cs="Times New Roman"/>
          <w:bCs/>
          <w:sz w:val="24"/>
          <w:szCs w:val="24"/>
        </w:rPr>
        <w:t xml:space="preserve">solution </w:t>
      </w:r>
      <w:r w:rsidR="003A17C0" w:rsidRPr="00310492">
        <w:rPr>
          <w:rFonts w:ascii="Times New Roman" w:hAnsi="Times New Roman" w:cs="Times New Roman"/>
          <w:bCs/>
          <w:sz w:val="24"/>
          <w:szCs w:val="24"/>
        </w:rPr>
        <w:t>in borate buffer</w:t>
      </w:r>
      <w:r w:rsidR="001454A8" w:rsidRPr="00310492">
        <w:rPr>
          <w:rFonts w:ascii="Times New Roman" w:hAnsi="Times New Roman" w:cs="Times New Roman"/>
          <w:bCs/>
          <w:sz w:val="24"/>
          <w:szCs w:val="24"/>
        </w:rPr>
        <w:t xml:space="preserve"> and</w:t>
      </w:r>
      <w:r w:rsidR="003A17C0" w:rsidRPr="00310492">
        <w:rPr>
          <w:rFonts w:ascii="Times New Roman" w:hAnsi="Times New Roman" w:cs="Times New Roman"/>
          <w:bCs/>
          <w:sz w:val="24"/>
          <w:szCs w:val="24"/>
        </w:rPr>
        <w:t xml:space="preserve"> </w:t>
      </w:r>
      <w:r w:rsidR="001F6C9D" w:rsidRPr="00310492">
        <w:rPr>
          <w:rFonts w:ascii="Times New Roman" w:hAnsi="Times New Roman" w:cs="Times New Roman"/>
          <w:bCs/>
          <w:sz w:val="24"/>
          <w:szCs w:val="24"/>
        </w:rPr>
        <w:t>kept</w:t>
      </w:r>
      <w:r w:rsidR="003A17C0" w:rsidRPr="00310492">
        <w:rPr>
          <w:rFonts w:ascii="Times New Roman" w:hAnsi="Times New Roman" w:cs="Times New Roman"/>
          <w:bCs/>
          <w:sz w:val="24"/>
          <w:szCs w:val="24"/>
        </w:rPr>
        <w:t xml:space="preserve"> </w:t>
      </w:r>
      <w:r w:rsidR="001F6C9D" w:rsidRPr="00310492">
        <w:rPr>
          <w:rFonts w:ascii="Times New Roman" w:hAnsi="Times New Roman" w:cs="Times New Roman"/>
          <w:bCs/>
          <w:sz w:val="24"/>
          <w:szCs w:val="24"/>
        </w:rPr>
        <w:t xml:space="preserve">in water bath </w:t>
      </w:r>
      <w:r w:rsidR="003A17C0" w:rsidRPr="00310492">
        <w:rPr>
          <w:rFonts w:ascii="Times New Roman" w:hAnsi="Times New Roman" w:cs="Times New Roman"/>
          <w:bCs/>
          <w:sz w:val="24"/>
          <w:szCs w:val="24"/>
        </w:rPr>
        <w:t>at 50°C for 15 minutes</w:t>
      </w:r>
      <w:r w:rsidR="001454A8" w:rsidRPr="00310492">
        <w:rPr>
          <w:rFonts w:ascii="Times New Roman" w:hAnsi="Times New Roman" w:cs="Times New Roman"/>
          <w:bCs/>
          <w:sz w:val="24"/>
          <w:szCs w:val="24"/>
        </w:rPr>
        <w:t>.</w:t>
      </w:r>
      <w:r w:rsidR="003A17C0" w:rsidRPr="00310492">
        <w:rPr>
          <w:rFonts w:ascii="Times New Roman" w:hAnsi="Times New Roman" w:cs="Times New Roman"/>
          <w:bCs/>
          <w:sz w:val="24"/>
          <w:szCs w:val="24"/>
        </w:rPr>
        <w:t xml:space="preserve"> </w:t>
      </w:r>
      <w:r w:rsidR="001454A8" w:rsidRPr="00310492">
        <w:rPr>
          <w:rFonts w:ascii="Times New Roman" w:hAnsi="Times New Roman" w:cs="Times New Roman"/>
          <w:bCs/>
          <w:sz w:val="24"/>
          <w:szCs w:val="24"/>
        </w:rPr>
        <w:t>S</w:t>
      </w:r>
      <w:r w:rsidR="001F6C9D" w:rsidRPr="00310492">
        <w:rPr>
          <w:rFonts w:ascii="Times New Roman" w:hAnsi="Times New Roman" w:cs="Times New Roman"/>
          <w:bCs/>
          <w:sz w:val="24"/>
          <w:szCs w:val="24"/>
        </w:rPr>
        <w:t xml:space="preserve">ubsequently </w:t>
      </w:r>
      <w:r w:rsidR="001454A8" w:rsidRPr="00310492">
        <w:rPr>
          <w:rFonts w:ascii="Times New Roman" w:hAnsi="Times New Roman" w:cs="Times New Roman"/>
          <w:bCs/>
          <w:sz w:val="24"/>
          <w:szCs w:val="24"/>
        </w:rPr>
        <w:t xml:space="preserve">the tubes were </w:t>
      </w:r>
      <w:r w:rsidR="003A17C0" w:rsidRPr="00310492">
        <w:rPr>
          <w:rFonts w:ascii="Times New Roman" w:hAnsi="Times New Roman" w:cs="Times New Roman"/>
          <w:bCs/>
          <w:sz w:val="24"/>
          <w:szCs w:val="24"/>
        </w:rPr>
        <w:t xml:space="preserve">brought to room </w:t>
      </w:r>
      <w:r w:rsidR="003A17C0" w:rsidRPr="00310492">
        <w:rPr>
          <w:rFonts w:ascii="Times New Roman" w:hAnsi="Times New Roman" w:cs="Times New Roman"/>
          <w:bCs/>
          <w:sz w:val="24"/>
          <w:szCs w:val="24"/>
        </w:rPr>
        <w:lastRenderedPageBreak/>
        <w:t>temperature</w:t>
      </w:r>
      <w:r w:rsidR="001454A8" w:rsidRPr="00310492">
        <w:rPr>
          <w:rFonts w:ascii="Times New Roman" w:hAnsi="Times New Roman" w:cs="Times New Roman"/>
          <w:bCs/>
          <w:sz w:val="24"/>
          <w:szCs w:val="24"/>
        </w:rPr>
        <w:t xml:space="preserve"> and covered with aluminum foil after adding </w:t>
      </w:r>
      <w:r w:rsidR="003A17C0" w:rsidRPr="00310492">
        <w:rPr>
          <w:rFonts w:ascii="Times New Roman" w:hAnsi="Times New Roman" w:cs="Times New Roman"/>
          <w:bCs/>
          <w:sz w:val="24"/>
          <w:szCs w:val="24"/>
        </w:rPr>
        <w:t xml:space="preserve">100 </w:t>
      </w:r>
      <w:r w:rsidR="001454A8" w:rsidRPr="00310492">
        <w:rPr>
          <w:rFonts w:ascii="Times New Roman" w:hAnsi="Times New Roman" w:cs="Times New Roman"/>
          <w:bCs/>
          <w:sz w:val="24"/>
          <w:szCs w:val="24"/>
        </w:rPr>
        <w:t>μL</w:t>
      </w:r>
      <w:r w:rsidR="003A17C0" w:rsidRPr="00310492">
        <w:rPr>
          <w:rFonts w:ascii="Times New Roman" w:hAnsi="Times New Roman" w:cs="Times New Roman"/>
          <w:bCs/>
          <w:sz w:val="24"/>
          <w:szCs w:val="24"/>
        </w:rPr>
        <w:t xml:space="preserve"> of 23.3% iodoacetamide in phosphate buffer. </w:t>
      </w:r>
      <w:r w:rsidR="001A58E1" w:rsidRPr="00310492">
        <w:rPr>
          <w:rFonts w:ascii="Times New Roman" w:hAnsi="Times New Roman" w:cs="Times New Roman"/>
          <w:bCs/>
          <w:sz w:val="24"/>
          <w:szCs w:val="24"/>
        </w:rPr>
        <w:t xml:space="preserve">The contents of each tube were </w:t>
      </w:r>
      <w:r w:rsidR="003A17C0" w:rsidRPr="00310492">
        <w:rPr>
          <w:rFonts w:ascii="Times New Roman" w:hAnsi="Times New Roman" w:cs="Times New Roman"/>
          <w:bCs/>
          <w:sz w:val="24"/>
          <w:szCs w:val="24"/>
        </w:rPr>
        <w:t>centrifug</w:t>
      </w:r>
      <w:r w:rsidR="001A58E1" w:rsidRPr="00310492">
        <w:rPr>
          <w:rFonts w:ascii="Times New Roman" w:hAnsi="Times New Roman" w:cs="Times New Roman"/>
          <w:bCs/>
          <w:sz w:val="24"/>
          <w:szCs w:val="24"/>
        </w:rPr>
        <w:t>ed</w:t>
      </w:r>
      <w:r w:rsidR="003A17C0" w:rsidRPr="00310492">
        <w:rPr>
          <w:rFonts w:ascii="Times New Roman" w:hAnsi="Times New Roman" w:cs="Times New Roman"/>
          <w:bCs/>
          <w:sz w:val="24"/>
          <w:szCs w:val="24"/>
        </w:rPr>
        <w:t xml:space="preserve"> at 350 rpm for 45 minutes</w:t>
      </w:r>
      <w:r w:rsidR="001A58E1" w:rsidRPr="00310492">
        <w:rPr>
          <w:rFonts w:ascii="Times New Roman" w:hAnsi="Times New Roman" w:cs="Times New Roman"/>
          <w:bCs/>
          <w:sz w:val="24"/>
          <w:szCs w:val="24"/>
        </w:rPr>
        <w:t xml:space="preserve"> and mixed with 25 μL of formic acid</w:t>
      </w:r>
      <w:r w:rsidR="003A17C0" w:rsidRPr="00310492">
        <w:rPr>
          <w:rFonts w:ascii="Times New Roman" w:hAnsi="Times New Roman" w:cs="Times New Roman"/>
          <w:bCs/>
          <w:sz w:val="24"/>
          <w:szCs w:val="24"/>
        </w:rPr>
        <w:t xml:space="preserve">. Stirring was </w:t>
      </w:r>
      <w:r w:rsidR="001A58E1" w:rsidRPr="00310492">
        <w:rPr>
          <w:rFonts w:ascii="Times New Roman" w:hAnsi="Times New Roman" w:cs="Times New Roman"/>
          <w:bCs/>
          <w:sz w:val="24"/>
          <w:szCs w:val="24"/>
        </w:rPr>
        <w:t xml:space="preserve">carried out </w:t>
      </w:r>
      <w:r w:rsidR="003A17C0" w:rsidRPr="00310492">
        <w:rPr>
          <w:rFonts w:ascii="Times New Roman" w:hAnsi="Times New Roman" w:cs="Times New Roman"/>
          <w:bCs/>
          <w:sz w:val="24"/>
          <w:szCs w:val="24"/>
        </w:rPr>
        <w:t xml:space="preserve">at 22°C and </w:t>
      </w:r>
      <w:r w:rsidR="001A58E1" w:rsidRPr="00310492">
        <w:rPr>
          <w:rFonts w:ascii="Times New Roman" w:hAnsi="Times New Roman" w:cs="Times New Roman"/>
          <w:bCs/>
          <w:sz w:val="24"/>
          <w:szCs w:val="24"/>
        </w:rPr>
        <w:t>the</w:t>
      </w:r>
      <w:r w:rsidR="008C097D" w:rsidRPr="00310492">
        <w:rPr>
          <w:rFonts w:ascii="Times New Roman" w:hAnsi="Times New Roman" w:cs="Times New Roman"/>
          <w:bCs/>
          <w:sz w:val="24"/>
          <w:szCs w:val="24"/>
        </w:rPr>
        <w:t>n</w:t>
      </w:r>
      <w:r w:rsidR="001A58E1" w:rsidRPr="00310492">
        <w:rPr>
          <w:rFonts w:ascii="Times New Roman" w:hAnsi="Times New Roman" w:cs="Times New Roman"/>
          <w:bCs/>
          <w:sz w:val="24"/>
          <w:szCs w:val="24"/>
        </w:rPr>
        <w:t xml:space="preserve"> tubes </w:t>
      </w:r>
      <w:r w:rsidR="003A17C0" w:rsidRPr="00310492">
        <w:rPr>
          <w:rFonts w:ascii="Times New Roman" w:hAnsi="Times New Roman" w:cs="Times New Roman"/>
          <w:bCs/>
          <w:sz w:val="24"/>
          <w:szCs w:val="24"/>
        </w:rPr>
        <w:t xml:space="preserve">were </w:t>
      </w:r>
      <w:r w:rsidR="008C097D" w:rsidRPr="00310492">
        <w:rPr>
          <w:rFonts w:ascii="Times New Roman" w:hAnsi="Times New Roman" w:cs="Times New Roman"/>
          <w:bCs/>
          <w:sz w:val="24"/>
          <w:szCs w:val="24"/>
        </w:rPr>
        <w:t xml:space="preserve">placed in </w:t>
      </w:r>
      <w:r w:rsidR="003A17C0" w:rsidRPr="00310492">
        <w:rPr>
          <w:rFonts w:ascii="Times New Roman" w:hAnsi="Times New Roman" w:cs="Times New Roman"/>
          <w:bCs/>
          <w:sz w:val="24"/>
          <w:szCs w:val="24"/>
        </w:rPr>
        <w:t>vo</w:t>
      </w:r>
      <w:r w:rsidR="008C097D" w:rsidRPr="00310492">
        <w:rPr>
          <w:rFonts w:ascii="Times New Roman" w:hAnsi="Times New Roman" w:cs="Times New Roman"/>
          <w:bCs/>
          <w:sz w:val="24"/>
          <w:szCs w:val="24"/>
        </w:rPr>
        <w:t>rtex mixer</w:t>
      </w:r>
      <w:r w:rsidR="00B90A2C" w:rsidRPr="00310492">
        <w:rPr>
          <w:rFonts w:ascii="Times New Roman" w:hAnsi="Times New Roman" w:cs="Times New Roman"/>
          <w:bCs/>
          <w:sz w:val="24"/>
          <w:szCs w:val="24"/>
        </w:rPr>
        <w:t xml:space="preserve"> for 30 seconds. Final centrifugation was performed</w:t>
      </w:r>
      <w:r w:rsidR="003A17C0" w:rsidRPr="00310492">
        <w:rPr>
          <w:rFonts w:ascii="Times New Roman" w:hAnsi="Times New Roman" w:cs="Times New Roman"/>
          <w:bCs/>
          <w:sz w:val="24"/>
          <w:szCs w:val="24"/>
        </w:rPr>
        <w:t xml:space="preserve"> at 13000 rpm for 10 minutes and </w:t>
      </w:r>
      <w:r w:rsidR="00197821" w:rsidRPr="00310492">
        <w:rPr>
          <w:rFonts w:ascii="Times New Roman" w:hAnsi="Times New Roman" w:cs="Times New Roman"/>
          <w:bCs/>
          <w:sz w:val="24"/>
          <w:szCs w:val="24"/>
        </w:rPr>
        <w:t>45</w:t>
      </w:r>
      <w:r w:rsidR="003A17C0" w:rsidRPr="00310492">
        <w:rPr>
          <w:rFonts w:ascii="Times New Roman" w:hAnsi="Times New Roman" w:cs="Times New Roman"/>
          <w:bCs/>
          <w:sz w:val="24"/>
          <w:szCs w:val="24"/>
        </w:rPr>
        <w:t xml:space="preserve"> </w:t>
      </w:r>
      <w:r w:rsidR="001A58E1" w:rsidRPr="00310492">
        <w:rPr>
          <w:rFonts w:ascii="Times New Roman" w:hAnsi="Times New Roman" w:cs="Times New Roman"/>
          <w:bCs/>
          <w:sz w:val="24"/>
          <w:szCs w:val="24"/>
        </w:rPr>
        <w:t>μL</w:t>
      </w:r>
      <w:r w:rsidR="003A17C0" w:rsidRPr="00310492">
        <w:rPr>
          <w:rFonts w:ascii="Times New Roman" w:hAnsi="Times New Roman" w:cs="Times New Roman"/>
          <w:bCs/>
          <w:sz w:val="24"/>
          <w:szCs w:val="24"/>
        </w:rPr>
        <w:t xml:space="preserve"> of each supernatant was injected into </w:t>
      </w:r>
      <w:r w:rsidR="006D6874" w:rsidRPr="00310492">
        <w:rPr>
          <w:rFonts w:ascii="Times New Roman" w:hAnsi="Times New Roman" w:cs="Times New Roman"/>
          <w:bCs/>
          <w:sz w:val="24"/>
          <w:szCs w:val="24"/>
        </w:rPr>
        <w:t xml:space="preserve">the </w:t>
      </w:r>
      <w:r w:rsidR="003A17C0" w:rsidRPr="00310492">
        <w:rPr>
          <w:rFonts w:ascii="Times New Roman" w:hAnsi="Times New Roman" w:cs="Times New Roman"/>
          <w:bCs/>
          <w:sz w:val="24"/>
          <w:szCs w:val="24"/>
        </w:rPr>
        <w:t>HPLC system.</w:t>
      </w:r>
    </w:p>
    <w:p w:rsidR="003A17C0" w:rsidRPr="00310492" w:rsidRDefault="00E838B4"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HPLC system</w:t>
      </w:r>
      <w:r w:rsidR="003A17C0" w:rsidRPr="00310492">
        <w:rPr>
          <w:rFonts w:ascii="Times New Roman" w:hAnsi="Times New Roman" w:cs="Times New Roman"/>
          <w:b/>
          <w:bCs/>
          <w:sz w:val="24"/>
          <w:szCs w:val="24"/>
        </w:rPr>
        <w:t xml:space="preserve"> and Chromatographic</w:t>
      </w:r>
      <w:r w:rsidR="003A17C0" w:rsidRPr="00310492">
        <w:rPr>
          <w:rFonts w:ascii="Times New Roman" w:hAnsi="Times New Roman" w:cs="Times New Roman"/>
          <w:bCs/>
          <w:sz w:val="24"/>
          <w:szCs w:val="24"/>
        </w:rPr>
        <w:t xml:space="preserve"> </w:t>
      </w:r>
      <w:r w:rsidR="003A17C0" w:rsidRPr="00310492">
        <w:rPr>
          <w:rFonts w:ascii="Times New Roman" w:hAnsi="Times New Roman" w:cs="Times New Roman"/>
          <w:b/>
          <w:bCs/>
          <w:sz w:val="24"/>
          <w:szCs w:val="24"/>
        </w:rPr>
        <w:t>conditions</w:t>
      </w:r>
    </w:p>
    <w:p w:rsidR="003A17C0" w:rsidRPr="00310492" w:rsidRDefault="003A17C0" w:rsidP="00310492">
      <w:pPr>
        <w:spacing w:line="360" w:lineRule="auto"/>
        <w:jc w:val="both"/>
        <w:rPr>
          <w:rFonts w:ascii="Times New Roman" w:hAnsi="Times New Roman" w:cs="Times New Roman"/>
          <w:color w:val="FF0000"/>
          <w:sz w:val="24"/>
          <w:szCs w:val="24"/>
        </w:rPr>
      </w:pPr>
      <w:r w:rsidRPr="00310492">
        <w:rPr>
          <w:rFonts w:ascii="Times New Roman" w:hAnsi="Times New Roman" w:cs="Times New Roman"/>
          <w:bCs/>
          <w:sz w:val="24"/>
          <w:szCs w:val="24"/>
        </w:rPr>
        <w:t xml:space="preserve">The HPLC system </w:t>
      </w:r>
      <w:r w:rsidR="00B90A2C" w:rsidRPr="00310492">
        <w:rPr>
          <w:rFonts w:ascii="Times New Roman" w:hAnsi="Times New Roman" w:cs="Times New Roman"/>
          <w:bCs/>
          <w:sz w:val="24"/>
          <w:szCs w:val="24"/>
        </w:rPr>
        <w:t>comprised</w:t>
      </w:r>
      <w:r w:rsidRPr="00310492">
        <w:rPr>
          <w:rFonts w:ascii="Times New Roman" w:hAnsi="Times New Roman" w:cs="Times New Roman"/>
          <w:bCs/>
          <w:sz w:val="24"/>
          <w:szCs w:val="24"/>
        </w:rPr>
        <w:t xml:space="preserve"> of </w:t>
      </w:r>
      <w:r w:rsidR="004E50CD" w:rsidRPr="00310492">
        <w:rPr>
          <w:rFonts w:ascii="Times New Roman" w:hAnsi="Times New Roman" w:cs="Times New Roman"/>
          <w:bCs/>
          <w:sz w:val="24"/>
          <w:szCs w:val="24"/>
        </w:rPr>
        <w:t>an auto-sampler (SIL-10AC), system control module (CBM-20A), pump (Schimadzu LC-20AT), column oven (CTO-20AC), degasser (DGU-20A), ultraviolet-visible (UV-VIS) detector (SPD-M20A)</w:t>
      </w:r>
      <w:r w:rsidR="000B1162" w:rsidRPr="00310492">
        <w:rPr>
          <w:rFonts w:ascii="Times New Roman" w:hAnsi="Times New Roman" w:cs="Times New Roman"/>
          <w:bCs/>
          <w:sz w:val="24"/>
          <w:szCs w:val="24"/>
        </w:rPr>
        <w:t xml:space="preserve"> and </w:t>
      </w:r>
      <w:r w:rsidR="004E50CD" w:rsidRPr="00310492">
        <w:rPr>
          <w:rFonts w:ascii="Times New Roman" w:hAnsi="Times New Roman" w:cs="Times New Roman"/>
          <w:bCs/>
          <w:sz w:val="24"/>
          <w:szCs w:val="24"/>
        </w:rPr>
        <w:t>low pressure-gradient flow control valve (FCV-10AL)</w:t>
      </w:r>
      <w:r w:rsidR="00197821" w:rsidRPr="00310492">
        <w:rPr>
          <w:rFonts w:ascii="Times New Roman" w:hAnsi="Times New Roman" w:cs="Times New Roman"/>
          <w:bCs/>
          <w:sz w:val="24"/>
          <w:szCs w:val="24"/>
        </w:rPr>
        <w:t>.</w:t>
      </w:r>
      <w:r w:rsidR="000B1162" w:rsidRPr="00310492">
        <w:rPr>
          <w:rFonts w:ascii="Times New Roman" w:hAnsi="Times New Roman" w:cs="Times New Roman"/>
          <w:bCs/>
          <w:sz w:val="24"/>
          <w:szCs w:val="24"/>
        </w:rPr>
        <w:t xml:space="preserve"> </w:t>
      </w:r>
      <w:r w:rsidR="00AF632D" w:rsidRPr="00310492">
        <w:rPr>
          <w:rFonts w:ascii="Times New Roman" w:hAnsi="Times New Roman" w:cs="Times New Roman"/>
          <w:sz w:val="24"/>
          <w:szCs w:val="24"/>
        </w:rPr>
        <w:t xml:space="preserve">The chromatograms of QC and calibration samples obtained by C18 and PLRP-S polymeric column were compared for the selection of appropriate analytical column. Several types of mobile phase having varying combinations of 0.1% trifluoroacetic acid and </w:t>
      </w:r>
      <w:r w:rsidR="00AF632D" w:rsidRPr="00310492">
        <w:rPr>
          <w:rFonts w:ascii="Times New Roman" w:hAnsi="Times New Roman" w:cs="Times New Roman"/>
          <w:bCs/>
          <w:sz w:val="24"/>
          <w:szCs w:val="24"/>
        </w:rPr>
        <w:t>0.3% sodium dihydrogen phosphate</w:t>
      </w:r>
      <w:r w:rsidR="00AF632D" w:rsidRPr="00310492">
        <w:rPr>
          <w:rFonts w:ascii="Times New Roman" w:hAnsi="Times New Roman" w:cs="Times New Roman"/>
          <w:sz w:val="24"/>
          <w:szCs w:val="24"/>
        </w:rPr>
        <w:t xml:space="preserve"> with acetonitrile were tested after </w:t>
      </w:r>
      <w:r w:rsidR="00AF632D" w:rsidRPr="00310492">
        <w:rPr>
          <w:rFonts w:ascii="Times New Roman" w:hAnsi="Times New Roman" w:cs="Times New Roman"/>
          <w:bCs/>
          <w:sz w:val="24"/>
          <w:szCs w:val="24"/>
        </w:rPr>
        <w:t xml:space="preserve">filtration through 0.45 μm nylon filter (Sartorius, Gottingen, Germany) and sonication for 30 minutes. </w:t>
      </w:r>
      <w:r w:rsidR="00AF632D" w:rsidRPr="00310492">
        <w:rPr>
          <w:rFonts w:ascii="Times New Roman" w:hAnsi="Times New Roman" w:cs="Times New Roman"/>
          <w:sz w:val="24"/>
          <w:szCs w:val="24"/>
        </w:rPr>
        <w:t xml:space="preserve">Assessment of different flow rates (0.5-1.5 </w:t>
      </w:r>
      <w:r w:rsidR="0072716D" w:rsidRPr="00310492">
        <w:rPr>
          <w:rFonts w:ascii="Times New Roman" w:hAnsi="Times New Roman" w:cs="Times New Roman"/>
          <w:sz w:val="24"/>
          <w:szCs w:val="24"/>
        </w:rPr>
        <w:t>mL</w:t>
      </w:r>
      <w:r w:rsidR="0072716D" w:rsidRPr="00310492">
        <w:rPr>
          <w:rFonts w:ascii="Times New Roman" w:hAnsi="Times New Roman" w:cs="Times New Roman"/>
          <w:bCs/>
          <w:sz w:val="24"/>
          <w:szCs w:val="24"/>
        </w:rPr>
        <w:t>.min</w:t>
      </w:r>
      <w:r w:rsidR="0072716D" w:rsidRPr="00310492">
        <w:rPr>
          <w:rFonts w:ascii="Times New Roman" w:hAnsi="Times New Roman" w:cs="Times New Roman"/>
          <w:bCs/>
          <w:sz w:val="24"/>
          <w:szCs w:val="24"/>
          <w:vertAlign w:val="superscript"/>
        </w:rPr>
        <w:t>-1</w:t>
      </w:r>
      <w:r w:rsidR="00AF632D" w:rsidRPr="00310492">
        <w:rPr>
          <w:rFonts w:ascii="Times New Roman" w:hAnsi="Times New Roman" w:cs="Times New Roman"/>
          <w:sz w:val="24"/>
          <w:szCs w:val="24"/>
        </w:rPr>
        <w:t xml:space="preserve">) and wave lengths (254, 265, 266 and 310 nm) was also performed. </w:t>
      </w:r>
      <w:r w:rsidR="00AF632D" w:rsidRPr="00310492">
        <w:rPr>
          <w:rFonts w:ascii="Times New Roman" w:hAnsi="Times New Roman" w:cs="Times New Roman"/>
          <w:bCs/>
          <w:sz w:val="24"/>
          <w:szCs w:val="24"/>
        </w:rPr>
        <w:t>Isocratic elution was carried out with an injection volume of 45 µL and the column oven was set at 37°C.</w:t>
      </w:r>
      <w:r w:rsidR="00AF632D" w:rsidRPr="00310492">
        <w:rPr>
          <w:rFonts w:ascii="Times New Roman" w:hAnsi="Times New Roman" w:cs="Times New Roman"/>
          <w:color w:val="FF0000"/>
          <w:sz w:val="24"/>
          <w:szCs w:val="24"/>
        </w:rPr>
        <w:t xml:space="preserve"> </w:t>
      </w:r>
      <w:r w:rsidRPr="00310492">
        <w:rPr>
          <w:rFonts w:ascii="Times New Roman" w:hAnsi="Times New Roman" w:cs="Times New Roman"/>
          <w:sz w:val="24"/>
          <w:szCs w:val="24"/>
        </w:rPr>
        <w:t xml:space="preserve">Liquid Chromatography (LC) Solutions’ software (SSI, Kyoto, Japan) was </w:t>
      </w:r>
      <w:r w:rsidR="003B37AF" w:rsidRPr="00310492">
        <w:rPr>
          <w:rFonts w:ascii="Times New Roman" w:hAnsi="Times New Roman" w:cs="Times New Roman"/>
          <w:sz w:val="24"/>
          <w:szCs w:val="24"/>
        </w:rPr>
        <w:t>us</w:t>
      </w:r>
      <w:r w:rsidRPr="00310492">
        <w:rPr>
          <w:rFonts w:ascii="Times New Roman" w:hAnsi="Times New Roman" w:cs="Times New Roman"/>
          <w:sz w:val="24"/>
          <w:szCs w:val="24"/>
        </w:rPr>
        <w:t xml:space="preserve">ed </w:t>
      </w:r>
      <w:r w:rsidR="003B37AF" w:rsidRPr="00310492">
        <w:rPr>
          <w:rFonts w:ascii="Times New Roman" w:hAnsi="Times New Roman" w:cs="Times New Roman"/>
          <w:sz w:val="24"/>
          <w:szCs w:val="24"/>
        </w:rPr>
        <w:t>for</w:t>
      </w:r>
      <w:r w:rsidRPr="00310492">
        <w:rPr>
          <w:rFonts w:ascii="Times New Roman" w:hAnsi="Times New Roman" w:cs="Times New Roman"/>
          <w:sz w:val="24"/>
          <w:szCs w:val="24"/>
        </w:rPr>
        <w:t xml:space="preserve"> control</w:t>
      </w:r>
      <w:r w:rsidR="003B37AF" w:rsidRPr="00310492">
        <w:rPr>
          <w:rFonts w:ascii="Times New Roman" w:hAnsi="Times New Roman" w:cs="Times New Roman"/>
          <w:sz w:val="24"/>
          <w:szCs w:val="24"/>
        </w:rPr>
        <w:t>ling instrument and analyzing</w:t>
      </w:r>
      <w:r w:rsidRPr="00310492">
        <w:rPr>
          <w:rFonts w:ascii="Times New Roman" w:hAnsi="Times New Roman" w:cs="Times New Roman"/>
          <w:sz w:val="24"/>
          <w:szCs w:val="24"/>
        </w:rPr>
        <w:t xml:space="preserve"> the data. </w:t>
      </w:r>
    </w:p>
    <w:p w:rsidR="003A17C0" w:rsidRPr="00310492" w:rsidRDefault="003A17C0"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Validation of HPLC method</w:t>
      </w:r>
    </w:p>
    <w:p w:rsidR="00C634EF" w:rsidRPr="00310492" w:rsidRDefault="003A17C0"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The </w:t>
      </w:r>
      <w:r w:rsidR="00734041" w:rsidRPr="00310492">
        <w:rPr>
          <w:rFonts w:ascii="Times New Roman" w:hAnsi="Times New Roman" w:cs="Times New Roman"/>
          <w:sz w:val="24"/>
          <w:szCs w:val="24"/>
        </w:rPr>
        <w:t>proposed assay</w:t>
      </w:r>
      <w:r w:rsidRPr="00310492">
        <w:rPr>
          <w:rFonts w:ascii="Times New Roman" w:hAnsi="Times New Roman" w:cs="Times New Roman"/>
          <w:sz w:val="24"/>
          <w:szCs w:val="24"/>
        </w:rPr>
        <w:t xml:space="preserve"> was validated </w:t>
      </w:r>
      <w:r w:rsidR="00C634EF" w:rsidRPr="00310492">
        <w:rPr>
          <w:rFonts w:ascii="Times New Roman" w:hAnsi="Times New Roman" w:cs="Times New Roman"/>
          <w:sz w:val="24"/>
          <w:szCs w:val="24"/>
        </w:rPr>
        <w:t>for linearity, sensitivity, precision, accuracy, recovery and freeze-thaw stability</w:t>
      </w:r>
      <w:r w:rsidR="00C56392" w:rsidRPr="00310492">
        <w:rPr>
          <w:rFonts w:ascii="Times New Roman" w:hAnsi="Times New Roman" w:cs="Times New Roman"/>
          <w:sz w:val="24"/>
          <w:szCs w:val="24"/>
        </w:rPr>
        <w:t>,</w:t>
      </w:r>
      <w:r w:rsidR="00C634EF" w:rsidRPr="00310492">
        <w:rPr>
          <w:rFonts w:ascii="Times New Roman" w:hAnsi="Times New Roman" w:cs="Times New Roman"/>
          <w:sz w:val="24"/>
          <w:szCs w:val="24"/>
        </w:rPr>
        <w:t xml:space="preserve"> </w:t>
      </w:r>
      <w:r w:rsidR="00C56392" w:rsidRPr="00310492">
        <w:rPr>
          <w:rFonts w:ascii="Times New Roman" w:hAnsi="Times New Roman" w:cs="Times New Roman"/>
          <w:sz w:val="24"/>
          <w:szCs w:val="24"/>
        </w:rPr>
        <w:t xml:space="preserve">following </w:t>
      </w:r>
      <w:r w:rsidRPr="00310492">
        <w:rPr>
          <w:rFonts w:ascii="Times New Roman" w:hAnsi="Times New Roman" w:cs="Times New Roman"/>
          <w:sz w:val="24"/>
          <w:szCs w:val="24"/>
        </w:rPr>
        <w:t>the International Conference on Harmonization (ICH) recommendations</w:t>
      </w:r>
      <w:r w:rsidR="00670E65" w:rsidRPr="00310492">
        <w:rPr>
          <w:rFonts w:ascii="Times New Roman" w:hAnsi="Times New Roman" w:cs="Times New Roman"/>
          <w:sz w:val="24"/>
          <w:szCs w:val="24"/>
        </w:rPr>
        <w:t>.</w:t>
      </w:r>
      <w:r w:rsidR="006236CE"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2</w:t>
      </w:r>
      <w:r w:rsidR="00734041" w:rsidRPr="00310492">
        <w:rPr>
          <w:rFonts w:ascii="Times New Roman" w:hAnsi="Times New Roman" w:cs="Times New Roman"/>
          <w:sz w:val="24"/>
          <w:szCs w:val="24"/>
        </w:rPr>
        <w:t xml:space="preserve"> </w:t>
      </w:r>
    </w:p>
    <w:p w:rsidR="00C634EF" w:rsidRPr="00310492" w:rsidRDefault="00C634EF"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Linearity</w:t>
      </w:r>
    </w:p>
    <w:p w:rsidR="00C634EF" w:rsidRPr="00310492" w:rsidRDefault="002A303A"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The r</w:t>
      </w:r>
      <w:r w:rsidR="003A49F9" w:rsidRPr="00310492">
        <w:rPr>
          <w:rFonts w:ascii="Times New Roman" w:hAnsi="Times New Roman" w:cs="Times New Roman"/>
          <w:bCs/>
          <w:sz w:val="24"/>
          <w:szCs w:val="24"/>
        </w:rPr>
        <w:t xml:space="preserve">epresentative concentrations of ceftiofur (0.05 to 10 </w:t>
      </w:r>
      <w:r w:rsidR="005531B9">
        <w:rPr>
          <w:rFonts w:ascii="Times New Roman" w:hAnsi="Times New Roman" w:cs="Times New Roman"/>
          <w:sz w:val="24"/>
          <w:szCs w:val="24"/>
        </w:rPr>
        <w:t>µg/mL</w:t>
      </w:r>
      <w:r w:rsidR="003A49F9" w:rsidRPr="00310492">
        <w:rPr>
          <w:rFonts w:ascii="Times New Roman" w:hAnsi="Times New Roman" w:cs="Times New Roman"/>
          <w:bCs/>
          <w:sz w:val="24"/>
          <w:szCs w:val="24"/>
        </w:rPr>
        <w:t xml:space="preserve">) were plotted against corresponding peak areas and resultant calibration curve was used to evaluate the </w:t>
      </w:r>
      <w:r w:rsidR="003A17C0" w:rsidRPr="00310492">
        <w:rPr>
          <w:rFonts w:ascii="Times New Roman" w:hAnsi="Times New Roman" w:cs="Times New Roman"/>
          <w:bCs/>
          <w:sz w:val="24"/>
          <w:szCs w:val="24"/>
        </w:rPr>
        <w:t xml:space="preserve">linearity of </w:t>
      </w:r>
      <w:r w:rsidR="003A49F9" w:rsidRPr="00310492">
        <w:rPr>
          <w:rFonts w:ascii="Times New Roman" w:hAnsi="Times New Roman" w:cs="Times New Roman"/>
          <w:bCs/>
          <w:sz w:val="24"/>
          <w:szCs w:val="24"/>
        </w:rPr>
        <w:t xml:space="preserve">HPLC </w:t>
      </w:r>
      <w:r w:rsidR="003A17C0" w:rsidRPr="00310492">
        <w:rPr>
          <w:rFonts w:ascii="Times New Roman" w:hAnsi="Times New Roman" w:cs="Times New Roman"/>
          <w:bCs/>
          <w:sz w:val="24"/>
          <w:szCs w:val="24"/>
        </w:rPr>
        <w:t>method</w:t>
      </w:r>
      <w:r w:rsidR="007E73CA" w:rsidRPr="00310492">
        <w:rPr>
          <w:rFonts w:ascii="Times New Roman" w:hAnsi="Times New Roman" w:cs="Times New Roman"/>
          <w:bCs/>
          <w:sz w:val="24"/>
          <w:szCs w:val="24"/>
        </w:rPr>
        <w:t>.</w:t>
      </w:r>
      <w:r w:rsidR="006236CE" w:rsidRPr="00310492">
        <w:rPr>
          <w:rFonts w:ascii="Times New Roman" w:hAnsi="Times New Roman" w:cs="Times New Roman"/>
          <w:bCs/>
          <w:sz w:val="24"/>
          <w:szCs w:val="24"/>
          <w:vertAlign w:val="superscript"/>
        </w:rPr>
        <w:t>1</w:t>
      </w:r>
      <w:r w:rsidR="00670E65" w:rsidRPr="00310492">
        <w:rPr>
          <w:rFonts w:ascii="Times New Roman" w:hAnsi="Times New Roman" w:cs="Times New Roman"/>
          <w:bCs/>
          <w:sz w:val="24"/>
          <w:szCs w:val="24"/>
          <w:vertAlign w:val="superscript"/>
        </w:rPr>
        <w:t>3</w:t>
      </w:r>
      <w:r w:rsidR="006236CE" w:rsidRPr="00310492">
        <w:rPr>
          <w:rFonts w:ascii="Times New Roman" w:hAnsi="Times New Roman" w:cs="Times New Roman"/>
          <w:bCs/>
          <w:sz w:val="24"/>
          <w:szCs w:val="24"/>
        </w:rPr>
        <w:t xml:space="preserve"> </w:t>
      </w:r>
      <w:r w:rsidR="006F7BD7" w:rsidRPr="00310492">
        <w:rPr>
          <w:rFonts w:ascii="Times New Roman" w:hAnsi="Times New Roman" w:cs="Times New Roman"/>
          <w:bCs/>
          <w:sz w:val="24"/>
          <w:szCs w:val="24"/>
        </w:rPr>
        <w:t>The correlation co-efficient, intercept and slope of standard curve were determined.</w:t>
      </w:r>
    </w:p>
    <w:p w:rsidR="00C634EF" w:rsidRPr="00310492" w:rsidRDefault="00C634EF"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Sensitivity</w:t>
      </w:r>
    </w:p>
    <w:p w:rsidR="00C634EF" w:rsidRPr="00310492" w:rsidRDefault="00C634EF" w:rsidP="00310492">
      <w:pPr>
        <w:spacing w:line="360" w:lineRule="auto"/>
        <w:jc w:val="both"/>
        <w:rPr>
          <w:rFonts w:ascii="Times New Roman" w:hAnsi="Times New Roman" w:cs="Times New Roman"/>
          <w:sz w:val="24"/>
          <w:szCs w:val="24"/>
        </w:rPr>
      </w:pPr>
      <w:r w:rsidRPr="00310492">
        <w:rPr>
          <w:rFonts w:ascii="Times New Roman" w:hAnsi="Times New Roman" w:cs="Times New Roman"/>
          <w:bCs/>
          <w:sz w:val="24"/>
          <w:szCs w:val="24"/>
        </w:rPr>
        <w:lastRenderedPageBreak/>
        <w:t>The sensitivity of HPLC method was determined in t</w:t>
      </w:r>
      <w:r w:rsidR="006F7BD7" w:rsidRPr="00310492">
        <w:rPr>
          <w:rFonts w:ascii="Times New Roman" w:hAnsi="Times New Roman" w:cs="Times New Roman"/>
          <w:bCs/>
          <w:sz w:val="24"/>
          <w:szCs w:val="24"/>
        </w:rPr>
        <w:t>he form</w:t>
      </w:r>
      <w:r w:rsidRPr="00310492">
        <w:rPr>
          <w:rFonts w:ascii="Times New Roman" w:hAnsi="Times New Roman" w:cs="Times New Roman"/>
          <w:bCs/>
          <w:sz w:val="24"/>
          <w:szCs w:val="24"/>
        </w:rPr>
        <w:t xml:space="preserve"> of limit of detection (LOD) and limit of quantification (LOQ). </w:t>
      </w:r>
      <w:r w:rsidR="003A17C0" w:rsidRPr="00310492">
        <w:rPr>
          <w:rFonts w:ascii="Times New Roman" w:hAnsi="Times New Roman" w:cs="Times New Roman"/>
          <w:bCs/>
          <w:sz w:val="24"/>
          <w:szCs w:val="24"/>
        </w:rPr>
        <w:t xml:space="preserve">The </w:t>
      </w:r>
      <w:r w:rsidR="00BB0042" w:rsidRPr="00310492">
        <w:rPr>
          <w:rFonts w:ascii="Times New Roman" w:hAnsi="Times New Roman" w:cs="Times New Roman"/>
          <w:bCs/>
          <w:sz w:val="24"/>
          <w:szCs w:val="24"/>
        </w:rPr>
        <w:t>st</w:t>
      </w:r>
      <w:r w:rsidR="00100F79" w:rsidRPr="00310492">
        <w:rPr>
          <w:rFonts w:ascii="Times New Roman" w:hAnsi="Times New Roman" w:cs="Times New Roman"/>
          <w:bCs/>
          <w:sz w:val="24"/>
          <w:szCs w:val="24"/>
        </w:rPr>
        <w:t>andard deviation of y-intercept</w:t>
      </w:r>
      <w:r w:rsidR="00BB0042" w:rsidRPr="00310492">
        <w:rPr>
          <w:rFonts w:ascii="Times New Roman" w:hAnsi="Times New Roman" w:cs="Times New Roman"/>
          <w:bCs/>
          <w:sz w:val="24"/>
          <w:szCs w:val="24"/>
        </w:rPr>
        <w:t xml:space="preserve"> of regression line (σ) and slope (S) of calibration curve were used to </w:t>
      </w:r>
      <w:r w:rsidR="006F7BD7" w:rsidRPr="00310492">
        <w:rPr>
          <w:rFonts w:ascii="Times New Roman" w:hAnsi="Times New Roman" w:cs="Times New Roman"/>
          <w:bCs/>
          <w:sz w:val="24"/>
          <w:szCs w:val="24"/>
        </w:rPr>
        <w:t>calculate</w:t>
      </w:r>
      <w:r w:rsidR="00BB0042" w:rsidRPr="00310492">
        <w:rPr>
          <w:rFonts w:ascii="Times New Roman" w:hAnsi="Times New Roman" w:cs="Times New Roman"/>
          <w:bCs/>
          <w:sz w:val="24"/>
          <w:szCs w:val="24"/>
        </w:rPr>
        <w:t xml:space="preserve"> </w:t>
      </w:r>
      <w:r w:rsidR="004E0D36" w:rsidRPr="00310492">
        <w:rPr>
          <w:rFonts w:ascii="Times New Roman" w:hAnsi="Times New Roman" w:cs="Times New Roman"/>
          <w:bCs/>
          <w:sz w:val="24"/>
          <w:szCs w:val="24"/>
        </w:rPr>
        <w:t>the LOD</w:t>
      </w:r>
      <w:r w:rsidR="00BB0042" w:rsidRPr="00310492">
        <w:rPr>
          <w:rFonts w:ascii="Times New Roman" w:hAnsi="Times New Roman" w:cs="Times New Roman"/>
          <w:bCs/>
          <w:sz w:val="24"/>
          <w:szCs w:val="24"/>
        </w:rPr>
        <w:t xml:space="preserve"> a</w:t>
      </w:r>
      <w:r w:rsidR="004E0D36" w:rsidRPr="00310492">
        <w:rPr>
          <w:rFonts w:ascii="Times New Roman" w:hAnsi="Times New Roman" w:cs="Times New Roman"/>
          <w:bCs/>
          <w:sz w:val="24"/>
          <w:szCs w:val="24"/>
        </w:rPr>
        <w:t>nd LOQ</w:t>
      </w:r>
      <w:r w:rsidR="00BB0042" w:rsidRPr="00310492">
        <w:rPr>
          <w:rFonts w:ascii="Times New Roman" w:hAnsi="Times New Roman" w:cs="Times New Roman"/>
          <w:bCs/>
          <w:sz w:val="24"/>
          <w:szCs w:val="24"/>
        </w:rPr>
        <w:t xml:space="preserve"> </w:t>
      </w:r>
      <w:r w:rsidR="00152EBD" w:rsidRPr="00310492">
        <w:rPr>
          <w:rFonts w:ascii="Times New Roman" w:hAnsi="Times New Roman" w:cs="Times New Roman"/>
          <w:bCs/>
          <w:sz w:val="24"/>
          <w:szCs w:val="24"/>
          <w:shd w:val="clear" w:color="auto" w:fill="FFFFFF"/>
        </w:rPr>
        <w:t>by means of equations 1 and 2 respectively</w:t>
      </w:r>
      <w:r w:rsidR="007E73CA" w:rsidRPr="00310492">
        <w:rPr>
          <w:rFonts w:ascii="Times New Roman" w:hAnsi="Times New Roman" w:cs="Times New Roman"/>
          <w:bCs/>
          <w:sz w:val="24"/>
          <w:szCs w:val="24"/>
          <w:shd w:val="clear" w:color="auto" w:fill="FFFFFF"/>
        </w:rPr>
        <w:t>.</w:t>
      </w:r>
      <w:r w:rsidR="006236CE" w:rsidRPr="00310492">
        <w:rPr>
          <w:rFonts w:ascii="Times New Roman" w:hAnsi="Times New Roman" w:cs="Times New Roman"/>
          <w:bCs/>
          <w:sz w:val="24"/>
          <w:szCs w:val="24"/>
          <w:shd w:val="clear" w:color="auto" w:fill="FFFFFF"/>
          <w:vertAlign w:val="superscript"/>
        </w:rPr>
        <w:t>1</w:t>
      </w:r>
      <w:r w:rsidR="00670E65" w:rsidRPr="00310492">
        <w:rPr>
          <w:rFonts w:ascii="Times New Roman" w:hAnsi="Times New Roman" w:cs="Times New Roman"/>
          <w:bCs/>
          <w:sz w:val="24"/>
          <w:szCs w:val="24"/>
          <w:shd w:val="clear" w:color="auto" w:fill="FFFFFF"/>
          <w:vertAlign w:val="superscript"/>
        </w:rPr>
        <w:t>4</w:t>
      </w:r>
    </w:p>
    <w:p w:rsidR="00152EBD" w:rsidRPr="00310492" w:rsidRDefault="00152EBD"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LOD = 3.3 (σ/S) </w:t>
      </w:r>
      <w:r w:rsidRPr="00310492">
        <w:rPr>
          <w:rFonts w:ascii="Times New Roman" w:hAnsi="Times New Roman" w:cs="Times New Roman"/>
          <w:bCs/>
          <w:sz w:val="24"/>
          <w:szCs w:val="24"/>
        </w:rPr>
        <w:tab/>
      </w:r>
      <w:r w:rsidRPr="00310492">
        <w:rPr>
          <w:rFonts w:ascii="Times New Roman" w:hAnsi="Times New Roman" w:cs="Times New Roman"/>
          <w:bCs/>
          <w:sz w:val="24"/>
          <w:szCs w:val="24"/>
        </w:rPr>
        <w:tab/>
        <w:t>(1)</w:t>
      </w:r>
    </w:p>
    <w:p w:rsidR="00152EBD" w:rsidRPr="00310492" w:rsidRDefault="00152EBD"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LOQ = 10 (σ/S) </w:t>
      </w:r>
      <w:r w:rsidRPr="00310492">
        <w:rPr>
          <w:rFonts w:ascii="Times New Roman" w:hAnsi="Times New Roman" w:cs="Times New Roman"/>
          <w:bCs/>
          <w:sz w:val="24"/>
          <w:szCs w:val="24"/>
        </w:rPr>
        <w:tab/>
      </w:r>
      <w:r w:rsidRPr="00310492">
        <w:rPr>
          <w:rFonts w:ascii="Times New Roman" w:hAnsi="Times New Roman" w:cs="Times New Roman"/>
          <w:bCs/>
          <w:sz w:val="24"/>
          <w:szCs w:val="24"/>
        </w:rPr>
        <w:tab/>
        <w:t>(2)</w:t>
      </w:r>
    </w:p>
    <w:p w:rsidR="00152EBD" w:rsidRPr="00310492" w:rsidRDefault="00152EBD"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where </w:t>
      </w:r>
      <w:r w:rsidR="00E82D5F" w:rsidRPr="00310492">
        <w:rPr>
          <w:rFonts w:ascii="Times New Roman" w:hAnsi="Times New Roman" w:cs="Times New Roman"/>
          <w:bCs/>
          <w:sz w:val="24"/>
          <w:szCs w:val="24"/>
        </w:rPr>
        <w:t>“</w:t>
      </w:r>
      <w:r w:rsidR="00E13C37" w:rsidRPr="00310492">
        <w:rPr>
          <w:rFonts w:ascii="Times New Roman" w:hAnsi="Times New Roman" w:cs="Times New Roman"/>
          <w:bCs/>
          <w:sz w:val="24"/>
          <w:szCs w:val="24"/>
        </w:rPr>
        <w:t>σ</w:t>
      </w:r>
      <w:r w:rsidR="00E82D5F" w:rsidRPr="00310492">
        <w:rPr>
          <w:rFonts w:ascii="Times New Roman" w:hAnsi="Times New Roman" w:cs="Times New Roman"/>
          <w:bCs/>
          <w:sz w:val="24"/>
          <w:szCs w:val="24"/>
        </w:rPr>
        <w:t xml:space="preserve">” represents the </w:t>
      </w:r>
      <w:r w:rsidRPr="00310492">
        <w:rPr>
          <w:rFonts w:ascii="Times New Roman" w:hAnsi="Times New Roman" w:cs="Times New Roman"/>
          <w:bCs/>
          <w:sz w:val="24"/>
          <w:szCs w:val="24"/>
        </w:rPr>
        <w:t>standard deviation of y-intercept of regression line</w:t>
      </w:r>
      <w:r w:rsidR="00E82D5F" w:rsidRPr="00310492">
        <w:rPr>
          <w:rFonts w:ascii="Times New Roman" w:hAnsi="Times New Roman" w:cs="Times New Roman"/>
          <w:bCs/>
          <w:sz w:val="24"/>
          <w:szCs w:val="24"/>
        </w:rPr>
        <w:t xml:space="preserve"> and “S” designates the</w:t>
      </w:r>
      <w:r w:rsidRPr="00310492">
        <w:rPr>
          <w:rFonts w:ascii="Times New Roman" w:hAnsi="Times New Roman" w:cs="Times New Roman"/>
          <w:bCs/>
          <w:sz w:val="24"/>
          <w:szCs w:val="24"/>
        </w:rPr>
        <w:t xml:space="preserve"> slope of regression line.</w:t>
      </w:r>
    </w:p>
    <w:p w:rsidR="004E0D36" w:rsidRPr="00310492" w:rsidRDefault="004E0D36" w:rsidP="00310492">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Accuracy and precision</w:t>
      </w:r>
    </w:p>
    <w:p w:rsidR="004C4284" w:rsidRPr="00310492" w:rsidRDefault="00456D63"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The </w:t>
      </w:r>
      <w:r w:rsidR="004C4284" w:rsidRPr="00310492">
        <w:rPr>
          <w:rFonts w:ascii="Times New Roman" w:hAnsi="Times New Roman" w:cs="Times New Roman"/>
          <w:sz w:val="24"/>
          <w:szCs w:val="24"/>
        </w:rPr>
        <w:t xml:space="preserve">intra-day and interday precision and accuracy were estimated </w:t>
      </w:r>
      <w:r w:rsidR="009E73BF" w:rsidRPr="00310492">
        <w:rPr>
          <w:rFonts w:ascii="Times New Roman" w:hAnsi="Times New Roman" w:cs="Times New Roman"/>
          <w:sz w:val="24"/>
          <w:szCs w:val="24"/>
        </w:rPr>
        <w:t>in terms of percent relative standard deviation (RSD %) and percent bias (bias %) respectively</w:t>
      </w:r>
      <w:r w:rsidR="007E73CA" w:rsidRPr="00310492">
        <w:rPr>
          <w:rFonts w:ascii="Times New Roman" w:hAnsi="Times New Roman" w:cs="Times New Roman"/>
          <w:sz w:val="24"/>
          <w:szCs w:val="24"/>
        </w:rPr>
        <w:t>.</w:t>
      </w:r>
      <w:r w:rsidR="007E73CA"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5</w:t>
      </w:r>
    </w:p>
    <w:p w:rsidR="004E0D36" w:rsidRPr="00310492" w:rsidRDefault="004E0D36" w:rsidP="00310492">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Absolute recovery (extraction efficiency)</w:t>
      </w:r>
    </w:p>
    <w:p w:rsidR="00C634EF" w:rsidRPr="00310492" w:rsidRDefault="001D3D03" w:rsidP="00310492">
      <w:pPr>
        <w:spacing w:line="360" w:lineRule="auto"/>
        <w:jc w:val="both"/>
        <w:rPr>
          <w:rFonts w:ascii="Times New Roman" w:hAnsi="Times New Roman" w:cs="Times New Roman"/>
          <w:bCs/>
          <w:sz w:val="24"/>
          <w:szCs w:val="24"/>
        </w:rPr>
      </w:pPr>
      <w:r w:rsidRPr="00310492">
        <w:rPr>
          <w:rFonts w:ascii="Times New Roman" w:hAnsi="Times New Roman" w:cs="Times New Roman"/>
          <w:sz w:val="24"/>
          <w:szCs w:val="24"/>
        </w:rPr>
        <w:t xml:space="preserve">Peak </w:t>
      </w:r>
      <w:r w:rsidRPr="00310492">
        <w:rPr>
          <w:rFonts w:ascii="Times New Roman" w:hAnsi="Times New Roman" w:cs="Times New Roman"/>
          <w:bCs/>
          <w:sz w:val="24"/>
          <w:szCs w:val="24"/>
        </w:rPr>
        <w:t>areas of extracted ceftiofur-containing plasma samples and un-extracted samples of equal concentrations prepared in mobile phase</w:t>
      </w:r>
      <w:r w:rsidR="006D7156" w:rsidRPr="00310492">
        <w:rPr>
          <w:rFonts w:ascii="Times New Roman" w:hAnsi="Times New Roman" w:cs="Times New Roman"/>
          <w:bCs/>
          <w:sz w:val="24"/>
          <w:szCs w:val="24"/>
        </w:rPr>
        <w:t xml:space="preserve"> were compared for the calculation of a</w:t>
      </w:r>
      <w:r w:rsidR="007E73CA" w:rsidRPr="00310492">
        <w:rPr>
          <w:rFonts w:ascii="Times New Roman" w:hAnsi="Times New Roman" w:cs="Times New Roman"/>
          <w:bCs/>
          <w:sz w:val="24"/>
          <w:szCs w:val="24"/>
        </w:rPr>
        <w:t>bsolute recovery.</w:t>
      </w:r>
      <w:r w:rsidR="006236CE" w:rsidRPr="00310492">
        <w:rPr>
          <w:rFonts w:ascii="Times New Roman" w:hAnsi="Times New Roman" w:cs="Times New Roman"/>
          <w:bCs/>
          <w:sz w:val="24"/>
          <w:szCs w:val="24"/>
          <w:vertAlign w:val="superscript"/>
        </w:rPr>
        <w:t>1</w:t>
      </w:r>
      <w:r w:rsidR="00670E65" w:rsidRPr="00310492">
        <w:rPr>
          <w:rFonts w:ascii="Times New Roman" w:hAnsi="Times New Roman" w:cs="Times New Roman"/>
          <w:bCs/>
          <w:sz w:val="24"/>
          <w:szCs w:val="24"/>
          <w:vertAlign w:val="superscript"/>
        </w:rPr>
        <w:t>6</w:t>
      </w:r>
    </w:p>
    <w:p w:rsidR="004E0D36" w:rsidRPr="00310492" w:rsidRDefault="004E0D36" w:rsidP="00310492">
      <w:pPr>
        <w:spacing w:line="360" w:lineRule="auto"/>
        <w:jc w:val="both"/>
        <w:rPr>
          <w:rFonts w:ascii="Times New Roman" w:hAnsi="Times New Roman" w:cs="Times New Roman"/>
          <w:b/>
          <w:bCs/>
          <w:sz w:val="24"/>
          <w:szCs w:val="24"/>
        </w:rPr>
      </w:pPr>
      <w:r w:rsidRPr="00310492">
        <w:rPr>
          <w:rFonts w:ascii="Times New Roman" w:hAnsi="Times New Roman" w:cs="Times New Roman"/>
          <w:b/>
          <w:bCs/>
          <w:sz w:val="24"/>
          <w:szCs w:val="24"/>
        </w:rPr>
        <w:t>Freeze-thaw stability</w:t>
      </w:r>
    </w:p>
    <w:p w:rsidR="003A17C0" w:rsidRPr="00310492" w:rsidRDefault="006D7156" w:rsidP="00310492">
      <w:pPr>
        <w:spacing w:line="360" w:lineRule="auto"/>
        <w:jc w:val="both"/>
        <w:rPr>
          <w:rFonts w:ascii="Times New Roman" w:hAnsi="Times New Roman" w:cs="Times New Roman"/>
          <w:bCs/>
          <w:sz w:val="24"/>
          <w:szCs w:val="24"/>
        </w:rPr>
      </w:pPr>
      <w:r w:rsidRPr="00310492">
        <w:rPr>
          <w:rFonts w:ascii="Times New Roman" w:hAnsi="Times New Roman" w:cs="Times New Roman"/>
          <w:bCs/>
          <w:sz w:val="24"/>
          <w:szCs w:val="24"/>
        </w:rPr>
        <w:t xml:space="preserve">Six </w:t>
      </w:r>
      <w:r w:rsidRPr="00310492">
        <w:rPr>
          <w:rFonts w:ascii="Times New Roman" w:hAnsi="Times New Roman" w:cs="Times New Roman"/>
          <w:sz w:val="24"/>
          <w:szCs w:val="24"/>
        </w:rPr>
        <w:t>replicates of each low and high QC samples were analyzed over two freeze-thaw cycles within three days</w:t>
      </w:r>
      <w:r w:rsidR="00B808ED" w:rsidRPr="00310492">
        <w:rPr>
          <w:rFonts w:ascii="Times New Roman" w:hAnsi="Times New Roman" w:cs="Times New Roman"/>
          <w:sz w:val="24"/>
          <w:szCs w:val="24"/>
        </w:rPr>
        <w:t xml:space="preserve"> for</w:t>
      </w:r>
      <w:r w:rsidR="003A17C0" w:rsidRPr="00310492">
        <w:rPr>
          <w:rFonts w:ascii="Times New Roman" w:hAnsi="Times New Roman" w:cs="Times New Roman"/>
          <w:sz w:val="24"/>
          <w:szCs w:val="24"/>
        </w:rPr>
        <w:t xml:space="preserve"> freeze-thaw stability </w:t>
      </w:r>
      <w:r w:rsidR="00B808ED" w:rsidRPr="00310492">
        <w:rPr>
          <w:rFonts w:ascii="Times New Roman" w:hAnsi="Times New Roman" w:cs="Times New Roman"/>
          <w:sz w:val="24"/>
          <w:szCs w:val="24"/>
        </w:rPr>
        <w:t xml:space="preserve">assessment. The samples frozen at -20°C for 24 hours were </w:t>
      </w:r>
      <w:r w:rsidR="00670897" w:rsidRPr="00310492">
        <w:rPr>
          <w:rFonts w:ascii="Times New Roman" w:hAnsi="Times New Roman" w:cs="Times New Roman"/>
          <w:sz w:val="24"/>
          <w:szCs w:val="24"/>
        </w:rPr>
        <w:t xml:space="preserve">subjected to </w:t>
      </w:r>
      <w:r w:rsidR="00B808ED" w:rsidRPr="00310492">
        <w:rPr>
          <w:rFonts w:ascii="Times New Roman" w:hAnsi="Times New Roman" w:cs="Times New Roman"/>
          <w:sz w:val="24"/>
          <w:szCs w:val="24"/>
        </w:rPr>
        <w:t xml:space="preserve">unassisted </w:t>
      </w:r>
      <w:r w:rsidR="00670897" w:rsidRPr="00310492">
        <w:rPr>
          <w:rFonts w:ascii="Times New Roman" w:hAnsi="Times New Roman" w:cs="Times New Roman"/>
          <w:sz w:val="24"/>
          <w:szCs w:val="24"/>
        </w:rPr>
        <w:t xml:space="preserve">thawing </w:t>
      </w:r>
      <w:r w:rsidR="00B808ED" w:rsidRPr="00310492">
        <w:rPr>
          <w:rFonts w:ascii="Times New Roman" w:hAnsi="Times New Roman" w:cs="Times New Roman"/>
          <w:sz w:val="24"/>
          <w:szCs w:val="24"/>
        </w:rPr>
        <w:t>at room temperature</w:t>
      </w:r>
      <w:r w:rsidR="00670897" w:rsidRPr="00310492">
        <w:rPr>
          <w:rFonts w:ascii="Times New Roman" w:hAnsi="Times New Roman" w:cs="Times New Roman"/>
          <w:sz w:val="24"/>
          <w:szCs w:val="24"/>
        </w:rPr>
        <w:t xml:space="preserve">. Three replicates of each QC sample were evaluated while the remaining samples underwent refreezing at -20°C for 24 hours.  </w:t>
      </w:r>
      <w:r w:rsidR="00150E89" w:rsidRPr="00310492">
        <w:rPr>
          <w:rFonts w:ascii="Times New Roman" w:hAnsi="Times New Roman" w:cs="Times New Roman"/>
          <w:sz w:val="24"/>
          <w:szCs w:val="24"/>
        </w:rPr>
        <w:t>Freeze-thaw stability was estimated by comparing the relative concentrations of freshly prepared samples and QC samples following the 1</w:t>
      </w:r>
      <w:r w:rsidR="00150E89" w:rsidRPr="00310492">
        <w:rPr>
          <w:rFonts w:ascii="Times New Roman" w:hAnsi="Times New Roman" w:cs="Times New Roman"/>
          <w:sz w:val="24"/>
          <w:szCs w:val="24"/>
          <w:vertAlign w:val="superscript"/>
        </w:rPr>
        <w:t>st</w:t>
      </w:r>
      <w:r w:rsidR="00150E89" w:rsidRPr="00310492">
        <w:rPr>
          <w:rFonts w:ascii="Times New Roman" w:hAnsi="Times New Roman" w:cs="Times New Roman"/>
          <w:sz w:val="24"/>
          <w:szCs w:val="24"/>
        </w:rPr>
        <w:t xml:space="preserve"> and 2</w:t>
      </w:r>
      <w:r w:rsidR="00150E89" w:rsidRPr="00310492">
        <w:rPr>
          <w:rFonts w:ascii="Times New Roman" w:hAnsi="Times New Roman" w:cs="Times New Roman"/>
          <w:sz w:val="24"/>
          <w:szCs w:val="24"/>
          <w:vertAlign w:val="superscript"/>
        </w:rPr>
        <w:t>nd</w:t>
      </w:r>
      <w:r w:rsidR="00150E89" w:rsidRPr="00310492">
        <w:rPr>
          <w:rFonts w:ascii="Times New Roman" w:hAnsi="Times New Roman" w:cs="Times New Roman"/>
          <w:sz w:val="24"/>
          <w:szCs w:val="24"/>
        </w:rPr>
        <w:t xml:space="preserve"> freeze-thaw cycles</w:t>
      </w:r>
      <w:r w:rsidR="007E73CA" w:rsidRPr="00310492">
        <w:rPr>
          <w:rFonts w:ascii="Times New Roman" w:hAnsi="Times New Roman" w:cs="Times New Roman"/>
          <w:sz w:val="24"/>
          <w:szCs w:val="24"/>
        </w:rPr>
        <w:t>.</w:t>
      </w:r>
      <w:r w:rsidR="006236CE"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7</w:t>
      </w:r>
    </w:p>
    <w:p w:rsidR="003A17C0" w:rsidRPr="00310492" w:rsidRDefault="00EB77E0" w:rsidP="00310492">
      <w:pPr>
        <w:spacing w:line="360" w:lineRule="auto"/>
        <w:rPr>
          <w:rFonts w:ascii="Times New Roman" w:hAnsi="Times New Roman" w:cs="Times New Roman"/>
          <w:b/>
          <w:sz w:val="24"/>
          <w:szCs w:val="24"/>
        </w:rPr>
      </w:pPr>
      <w:r w:rsidRPr="00310492">
        <w:rPr>
          <w:rFonts w:ascii="Times New Roman" w:hAnsi="Times New Roman" w:cs="Times New Roman"/>
          <w:b/>
          <w:sz w:val="24"/>
          <w:szCs w:val="24"/>
        </w:rPr>
        <w:t>Application of assay</w:t>
      </w:r>
      <w:r w:rsidR="00BD4807" w:rsidRPr="00310492">
        <w:rPr>
          <w:rFonts w:ascii="Times New Roman" w:hAnsi="Times New Roman" w:cs="Times New Roman"/>
          <w:b/>
          <w:sz w:val="24"/>
          <w:szCs w:val="24"/>
        </w:rPr>
        <w:t xml:space="preserve"> </w:t>
      </w:r>
      <w:r w:rsidRPr="00310492">
        <w:rPr>
          <w:rFonts w:ascii="Times New Roman" w:hAnsi="Times New Roman" w:cs="Times New Roman"/>
          <w:b/>
          <w:sz w:val="24"/>
          <w:szCs w:val="24"/>
        </w:rPr>
        <w:t xml:space="preserve">for quantification of </w:t>
      </w:r>
      <w:r w:rsidR="00BD4807" w:rsidRPr="00310492">
        <w:rPr>
          <w:rFonts w:ascii="Times New Roman" w:hAnsi="Times New Roman" w:cs="Times New Roman"/>
          <w:b/>
          <w:sz w:val="24"/>
          <w:szCs w:val="24"/>
        </w:rPr>
        <w:t>ceftiofur hydrochloride in buffalo plasma</w:t>
      </w:r>
    </w:p>
    <w:p w:rsidR="008D0675" w:rsidRPr="00310492" w:rsidRDefault="00BD4807"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The </w:t>
      </w:r>
      <w:r w:rsidR="00150E89" w:rsidRPr="00310492">
        <w:rPr>
          <w:rFonts w:ascii="Times New Roman" w:hAnsi="Times New Roman" w:cs="Times New Roman"/>
          <w:sz w:val="24"/>
          <w:szCs w:val="24"/>
        </w:rPr>
        <w:t>analytical</w:t>
      </w:r>
      <w:r w:rsidRPr="00310492">
        <w:rPr>
          <w:rFonts w:ascii="Times New Roman" w:hAnsi="Times New Roman" w:cs="Times New Roman"/>
          <w:sz w:val="24"/>
          <w:szCs w:val="24"/>
        </w:rPr>
        <w:t xml:space="preserve"> method was employed </w:t>
      </w:r>
      <w:r w:rsidR="00150E89" w:rsidRPr="00310492">
        <w:rPr>
          <w:rFonts w:ascii="Times New Roman" w:hAnsi="Times New Roman" w:cs="Times New Roman"/>
          <w:sz w:val="24"/>
          <w:szCs w:val="24"/>
        </w:rPr>
        <w:t>for</w:t>
      </w:r>
      <w:r w:rsidRPr="00310492">
        <w:rPr>
          <w:rFonts w:ascii="Times New Roman" w:hAnsi="Times New Roman" w:cs="Times New Roman"/>
          <w:sz w:val="24"/>
          <w:szCs w:val="24"/>
        </w:rPr>
        <w:t xml:space="preserve"> </w:t>
      </w:r>
      <w:r w:rsidR="00EB77E0" w:rsidRPr="00310492">
        <w:rPr>
          <w:rFonts w:ascii="Times New Roman" w:hAnsi="Times New Roman" w:cs="Times New Roman"/>
          <w:sz w:val="24"/>
          <w:szCs w:val="24"/>
        </w:rPr>
        <w:t>estimation</w:t>
      </w:r>
      <w:r w:rsidRPr="00310492">
        <w:rPr>
          <w:rFonts w:ascii="Times New Roman" w:hAnsi="Times New Roman" w:cs="Times New Roman"/>
          <w:sz w:val="24"/>
          <w:szCs w:val="24"/>
        </w:rPr>
        <w:t xml:space="preserve"> of ceftiofur in plasma samples collected from two buffalo calves </w:t>
      </w:r>
      <w:r w:rsidR="001D77EC" w:rsidRPr="00310492">
        <w:rPr>
          <w:rFonts w:ascii="Times New Roman" w:hAnsi="Times New Roman" w:cs="Times New Roman"/>
          <w:sz w:val="24"/>
          <w:szCs w:val="24"/>
        </w:rPr>
        <w:t xml:space="preserve">after 10 minutes </w:t>
      </w:r>
      <w:r w:rsidRPr="00310492">
        <w:rPr>
          <w:rFonts w:ascii="Times New Roman" w:hAnsi="Times New Roman" w:cs="Times New Roman"/>
          <w:sz w:val="24"/>
          <w:szCs w:val="24"/>
        </w:rPr>
        <w:t xml:space="preserve">following the </w:t>
      </w:r>
      <w:r w:rsidR="001D77EC" w:rsidRPr="00310492">
        <w:rPr>
          <w:rFonts w:ascii="Times New Roman" w:hAnsi="Times New Roman" w:cs="Times New Roman"/>
          <w:sz w:val="24"/>
          <w:szCs w:val="24"/>
        </w:rPr>
        <w:t xml:space="preserve">intramuscular and subcutaneous </w:t>
      </w:r>
      <w:r w:rsidRPr="00310492">
        <w:rPr>
          <w:rFonts w:ascii="Times New Roman" w:hAnsi="Times New Roman" w:cs="Times New Roman"/>
          <w:sz w:val="24"/>
          <w:szCs w:val="24"/>
        </w:rPr>
        <w:t xml:space="preserve">administration of ceftiofur hydrochloride </w:t>
      </w:r>
      <w:r w:rsidR="00EB2FBF" w:rsidRPr="00310492">
        <w:rPr>
          <w:rFonts w:ascii="Times New Roman" w:hAnsi="Times New Roman" w:cs="Times New Roman"/>
          <w:sz w:val="24"/>
          <w:szCs w:val="24"/>
        </w:rPr>
        <w:t>(Cefur</w:t>
      </w:r>
      <w:r w:rsidR="00EB2FBF" w:rsidRPr="00310492">
        <w:rPr>
          <w:rFonts w:ascii="Times New Roman" w:hAnsi="Times New Roman" w:cs="Times New Roman"/>
          <w:sz w:val="24"/>
          <w:szCs w:val="24"/>
          <w:vertAlign w:val="superscript"/>
        </w:rPr>
        <w:t>®</w:t>
      </w:r>
      <w:r w:rsidR="00EB2FBF" w:rsidRPr="00310492">
        <w:rPr>
          <w:rFonts w:ascii="Times New Roman" w:hAnsi="Times New Roman" w:cs="Times New Roman"/>
          <w:sz w:val="24"/>
          <w:szCs w:val="24"/>
        </w:rPr>
        <w:t xml:space="preserve"> RTU injection; Nawan Laboratories (PVT) LTD., Karachi, Pakistan) </w:t>
      </w:r>
      <w:r w:rsidR="001D77EC" w:rsidRPr="00310492">
        <w:rPr>
          <w:rFonts w:ascii="Times New Roman" w:hAnsi="Times New Roman" w:cs="Times New Roman"/>
          <w:sz w:val="24"/>
          <w:szCs w:val="24"/>
        </w:rPr>
        <w:t>at 2.2 mg/Kg body weight</w:t>
      </w:r>
      <w:r w:rsidR="007E73CA" w:rsidRPr="00310492">
        <w:rPr>
          <w:rFonts w:ascii="Times New Roman" w:hAnsi="Times New Roman" w:cs="Times New Roman"/>
          <w:sz w:val="24"/>
          <w:szCs w:val="24"/>
        </w:rPr>
        <w:t>.</w:t>
      </w:r>
      <w:r w:rsidR="006236CE"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8</w:t>
      </w:r>
      <w:r w:rsidR="006236CE" w:rsidRPr="00310492">
        <w:rPr>
          <w:rFonts w:ascii="Times New Roman" w:hAnsi="Times New Roman" w:cs="Times New Roman"/>
          <w:sz w:val="24"/>
          <w:szCs w:val="24"/>
        </w:rPr>
        <w:t xml:space="preserve"> </w:t>
      </w:r>
      <w:r w:rsidR="004F720A" w:rsidRPr="00310492">
        <w:rPr>
          <w:rFonts w:ascii="Times New Roman" w:hAnsi="Times New Roman" w:cs="Times New Roman"/>
          <w:sz w:val="24"/>
          <w:szCs w:val="24"/>
        </w:rPr>
        <w:t xml:space="preserve">The procedures for care and handling of </w:t>
      </w:r>
      <w:r w:rsidR="004F720A" w:rsidRPr="00310492">
        <w:rPr>
          <w:rFonts w:ascii="Times New Roman" w:hAnsi="Times New Roman" w:cs="Times New Roman"/>
          <w:sz w:val="24"/>
          <w:szCs w:val="24"/>
        </w:rPr>
        <w:lastRenderedPageBreak/>
        <w:t>experimental animals were approved by the Ins</w:t>
      </w:r>
      <w:r w:rsidR="00893EEC" w:rsidRPr="00310492">
        <w:rPr>
          <w:rFonts w:ascii="Times New Roman" w:hAnsi="Times New Roman" w:cs="Times New Roman"/>
          <w:sz w:val="24"/>
          <w:szCs w:val="24"/>
        </w:rPr>
        <w:t>titutional Ethical Committee, University of Veterinary and Animal Sciences</w:t>
      </w:r>
      <w:r w:rsidR="004F720A" w:rsidRPr="00310492">
        <w:rPr>
          <w:rFonts w:ascii="Times New Roman" w:hAnsi="Times New Roman" w:cs="Times New Roman"/>
          <w:sz w:val="24"/>
          <w:szCs w:val="24"/>
        </w:rPr>
        <w:t>, Lahore, Pakistan (Letter No. DR/</w:t>
      </w:r>
      <w:r w:rsidR="002A01A1" w:rsidRPr="00310492">
        <w:rPr>
          <w:rFonts w:ascii="Times New Roman" w:hAnsi="Times New Roman" w:cs="Times New Roman"/>
          <w:sz w:val="24"/>
          <w:szCs w:val="24"/>
        </w:rPr>
        <w:t>214</w:t>
      </w:r>
      <w:r w:rsidR="004F720A" w:rsidRPr="00310492">
        <w:rPr>
          <w:rFonts w:ascii="Times New Roman" w:hAnsi="Times New Roman" w:cs="Times New Roman"/>
          <w:sz w:val="24"/>
          <w:szCs w:val="24"/>
        </w:rPr>
        <w:t xml:space="preserve">, dated </w:t>
      </w:r>
      <w:r w:rsidR="002A01A1" w:rsidRPr="00310492">
        <w:rPr>
          <w:rFonts w:ascii="Times New Roman" w:hAnsi="Times New Roman" w:cs="Times New Roman"/>
          <w:sz w:val="24"/>
          <w:szCs w:val="24"/>
        </w:rPr>
        <w:t>30</w:t>
      </w:r>
      <w:r w:rsidR="004F720A" w:rsidRPr="00310492">
        <w:rPr>
          <w:rFonts w:ascii="Times New Roman" w:hAnsi="Times New Roman" w:cs="Times New Roman"/>
          <w:sz w:val="24"/>
          <w:szCs w:val="24"/>
        </w:rPr>
        <w:t>-0</w:t>
      </w:r>
      <w:r w:rsidR="002A01A1" w:rsidRPr="00310492">
        <w:rPr>
          <w:rFonts w:ascii="Times New Roman" w:hAnsi="Times New Roman" w:cs="Times New Roman"/>
          <w:sz w:val="24"/>
          <w:szCs w:val="24"/>
        </w:rPr>
        <w:t>3</w:t>
      </w:r>
      <w:r w:rsidR="004F720A" w:rsidRPr="00310492">
        <w:rPr>
          <w:rFonts w:ascii="Times New Roman" w:hAnsi="Times New Roman" w:cs="Times New Roman"/>
          <w:sz w:val="24"/>
          <w:szCs w:val="24"/>
        </w:rPr>
        <w:t>-201</w:t>
      </w:r>
      <w:r w:rsidR="002A01A1" w:rsidRPr="00310492">
        <w:rPr>
          <w:rFonts w:ascii="Times New Roman" w:hAnsi="Times New Roman" w:cs="Times New Roman"/>
          <w:sz w:val="24"/>
          <w:szCs w:val="24"/>
        </w:rPr>
        <w:t>7</w:t>
      </w:r>
      <w:r w:rsidR="004F720A" w:rsidRPr="00310492">
        <w:rPr>
          <w:rFonts w:ascii="Times New Roman" w:hAnsi="Times New Roman" w:cs="Times New Roman"/>
          <w:sz w:val="24"/>
          <w:szCs w:val="24"/>
        </w:rPr>
        <w:t xml:space="preserve">). </w:t>
      </w:r>
    </w:p>
    <w:p w:rsidR="00BD4807" w:rsidRPr="00310492" w:rsidRDefault="00B52422" w:rsidP="00310492">
      <w:pPr>
        <w:spacing w:line="360" w:lineRule="auto"/>
        <w:rPr>
          <w:rFonts w:ascii="Times New Roman" w:hAnsi="Times New Roman" w:cs="Times New Roman"/>
          <w:b/>
          <w:sz w:val="24"/>
          <w:szCs w:val="24"/>
        </w:rPr>
      </w:pPr>
      <w:r w:rsidRPr="00310492">
        <w:rPr>
          <w:rFonts w:ascii="Times New Roman" w:hAnsi="Times New Roman" w:cs="Times New Roman"/>
          <w:b/>
          <w:sz w:val="24"/>
          <w:szCs w:val="24"/>
        </w:rPr>
        <w:t>R</w:t>
      </w:r>
      <w:r w:rsidR="00F36EF5" w:rsidRPr="00310492">
        <w:rPr>
          <w:rFonts w:ascii="Times New Roman" w:hAnsi="Times New Roman" w:cs="Times New Roman"/>
          <w:b/>
          <w:sz w:val="24"/>
          <w:szCs w:val="24"/>
        </w:rPr>
        <w:t>esults and discussion</w:t>
      </w:r>
    </w:p>
    <w:p w:rsidR="007033C5" w:rsidRPr="00310492" w:rsidRDefault="00585784" w:rsidP="00310492">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Extraction</w:t>
      </w:r>
      <w:r w:rsidR="00D94344" w:rsidRPr="00310492">
        <w:rPr>
          <w:rFonts w:ascii="Times New Roman" w:hAnsi="Times New Roman" w:cs="Times New Roman"/>
          <w:b/>
          <w:sz w:val="24"/>
          <w:szCs w:val="24"/>
        </w:rPr>
        <w:t xml:space="preserve"> and derivatization</w:t>
      </w:r>
      <w:r w:rsidRPr="00310492">
        <w:rPr>
          <w:rFonts w:ascii="Times New Roman" w:hAnsi="Times New Roman" w:cs="Times New Roman"/>
          <w:b/>
          <w:sz w:val="24"/>
          <w:szCs w:val="24"/>
        </w:rPr>
        <w:t xml:space="preserve"> of </w:t>
      </w:r>
      <w:r w:rsidR="00420F63" w:rsidRPr="00310492">
        <w:rPr>
          <w:rFonts w:ascii="Times New Roman" w:hAnsi="Times New Roman" w:cs="Times New Roman"/>
          <w:b/>
          <w:bCs/>
          <w:sz w:val="24"/>
          <w:szCs w:val="24"/>
        </w:rPr>
        <w:t>desfuroylceftiofur</w:t>
      </w:r>
    </w:p>
    <w:p w:rsidR="00D94344" w:rsidRPr="00310492" w:rsidRDefault="000D6BB1"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The c</w:t>
      </w:r>
      <w:r w:rsidR="00263BBF" w:rsidRPr="00310492">
        <w:rPr>
          <w:rFonts w:ascii="Times New Roman" w:hAnsi="Times New Roman" w:cs="Times New Roman"/>
          <w:sz w:val="24"/>
          <w:szCs w:val="24"/>
        </w:rPr>
        <w:t>leavage</w:t>
      </w:r>
      <w:r w:rsidRPr="00310492">
        <w:rPr>
          <w:rFonts w:ascii="Times New Roman" w:hAnsi="Times New Roman" w:cs="Times New Roman"/>
          <w:sz w:val="24"/>
          <w:szCs w:val="24"/>
        </w:rPr>
        <w:t xml:space="preserve"> of desfuroylceftiofur</w:t>
      </w:r>
      <w:r w:rsidR="00D94344" w:rsidRPr="00310492">
        <w:rPr>
          <w:rFonts w:ascii="Times New Roman" w:hAnsi="Times New Roman" w:cs="Times New Roman"/>
          <w:sz w:val="24"/>
          <w:szCs w:val="24"/>
        </w:rPr>
        <w:t xml:space="preserve"> </w:t>
      </w:r>
      <w:r w:rsidR="00420F63" w:rsidRPr="00310492">
        <w:rPr>
          <w:rFonts w:ascii="Times New Roman" w:hAnsi="Times New Roman" w:cs="Times New Roman"/>
          <w:sz w:val="24"/>
          <w:szCs w:val="24"/>
        </w:rPr>
        <w:t xml:space="preserve">and </w:t>
      </w:r>
      <w:r w:rsidR="00263BBF" w:rsidRPr="00310492">
        <w:rPr>
          <w:rFonts w:ascii="Times New Roman" w:hAnsi="Times New Roman" w:cs="Times New Roman"/>
          <w:sz w:val="24"/>
          <w:szCs w:val="24"/>
        </w:rPr>
        <w:t xml:space="preserve">its </w:t>
      </w:r>
      <w:r w:rsidR="00420F63" w:rsidRPr="00310492">
        <w:rPr>
          <w:rFonts w:ascii="Times New Roman" w:hAnsi="Times New Roman" w:cs="Times New Roman"/>
          <w:sz w:val="24"/>
          <w:szCs w:val="24"/>
        </w:rPr>
        <w:t>stabilization</w:t>
      </w:r>
      <w:r w:rsidR="00D94344" w:rsidRPr="00310492">
        <w:rPr>
          <w:rFonts w:ascii="Times New Roman" w:hAnsi="Times New Roman" w:cs="Times New Roman"/>
          <w:sz w:val="24"/>
          <w:szCs w:val="24"/>
        </w:rPr>
        <w:t xml:space="preserve"> </w:t>
      </w:r>
      <w:r w:rsidR="00420F63" w:rsidRPr="00310492">
        <w:rPr>
          <w:rFonts w:ascii="Times New Roman" w:hAnsi="Times New Roman" w:cs="Times New Roman"/>
          <w:sz w:val="24"/>
          <w:szCs w:val="24"/>
        </w:rPr>
        <w:t xml:space="preserve">to yield </w:t>
      </w:r>
      <w:r w:rsidR="00420F63" w:rsidRPr="00310492">
        <w:rPr>
          <w:rFonts w:ascii="Times New Roman" w:hAnsi="Times New Roman" w:cs="Times New Roman"/>
          <w:bCs/>
          <w:sz w:val="24"/>
          <w:szCs w:val="24"/>
        </w:rPr>
        <w:t>desfuroylceftiofur acetamide</w:t>
      </w:r>
      <w:r w:rsidR="00420F63" w:rsidRPr="00310492">
        <w:rPr>
          <w:rFonts w:ascii="Times New Roman" w:hAnsi="Times New Roman" w:cs="Times New Roman"/>
          <w:sz w:val="24"/>
          <w:szCs w:val="24"/>
        </w:rPr>
        <w:t xml:space="preserve"> were achieved </w:t>
      </w:r>
      <w:r w:rsidR="00D94344" w:rsidRPr="00310492">
        <w:rPr>
          <w:rFonts w:ascii="Times New Roman" w:hAnsi="Times New Roman" w:cs="Times New Roman"/>
          <w:sz w:val="24"/>
          <w:szCs w:val="24"/>
        </w:rPr>
        <w:t xml:space="preserve">by </w:t>
      </w:r>
      <w:r w:rsidR="00370EA9" w:rsidRPr="00310492">
        <w:rPr>
          <w:rFonts w:ascii="Times New Roman" w:hAnsi="Times New Roman" w:cs="Times New Roman"/>
          <w:sz w:val="24"/>
          <w:szCs w:val="24"/>
        </w:rPr>
        <w:t xml:space="preserve">mixing 0.2 mL of </w:t>
      </w:r>
      <w:r w:rsidRPr="00310492">
        <w:rPr>
          <w:rFonts w:ascii="Times New Roman" w:hAnsi="Times New Roman" w:cs="Times New Roman"/>
          <w:sz w:val="24"/>
          <w:szCs w:val="24"/>
        </w:rPr>
        <w:t>each</w:t>
      </w:r>
      <w:r w:rsidR="00370EA9" w:rsidRPr="00310492">
        <w:rPr>
          <w:rFonts w:ascii="Times New Roman" w:hAnsi="Times New Roman" w:cs="Times New Roman"/>
          <w:sz w:val="24"/>
          <w:szCs w:val="24"/>
        </w:rPr>
        <w:t xml:space="preserve"> sample with </w:t>
      </w:r>
      <w:r w:rsidR="00D94344" w:rsidRPr="00310492">
        <w:rPr>
          <w:rFonts w:ascii="Times New Roman" w:hAnsi="Times New Roman" w:cs="Times New Roman"/>
          <w:sz w:val="24"/>
          <w:szCs w:val="24"/>
        </w:rPr>
        <w:t xml:space="preserve">0.1 mL each of dithioerythritol and iodoacetamide </w:t>
      </w:r>
      <w:r w:rsidR="00370EA9" w:rsidRPr="00310492">
        <w:rPr>
          <w:rFonts w:ascii="Times New Roman" w:hAnsi="Times New Roman" w:cs="Times New Roman"/>
          <w:sz w:val="24"/>
          <w:szCs w:val="24"/>
        </w:rPr>
        <w:t>respectively</w:t>
      </w:r>
      <w:r w:rsidR="007E73CA" w:rsidRPr="00310492">
        <w:rPr>
          <w:rFonts w:ascii="Times New Roman" w:hAnsi="Times New Roman" w:cs="Times New Roman"/>
          <w:sz w:val="24"/>
          <w:szCs w:val="24"/>
        </w:rPr>
        <w:t>.</w:t>
      </w:r>
      <w:r w:rsidR="00D94344" w:rsidRPr="00310492">
        <w:rPr>
          <w:rFonts w:ascii="Times New Roman" w:hAnsi="Times New Roman" w:cs="Times New Roman"/>
          <w:sz w:val="24"/>
          <w:szCs w:val="24"/>
        </w:rPr>
        <w:t xml:space="preserve"> </w:t>
      </w:r>
      <w:r w:rsidR="005B3125" w:rsidRPr="00310492">
        <w:rPr>
          <w:rFonts w:ascii="Times New Roman" w:hAnsi="Times New Roman" w:cs="Times New Roman"/>
          <w:sz w:val="24"/>
          <w:szCs w:val="24"/>
        </w:rPr>
        <w:t xml:space="preserve">Moreover, successful derivatization of samples was </w:t>
      </w:r>
      <w:r w:rsidR="00420F63" w:rsidRPr="00310492">
        <w:rPr>
          <w:rFonts w:ascii="Times New Roman" w:hAnsi="Times New Roman" w:cs="Times New Roman"/>
          <w:sz w:val="24"/>
          <w:szCs w:val="24"/>
        </w:rPr>
        <w:t>accomplished</w:t>
      </w:r>
      <w:r w:rsidR="005B3125" w:rsidRPr="00310492">
        <w:rPr>
          <w:rFonts w:ascii="Times New Roman" w:hAnsi="Times New Roman" w:cs="Times New Roman"/>
          <w:sz w:val="24"/>
          <w:szCs w:val="24"/>
        </w:rPr>
        <w:t xml:space="preserve"> without solid-phase extraction </w:t>
      </w:r>
      <w:r w:rsidR="00B72988" w:rsidRPr="00310492">
        <w:rPr>
          <w:rFonts w:ascii="Times New Roman" w:hAnsi="Times New Roman" w:cs="Times New Roman"/>
          <w:sz w:val="24"/>
          <w:szCs w:val="24"/>
        </w:rPr>
        <w:t xml:space="preserve">in accordance with the findings of </w:t>
      </w:r>
      <w:r w:rsidR="00456D63" w:rsidRPr="00310492">
        <w:rPr>
          <w:rFonts w:ascii="Times New Roman" w:hAnsi="Times New Roman" w:cs="Times New Roman"/>
          <w:sz w:val="24"/>
          <w:szCs w:val="24"/>
        </w:rPr>
        <w:t>earlier</w:t>
      </w:r>
      <w:r w:rsidR="00B72988" w:rsidRPr="00310492">
        <w:rPr>
          <w:rFonts w:ascii="Times New Roman" w:hAnsi="Times New Roman" w:cs="Times New Roman"/>
          <w:sz w:val="24"/>
          <w:szCs w:val="24"/>
        </w:rPr>
        <w:t xml:space="preserve"> studies</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10</w:t>
      </w:r>
      <w:r w:rsidR="0081387B"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1</w:t>
      </w:r>
      <w:r w:rsidR="00B72988" w:rsidRPr="00310492">
        <w:rPr>
          <w:rFonts w:ascii="Times New Roman" w:hAnsi="Times New Roman" w:cs="Times New Roman"/>
          <w:sz w:val="24"/>
          <w:szCs w:val="24"/>
        </w:rPr>
        <w:t xml:space="preserve"> </w:t>
      </w:r>
      <w:r w:rsidR="008006F4" w:rsidRPr="00310492">
        <w:rPr>
          <w:rFonts w:ascii="Times New Roman" w:hAnsi="Times New Roman" w:cs="Times New Roman"/>
          <w:sz w:val="24"/>
          <w:szCs w:val="24"/>
        </w:rPr>
        <w:t>On the contrary</w:t>
      </w:r>
      <w:r w:rsidR="009E07D9" w:rsidRPr="00310492">
        <w:rPr>
          <w:rFonts w:ascii="Times New Roman" w:hAnsi="Times New Roman" w:cs="Times New Roman"/>
          <w:sz w:val="24"/>
          <w:szCs w:val="24"/>
        </w:rPr>
        <w:t xml:space="preserve">, </w:t>
      </w:r>
      <w:r w:rsidR="00456D63" w:rsidRPr="00310492">
        <w:rPr>
          <w:rFonts w:ascii="Times New Roman" w:hAnsi="Times New Roman" w:cs="Times New Roman"/>
          <w:sz w:val="24"/>
          <w:szCs w:val="24"/>
        </w:rPr>
        <w:t>typical</w:t>
      </w:r>
      <w:r w:rsidR="009E07D9" w:rsidRPr="00310492">
        <w:rPr>
          <w:rFonts w:ascii="Times New Roman" w:hAnsi="Times New Roman" w:cs="Times New Roman"/>
          <w:sz w:val="24"/>
          <w:szCs w:val="24"/>
        </w:rPr>
        <w:t xml:space="preserve"> analytical assays suggested either single, double or triple steps of solid-phase extraction and consumed relatively greater quantities of both reagents</w:t>
      </w:r>
      <w:r w:rsidR="007E73CA"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7</w:t>
      </w:r>
      <w:r w:rsidR="007E73CA" w:rsidRPr="00310492">
        <w:rPr>
          <w:rFonts w:ascii="Times New Roman" w:hAnsi="Times New Roman" w:cs="Times New Roman"/>
          <w:sz w:val="24"/>
          <w:szCs w:val="24"/>
          <w:vertAlign w:val="superscript"/>
        </w:rPr>
        <w:t xml:space="preserve">, </w:t>
      </w:r>
      <w:r w:rsidR="00670E65" w:rsidRPr="00310492">
        <w:rPr>
          <w:rFonts w:ascii="Times New Roman" w:hAnsi="Times New Roman" w:cs="Times New Roman"/>
          <w:sz w:val="24"/>
          <w:szCs w:val="24"/>
          <w:vertAlign w:val="superscript"/>
        </w:rPr>
        <w:t>8</w:t>
      </w:r>
      <w:r w:rsidR="007E73CA"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9</w:t>
      </w:r>
    </w:p>
    <w:p w:rsidR="00AF632D" w:rsidRPr="00310492" w:rsidRDefault="00AF632D" w:rsidP="00310492">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Chromatographic conditions</w:t>
      </w:r>
    </w:p>
    <w:p w:rsidR="008F792C" w:rsidRPr="00310492" w:rsidRDefault="00277C7A"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The</w:t>
      </w:r>
      <w:r w:rsidR="00AF632D" w:rsidRPr="00310492">
        <w:rPr>
          <w:rFonts w:ascii="Times New Roman" w:hAnsi="Times New Roman" w:cs="Times New Roman"/>
          <w:sz w:val="24"/>
          <w:szCs w:val="24"/>
        </w:rPr>
        <w:t xml:space="preserve"> </w:t>
      </w:r>
      <w:r w:rsidR="00AF632D" w:rsidRPr="00310492">
        <w:rPr>
          <w:rFonts w:ascii="Times New Roman" w:hAnsi="Times New Roman" w:cs="Times New Roman"/>
          <w:bCs/>
          <w:sz w:val="24"/>
          <w:szCs w:val="24"/>
        </w:rPr>
        <w:t xml:space="preserve">μ-Bondapack C18 column (250mm × 4.6 mm; internal diameter, 5 μm; Supelco, Bellefonte, PA, USA) </w:t>
      </w:r>
      <w:r w:rsidR="00AF632D" w:rsidRPr="00310492">
        <w:rPr>
          <w:rFonts w:ascii="Times New Roman" w:hAnsi="Times New Roman" w:cs="Times New Roman"/>
          <w:sz w:val="24"/>
          <w:szCs w:val="24"/>
        </w:rPr>
        <w:t xml:space="preserve">was chosen for analytical assay on the basis of retention time and peak symmetry. </w:t>
      </w:r>
      <w:r w:rsidR="003548BE" w:rsidRPr="00310492">
        <w:rPr>
          <w:rFonts w:ascii="Times New Roman" w:hAnsi="Times New Roman" w:cs="Times New Roman"/>
          <w:sz w:val="24"/>
          <w:szCs w:val="24"/>
        </w:rPr>
        <w:t xml:space="preserve">Beckoni-Barkar </w:t>
      </w:r>
      <w:r w:rsidR="003548BE" w:rsidRPr="00310492">
        <w:rPr>
          <w:rFonts w:ascii="Times New Roman" w:hAnsi="Times New Roman" w:cs="Times New Roman"/>
          <w:i/>
          <w:sz w:val="24"/>
          <w:szCs w:val="24"/>
        </w:rPr>
        <w:t>et al</w:t>
      </w:r>
      <w:r w:rsidR="00914B13" w:rsidRPr="00310492">
        <w:rPr>
          <w:rFonts w:ascii="Times New Roman" w:hAnsi="Times New Roman" w:cs="Times New Roman"/>
          <w:sz w:val="24"/>
          <w:szCs w:val="24"/>
        </w:rPr>
        <w:t>.</w:t>
      </w:r>
      <w:r w:rsidR="00914B13"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9</w:t>
      </w:r>
      <w:r w:rsidR="003548BE" w:rsidRPr="00310492">
        <w:rPr>
          <w:rFonts w:ascii="Times New Roman" w:hAnsi="Times New Roman" w:cs="Times New Roman"/>
          <w:sz w:val="24"/>
          <w:szCs w:val="24"/>
        </w:rPr>
        <w:t xml:space="preserve"> and Jacobson </w:t>
      </w:r>
      <w:r w:rsidR="003548BE" w:rsidRPr="00310492">
        <w:rPr>
          <w:rFonts w:ascii="Times New Roman" w:hAnsi="Times New Roman" w:cs="Times New Roman"/>
          <w:i/>
          <w:sz w:val="24"/>
          <w:szCs w:val="24"/>
        </w:rPr>
        <w:t>et al</w:t>
      </w:r>
      <w:r w:rsidR="00914B13"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10</w:t>
      </w:r>
      <w:r w:rsidR="003548BE" w:rsidRPr="00310492">
        <w:rPr>
          <w:rFonts w:ascii="Times New Roman" w:hAnsi="Times New Roman" w:cs="Times New Roman"/>
          <w:sz w:val="24"/>
          <w:szCs w:val="24"/>
          <w:vertAlign w:val="superscript"/>
        </w:rPr>
        <w:t xml:space="preserve"> </w:t>
      </w:r>
      <w:r w:rsidR="003548BE" w:rsidRPr="00310492">
        <w:rPr>
          <w:rFonts w:ascii="Times New Roman" w:hAnsi="Times New Roman" w:cs="Times New Roman"/>
          <w:sz w:val="24"/>
          <w:szCs w:val="24"/>
        </w:rPr>
        <w:t>also employed</w:t>
      </w:r>
      <w:r w:rsidR="00DA4BEE" w:rsidRPr="00310492">
        <w:rPr>
          <w:rFonts w:ascii="Times New Roman" w:hAnsi="Times New Roman" w:cs="Times New Roman"/>
          <w:sz w:val="24"/>
          <w:szCs w:val="24"/>
        </w:rPr>
        <w:t xml:space="preserve"> C18 </w:t>
      </w:r>
      <w:r w:rsidR="003548BE" w:rsidRPr="00310492">
        <w:rPr>
          <w:rFonts w:ascii="Times New Roman" w:hAnsi="Times New Roman" w:cs="Times New Roman"/>
          <w:sz w:val="24"/>
          <w:szCs w:val="24"/>
        </w:rPr>
        <w:t xml:space="preserve">column, whereas, De Baere </w:t>
      </w:r>
      <w:r w:rsidR="003548BE" w:rsidRPr="00310492">
        <w:rPr>
          <w:rFonts w:ascii="Times New Roman" w:hAnsi="Times New Roman" w:cs="Times New Roman"/>
          <w:i/>
          <w:sz w:val="24"/>
          <w:szCs w:val="24"/>
        </w:rPr>
        <w:t>et al</w:t>
      </w:r>
      <w:r w:rsidR="003548BE"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8</w:t>
      </w:r>
      <w:r w:rsidR="003548BE" w:rsidRPr="00310492">
        <w:rPr>
          <w:rFonts w:ascii="Times New Roman" w:hAnsi="Times New Roman" w:cs="Times New Roman"/>
          <w:sz w:val="24"/>
          <w:szCs w:val="24"/>
        </w:rPr>
        <w:t xml:space="preserve"> and Altan </w:t>
      </w:r>
      <w:r w:rsidR="003548BE" w:rsidRPr="00310492">
        <w:rPr>
          <w:rFonts w:ascii="Times New Roman" w:hAnsi="Times New Roman" w:cs="Times New Roman"/>
          <w:i/>
          <w:sz w:val="24"/>
          <w:szCs w:val="24"/>
        </w:rPr>
        <w:t>et al</w:t>
      </w:r>
      <w:r w:rsidR="00914B13" w:rsidRPr="00310492">
        <w:rPr>
          <w:rFonts w:ascii="Times New Roman" w:hAnsi="Times New Roman" w:cs="Times New Roman"/>
          <w:sz w:val="24"/>
          <w:szCs w:val="24"/>
        </w:rPr>
        <w:t>.</w:t>
      </w:r>
      <w:r w:rsidR="00914B13"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1</w:t>
      </w:r>
      <w:r w:rsidR="003548BE" w:rsidRPr="00310492">
        <w:rPr>
          <w:rFonts w:ascii="Times New Roman" w:hAnsi="Times New Roman" w:cs="Times New Roman"/>
          <w:sz w:val="24"/>
          <w:szCs w:val="24"/>
          <w:vertAlign w:val="superscript"/>
        </w:rPr>
        <w:t xml:space="preserve"> </w:t>
      </w:r>
      <w:r w:rsidR="003548BE" w:rsidRPr="00310492">
        <w:rPr>
          <w:rFonts w:ascii="Times New Roman" w:hAnsi="Times New Roman" w:cs="Times New Roman"/>
          <w:sz w:val="24"/>
          <w:szCs w:val="24"/>
        </w:rPr>
        <w:t xml:space="preserve">used </w:t>
      </w:r>
      <w:r w:rsidR="00DA4BEE" w:rsidRPr="00310492">
        <w:rPr>
          <w:rFonts w:ascii="Times New Roman" w:hAnsi="Times New Roman" w:cs="Times New Roman"/>
          <w:sz w:val="24"/>
          <w:szCs w:val="24"/>
        </w:rPr>
        <w:t xml:space="preserve">PLRP-S </w:t>
      </w:r>
      <w:r w:rsidR="00F449E6" w:rsidRPr="00310492">
        <w:rPr>
          <w:rFonts w:ascii="Times New Roman" w:hAnsi="Times New Roman" w:cs="Times New Roman"/>
          <w:sz w:val="24"/>
          <w:szCs w:val="24"/>
        </w:rPr>
        <w:t>columns</w:t>
      </w:r>
      <w:r w:rsidR="003548BE" w:rsidRPr="00310492">
        <w:rPr>
          <w:rFonts w:ascii="Times New Roman" w:hAnsi="Times New Roman" w:cs="Times New Roman"/>
          <w:sz w:val="24"/>
          <w:szCs w:val="24"/>
        </w:rPr>
        <w:t>.</w:t>
      </w:r>
      <w:r w:rsidR="00DA4BEE" w:rsidRPr="00310492">
        <w:rPr>
          <w:rFonts w:ascii="Times New Roman" w:hAnsi="Times New Roman" w:cs="Times New Roman"/>
          <w:sz w:val="24"/>
          <w:szCs w:val="24"/>
        </w:rPr>
        <w:t xml:space="preserve"> </w:t>
      </w:r>
      <w:r w:rsidR="003548BE" w:rsidRPr="00310492">
        <w:rPr>
          <w:rFonts w:ascii="Times New Roman" w:hAnsi="Times New Roman" w:cs="Times New Roman"/>
          <w:sz w:val="24"/>
          <w:szCs w:val="24"/>
        </w:rPr>
        <w:t xml:space="preserve">We obtained </w:t>
      </w:r>
      <w:r w:rsidR="003548BE" w:rsidRPr="00310492">
        <w:rPr>
          <w:rFonts w:ascii="Times New Roman" w:hAnsi="Times New Roman" w:cs="Times New Roman"/>
          <w:bCs/>
          <w:sz w:val="24"/>
          <w:szCs w:val="24"/>
        </w:rPr>
        <w:t xml:space="preserve">most suitable </w:t>
      </w:r>
      <w:r w:rsidR="00CE4066" w:rsidRPr="00310492">
        <w:rPr>
          <w:rFonts w:ascii="Times New Roman" w:hAnsi="Times New Roman" w:cs="Times New Roman"/>
          <w:bCs/>
          <w:sz w:val="24"/>
          <w:szCs w:val="24"/>
        </w:rPr>
        <w:t xml:space="preserve">results </w:t>
      </w:r>
      <w:r w:rsidR="00C035F4" w:rsidRPr="00310492">
        <w:rPr>
          <w:rFonts w:ascii="Times New Roman" w:hAnsi="Times New Roman" w:cs="Times New Roman"/>
          <w:bCs/>
          <w:sz w:val="24"/>
          <w:szCs w:val="24"/>
        </w:rPr>
        <w:t>with</w:t>
      </w:r>
      <w:r w:rsidR="003548BE" w:rsidRPr="00310492">
        <w:rPr>
          <w:rFonts w:ascii="Times New Roman" w:hAnsi="Times New Roman" w:cs="Times New Roman"/>
          <w:sz w:val="24"/>
          <w:szCs w:val="24"/>
        </w:rPr>
        <w:t xml:space="preserve"> </w:t>
      </w:r>
      <w:r w:rsidR="00CE4066" w:rsidRPr="00310492">
        <w:rPr>
          <w:rFonts w:ascii="Times New Roman" w:hAnsi="Times New Roman" w:cs="Times New Roman"/>
          <w:sz w:val="24"/>
          <w:szCs w:val="24"/>
        </w:rPr>
        <w:t>a</w:t>
      </w:r>
      <w:r w:rsidR="003548BE" w:rsidRPr="00310492">
        <w:rPr>
          <w:rFonts w:ascii="Times New Roman" w:hAnsi="Times New Roman" w:cs="Times New Roman"/>
          <w:sz w:val="24"/>
          <w:szCs w:val="24"/>
        </w:rPr>
        <w:t xml:space="preserve"> </w:t>
      </w:r>
      <w:r w:rsidR="00AF632D" w:rsidRPr="00310492">
        <w:rPr>
          <w:rFonts w:ascii="Times New Roman" w:hAnsi="Times New Roman" w:cs="Times New Roman"/>
          <w:bCs/>
          <w:sz w:val="24"/>
          <w:szCs w:val="24"/>
        </w:rPr>
        <w:t>combination of 0.3% sodium dihydrogen phosphate and acetonitrile (34:66)</w:t>
      </w:r>
      <w:r w:rsidR="00CE4066" w:rsidRPr="00310492">
        <w:rPr>
          <w:rFonts w:ascii="Times New Roman" w:hAnsi="Times New Roman" w:cs="Times New Roman"/>
          <w:bCs/>
          <w:sz w:val="24"/>
          <w:szCs w:val="24"/>
        </w:rPr>
        <w:t>, whereas,</w:t>
      </w:r>
      <w:r w:rsidR="00AF632D" w:rsidRPr="00310492">
        <w:rPr>
          <w:rFonts w:ascii="Times New Roman" w:hAnsi="Times New Roman" w:cs="Times New Roman"/>
          <w:bCs/>
          <w:sz w:val="24"/>
          <w:szCs w:val="24"/>
        </w:rPr>
        <w:t xml:space="preserve"> </w:t>
      </w:r>
      <w:r w:rsidR="00CE4066" w:rsidRPr="00310492">
        <w:rPr>
          <w:rFonts w:ascii="Times New Roman" w:hAnsi="Times New Roman" w:cs="Times New Roman"/>
          <w:bCs/>
          <w:sz w:val="24"/>
          <w:szCs w:val="24"/>
        </w:rPr>
        <w:t xml:space="preserve">earlier studies </w:t>
      </w:r>
      <w:r w:rsidR="00C035F4" w:rsidRPr="00310492">
        <w:rPr>
          <w:rFonts w:ascii="Times New Roman" w:hAnsi="Times New Roman" w:cs="Times New Roman"/>
          <w:bCs/>
          <w:sz w:val="24"/>
          <w:szCs w:val="24"/>
        </w:rPr>
        <w:t xml:space="preserve">primarily used the mobile phase consisting of </w:t>
      </w:r>
      <w:r w:rsidR="00C035F4" w:rsidRPr="00310492">
        <w:rPr>
          <w:rFonts w:ascii="Times New Roman" w:hAnsi="Times New Roman" w:cs="Times New Roman"/>
          <w:sz w:val="24"/>
          <w:szCs w:val="24"/>
        </w:rPr>
        <w:t>0.1% trifluoroacetic acid and acetonitrile</w:t>
      </w:r>
      <w:r w:rsidR="00C035F4" w:rsidRPr="00310492">
        <w:rPr>
          <w:rFonts w:ascii="Times New Roman" w:hAnsi="Times New Roman" w:cs="Times New Roman"/>
          <w:bCs/>
          <w:sz w:val="24"/>
          <w:szCs w:val="24"/>
        </w:rPr>
        <w:t xml:space="preserve"> or water</w:t>
      </w:r>
      <w:r w:rsidR="00914B13" w:rsidRPr="00310492">
        <w:rPr>
          <w:rFonts w:ascii="Times New Roman" w:hAnsi="Times New Roman" w:cs="Times New Roman"/>
          <w:bCs/>
          <w:sz w:val="24"/>
          <w:szCs w:val="24"/>
        </w:rPr>
        <w:t>.</w:t>
      </w:r>
      <w:r w:rsidR="00670E65" w:rsidRPr="00310492">
        <w:rPr>
          <w:rFonts w:ascii="Times New Roman" w:hAnsi="Times New Roman" w:cs="Times New Roman"/>
          <w:bCs/>
          <w:sz w:val="24"/>
          <w:szCs w:val="24"/>
          <w:vertAlign w:val="superscript"/>
        </w:rPr>
        <w:t>8</w:t>
      </w:r>
      <w:r w:rsidR="0081387B" w:rsidRPr="00310492">
        <w:rPr>
          <w:rFonts w:ascii="Times New Roman" w:hAnsi="Times New Roman" w:cs="Times New Roman"/>
          <w:bCs/>
          <w:sz w:val="24"/>
          <w:szCs w:val="24"/>
          <w:vertAlign w:val="superscript"/>
        </w:rPr>
        <w:t xml:space="preserve">, </w:t>
      </w:r>
      <w:r w:rsidR="00670E65" w:rsidRPr="00310492">
        <w:rPr>
          <w:rFonts w:ascii="Times New Roman" w:hAnsi="Times New Roman" w:cs="Times New Roman"/>
          <w:bCs/>
          <w:sz w:val="24"/>
          <w:szCs w:val="24"/>
          <w:vertAlign w:val="superscript"/>
        </w:rPr>
        <w:t>10</w:t>
      </w:r>
      <w:r w:rsidR="0081387B" w:rsidRPr="00310492">
        <w:rPr>
          <w:rFonts w:ascii="Times New Roman" w:hAnsi="Times New Roman" w:cs="Times New Roman"/>
          <w:bCs/>
          <w:sz w:val="24"/>
          <w:szCs w:val="24"/>
          <w:vertAlign w:val="superscript"/>
        </w:rPr>
        <w:t>, 1</w:t>
      </w:r>
      <w:r w:rsidR="00670E65" w:rsidRPr="00310492">
        <w:rPr>
          <w:rFonts w:ascii="Times New Roman" w:hAnsi="Times New Roman" w:cs="Times New Roman"/>
          <w:bCs/>
          <w:sz w:val="24"/>
          <w:szCs w:val="24"/>
          <w:vertAlign w:val="superscript"/>
        </w:rPr>
        <w:t>9</w:t>
      </w:r>
      <w:r w:rsidR="0081387B" w:rsidRPr="00310492">
        <w:rPr>
          <w:rFonts w:ascii="Times New Roman" w:hAnsi="Times New Roman" w:cs="Times New Roman"/>
          <w:bCs/>
          <w:sz w:val="24"/>
          <w:szCs w:val="24"/>
        </w:rPr>
        <w:t xml:space="preserve"> </w:t>
      </w:r>
      <w:r w:rsidR="00CE4066" w:rsidRPr="00310492">
        <w:rPr>
          <w:rFonts w:ascii="Times New Roman" w:hAnsi="Times New Roman" w:cs="Times New Roman"/>
          <w:bCs/>
          <w:sz w:val="24"/>
          <w:szCs w:val="24"/>
        </w:rPr>
        <w:t xml:space="preserve">The current HPLC assay involved </w:t>
      </w:r>
      <w:r w:rsidR="007F676C" w:rsidRPr="00310492">
        <w:rPr>
          <w:rFonts w:ascii="Times New Roman" w:hAnsi="Times New Roman" w:cs="Times New Roman"/>
          <w:bCs/>
          <w:sz w:val="24"/>
          <w:szCs w:val="24"/>
        </w:rPr>
        <w:t>isocratic elution</w:t>
      </w:r>
      <w:r w:rsidR="00CE4066" w:rsidRPr="00310492">
        <w:rPr>
          <w:rFonts w:ascii="Times New Roman" w:hAnsi="Times New Roman" w:cs="Times New Roman"/>
          <w:bCs/>
          <w:sz w:val="24"/>
          <w:szCs w:val="24"/>
        </w:rPr>
        <w:t xml:space="preserve"> for rapid and efficient analysis</w:t>
      </w:r>
      <w:r w:rsidR="00AF632D" w:rsidRPr="00310492">
        <w:rPr>
          <w:rFonts w:ascii="Times New Roman" w:hAnsi="Times New Roman" w:cs="Times New Roman"/>
          <w:bCs/>
          <w:sz w:val="24"/>
          <w:szCs w:val="24"/>
        </w:rPr>
        <w:t xml:space="preserve">. </w:t>
      </w:r>
      <w:r w:rsidR="002E2D7E" w:rsidRPr="00310492">
        <w:rPr>
          <w:rFonts w:ascii="Times New Roman" w:hAnsi="Times New Roman" w:cs="Times New Roman"/>
          <w:bCs/>
          <w:sz w:val="24"/>
          <w:szCs w:val="24"/>
        </w:rPr>
        <w:t xml:space="preserve">In contrast, </w:t>
      </w:r>
      <w:r w:rsidR="00420F63" w:rsidRPr="00310492">
        <w:rPr>
          <w:rFonts w:ascii="Times New Roman" w:hAnsi="Times New Roman" w:cs="Times New Roman"/>
          <w:bCs/>
          <w:sz w:val="24"/>
          <w:szCs w:val="24"/>
        </w:rPr>
        <w:t xml:space="preserve">virtually </w:t>
      </w:r>
      <w:r w:rsidR="007F676C" w:rsidRPr="00310492">
        <w:rPr>
          <w:rFonts w:ascii="Times New Roman" w:hAnsi="Times New Roman" w:cs="Times New Roman"/>
          <w:bCs/>
          <w:sz w:val="24"/>
          <w:szCs w:val="24"/>
        </w:rPr>
        <w:t>all</w:t>
      </w:r>
      <w:r w:rsidR="0015600F" w:rsidRPr="00310492">
        <w:rPr>
          <w:rFonts w:ascii="Times New Roman" w:hAnsi="Times New Roman" w:cs="Times New Roman"/>
          <w:bCs/>
          <w:sz w:val="24"/>
          <w:szCs w:val="24"/>
        </w:rPr>
        <w:t xml:space="preserve"> the previous methods </w:t>
      </w:r>
      <w:r w:rsidR="007F676C" w:rsidRPr="00310492">
        <w:rPr>
          <w:rFonts w:ascii="Times New Roman" w:hAnsi="Times New Roman" w:cs="Times New Roman"/>
          <w:bCs/>
          <w:sz w:val="24"/>
          <w:szCs w:val="24"/>
        </w:rPr>
        <w:t xml:space="preserve">were based on gradient </w:t>
      </w:r>
      <w:r w:rsidR="00CE4066" w:rsidRPr="00310492">
        <w:rPr>
          <w:rFonts w:ascii="Times New Roman" w:hAnsi="Times New Roman" w:cs="Times New Roman"/>
          <w:bCs/>
          <w:sz w:val="24"/>
          <w:szCs w:val="24"/>
        </w:rPr>
        <w:t>elution characterized by baseline shifting, slow column equilibration and relatively longer retention time</w:t>
      </w:r>
      <w:r w:rsidR="00914B13" w:rsidRPr="00310492">
        <w:rPr>
          <w:rFonts w:ascii="Times New Roman" w:hAnsi="Times New Roman" w:cs="Times New Roman"/>
          <w:bCs/>
          <w:sz w:val="24"/>
          <w:szCs w:val="24"/>
        </w:rPr>
        <w:t>.</w:t>
      </w:r>
      <w:r w:rsidR="00670E65" w:rsidRPr="00310492">
        <w:rPr>
          <w:rFonts w:ascii="Times New Roman" w:hAnsi="Times New Roman" w:cs="Times New Roman"/>
          <w:bCs/>
          <w:sz w:val="24"/>
          <w:szCs w:val="24"/>
          <w:vertAlign w:val="superscript"/>
        </w:rPr>
        <w:t>7</w:t>
      </w:r>
      <w:r w:rsidR="00914B13" w:rsidRPr="00310492">
        <w:rPr>
          <w:rFonts w:ascii="Times New Roman" w:hAnsi="Times New Roman" w:cs="Times New Roman"/>
          <w:bCs/>
          <w:sz w:val="24"/>
          <w:szCs w:val="24"/>
          <w:vertAlign w:val="superscript"/>
        </w:rPr>
        <w:t xml:space="preserve">, </w:t>
      </w:r>
      <w:r w:rsidR="00670E65" w:rsidRPr="00310492">
        <w:rPr>
          <w:rFonts w:ascii="Times New Roman" w:hAnsi="Times New Roman" w:cs="Times New Roman"/>
          <w:bCs/>
          <w:sz w:val="24"/>
          <w:szCs w:val="24"/>
          <w:vertAlign w:val="superscript"/>
        </w:rPr>
        <w:t>10</w:t>
      </w:r>
      <w:r w:rsidR="00914B13" w:rsidRPr="00310492">
        <w:rPr>
          <w:rFonts w:ascii="Times New Roman" w:hAnsi="Times New Roman" w:cs="Times New Roman"/>
          <w:bCs/>
          <w:sz w:val="24"/>
          <w:szCs w:val="24"/>
          <w:vertAlign w:val="superscript"/>
        </w:rPr>
        <w:t>, 1</w:t>
      </w:r>
      <w:r w:rsidR="00670E65" w:rsidRPr="00310492">
        <w:rPr>
          <w:rFonts w:ascii="Times New Roman" w:hAnsi="Times New Roman" w:cs="Times New Roman"/>
          <w:bCs/>
          <w:sz w:val="24"/>
          <w:szCs w:val="24"/>
          <w:vertAlign w:val="superscript"/>
        </w:rPr>
        <w:t>1</w:t>
      </w:r>
      <w:r w:rsidR="00914B13" w:rsidRPr="00310492">
        <w:rPr>
          <w:rFonts w:ascii="Times New Roman" w:hAnsi="Times New Roman" w:cs="Times New Roman"/>
          <w:bCs/>
          <w:sz w:val="24"/>
          <w:szCs w:val="24"/>
          <w:vertAlign w:val="superscript"/>
        </w:rPr>
        <w:t>, 1</w:t>
      </w:r>
      <w:r w:rsidR="00670E65" w:rsidRPr="00310492">
        <w:rPr>
          <w:rFonts w:ascii="Times New Roman" w:hAnsi="Times New Roman" w:cs="Times New Roman"/>
          <w:bCs/>
          <w:sz w:val="24"/>
          <w:szCs w:val="24"/>
          <w:vertAlign w:val="superscript"/>
        </w:rPr>
        <w:t>9</w:t>
      </w:r>
      <w:r w:rsidR="0081387B" w:rsidRPr="00310492">
        <w:rPr>
          <w:rFonts w:ascii="Times New Roman" w:hAnsi="Times New Roman" w:cs="Times New Roman"/>
          <w:bCs/>
          <w:sz w:val="24"/>
          <w:szCs w:val="24"/>
        </w:rPr>
        <w:t xml:space="preserve"> </w:t>
      </w:r>
      <w:r w:rsidR="00585784" w:rsidRPr="00310492">
        <w:rPr>
          <w:rFonts w:ascii="Times New Roman" w:hAnsi="Times New Roman" w:cs="Times New Roman"/>
          <w:bCs/>
          <w:sz w:val="24"/>
          <w:szCs w:val="24"/>
        </w:rPr>
        <w:t xml:space="preserve">The selected flow rate of </w:t>
      </w:r>
      <w:r w:rsidR="00585784" w:rsidRPr="00310492">
        <w:rPr>
          <w:rFonts w:ascii="Times New Roman" w:hAnsi="Times New Roman" w:cs="Times New Roman"/>
          <w:sz w:val="24"/>
          <w:szCs w:val="24"/>
        </w:rPr>
        <w:t>1 mL</w:t>
      </w:r>
      <w:r w:rsidR="00585784" w:rsidRPr="00310492">
        <w:rPr>
          <w:rFonts w:ascii="Times New Roman" w:hAnsi="Times New Roman" w:cs="Times New Roman"/>
          <w:bCs/>
          <w:sz w:val="24"/>
          <w:szCs w:val="24"/>
        </w:rPr>
        <w:t>.min</w:t>
      </w:r>
      <w:r w:rsidR="00585784" w:rsidRPr="00310492">
        <w:rPr>
          <w:rFonts w:ascii="Times New Roman" w:hAnsi="Times New Roman" w:cs="Times New Roman"/>
          <w:bCs/>
          <w:sz w:val="24"/>
          <w:szCs w:val="24"/>
          <w:vertAlign w:val="superscript"/>
        </w:rPr>
        <w:t>-1</w:t>
      </w:r>
      <w:r w:rsidR="00585784" w:rsidRPr="00310492">
        <w:rPr>
          <w:rFonts w:ascii="Times New Roman" w:hAnsi="Times New Roman" w:cs="Times New Roman"/>
          <w:sz w:val="24"/>
          <w:szCs w:val="24"/>
        </w:rPr>
        <w:t xml:space="preserve"> provided </w:t>
      </w:r>
      <w:r w:rsidR="00585784" w:rsidRPr="00310492">
        <w:rPr>
          <w:rFonts w:ascii="Times New Roman" w:hAnsi="Times New Roman" w:cs="Times New Roman"/>
          <w:bCs/>
          <w:sz w:val="24"/>
          <w:szCs w:val="24"/>
        </w:rPr>
        <w:t>o</w:t>
      </w:r>
      <w:r w:rsidR="00AF632D" w:rsidRPr="00310492">
        <w:rPr>
          <w:rFonts w:ascii="Times New Roman" w:hAnsi="Times New Roman" w:cs="Times New Roman"/>
          <w:bCs/>
          <w:sz w:val="24"/>
          <w:szCs w:val="24"/>
        </w:rPr>
        <w:t xml:space="preserve">ptimum resolution </w:t>
      </w:r>
      <w:r w:rsidR="00EF4020" w:rsidRPr="00310492">
        <w:rPr>
          <w:rFonts w:ascii="Times New Roman" w:hAnsi="Times New Roman" w:cs="Times New Roman"/>
          <w:sz w:val="24"/>
          <w:szCs w:val="24"/>
        </w:rPr>
        <w:t xml:space="preserve">thus reinforcing the findings of </w:t>
      </w:r>
      <w:r w:rsidR="00585784" w:rsidRPr="00310492">
        <w:rPr>
          <w:rFonts w:ascii="Times New Roman" w:hAnsi="Times New Roman" w:cs="Times New Roman"/>
          <w:sz w:val="24"/>
          <w:szCs w:val="24"/>
        </w:rPr>
        <w:t xml:space="preserve">some </w:t>
      </w:r>
      <w:r w:rsidR="00EF4020" w:rsidRPr="00310492">
        <w:rPr>
          <w:rFonts w:ascii="Times New Roman" w:hAnsi="Times New Roman" w:cs="Times New Roman"/>
          <w:sz w:val="24"/>
          <w:szCs w:val="24"/>
        </w:rPr>
        <w:t>earlier studies</w:t>
      </w:r>
      <w:r w:rsidR="00914B13"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7</w:t>
      </w:r>
      <w:r w:rsidR="00914B13" w:rsidRPr="00310492">
        <w:rPr>
          <w:rFonts w:ascii="Times New Roman" w:hAnsi="Times New Roman" w:cs="Times New Roman"/>
          <w:sz w:val="24"/>
          <w:szCs w:val="24"/>
          <w:vertAlign w:val="superscript"/>
        </w:rPr>
        <w:t xml:space="preserve">, </w:t>
      </w:r>
      <w:r w:rsidR="00670E65" w:rsidRPr="00310492">
        <w:rPr>
          <w:rFonts w:ascii="Times New Roman" w:hAnsi="Times New Roman" w:cs="Times New Roman"/>
          <w:sz w:val="24"/>
          <w:szCs w:val="24"/>
          <w:vertAlign w:val="superscript"/>
        </w:rPr>
        <w:t>10</w:t>
      </w:r>
      <w:r w:rsidR="00914B13"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9</w:t>
      </w:r>
      <w:r w:rsidR="0081387B" w:rsidRPr="00310492">
        <w:rPr>
          <w:rFonts w:ascii="Times New Roman" w:hAnsi="Times New Roman" w:cs="Times New Roman"/>
          <w:sz w:val="24"/>
          <w:szCs w:val="24"/>
        </w:rPr>
        <w:t xml:space="preserve"> </w:t>
      </w:r>
      <w:r w:rsidR="00585784" w:rsidRPr="00310492">
        <w:rPr>
          <w:rFonts w:ascii="Times New Roman" w:hAnsi="Times New Roman" w:cs="Times New Roman"/>
          <w:bCs/>
          <w:sz w:val="24"/>
          <w:szCs w:val="24"/>
        </w:rPr>
        <w:t>Whereas</w:t>
      </w:r>
      <w:r w:rsidR="00EF4020" w:rsidRPr="00310492">
        <w:rPr>
          <w:rFonts w:ascii="Times New Roman" w:hAnsi="Times New Roman" w:cs="Times New Roman"/>
          <w:bCs/>
          <w:sz w:val="24"/>
          <w:szCs w:val="24"/>
        </w:rPr>
        <w:t xml:space="preserve">, </w:t>
      </w:r>
      <w:r w:rsidR="00914B13" w:rsidRPr="00310492">
        <w:rPr>
          <w:rFonts w:ascii="Times New Roman" w:hAnsi="Times New Roman" w:cs="Times New Roman"/>
          <w:sz w:val="24"/>
          <w:szCs w:val="24"/>
        </w:rPr>
        <w:t xml:space="preserve">De Baere </w:t>
      </w:r>
      <w:r w:rsidR="00914B13" w:rsidRPr="00310492">
        <w:rPr>
          <w:rFonts w:ascii="Times New Roman" w:hAnsi="Times New Roman" w:cs="Times New Roman"/>
          <w:i/>
          <w:sz w:val="24"/>
          <w:szCs w:val="24"/>
        </w:rPr>
        <w:t>et al</w:t>
      </w:r>
      <w:r w:rsidR="00914B13"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8</w:t>
      </w:r>
      <w:r w:rsidR="00746B58" w:rsidRPr="00310492">
        <w:rPr>
          <w:rFonts w:ascii="Times New Roman" w:hAnsi="Times New Roman" w:cs="Times New Roman"/>
          <w:sz w:val="24"/>
          <w:szCs w:val="24"/>
        </w:rPr>
        <w:t xml:space="preserve"> and </w:t>
      </w:r>
      <w:r w:rsidR="00914B13" w:rsidRPr="00310492">
        <w:rPr>
          <w:rFonts w:ascii="Times New Roman" w:hAnsi="Times New Roman" w:cs="Times New Roman"/>
          <w:sz w:val="24"/>
          <w:szCs w:val="24"/>
        </w:rPr>
        <w:t xml:space="preserve">Altan </w:t>
      </w:r>
      <w:r w:rsidR="00914B13" w:rsidRPr="00310492">
        <w:rPr>
          <w:rFonts w:ascii="Times New Roman" w:hAnsi="Times New Roman" w:cs="Times New Roman"/>
          <w:i/>
          <w:sz w:val="24"/>
          <w:szCs w:val="24"/>
        </w:rPr>
        <w:t>et al</w:t>
      </w:r>
      <w:r w:rsidR="00914B13" w:rsidRPr="00310492">
        <w:rPr>
          <w:rFonts w:ascii="Times New Roman" w:hAnsi="Times New Roman" w:cs="Times New Roman"/>
          <w:sz w:val="24"/>
          <w:szCs w:val="24"/>
        </w:rPr>
        <w:t>.</w:t>
      </w:r>
      <w:r w:rsidR="00914B13" w:rsidRPr="00310492">
        <w:rPr>
          <w:rFonts w:ascii="Times New Roman" w:hAnsi="Times New Roman" w:cs="Times New Roman"/>
          <w:sz w:val="24"/>
          <w:szCs w:val="24"/>
          <w:vertAlign w:val="superscript"/>
        </w:rPr>
        <w:t>1</w:t>
      </w:r>
      <w:r w:rsidR="00670E65" w:rsidRPr="00310492">
        <w:rPr>
          <w:rFonts w:ascii="Times New Roman" w:hAnsi="Times New Roman" w:cs="Times New Roman"/>
          <w:sz w:val="24"/>
          <w:szCs w:val="24"/>
          <w:vertAlign w:val="superscript"/>
        </w:rPr>
        <w:t>1</w:t>
      </w:r>
      <w:r w:rsidR="00746B58" w:rsidRPr="00310492">
        <w:rPr>
          <w:rFonts w:ascii="Times New Roman" w:hAnsi="Times New Roman" w:cs="Times New Roman"/>
          <w:sz w:val="24"/>
          <w:szCs w:val="24"/>
        </w:rPr>
        <w:t xml:space="preserve"> </w:t>
      </w:r>
      <w:r w:rsidR="00EF4020" w:rsidRPr="00310492">
        <w:rPr>
          <w:rFonts w:ascii="Times New Roman" w:hAnsi="Times New Roman" w:cs="Times New Roman"/>
          <w:bCs/>
          <w:sz w:val="24"/>
          <w:szCs w:val="24"/>
        </w:rPr>
        <w:t xml:space="preserve">reported comparatively lower flow rates </w:t>
      </w:r>
      <w:r w:rsidR="00746B58" w:rsidRPr="00310492">
        <w:rPr>
          <w:rFonts w:ascii="Times New Roman" w:hAnsi="Times New Roman" w:cs="Times New Roman"/>
          <w:bCs/>
          <w:sz w:val="24"/>
          <w:szCs w:val="24"/>
        </w:rPr>
        <w:t xml:space="preserve">of 0.4 </w:t>
      </w:r>
      <w:r w:rsidR="0072716D" w:rsidRPr="00310492">
        <w:rPr>
          <w:rFonts w:ascii="Times New Roman" w:hAnsi="Times New Roman" w:cs="Times New Roman"/>
          <w:sz w:val="24"/>
          <w:szCs w:val="24"/>
        </w:rPr>
        <w:t>mL</w:t>
      </w:r>
      <w:r w:rsidR="0072716D" w:rsidRPr="00310492">
        <w:rPr>
          <w:rFonts w:ascii="Times New Roman" w:hAnsi="Times New Roman" w:cs="Times New Roman"/>
          <w:bCs/>
          <w:sz w:val="24"/>
          <w:szCs w:val="24"/>
        </w:rPr>
        <w:t>.min</w:t>
      </w:r>
      <w:r w:rsidR="0072716D" w:rsidRPr="00310492">
        <w:rPr>
          <w:rFonts w:ascii="Times New Roman" w:hAnsi="Times New Roman" w:cs="Times New Roman"/>
          <w:bCs/>
          <w:sz w:val="24"/>
          <w:szCs w:val="24"/>
          <w:vertAlign w:val="superscript"/>
        </w:rPr>
        <w:t>-1</w:t>
      </w:r>
      <w:r w:rsidR="00746B58" w:rsidRPr="00310492">
        <w:rPr>
          <w:rFonts w:ascii="Times New Roman" w:hAnsi="Times New Roman" w:cs="Times New Roman"/>
          <w:bCs/>
          <w:sz w:val="24"/>
          <w:szCs w:val="24"/>
        </w:rPr>
        <w:t xml:space="preserve"> </w:t>
      </w:r>
      <w:r w:rsidR="00AF632D" w:rsidRPr="00310492">
        <w:rPr>
          <w:rFonts w:ascii="Times New Roman" w:hAnsi="Times New Roman" w:cs="Times New Roman"/>
          <w:bCs/>
          <w:sz w:val="24"/>
          <w:szCs w:val="24"/>
        </w:rPr>
        <w:t xml:space="preserve">and </w:t>
      </w:r>
      <w:r w:rsidR="00746B58" w:rsidRPr="00310492">
        <w:rPr>
          <w:rFonts w:ascii="Times New Roman" w:hAnsi="Times New Roman" w:cs="Times New Roman"/>
          <w:bCs/>
          <w:sz w:val="24"/>
          <w:szCs w:val="24"/>
        </w:rPr>
        <w:t xml:space="preserve">0.3 </w:t>
      </w:r>
      <w:r w:rsidR="0072716D" w:rsidRPr="00310492">
        <w:rPr>
          <w:rFonts w:ascii="Times New Roman" w:hAnsi="Times New Roman" w:cs="Times New Roman"/>
          <w:sz w:val="24"/>
          <w:szCs w:val="24"/>
        </w:rPr>
        <w:t>mL</w:t>
      </w:r>
      <w:r w:rsidR="0072716D" w:rsidRPr="00310492">
        <w:rPr>
          <w:rFonts w:ascii="Times New Roman" w:hAnsi="Times New Roman" w:cs="Times New Roman"/>
          <w:bCs/>
          <w:sz w:val="24"/>
          <w:szCs w:val="24"/>
        </w:rPr>
        <w:t>.min</w:t>
      </w:r>
      <w:r w:rsidR="0072716D" w:rsidRPr="00310492">
        <w:rPr>
          <w:rFonts w:ascii="Times New Roman" w:hAnsi="Times New Roman" w:cs="Times New Roman"/>
          <w:bCs/>
          <w:sz w:val="24"/>
          <w:szCs w:val="24"/>
          <w:vertAlign w:val="superscript"/>
        </w:rPr>
        <w:t>-1</w:t>
      </w:r>
      <w:r w:rsidR="00746B58" w:rsidRPr="00310492">
        <w:rPr>
          <w:rFonts w:ascii="Times New Roman" w:hAnsi="Times New Roman" w:cs="Times New Roman"/>
          <w:bCs/>
          <w:sz w:val="24"/>
          <w:szCs w:val="24"/>
        </w:rPr>
        <w:t xml:space="preserve"> respectively. </w:t>
      </w:r>
      <w:r w:rsidR="00C36CE6" w:rsidRPr="00310492">
        <w:rPr>
          <w:rFonts w:ascii="Times New Roman" w:hAnsi="Times New Roman" w:cs="Times New Roman"/>
          <w:bCs/>
          <w:sz w:val="24"/>
          <w:szCs w:val="24"/>
        </w:rPr>
        <w:t xml:space="preserve">The UV-VIS </w:t>
      </w:r>
      <w:r w:rsidR="00AF632D" w:rsidRPr="00310492">
        <w:rPr>
          <w:rFonts w:ascii="Times New Roman" w:hAnsi="Times New Roman" w:cs="Times New Roman"/>
          <w:bCs/>
          <w:sz w:val="24"/>
          <w:szCs w:val="24"/>
        </w:rPr>
        <w:t xml:space="preserve">detector </w:t>
      </w:r>
      <w:r w:rsidR="00C36CE6" w:rsidRPr="00310492">
        <w:rPr>
          <w:rFonts w:ascii="Times New Roman" w:hAnsi="Times New Roman" w:cs="Times New Roman"/>
          <w:bCs/>
          <w:sz w:val="24"/>
          <w:szCs w:val="24"/>
        </w:rPr>
        <w:t xml:space="preserve">and column oven were set </w:t>
      </w:r>
      <w:r w:rsidR="00AF632D" w:rsidRPr="00310492">
        <w:rPr>
          <w:rFonts w:ascii="Times New Roman" w:hAnsi="Times New Roman" w:cs="Times New Roman"/>
          <w:bCs/>
          <w:sz w:val="24"/>
          <w:szCs w:val="24"/>
        </w:rPr>
        <w:t xml:space="preserve">at </w:t>
      </w:r>
      <w:r w:rsidR="00AF632D" w:rsidRPr="00310492">
        <w:rPr>
          <w:rFonts w:ascii="Times New Roman" w:hAnsi="Times New Roman" w:cs="Times New Roman"/>
          <w:sz w:val="24"/>
          <w:szCs w:val="24"/>
        </w:rPr>
        <w:t xml:space="preserve">310 nm </w:t>
      </w:r>
      <w:r w:rsidR="00C36CE6" w:rsidRPr="00310492">
        <w:rPr>
          <w:rFonts w:ascii="Times New Roman" w:hAnsi="Times New Roman" w:cs="Times New Roman"/>
          <w:sz w:val="24"/>
          <w:szCs w:val="24"/>
        </w:rPr>
        <w:t xml:space="preserve">and </w:t>
      </w:r>
      <w:r w:rsidR="00C36CE6" w:rsidRPr="00310492">
        <w:rPr>
          <w:rFonts w:ascii="Times New Roman" w:hAnsi="Times New Roman" w:cs="Times New Roman"/>
          <w:bCs/>
          <w:sz w:val="24"/>
          <w:szCs w:val="24"/>
        </w:rPr>
        <w:t>37°C</w:t>
      </w:r>
      <w:r w:rsidR="00C36CE6" w:rsidRPr="00310492">
        <w:rPr>
          <w:rFonts w:ascii="Times New Roman" w:hAnsi="Times New Roman" w:cs="Times New Roman"/>
          <w:sz w:val="24"/>
          <w:szCs w:val="24"/>
        </w:rPr>
        <w:t xml:space="preserve"> </w:t>
      </w:r>
      <w:r w:rsidR="00AF632D" w:rsidRPr="00310492">
        <w:rPr>
          <w:rFonts w:ascii="Times New Roman" w:hAnsi="Times New Roman" w:cs="Times New Roman"/>
          <w:sz w:val="24"/>
          <w:szCs w:val="24"/>
        </w:rPr>
        <w:t xml:space="preserve">respectively. </w:t>
      </w:r>
      <w:r w:rsidR="00585784" w:rsidRPr="00310492">
        <w:rPr>
          <w:rFonts w:ascii="Times New Roman" w:hAnsi="Times New Roman" w:cs="Times New Roman"/>
          <w:sz w:val="24"/>
          <w:szCs w:val="24"/>
        </w:rPr>
        <w:t>Conversely</w:t>
      </w:r>
      <w:r w:rsidR="00C36CE6" w:rsidRPr="00310492">
        <w:rPr>
          <w:rFonts w:ascii="Times New Roman" w:hAnsi="Times New Roman" w:cs="Times New Roman"/>
          <w:sz w:val="24"/>
          <w:szCs w:val="24"/>
        </w:rPr>
        <w:t>, relatively sh</w:t>
      </w:r>
      <w:r w:rsidR="00914B13" w:rsidRPr="00310492">
        <w:rPr>
          <w:rFonts w:ascii="Times New Roman" w:hAnsi="Times New Roman" w:cs="Times New Roman"/>
          <w:sz w:val="24"/>
          <w:szCs w:val="24"/>
        </w:rPr>
        <w:t>orter wave lengths i.e., 254 nm</w:t>
      </w:r>
      <w:r w:rsidR="00670E65" w:rsidRPr="00310492">
        <w:rPr>
          <w:rFonts w:ascii="Times New Roman" w:hAnsi="Times New Roman" w:cs="Times New Roman"/>
          <w:sz w:val="24"/>
          <w:szCs w:val="24"/>
          <w:vertAlign w:val="superscript"/>
        </w:rPr>
        <w:t>7</w:t>
      </w:r>
      <w:r w:rsidR="00914B13" w:rsidRPr="00310492">
        <w:rPr>
          <w:rFonts w:ascii="Times New Roman" w:hAnsi="Times New Roman" w:cs="Times New Roman"/>
          <w:sz w:val="24"/>
          <w:szCs w:val="24"/>
        </w:rPr>
        <w:t>, 265 nm</w:t>
      </w:r>
      <w:r w:rsidR="00670E65" w:rsidRPr="00310492">
        <w:rPr>
          <w:rFonts w:ascii="Times New Roman" w:hAnsi="Times New Roman" w:cs="Times New Roman"/>
          <w:sz w:val="24"/>
          <w:szCs w:val="24"/>
          <w:vertAlign w:val="superscript"/>
        </w:rPr>
        <w:t>10</w:t>
      </w:r>
      <w:r w:rsidR="0081387B" w:rsidRPr="00310492">
        <w:rPr>
          <w:rFonts w:ascii="Times New Roman" w:hAnsi="Times New Roman" w:cs="Times New Roman"/>
          <w:sz w:val="24"/>
          <w:szCs w:val="24"/>
        </w:rPr>
        <w:t xml:space="preserve"> </w:t>
      </w:r>
      <w:r w:rsidR="00914B13" w:rsidRPr="00310492">
        <w:rPr>
          <w:rFonts w:ascii="Times New Roman" w:hAnsi="Times New Roman" w:cs="Times New Roman"/>
          <w:sz w:val="24"/>
          <w:szCs w:val="24"/>
        </w:rPr>
        <w:t>and 266 nm</w:t>
      </w:r>
      <w:r w:rsidR="00670E65" w:rsidRPr="00310492">
        <w:rPr>
          <w:rFonts w:ascii="Times New Roman" w:hAnsi="Times New Roman" w:cs="Times New Roman"/>
          <w:sz w:val="24"/>
          <w:szCs w:val="24"/>
          <w:vertAlign w:val="superscript"/>
        </w:rPr>
        <w:t>8</w:t>
      </w:r>
      <w:r w:rsidR="0081387B"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1</w:t>
      </w:r>
      <w:r w:rsidR="0081387B" w:rsidRPr="00310492">
        <w:rPr>
          <w:rFonts w:ascii="Times New Roman" w:hAnsi="Times New Roman" w:cs="Times New Roman"/>
          <w:sz w:val="24"/>
          <w:szCs w:val="24"/>
          <w:vertAlign w:val="superscript"/>
        </w:rPr>
        <w:t>, 1</w:t>
      </w:r>
      <w:r w:rsidR="00670E65" w:rsidRPr="00310492">
        <w:rPr>
          <w:rFonts w:ascii="Times New Roman" w:hAnsi="Times New Roman" w:cs="Times New Roman"/>
          <w:sz w:val="24"/>
          <w:szCs w:val="24"/>
          <w:vertAlign w:val="superscript"/>
        </w:rPr>
        <w:t>9</w:t>
      </w:r>
      <w:r w:rsidR="0081387B" w:rsidRPr="00310492">
        <w:rPr>
          <w:rFonts w:ascii="Times New Roman" w:hAnsi="Times New Roman" w:cs="Times New Roman"/>
          <w:sz w:val="24"/>
          <w:szCs w:val="24"/>
        </w:rPr>
        <w:t xml:space="preserve"> </w:t>
      </w:r>
      <w:r w:rsidR="00C36CE6" w:rsidRPr="00310492">
        <w:rPr>
          <w:rFonts w:ascii="Times New Roman" w:hAnsi="Times New Roman" w:cs="Times New Roman"/>
          <w:sz w:val="24"/>
          <w:szCs w:val="24"/>
        </w:rPr>
        <w:t xml:space="preserve">were formerly used for peak detection. </w:t>
      </w:r>
      <w:r w:rsidR="008F792C" w:rsidRPr="00310492">
        <w:rPr>
          <w:rFonts w:ascii="Times New Roman" w:hAnsi="Times New Roman" w:cs="Times New Roman"/>
          <w:sz w:val="24"/>
          <w:szCs w:val="24"/>
        </w:rPr>
        <w:t xml:space="preserve">Under the prescribed HPLC conditions, retention time was 6.8 minutes with a total run time of 10 minutes. </w:t>
      </w:r>
    </w:p>
    <w:p w:rsidR="008D0675" w:rsidRPr="00310492" w:rsidRDefault="00FF54F4" w:rsidP="00310492">
      <w:pPr>
        <w:spacing w:line="360" w:lineRule="auto"/>
        <w:rPr>
          <w:rFonts w:ascii="Times New Roman" w:hAnsi="Times New Roman" w:cs="Times New Roman"/>
          <w:b/>
          <w:sz w:val="24"/>
          <w:szCs w:val="24"/>
        </w:rPr>
      </w:pPr>
      <w:r w:rsidRPr="00310492">
        <w:rPr>
          <w:rFonts w:ascii="Times New Roman" w:hAnsi="Times New Roman" w:cs="Times New Roman"/>
          <w:b/>
          <w:sz w:val="24"/>
          <w:szCs w:val="24"/>
        </w:rPr>
        <w:t>V</w:t>
      </w:r>
      <w:r w:rsidR="00AF632D" w:rsidRPr="00310492">
        <w:rPr>
          <w:rFonts w:ascii="Times New Roman" w:hAnsi="Times New Roman" w:cs="Times New Roman"/>
          <w:b/>
          <w:sz w:val="24"/>
          <w:szCs w:val="24"/>
        </w:rPr>
        <w:t>alidation</w:t>
      </w:r>
      <w:r w:rsidRPr="00310492">
        <w:rPr>
          <w:rFonts w:ascii="Times New Roman" w:hAnsi="Times New Roman" w:cs="Times New Roman"/>
          <w:b/>
          <w:sz w:val="24"/>
          <w:szCs w:val="24"/>
        </w:rPr>
        <w:t xml:space="preserve"> of HPLC assay</w:t>
      </w:r>
    </w:p>
    <w:p w:rsidR="009251EA" w:rsidRPr="00310492" w:rsidRDefault="00FA3EA2"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lastRenderedPageBreak/>
        <w:t xml:space="preserve">The calibration curve </w:t>
      </w:r>
      <w:r w:rsidRPr="00310492">
        <w:rPr>
          <w:rFonts w:ascii="Times New Roman" w:hAnsi="Times New Roman" w:cs="Times New Roman"/>
          <w:bCs/>
          <w:sz w:val="24"/>
          <w:szCs w:val="24"/>
        </w:rPr>
        <w:t>of ceftiofur</w:t>
      </w:r>
      <w:r w:rsidRPr="00310492">
        <w:rPr>
          <w:rFonts w:ascii="Times New Roman" w:hAnsi="Times New Roman" w:cs="Times New Roman"/>
          <w:sz w:val="24"/>
          <w:szCs w:val="24"/>
        </w:rPr>
        <w:t xml:space="preserve"> was linear over the range of </w:t>
      </w:r>
      <w:r w:rsidRPr="00310492">
        <w:rPr>
          <w:rFonts w:ascii="Times New Roman" w:hAnsi="Times New Roman" w:cs="Times New Roman"/>
          <w:bCs/>
          <w:sz w:val="24"/>
          <w:szCs w:val="24"/>
        </w:rPr>
        <w:t>0.05</w:t>
      </w:r>
      <w:r w:rsidR="00F91EC0" w:rsidRPr="00310492">
        <w:rPr>
          <w:rFonts w:ascii="Times New Roman" w:hAnsi="Times New Roman" w:cs="Times New Roman"/>
          <w:bCs/>
          <w:sz w:val="24"/>
          <w:szCs w:val="24"/>
        </w:rPr>
        <w:t xml:space="preserve"> to 10 </w:t>
      </w:r>
      <w:r w:rsidR="005531B9">
        <w:rPr>
          <w:rFonts w:ascii="Times New Roman" w:hAnsi="Times New Roman" w:cs="Times New Roman"/>
          <w:bCs/>
          <w:sz w:val="24"/>
          <w:szCs w:val="24"/>
        </w:rPr>
        <w:t>µg/mL</w:t>
      </w:r>
      <w:r w:rsidRPr="00310492">
        <w:rPr>
          <w:rFonts w:ascii="Times New Roman" w:hAnsi="Times New Roman" w:cs="Times New Roman"/>
          <w:bCs/>
          <w:sz w:val="24"/>
          <w:szCs w:val="24"/>
        </w:rPr>
        <w:t xml:space="preserve"> with r</w:t>
      </w:r>
      <w:r w:rsidRPr="00310492">
        <w:rPr>
          <w:rFonts w:ascii="Times New Roman" w:hAnsi="Times New Roman" w:cs="Times New Roman"/>
          <w:bCs/>
          <w:sz w:val="24"/>
          <w:szCs w:val="24"/>
          <w:vertAlign w:val="superscript"/>
        </w:rPr>
        <w:t xml:space="preserve">2 </w:t>
      </w:r>
      <w:r w:rsidRPr="00310492">
        <w:rPr>
          <w:rFonts w:ascii="Times New Roman" w:hAnsi="Times New Roman" w:cs="Times New Roman"/>
          <w:bCs/>
          <w:sz w:val="24"/>
          <w:szCs w:val="24"/>
        </w:rPr>
        <w:t>= 0.999</w:t>
      </w:r>
      <w:r w:rsidR="00326342" w:rsidRPr="00310492">
        <w:rPr>
          <w:rFonts w:ascii="Times New Roman" w:hAnsi="Times New Roman" w:cs="Times New Roman"/>
          <w:bCs/>
          <w:sz w:val="24"/>
          <w:szCs w:val="24"/>
        </w:rPr>
        <w:t xml:space="preserve"> (Figure </w:t>
      </w:r>
      <w:r w:rsidR="00620FFF" w:rsidRPr="00310492">
        <w:rPr>
          <w:rFonts w:ascii="Times New Roman" w:hAnsi="Times New Roman" w:cs="Times New Roman"/>
          <w:bCs/>
          <w:sz w:val="24"/>
          <w:szCs w:val="24"/>
        </w:rPr>
        <w:t>2</w:t>
      </w:r>
      <w:r w:rsidR="00553399" w:rsidRPr="00310492">
        <w:rPr>
          <w:rFonts w:ascii="Times New Roman" w:hAnsi="Times New Roman" w:cs="Times New Roman"/>
          <w:bCs/>
          <w:sz w:val="24"/>
          <w:szCs w:val="24"/>
        </w:rPr>
        <w:t>)</w:t>
      </w:r>
      <w:r w:rsidRPr="00310492">
        <w:rPr>
          <w:rFonts w:ascii="Times New Roman" w:hAnsi="Times New Roman" w:cs="Times New Roman"/>
          <w:bCs/>
          <w:sz w:val="24"/>
          <w:szCs w:val="24"/>
        </w:rPr>
        <w:t xml:space="preserve">. </w:t>
      </w:r>
      <w:r w:rsidR="00326342" w:rsidRPr="00310492">
        <w:rPr>
          <w:rFonts w:ascii="Times New Roman" w:hAnsi="Times New Roman" w:cs="Times New Roman"/>
          <w:bCs/>
          <w:sz w:val="24"/>
          <w:szCs w:val="24"/>
        </w:rPr>
        <w:t xml:space="preserve">Table </w:t>
      </w:r>
      <w:r w:rsidR="009F1E33" w:rsidRPr="00310492">
        <w:rPr>
          <w:rFonts w:ascii="Times New Roman" w:hAnsi="Times New Roman" w:cs="Times New Roman"/>
          <w:bCs/>
          <w:sz w:val="24"/>
          <w:szCs w:val="24"/>
        </w:rPr>
        <w:t>1</w:t>
      </w:r>
      <w:r w:rsidR="00620FFF" w:rsidRPr="00310492">
        <w:rPr>
          <w:rFonts w:ascii="Times New Roman" w:hAnsi="Times New Roman" w:cs="Times New Roman"/>
          <w:bCs/>
          <w:sz w:val="24"/>
          <w:szCs w:val="24"/>
        </w:rPr>
        <w:t xml:space="preserve"> indicates the linearity data of analytical assay. </w:t>
      </w:r>
      <w:r w:rsidR="004C68D6" w:rsidRPr="00310492">
        <w:rPr>
          <w:rFonts w:ascii="Times New Roman" w:hAnsi="Times New Roman" w:cs="Times New Roman"/>
          <w:bCs/>
          <w:sz w:val="24"/>
          <w:szCs w:val="24"/>
        </w:rPr>
        <w:t xml:space="preserve">The LOD and LOQ of </w:t>
      </w:r>
      <w:r w:rsidR="00C36022" w:rsidRPr="00310492">
        <w:rPr>
          <w:rFonts w:ascii="Times New Roman" w:hAnsi="Times New Roman" w:cs="Times New Roman"/>
          <w:bCs/>
          <w:sz w:val="24"/>
          <w:szCs w:val="24"/>
        </w:rPr>
        <w:t xml:space="preserve">current </w:t>
      </w:r>
      <w:r w:rsidR="004C68D6" w:rsidRPr="00310492">
        <w:rPr>
          <w:rFonts w:ascii="Times New Roman" w:hAnsi="Times New Roman" w:cs="Times New Roman"/>
          <w:bCs/>
          <w:sz w:val="24"/>
          <w:szCs w:val="24"/>
        </w:rPr>
        <w:t xml:space="preserve">analytical method were 0.03 </w:t>
      </w:r>
      <w:r w:rsidR="005531B9">
        <w:rPr>
          <w:rFonts w:ascii="Times New Roman" w:hAnsi="Times New Roman" w:cs="Times New Roman"/>
          <w:sz w:val="24"/>
          <w:szCs w:val="24"/>
        </w:rPr>
        <w:t>µg/mL</w:t>
      </w:r>
      <w:r w:rsidR="0072716D" w:rsidRPr="00310492">
        <w:rPr>
          <w:rFonts w:ascii="Times New Roman" w:hAnsi="Times New Roman" w:cs="Times New Roman"/>
          <w:sz w:val="24"/>
          <w:szCs w:val="24"/>
        </w:rPr>
        <w:t xml:space="preserve"> </w:t>
      </w:r>
      <w:r w:rsidR="004C68D6" w:rsidRPr="00310492">
        <w:rPr>
          <w:rFonts w:ascii="Times New Roman" w:hAnsi="Times New Roman" w:cs="Times New Roman"/>
          <w:bCs/>
          <w:sz w:val="24"/>
          <w:szCs w:val="24"/>
        </w:rPr>
        <w:t xml:space="preserve">and 0.11 </w:t>
      </w:r>
      <w:r w:rsidR="005531B9">
        <w:rPr>
          <w:rFonts w:ascii="Times New Roman" w:hAnsi="Times New Roman" w:cs="Times New Roman"/>
          <w:sz w:val="24"/>
          <w:szCs w:val="24"/>
        </w:rPr>
        <w:t>µg/mL</w:t>
      </w:r>
      <w:r w:rsidR="005531B9" w:rsidRPr="00310492">
        <w:rPr>
          <w:rFonts w:ascii="Times New Roman" w:hAnsi="Times New Roman" w:cs="Times New Roman"/>
          <w:sz w:val="24"/>
          <w:szCs w:val="24"/>
        </w:rPr>
        <w:t xml:space="preserve"> respectively</w:t>
      </w:r>
      <w:r w:rsidR="004C68D6" w:rsidRPr="00310492">
        <w:rPr>
          <w:rFonts w:ascii="Times New Roman" w:hAnsi="Times New Roman" w:cs="Times New Roman"/>
          <w:sz w:val="24"/>
          <w:szCs w:val="24"/>
        </w:rPr>
        <w:t xml:space="preserve">. </w:t>
      </w:r>
      <w:r w:rsidR="008006F4" w:rsidRPr="00310492">
        <w:rPr>
          <w:rFonts w:ascii="Times New Roman" w:hAnsi="Times New Roman" w:cs="Times New Roman"/>
          <w:sz w:val="24"/>
          <w:szCs w:val="24"/>
        </w:rPr>
        <w:t>P</w:t>
      </w:r>
      <w:r w:rsidR="009A7DA8" w:rsidRPr="00310492">
        <w:rPr>
          <w:rFonts w:ascii="Times New Roman" w:hAnsi="Times New Roman" w:cs="Times New Roman"/>
          <w:sz w:val="24"/>
          <w:szCs w:val="24"/>
        </w:rPr>
        <w:t>rior studies have reported either c</w:t>
      </w:r>
      <w:r w:rsidR="004062F9" w:rsidRPr="00310492">
        <w:rPr>
          <w:rFonts w:ascii="Times New Roman" w:hAnsi="Times New Roman" w:cs="Times New Roman"/>
          <w:sz w:val="24"/>
          <w:szCs w:val="24"/>
        </w:rPr>
        <w:t>omparable</w:t>
      </w:r>
      <w:r w:rsidR="008006F4" w:rsidRPr="00310492">
        <w:rPr>
          <w:rFonts w:ascii="Times New Roman" w:hAnsi="Times New Roman" w:cs="Times New Roman"/>
          <w:sz w:val="24"/>
          <w:szCs w:val="24"/>
        </w:rPr>
        <w:t xml:space="preserve"> </w:t>
      </w:r>
      <w:r w:rsidR="00F449E6">
        <w:rPr>
          <w:rFonts w:ascii="Times New Roman" w:hAnsi="Times New Roman" w:cs="Times New Roman"/>
          <w:sz w:val="24"/>
          <w:szCs w:val="24"/>
          <w:vertAlign w:val="superscript"/>
        </w:rPr>
        <w:t>11, 19</w:t>
      </w:r>
      <w:r w:rsidR="004062F9" w:rsidRPr="00310492">
        <w:rPr>
          <w:rFonts w:ascii="Times New Roman" w:hAnsi="Times New Roman" w:cs="Times New Roman"/>
          <w:sz w:val="24"/>
          <w:szCs w:val="24"/>
        </w:rPr>
        <w:t xml:space="preserve"> </w:t>
      </w:r>
      <w:r w:rsidR="009A7DA8" w:rsidRPr="00310492">
        <w:rPr>
          <w:rFonts w:ascii="Times New Roman" w:hAnsi="Times New Roman" w:cs="Times New Roman"/>
          <w:sz w:val="24"/>
          <w:szCs w:val="24"/>
        </w:rPr>
        <w:t>or relatively lower</w:t>
      </w:r>
      <w:r w:rsidR="008006F4" w:rsidRPr="00310492">
        <w:rPr>
          <w:rFonts w:ascii="Times New Roman" w:hAnsi="Times New Roman" w:cs="Times New Roman"/>
          <w:sz w:val="24"/>
          <w:szCs w:val="24"/>
        </w:rPr>
        <w:t xml:space="preserve"> </w:t>
      </w:r>
      <w:r w:rsidR="00F449E6">
        <w:rPr>
          <w:rFonts w:ascii="Times New Roman" w:hAnsi="Times New Roman" w:cs="Times New Roman"/>
          <w:sz w:val="24"/>
          <w:szCs w:val="24"/>
          <w:vertAlign w:val="superscript"/>
        </w:rPr>
        <w:t>8, 10</w:t>
      </w:r>
      <w:r w:rsidR="009A7DA8" w:rsidRPr="00310492">
        <w:rPr>
          <w:rFonts w:ascii="Times New Roman" w:hAnsi="Times New Roman" w:cs="Times New Roman"/>
          <w:sz w:val="24"/>
          <w:szCs w:val="24"/>
        </w:rPr>
        <w:t xml:space="preserve"> sensitivities</w:t>
      </w:r>
      <w:r w:rsidR="008006F4" w:rsidRPr="00310492">
        <w:rPr>
          <w:rFonts w:ascii="Times New Roman" w:hAnsi="Times New Roman" w:cs="Times New Roman"/>
          <w:sz w:val="24"/>
          <w:szCs w:val="24"/>
        </w:rPr>
        <w:t>.</w:t>
      </w:r>
      <w:r w:rsidR="009A7DA8" w:rsidRPr="00310492">
        <w:rPr>
          <w:rFonts w:ascii="Times New Roman" w:hAnsi="Times New Roman" w:cs="Times New Roman"/>
          <w:sz w:val="24"/>
          <w:szCs w:val="24"/>
        </w:rPr>
        <w:t xml:space="preserve"> </w:t>
      </w:r>
    </w:p>
    <w:p w:rsidR="000179CE" w:rsidRPr="00310492" w:rsidRDefault="004C4487" w:rsidP="000179CE">
      <w:pPr>
        <w:tabs>
          <w:tab w:val="left" w:pos="3510"/>
          <w:tab w:val="center" w:pos="4680"/>
        </w:tabs>
        <w:spacing w:after="0" w:line="480" w:lineRule="atLeast"/>
        <w:textAlignment w:val="center"/>
        <w:outlineLvl w:val="1"/>
        <w:rPr>
          <w:rFonts w:ascii="Times New Roman" w:hAnsi="Times New Roman" w:cs="Times New Roman"/>
          <w:sz w:val="24"/>
          <w:szCs w:val="24"/>
        </w:rPr>
      </w:pPr>
      <w:r>
        <w:rPr>
          <w:b/>
          <w:noProof/>
        </w:rPr>
        <w:drawing>
          <wp:inline distT="0" distB="0" distL="0" distR="0">
            <wp:extent cx="3275463" cy="21354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4796" cy="2174153"/>
                    </a:xfrm>
                    <a:prstGeom prst="rect">
                      <a:avLst/>
                    </a:prstGeom>
                    <a:noFill/>
                  </pic:spPr>
                </pic:pic>
              </a:graphicData>
            </a:graphic>
          </wp:inline>
        </w:drawing>
      </w:r>
    </w:p>
    <w:p w:rsidR="000179CE" w:rsidRPr="00A300A1" w:rsidRDefault="000179CE" w:rsidP="00A300A1">
      <w:pPr>
        <w:pStyle w:val="Caption"/>
        <w:rPr>
          <w:rFonts w:ascii="Arial" w:hAnsi="Arial" w:cs="Arial"/>
          <w:i w:val="0"/>
          <w:color w:val="auto"/>
          <w:sz w:val="16"/>
          <w:szCs w:val="16"/>
        </w:rPr>
      </w:pPr>
      <w:r w:rsidRPr="00D166DB">
        <w:rPr>
          <w:rFonts w:ascii="Arial" w:hAnsi="Arial" w:cs="Arial"/>
          <w:b/>
          <w:i w:val="0"/>
          <w:color w:val="auto"/>
          <w:sz w:val="16"/>
          <w:szCs w:val="16"/>
        </w:rPr>
        <w:t>Figure 2</w:t>
      </w:r>
      <w:r w:rsidRPr="00D166DB">
        <w:rPr>
          <w:rFonts w:ascii="Arial" w:hAnsi="Arial" w:cs="Arial"/>
          <w:i w:val="0"/>
          <w:color w:val="auto"/>
          <w:sz w:val="16"/>
          <w:szCs w:val="16"/>
        </w:rPr>
        <w:t>. Calibration curve of ceftiofur, constructed by plotting the peak areas against corresponding concentrations (</w:t>
      </w:r>
      <w:r w:rsidRPr="00D166DB">
        <w:rPr>
          <w:rFonts w:ascii="Arial" w:hAnsi="Arial" w:cs="Arial"/>
          <w:bCs/>
          <w:i w:val="0"/>
          <w:color w:val="auto"/>
          <w:sz w:val="16"/>
          <w:szCs w:val="16"/>
        </w:rPr>
        <w:t>0.05 to 10 µg/mL)</w:t>
      </w:r>
      <w:r w:rsidRPr="00D166DB">
        <w:rPr>
          <w:rFonts w:ascii="Arial" w:hAnsi="Arial" w:cs="Arial"/>
          <w:i w:val="0"/>
          <w:color w:val="auto"/>
          <w:sz w:val="16"/>
          <w:szCs w:val="16"/>
        </w:rPr>
        <w:t xml:space="preserve"> of standard solutions </w:t>
      </w:r>
    </w:p>
    <w:p w:rsidR="000179CE" w:rsidRPr="00D166DB" w:rsidRDefault="000179CE" w:rsidP="000179CE">
      <w:pPr>
        <w:tabs>
          <w:tab w:val="left" w:pos="3950"/>
        </w:tabs>
        <w:spacing w:line="240" w:lineRule="auto"/>
        <w:rPr>
          <w:rFonts w:ascii="Arial" w:hAnsi="Arial" w:cs="Arial"/>
          <w:b/>
          <w:sz w:val="16"/>
          <w:szCs w:val="16"/>
        </w:rPr>
      </w:pPr>
      <w:r w:rsidRPr="00D166DB">
        <w:rPr>
          <w:rFonts w:ascii="Arial" w:hAnsi="Arial" w:cs="Arial"/>
          <w:b/>
          <w:sz w:val="16"/>
          <w:szCs w:val="16"/>
        </w:rPr>
        <w:t xml:space="preserve">Table 1. Linearity data of analytical assay </w:t>
      </w:r>
    </w:p>
    <w:tbl>
      <w:tblPr>
        <w:tblStyle w:val="TableGrid"/>
        <w:tblW w:w="45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38"/>
        <w:gridCol w:w="1846"/>
      </w:tblGrid>
      <w:tr w:rsidR="000179CE" w:rsidRPr="00D166DB" w:rsidTr="009923A6">
        <w:tc>
          <w:tcPr>
            <w:tcW w:w="2506" w:type="dxa"/>
            <w:tcBorders>
              <w:top w:val="single" w:sz="4" w:space="0" w:color="auto"/>
              <w:bottom w:val="single" w:sz="4" w:space="0" w:color="auto"/>
            </w:tcBorders>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b/>
                <w:sz w:val="16"/>
                <w:szCs w:val="16"/>
              </w:rPr>
              <w:t>Regression parameter</w:t>
            </w:r>
          </w:p>
        </w:tc>
        <w:tc>
          <w:tcPr>
            <w:tcW w:w="238" w:type="dxa"/>
            <w:tcBorders>
              <w:top w:val="single" w:sz="4" w:space="0" w:color="auto"/>
              <w:bottom w:val="single" w:sz="4" w:space="0" w:color="auto"/>
            </w:tcBorders>
            <w:vAlign w:val="center"/>
          </w:tcPr>
          <w:p w:rsidR="000179CE" w:rsidRPr="00D166DB" w:rsidRDefault="000179CE" w:rsidP="009923A6">
            <w:pPr>
              <w:tabs>
                <w:tab w:val="left" w:pos="4216"/>
              </w:tabs>
              <w:rPr>
                <w:rFonts w:ascii="Arial" w:hAnsi="Arial" w:cs="Arial"/>
                <w:sz w:val="16"/>
                <w:szCs w:val="16"/>
              </w:rPr>
            </w:pPr>
          </w:p>
        </w:tc>
        <w:tc>
          <w:tcPr>
            <w:tcW w:w="1846" w:type="dxa"/>
            <w:tcBorders>
              <w:top w:val="single" w:sz="4" w:space="0" w:color="auto"/>
              <w:bottom w:val="single" w:sz="4" w:space="0" w:color="auto"/>
            </w:tcBorders>
            <w:vAlign w:val="center"/>
          </w:tcPr>
          <w:p w:rsidR="000179CE" w:rsidRPr="00D166DB" w:rsidRDefault="000179CE" w:rsidP="009923A6">
            <w:pPr>
              <w:tabs>
                <w:tab w:val="left" w:pos="4216"/>
              </w:tabs>
              <w:rPr>
                <w:rFonts w:ascii="Arial" w:hAnsi="Arial" w:cs="Arial"/>
                <w:b/>
                <w:sz w:val="16"/>
                <w:szCs w:val="16"/>
              </w:rPr>
            </w:pPr>
            <w:r w:rsidRPr="00D166DB">
              <w:rPr>
                <w:rFonts w:ascii="Arial" w:hAnsi="Arial" w:cs="Arial"/>
                <w:b/>
                <w:sz w:val="16"/>
                <w:szCs w:val="16"/>
              </w:rPr>
              <w:t>Value</w:t>
            </w:r>
          </w:p>
        </w:tc>
      </w:tr>
      <w:tr w:rsidR="000179CE" w:rsidRPr="00D166DB" w:rsidTr="009923A6">
        <w:tc>
          <w:tcPr>
            <w:tcW w:w="2506" w:type="dxa"/>
            <w:tcBorders>
              <w:top w:val="single" w:sz="4" w:space="0" w:color="auto"/>
            </w:tcBorders>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sz w:val="16"/>
                <w:szCs w:val="16"/>
              </w:rPr>
              <w:t>r</w:t>
            </w:r>
            <w:r w:rsidRPr="00D166DB">
              <w:rPr>
                <w:rFonts w:ascii="Arial" w:hAnsi="Arial" w:cs="Arial"/>
                <w:sz w:val="16"/>
                <w:szCs w:val="16"/>
                <w:vertAlign w:val="superscript"/>
              </w:rPr>
              <w:t>2</w:t>
            </w:r>
          </w:p>
        </w:tc>
        <w:tc>
          <w:tcPr>
            <w:tcW w:w="238" w:type="dxa"/>
            <w:tcBorders>
              <w:top w:val="single" w:sz="4" w:space="0" w:color="auto"/>
            </w:tcBorders>
            <w:vAlign w:val="center"/>
          </w:tcPr>
          <w:p w:rsidR="000179CE" w:rsidRPr="00D166DB" w:rsidRDefault="000179CE" w:rsidP="009923A6">
            <w:pPr>
              <w:tabs>
                <w:tab w:val="left" w:pos="4216"/>
              </w:tabs>
              <w:rPr>
                <w:rFonts w:ascii="Arial" w:hAnsi="Arial" w:cs="Arial"/>
                <w:sz w:val="16"/>
                <w:szCs w:val="16"/>
              </w:rPr>
            </w:pPr>
          </w:p>
        </w:tc>
        <w:tc>
          <w:tcPr>
            <w:tcW w:w="1846" w:type="dxa"/>
            <w:tcBorders>
              <w:top w:val="single" w:sz="4" w:space="0" w:color="auto"/>
            </w:tcBorders>
            <w:vAlign w:val="center"/>
          </w:tcPr>
          <w:p w:rsidR="000179CE" w:rsidRPr="00D166DB" w:rsidRDefault="000179CE" w:rsidP="009923A6">
            <w:pPr>
              <w:rPr>
                <w:rFonts w:ascii="Arial" w:hAnsi="Arial" w:cs="Arial"/>
                <w:color w:val="000000"/>
                <w:sz w:val="16"/>
                <w:szCs w:val="16"/>
              </w:rPr>
            </w:pPr>
            <w:r w:rsidRPr="00D166DB">
              <w:rPr>
                <w:rFonts w:ascii="Arial" w:hAnsi="Arial" w:cs="Arial"/>
                <w:color w:val="000000"/>
                <w:sz w:val="16"/>
                <w:szCs w:val="16"/>
              </w:rPr>
              <w:t>0.999</w:t>
            </w:r>
          </w:p>
        </w:tc>
      </w:tr>
      <w:tr w:rsidR="000179CE" w:rsidRPr="00D166DB" w:rsidTr="009923A6">
        <w:tc>
          <w:tcPr>
            <w:tcW w:w="2506" w:type="dxa"/>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sz w:val="16"/>
                <w:szCs w:val="16"/>
              </w:rPr>
              <w:t>Slope</w:t>
            </w:r>
          </w:p>
        </w:tc>
        <w:tc>
          <w:tcPr>
            <w:tcW w:w="238" w:type="dxa"/>
            <w:vAlign w:val="center"/>
          </w:tcPr>
          <w:p w:rsidR="000179CE" w:rsidRPr="00D166DB" w:rsidRDefault="000179CE" w:rsidP="009923A6">
            <w:pPr>
              <w:tabs>
                <w:tab w:val="left" w:pos="4216"/>
              </w:tabs>
              <w:rPr>
                <w:rFonts w:ascii="Arial" w:hAnsi="Arial" w:cs="Arial"/>
                <w:sz w:val="16"/>
                <w:szCs w:val="16"/>
              </w:rPr>
            </w:pPr>
          </w:p>
        </w:tc>
        <w:tc>
          <w:tcPr>
            <w:tcW w:w="1846" w:type="dxa"/>
            <w:vAlign w:val="center"/>
          </w:tcPr>
          <w:p w:rsidR="000179CE" w:rsidRPr="00D166DB" w:rsidRDefault="000179CE" w:rsidP="009923A6">
            <w:pPr>
              <w:rPr>
                <w:rFonts w:ascii="Arial" w:hAnsi="Arial" w:cs="Arial"/>
                <w:color w:val="000000"/>
                <w:sz w:val="16"/>
                <w:szCs w:val="16"/>
              </w:rPr>
            </w:pPr>
            <w:r w:rsidRPr="00D166DB">
              <w:rPr>
                <w:rFonts w:ascii="Arial" w:hAnsi="Arial" w:cs="Arial"/>
                <w:color w:val="000000"/>
                <w:sz w:val="16"/>
                <w:szCs w:val="16"/>
              </w:rPr>
              <w:t>55886</w:t>
            </w:r>
          </w:p>
        </w:tc>
      </w:tr>
      <w:tr w:rsidR="000179CE" w:rsidRPr="00D166DB" w:rsidTr="009923A6">
        <w:tc>
          <w:tcPr>
            <w:tcW w:w="2506" w:type="dxa"/>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sz w:val="16"/>
                <w:szCs w:val="16"/>
              </w:rPr>
              <w:t>Intercept</w:t>
            </w:r>
          </w:p>
        </w:tc>
        <w:tc>
          <w:tcPr>
            <w:tcW w:w="238" w:type="dxa"/>
            <w:vAlign w:val="center"/>
          </w:tcPr>
          <w:p w:rsidR="000179CE" w:rsidRPr="00D166DB" w:rsidRDefault="000179CE" w:rsidP="009923A6">
            <w:pPr>
              <w:tabs>
                <w:tab w:val="left" w:pos="4216"/>
              </w:tabs>
              <w:rPr>
                <w:rFonts w:ascii="Arial" w:hAnsi="Arial" w:cs="Arial"/>
                <w:sz w:val="16"/>
                <w:szCs w:val="16"/>
              </w:rPr>
            </w:pPr>
          </w:p>
        </w:tc>
        <w:tc>
          <w:tcPr>
            <w:tcW w:w="1846" w:type="dxa"/>
            <w:vAlign w:val="center"/>
          </w:tcPr>
          <w:p w:rsidR="000179CE" w:rsidRPr="00D166DB" w:rsidRDefault="000179CE" w:rsidP="009923A6">
            <w:pPr>
              <w:rPr>
                <w:rFonts w:ascii="Arial" w:hAnsi="Arial" w:cs="Arial"/>
                <w:color w:val="000000"/>
                <w:sz w:val="16"/>
                <w:szCs w:val="16"/>
              </w:rPr>
            </w:pPr>
            <w:r w:rsidRPr="00D166DB">
              <w:rPr>
                <w:rFonts w:ascii="Arial" w:hAnsi="Arial" w:cs="Arial"/>
                <w:color w:val="000000"/>
                <w:sz w:val="16"/>
                <w:szCs w:val="16"/>
              </w:rPr>
              <w:t>6245.2</w:t>
            </w:r>
          </w:p>
        </w:tc>
      </w:tr>
      <w:tr w:rsidR="000179CE" w:rsidRPr="00D166DB" w:rsidTr="009923A6">
        <w:tc>
          <w:tcPr>
            <w:tcW w:w="2506" w:type="dxa"/>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sz w:val="16"/>
                <w:szCs w:val="16"/>
              </w:rPr>
              <w:t>Concentration range</w:t>
            </w:r>
          </w:p>
        </w:tc>
        <w:tc>
          <w:tcPr>
            <w:tcW w:w="238" w:type="dxa"/>
            <w:vAlign w:val="center"/>
          </w:tcPr>
          <w:p w:rsidR="000179CE" w:rsidRPr="00D166DB" w:rsidRDefault="000179CE" w:rsidP="009923A6">
            <w:pPr>
              <w:tabs>
                <w:tab w:val="left" w:pos="4216"/>
              </w:tabs>
              <w:rPr>
                <w:rFonts w:ascii="Arial" w:hAnsi="Arial" w:cs="Arial"/>
                <w:sz w:val="16"/>
                <w:szCs w:val="16"/>
              </w:rPr>
            </w:pPr>
          </w:p>
        </w:tc>
        <w:tc>
          <w:tcPr>
            <w:tcW w:w="1846" w:type="dxa"/>
            <w:vAlign w:val="center"/>
          </w:tcPr>
          <w:p w:rsidR="000179CE" w:rsidRPr="00D166DB" w:rsidRDefault="000179CE" w:rsidP="009923A6">
            <w:pPr>
              <w:rPr>
                <w:rFonts w:ascii="Arial" w:hAnsi="Arial" w:cs="Arial"/>
                <w:color w:val="000000"/>
                <w:sz w:val="16"/>
                <w:szCs w:val="16"/>
              </w:rPr>
            </w:pPr>
            <w:r w:rsidRPr="00D166DB">
              <w:rPr>
                <w:rFonts w:ascii="Arial" w:hAnsi="Arial" w:cs="Arial"/>
                <w:bCs/>
                <w:color w:val="000000"/>
                <w:sz w:val="16"/>
                <w:szCs w:val="16"/>
              </w:rPr>
              <w:t>0.05-10 µg/mL</w:t>
            </w:r>
          </w:p>
        </w:tc>
      </w:tr>
      <w:tr w:rsidR="000179CE" w:rsidRPr="00D166DB" w:rsidTr="009923A6">
        <w:tc>
          <w:tcPr>
            <w:tcW w:w="2506" w:type="dxa"/>
            <w:vAlign w:val="center"/>
          </w:tcPr>
          <w:p w:rsidR="000179CE" w:rsidRPr="00D166DB" w:rsidRDefault="000179CE" w:rsidP="009923A6">
            <w:pPr>
              <w:tabs>
                <w:tab w:val="left" w:pos="4216"/>
              </w:tabs>
              <w:rPr>
                <w:rFonts w:ascii="Arial" w:hAnsi="Arial" w:cs="Arial"/>
                <w:sz w:val="16"/>
                <w:szCs w:val="16"/>
              </w:rPr>
            </w:pPr>
            <w:r w:rsidRPr="00D166DB">
              <w:rPr>
                <w:rFonts w:ascii="Arial" w:hAnsi="Arial" w:cs="Arial"/>
                <w:sz w:val="16"/>
                <w:szCs w:val="16"/>
              </w:rPr>
              <w:t>Number of points</w:t>
            </w:r>
          </w:p>
        </w:tc>
        <w:tc>
          <w:tcPr>
            <w:tcW w:w="238" w:type="dxa"/>
            <w:vAlign w:val="center"/>
          </w:tcPr>
          <w:p w:rsidR="000179CE" w:rsidRPr="00D166DB" w:rsidRDefault="000179CE" w:rsidP="009923A6">
            <w:pPr>
              <w:tabs>
                <w:tab w:val="left" w:pos="4216"/>
              </w:tabs>
              <w:rPr>
                <w:rFonts w:ascii="Arial" w:hAnsi="Arial" w:cs="Arial"/>
                <w:sz w:val="16"/>
                <w:szCs w:val="16"/>
              </w:rPr>
            </w:pPr>
          </w:p>
        </w:tc>
        <w:tc>
          <w:tcPr>
            <w:tcW w:w="1846" w:type="dxa"/>
            <w:vAlign w:val="center"/>
          </w:tcPr>
          <w:p w:rsidR="000179CE" w:rsidRPr="00D166DB" w:rsidRDefault="000179CE" w:rsidP="009923A6">
            <w:pPr>
              <w:rPr>
                <w:rFonts w:ascii="Arial" w:hAnsi="Arial" w:cs="Arial"/>
                <w:color w:val="000000"/>
                <w:sz w:val="16"/>
                <w:szCs w:val="16"/>
              </w:rPr>
            </w:pPr>
            <w:r w:rsidRPr="00D166DB">
              <w:rPr>
                <w:rFonts w:ascii="Arial" w:hAnsi="Arial" w:cs="Arial"/>
                <w:color w:val="000000"/>
                <w:sz w:val="16"/>
                <w:szCs w:val="16"/>
              </w:rPr>
              <w:t>9</w:t>
            </w:r>
          </w:p>
        </w:tc>
      </w:tr>
    </w:tbl>
    <w:p w:rsidR="000179CE" w:rsidRDefault="000179CE" w:rsidP="00310492">
      <w:pPr>
        <w:spacing w:line="360" w:lineRule="auto"/>
        <w:jc w:val="both"/>
        <w:rPr>
          <w:rFonts w:ascii="Times New Roman" w:hAnsi="Times New Roman" w:cs="Times New Roman"/>
          <w:sz w:val="24"/>
          <w:szCs w:val="24"/>
        </w:rPr>
      </w:pPr>
    </w:p>
    <w:p w:rsidR="006C4CEC" w:rsidRPr="00310492" w:rsidRDefault="004062F9"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The estimated accuracy and precision of HPLC assay have been shown in </w:t>
      </w:r>
      <w:r w:rsidR="009F1E33" w:rsidRPr="00310492">
        <w:rPr>
          <w:rFonts w:ascii="Times New Roman" w:hAnsi="Times New Roman" w:cs="Times New Roman"/>
          <w:sz w:val="24"/>
          <w:szCs w:val="24"/>
        </w:rPr>
        <w:t>T</w:t>
      </w:r>
      <w:r w:rsidRPr="00310492">
        <w:rPr>
          <w:rFonts w:ascii="Times New Roman" w:hAnsi="Times New Roman" w:cs="Times New Roman"/>
          <w:sz w:val="24"/>
          <w:szCs w:val="24"/>
        </w:rPr>
        <w:t xml:space="preserve">able </w:t>
      </w:r>
      <w:r w:rsidR="009F1E33" w:rsidRPr="00310492">
        <w:rPr>
          <w:rFonts w:ascii="Times New Roman" w:hAnsi="Times New Roman" w:cs="Times New Roman"/>
          <w:sz w:val="24"/>
          <w:szCs w:val="24"/>
        </w:rPr>
        <w:t>2</w:t>
      </w:r>
      <w:r w:rsidRPr="00310492">
        <w:rPr>
          <w:rFonts w:ascii="Times New Roman" w:hAnsi="Times New Roman" w:cs="Times New Roman"/>
          <w:sz w:val="24"/>
          <w:szCs w:val="24"/>
        </w:rPr>
        <w:t xml:space="preserve">. </w:t>
      </w:r>
      <w:r w:rsidR="002E5E5D" w:rsidRPr="00310492">
        <w:rPr>
          <w:rFonts w:ascii="Times New Roman" w:hAnsi="Times New Roman" w:cs="Times New Roman"/>
          <w:sz w:val="24"/>
          <w:szCs w:val="24"/>
        </w:rPr>
        <w:t>The within</w:t>
      </w:r>
      <w:r w:rsidR="00E82C8E" w:rsidRPr="00310492">
        <w:rPr>
          <w:rFonts w:ascii="Times New Roman" w:hAnsi="Times New Roman" w:cs="Times New Roman"/>
          <w:sz w:val="24"/>
          <w:szCs w:val="24"/>
        </w:rPr>
        <w:t>-</w:t>
      </w:r>
      <w:r w:rsidR="002E5E5D" w:rsidRPr="00310492">
        <w:rPr>
          <w:rFonts w:ascii="Times New Roman" w:hAnsi="Times New Roman" w:cs="Times New Roman"/>
          <w:sz w:val="24"/>
          <w:szCs w:val="24"/>
        </w:rPr>
        <w:t>day and between-</w:t>
      </w:r>
      <w:r w:rsidR="00E82C8E" w:rsidRPr="00310492">
        <w:rPr>
          <w:rFonts w:ascii="Times New Roman" w:hAnsi="Times New Roman" w:cs="Times New Roman"/>
          <w:sz w:val="24"/>
          <w:szCs w:val="24"/>
        </w:rPr>
        <w:t xml:space="preserve">day accuracy ranged from -4 to </w:t>
      </w:r>
      <w:r w:rsidR="00A9278F" w:rsidRPr="00310492">
        <w:rPr>
          <w:rFonts w:ascii="Times New Roman" w:hAnsi="Times New Roman" w:cs="Times New Roman"/>
          <w:sz w:val="24"/>
          <w:szCs w:val="24"/>
        </w:rPr>
        <w:t>0</w:t>
      </w:r>
      <w:r w:rsidR="00E82C8E" w:rsidRPr="00310492">
        <w:rPr>
          <w:rFonts w:ascii="Times New Roman" w:hAnsi="Times New Roman" w:cs="Times New Roman"/>
          <w:sz w:val="24"/>
          <w:szCs w:val="24"/>
        </w:rPr>
        <w:t>.</w:t>
      </w:r>
      <w:r w:rsidR="00A9278F" w:rsidRPr="00310492">
        <w:rPr>
          <w:rFonts w:ascii="Times New Roman" w:hAnsi="Times New Roman" w:cs="Times New Roman"/>
          <w:sz w:val="24"/>
          <w:szCs w:val="24"/>
        </w:rPr>
        <w:t>08</w:t>
      </w:r>
      <w:r w:rsidR="00E82C8E" w:rsidRPr="00310492">
        <w:rPr>
          <w:rFonts w:ascii="Times New Roman" w:hAnsi="Times New Roman" w:cs="Times New Roman"/>
          <w:sz w:val="24"/>
          <w:szCs w:val="24"/>
        </w:rPr>
        <w:t xml:space="preserve"> % and -1.33 to -</w:t>
      </w:r>
      <w:r w:rsidR="0047555B" w:rsidRPr="00310492">
        <w:rPr>
          <w:rFonts w:ascii="Times New Roman" w:hAnsi="Times New Roman" w:cs="Times New Roman"/>
          <w:sz w:val="24"/>
          <w:szCs w:val="24"/>
        </w:rPr>
        <w:t>0</w:t>
      </w:r>
      <w:r w:rsidR="00E82C8E" w:rsidRPr="00310492">
        <w:rPr>
          <w:rFonts w:ascii="Times New Roman" w:hAnsi="Times New Roman" w:cs="Times New Roman"/>
          <w:sz w:val="24"/>
          <w:szCs w:val="24"/>
        </w:rPr>
        <w:t>.</w:t>
      </w:r>
      <w:r w:rsidR="0047555B" w:rsidRPr="00310492">
        <w:rPr>
          <w:rFonts w:ascii="Times New Roman" w:hAnsi="Times New Roman" w:cs="Times New Roman"/>
          <w:sz w:val="24"/>
          <w:szCs w:val="24"/>
        </w:rPr>
        <w:t>24</w:t>
      </w:r>
      <w:r w:rsidR="00E82C8E" w:rsidRPr="00310492">
        <w:rPr>
          <w:rFonts w:ascii="Times New Roman" w:hAnsi="Times New Roman" w:cs="Times New Roman"/>
          <w:sz w:val="24"/>
          <w:szCs w:val="24"/>
        </w:rPr>
        <w:t xml:space="preserve"> % respectively. </w:t>
      </w:r>
      <w:r w:rsidR="001304AF" w:rsidRPr="00310492">
        <w:rPr>
          <w:rFonts w:ascii="Times New Roman" w:hAnsi="Times New Roman" w:cs="Times New Roman"/>
          <w:sz w:val="24"/>
          <w:szCs w:val="24"/>
        </w:rPr>
        <w:t>The precision levels of proposed assay were 0.</w:t>
      </w:r>
      <w:r w:rsidR="0047555B" w:rsidRPr="00310492">
        <w:rPr>
          <w:rFonts w:ascii="Times New Roman" w:hAnsi="Times New Roman" w:cs="Times New Roman"/>
          <w:sz w:val="24"/>
          <w:szCs w:val="24"/>
        </w:rPr>
        <w:t>08</w:t>
      </w:r>
      <w:r w:rsidR="001304AF" w:rsidRPr="00310492">
        <w:rPr>
          <w:rFonts w:ascii="Times New Roman" w:hAnsi="Times New Roman" w:cs="Times New Roman"/>
          <w:sz w:val="24"/>
          <w:szCs w:val="24"/>
        </w:rPr>
        <w:t xml:space="preserve"> to 4.05 % and 0.</w:t>
      </w:r>
      <w:r w:rsidR="0047555B" w:rsidRPr="00310492">
        <w:rPr>
          <w:rFonts w:ascii="Times New Roman" w:hAnsi="Times New Roman" w:cs="Times New Roman"/>
          <w:sz w:val="24"/>
          <w:szCs w:val="24"/>
        </w:rPr>
        <w:t>16</w:t>
      </w:r>
      <w:r w:rsidR="001304AF" w:rsidRPr="00310492">
        <w:rPr>
          <w:rFonts w:ascii="Times New Roman" w:hAnsi="Times New Roman" w:cs="Times New Roman"/>
          <w:sz w:val="24"/>
          <w:szCs w:val="24"/>
        </w:rPr>
        <w:t xml:space="preserve"> to </w:t>
      </w:r>
      <w:r w:rsidR="0047555B" w:rsidRPr="00310492">
        <w:rPr>
          <w:rFonts w:ascii="Times New Roman" w:hAnsi="Times New Roman" w:cs="Times New Roman"/>
          <w:sz w:val="24"/>
          <w:szCs w:val="24"/>
        </w:rPr>
        <w:t>1.35</w:t>
      </w:r>
      <w:r w:rsidR="001304AF" w:rsidRPr="00310492">
        <w:rPr>
          <w:rFonts w:ascii="Times New Roman" w:hAnsi="Times New Roman" w:cs="Times New Roman"/>
          <w:sz w:val="24"/>
          <w:szCs w:val="24"/>
        </w:rPr>
        <w:t xml:space="preserve"> % on intra-day and interday basis respectively.</w:t>
      </w:r>
      <w:r w:rsidR="00D56CCA" w:rsidRPr="00310492">
        <w:rPr>
          <w:rFonts w:ascii="Times New Roman" w:hAnsi="Times New Roman" w:cs="Times New Roman"/>
          <w:sz w:val="24"/>
          <w:szCs w:val="24"/>
        </w:rPr>
        <w:t xml:space="preserve"> In all conditions, the accuracy (bias %) and precision (</w:t>
      </w:r>
      <w:r w:rsidR="002A303A" w:rsidRPr="00310492">
        <w:rPr>
          <w:rFonts w:ascii="Times New Roman" w:hAnsi="Times New Roman" w:cs="Times New Roman"/>
          <w:sz w:val="24"/>
          <w:szCs w:val="24"/>
        </w:rPr>
        <w:t>RSD</w:t>
      </w:r>
      <w:r w:rsidR="00D56CCA" w:rsidRPr="00310492">
        <w:rPr>
          <w:rFonts w:ascii="Times New Roman" w:hAnsi="Times New Roman" w:cs="Times New Roman"/>
          <w:sz w:val="24"/>
          <w:szCs w:val="24"/>
        </w:rPr>
        <w:t xml:space="preserve"> %) remained within the acceptable range of ±15 % and &lt; 15% respectively</w:t>
      </w:r>
      <w:r w:rsidR="00506BAC"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20</w:t>
      </w:r>
      <w:r w:rsidR="00D56CCA" w:rsidRPr="00310492">
        <w:rPr>
          <w:rFonts w:ascii="Times New Roman" w:hAnsi="Times New Roman" w:cs="Times New Roman"/>
          <w:sz w:val="24"/>
          <w:szCs w:val="24"/>
        </w:rPr>
        <w:t xml:space="preserve"> </w:t>
      </w:r>
      <w:r w:rsidR="00CA6C2C" w:rsidRPr="00310492">
        <w:rPr>
          <w:rFonts w:ascii="Times New Roman" w:hAnsi="Times New Roman" w:cs="Times New Roman"/>
          <w:sz w:val="24"/>
          <w:szCs w:val="24"/>
        </w:rPr>
        <w:t xml:space="preserve">These values are compliant with the findings of </w:t>
      </w:r>
      <w:r w:rsidR="00506BAC" w:rsidRPr="00310492">
        <w:rPr>
          <w:rFonts w:ascii="Times New Roman" w:hAnsi="Times New Roman" w:cs="Times New Roman"/>
          <w:sz w:val="24"/>
          <w:szCs w:val="24"/>
        </w:rPr>
        <w:t xml:space="preserve">Jacobson </w:t>
      </w:r>
      <w:r w:rsidR="00506BAC" w:rsidRPr="00310492">
        <w:rPr>
          <w:rFonts w:ascii="Times New Roman" w:hAnsi="Times New Roman" w:cs="Times New Roman"/>
          <w:i/>
          <w:sz w:val="24"/>
          <w:szCs w:val="24"/>
        </w:rPr>
        <w:t>et al</w:t>
      </w:r>
      <w:r w:rsidR="00506BAC"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10</w:t>
      </w:r>
    </w:p>
    <w:p w:rsidR="000179CE" w:rsidRPr="00D82E5F" w:rsidRDefault="000179CE" w:rsidP="000179CE">
      <w:pPr>
        <w:tabs>
          <w:tab w:val="left" w:pos="3950"/>
        </w:tabs>
        <w:spacing w:line="240" w:lineRule="auto"/>
        <w:rPr>
          <w:rFonts w:ascii="Arial" w:hAnsi="Arial" w:cs="Arial"/>
          <w:b/>
          <w:sz w:val="16"/>
          <w:szCs w:val="16"/>
        </w:rPr>
      </w:pPr>
      <w:r w:rsidRPr="00D82E5F">
        <w:rPr>
          <w:rFonts w:ascii="Arial" w:hAnsi="Arial" w:cs="Arial"/>
          <w:b/>
          <w:sz w:val="16"/>
          <w:szCs w:val="16"/>
        </w:rPr>
        <w:t>Table 2. Within-day and between-day accuracy and precision of analytical assay</w:t>
      </w:r>
      <w:r w:rsidRPr="00D82E5F">
        <w:rPr>
          <w:rFonts w:ascii="Arial" w:hAnsi="Arial" w:cs="Arial"/>
          <w:sz w:val="16"/>
          <w:szCs w:val="16"/>
        </w:rPr>
        <w:tab/>
      </w:r>
    </w:p>
    <w:tbl>
      <w:tblPr>
        <w:tblStyle w:val="TableGrid"/>
        <w:tblW w:w="83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430"/>
        <w:gridCol w:w="810"/>
        <w:gridCol w:w="810"/>
        <w:gridCol w:w="820"/>
        <w:gridCol w:w="236"/>
        <w:gridCol w:w="1558"/>
      </w:tblGrid>
      <w:tr w:rsidR="000179CE" w:rsidRPr="00D82E5F" w:rsidTr="009923A6">
        <w:trPr>
          <w:trHeight w:val="217"/>
        </w:trPr>
        <w:tc>
          <w:tcPr>
            <w:tcW w:w="1710" w:type="dxa"/>
            <w:vMerge w:val="restart"/>
            <w:tcBorders>
              <w:top w:val="single" w:sz="4" w:space="0" w:color="auto"/>
              <w:bottom w:val="single" w:sz="4" w:space="0" w:color="auto"/>
            </w:tcBorders>
          </w:tcPr>
          <w:p w:rsidR="000179CE" w:rsidRPr="00D82E5F" w:rsidRDefault="000179CE" w:rsidP="009923A6">
            <w:pPr>
              <w:tabs>
                <w:tab w:val="left" w:pos="4216"/>
              </w:tabs>
              <w:rPr>
                <w:rFonts w:ascii="Arial" w:hAnsi="Arial" w:cs="Arial"/>
                <w:b/>
                <w:sz w:val="16"/>
                <w:szCs w:val="16"/>
              </w:rPr>
            </w:pPr>
          </w:p>
          <w:p w:rsidR="000179CE" w:rsidRPr="00D82E5F" w:rsidRDefault="000179CE" w:rsidP="009923A6">
            <w:pPr>
              <w:tabs>
                <w:tab w:val="left" w:pos="4216"/>
              </w:tabs>
              <w:rPr>
                <w:rFonts w:ascii="Arial" w:hAnsi="Arial" w:cs="Arial"/>
                <w:sz w:val="16"/>
                <w:szCs w:val="16"/>
              </w:rPr>
            </w:pPr>
            <w:r w:rsidRPr="00D82E5F">
              <w:rPr>
                <w:rFonts w:ascii="Arial" w:hAnsi="Arial" w:cs="Arial"/>
                <w:b/>
                <w:sz w:val="16"/>
                <w:szCs w:val="16"/>
              </w:rPr>
              <w:t>Spiked concentration (µg/mL)</w:t>
            </w:r>
          </w:p>
        </w:tc>
        <w:tc>
          <w:tcPr>
            <w:tcW w:w="2430" w:type="dxa"/>
            <w:vMerge w:val="restart"/>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Parameter</w:t>
            </w:r>
          </w:p>
        </w:tc>
        <w:tc>
          <w:tcPr>
            <w:tcW w:w="2440" w:type="dxa"/>
            <w:gridSpan w:val="3"/>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sz w:val="16"/>
                <w:szCs w:val="16"/>
              </w:rPr>
            </w:pPr>
            <w:r w:rsidRPr="00D82E5F">
              <w:rPr>
                <w:rFonts w:ascii="Arial" w:hAnsi="Arial" w:cs="Arial"/>
                <w:b/>
                <w:sz w:val="16"/>
                <w:szCs w:val="16"/>
              </w:rPr>
              <w:t>Within-day (n = 6)</w:t>
            </w:r>
          </w:p>
        </w:tc>
        <w:tc>
          <w:tcPr>
            <w:tcW w:w="236"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sz w:val="16"/>
                <w:szCs w:val="16"/>
              </w:rPr>
            </w:pPr>
          </w:p>
        </w:tc>
        <w:tc>
          <w:tcPr>
            <w:tcW w:w="1558" w:type="dxa"/>
            <w:vMerge w:val="restart"/>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 xml:space="preserve">Between-day </w:t>
            </w:r>
          </w:p>
          <w:p w:rsidR="000179CE" w:rsidRPr="00D82E5F" w:rsidRDefault="000179CE" w:rsidP="009923A6">
            <w:pPr>
              <w:tabs>
                <w:tab w:val="left" w:pos="4216"/>
              </w:tabs>
              <w:rPr>
                <w:rFonts w:ascii="Arial" w:hAnsi="Arial" w:cs="Arial"/>
                <w:sz w:val="16"/>
                <w:szCs w:val="16"/>
              </w:rPr>
            </w:pPr>
            <w:r w:rsidRPr="00D82E5F">
              <w:rPr>
                <w:rFonts w:ascii="Arial" w:hAnsi="Arial" w:cs="Arial"/>
                <w:b/>
                <w:sz w:val="16"/>
                <w:szCs w:val="16"/>
              </w:rPr>
              <w:t>(n = 18)</w:t>
            </w:r>
          </w:p>
        </w:tc>
      </w:tr>
      <w:tr w:rsidR="000179CE" w:rsidRPr="00D82E5F" w:rsidTr="009923A6">
        <w:trPr>
          <w:trHeight w:val="333"/>
        </w:trPr>
        <w:tc>
          <w:tcPr>
            <w:tcW w:w="1710" w:type="dxa"/>
            <w:vMerge/>
            <w:tcBorders>
              <w:top w:val="nil"/>
              <w:bottom w:val="single" w:sz="4" w:space="0" w:color="auto"/>
            </w:tcBorders>
          </w:tcPr>
          <w:p w:rsidR="000179CE" w:rsidRPr="00D82E5F" w:rsidRDefault="000179CE" w:rsidP="009923A6">
            <w:pPr>
              <w:tabs>
                <w:tab w:val="left" w:pos="4216"/>
              </w:tabs>
              <w:rPr>
                <w:rFonts w:ascii="Arial" w:hAnsi="Arial" w:cs="Arial"/>
                <w:sz w:val="16"/>
                <w:szCs w:val="16"/>
              </w:rPr>
            </w:pPr>
          </w:p>
        </w:tc>
        <w:tc>
          <w:tcPr>
            <w:tcW w:w="2430" w:type="dxa"/>
            <w:vMerge/>
            <w:tcBorders>
              <w:top w:val="nil"/>
              <w:bottom w:val="single" w:sz="4" w:space="0" w:color="auto"/>
            </w:tcBorders>
          </w:tcPr>
          <w:p w:rsidR="000179CE" w:rsidRPr="00D82E5F" w:rsidRDefault="000179CE" w:rsidP="009923A6">
            <w:pPr>
              <w:tabs>
                <w:tab w:val="left" w:pos="4216"/>
              </w:tabs>
              <w:rPr>
                <w:rFonts w:ascii="Arial" w:hAnsi="Arial" w:cs="Arial"/>
                <w:sz w:val="16"/>
                <w:szCs w:val="16"/>
              </w:rPr>
            </w:pPr>
          </w:p>
        </w:tc>
        <w:tc>
          <w:tcPr>
            <w:tcW w:w="81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Day 1</w:t>
            </w:r>
          </w:p>
        </w:tc>
        <w:tc>
          <w:tcPr>
            <w:tcW w:w="81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Day 2</w:t>
            </w:r>
          </w:p>
        </w:tc>
        <w:tc>
          <w:tcPr>
            <w:tcW w:w="82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Day 3</w:t>
            </w:r>
          </w:p>
        </w:tc>
        <w:tc>
          <w:tcPr>
            <w:tcW w:w="236" w:type="dxa"/>
            <w:tcBorders>
              <w:top w:val="single" w:sz="4" w:space="0" w:color="auto"/>
            </w:tcBorders>
          </w:tcPr>
          <w:p w:rsidR="000179CE" w:rsidRPr="00D82E5F" w:rsidRDefault="000179CE" w:rsidP="009923A6">
            <w:pPr>
              <w:tabs>
                <w:tab w:val="left" w:pos="4216"/>
              </w:tabs>
              <w:rPr>
                <w:rFonts w:ascii="Arial" w:hAnsi="Arial" w:cs="Arial"/>
                <w:sz w:val="16"/>
                <w:szCs w:val="16"/>
              </w:rPr>
            </w:pPr>
          </w:p>
        </w:tc>
        <w:tc>
          <w:tcPr>
            <w:tcW w:w="1558" w:type="dxa"/>
            <w:vMerge/>
            <w:tcBorders>
              <w:top w:val="single" w:sz="4" w:space="0" w:color="auto"/>
              <w:bottom w:val="single" w:sz="4" w:space="0" w:color="auto"/>
            </w:tcBorders>
          </w:tcPr>
          <w:p w:rsidR="000179CE" w:rsidRPr="00D82E5F" w:rsidRDefault="000179CE" w:rsidP="009923A6">
            <w:pPr>
              <w:tabs>
                <w:tab w:val="left" w:pos="4216"/>
              </w:tabs>
              <w:rPr>
                <w:rFonts w:ascii="Arial" w:hAnsi="Arial" w:cs="Arial"/>
                <w:sz w:val="16"/>
                <w:szCs w:val="16"/>
              </w:rPr>
            </w:pPr>
          </w:p>
        </w:tc>
      </w:tr>
      <w:tr w:rsidR="000179CE" w:rsidRPr="00D82E5F" w:rsidTr="009923A6">
        <w:trPr>
          <w:trHeight w:val="116"/>
        </w:trPr>
        <w:tc>
          <w:tcPr>
            <w:tcW w:w="1710" w:type="dxa"/>
            <w:tcBorders>
              <w:top w:val="single" w:sz="4" w:space="0" w:color="auto"/>
            </w:tcBorders>
          </w:tcPr>
          <w:p w:rsidR="000179CE" w:rsidRPr="00D82E5F" w:rsidRDefault="000179CE" w:rsidP="009923A6">
            <w:pPr>
              <w:tabs>
                <w:tab w:val="left" w:pos="4216"/>
              </w:tabs>
              <w:rPr>
                <w:rFonts w:ascii="Arial" w:hAnsi="Arial" w:cs="Arial"/>
                <w:b/>
                <w:sz w:val="16"/>
                <w:szCs w:val="16"/>
              </w:rPr>
            </w:pPr>
          </w:p>
        </w:tc>
        <w:tc>
          <w:tcPr>
            <w:tcW w:w="2430" w:type="dxa"/>
            <w:tcBorders>
              <w:top w:val="single" w:sz="4" w:space="0" w:color="auto"/>
            </w:tcBorders>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Mean nominal concentration (µg/mL)</w:t>
            </w:r>
          </w:p>
        </w:tc>
        <w:tc>
          <w:tcPr>
            <w:tcW w:w="810" w:type="dxa"/>
            <w:tcBorders>
              <w:top w:val="single" w:sz="4" w:space="0" w:color="auto"/>
            </w:tcBorders>
          </w:tcPr>
          <w:p w:rsidR="000179CE" w:rsidRPr="00D82E5F" w:rsidRDefault="000179CE" w:rsidP="009923A6">
            <w:pPr>
              <w:tabs>
                <w:tab w:val="left" w:pos="4216"/>
              </w:tabs>
              <w:rPr>
                <w:rFonts w:ascii="Arial" w:hAnsi="Arial" w:cs="Arial"/>
                <w:sz w:val="16"/>
                <w:szCs w:val="16"/>
              </w:rPr>
            </w:pPr>
          </w:p>
        </w:tc>
        <w:tc>
          <w:tcPr>
            <w:tcW w:w="810" w:type="dxa"/>
            <w:tcBorders>
              <w:top w:val="single" w:sz="4" w:space="0" w:color="auto"/>
            </w:tcBorders>
          </w:tcPr>
          <w:p w:rsidR="000179CE" w:rsidRPr="00D82E5F" w:rsidRDefault="000179CE" w:rsidP="009923A6">
            <w:pPr>
              <w:tabs>
                <w:tab w:val="left" w:pos="4216"/>
              </w:tabs>
              <w:rPr>
                <w:rFonts w:ascii="Arial" w:hAnsi="Arial" w:cs="Arial"/>
                <w:sz w:val="16"/>
                <w:szCs w:val="16"/>
              </w:rPr>
            </w:pPr>
          </w:p>
        </w:tc>
        <w:tc>
          <w:tcPr>
            <w:tcW w:w="820" w:type="dxa"/>
            <w:tcBorders>
              <w:top w:val="single" w:sz="4" w:space="0" w:color="auto"/>
            </w:tcBorders>
          </w:tcPr>
          <w:p w:rsidR="000179CE" w:rsidRPr="00D82E5F" w:rsidRDefault="000179CE" w:rsidP="009923A6">
            <w:pPr>
              <w:tabs>
                <w:tab w:val="left" w:pos="4216"/>
              </w:tabs>
              <w:rPr>
                <w:rFonts w:ascii="Arial" w:hAnsi="Arial" w:cs="Arial"/>
                <w:sz w:val="16"/>
                <w:szCs w:val="16"/>
              </w:rPr>
            </w:pPr>
          </w:p>
        </w:tc>
        <w:tc>
          <w:tcPr>
            <w:tcW w:w="236" w:type="dxa"/>
          </w:tcPr>
          <w:p w:rsidR="000179CE" w:rsidRPr="00D82E5F" w:rsidRDefault="000179CE" w:rsidP="009923A6">
            <w:pPr>
              <w:tabs>
                <w:tab w:val="left" w:pos="4216"/>
              </w:tabs>
              <w:rPr>
                <w:rFonts w:ascii="Arial" w:hAnsi="Arial" w:cs="Arial"/>
                <w:sz w:val="16"/>
                <w:szCs w:val="16"/>
              </w:rPr>
            </w:pPr>
          </w:p>
        </w:tc>
        <w:tc>
          <w:tcPr>
            <w:tcW w:w="1558" w:type="dxa"/>
            <w:tcBorders>
              <w:top w:val="single" w:sz="4" w:space="0" w:color="auto"/>
            </w:tcBorders>
          </w:tcPr>
          <w:p w:rsidR="000179CE" w:rsidRPr="00D82E5F" w:rsidRDefault="000179CE" w:rsidP="009923A6">
            <w:pPr>
              <w:tabs>
                <w:tab w:val="left" w:pos="4216"/>
              </w:tabs>
              <w:rPr>
                <w:rFonts w:ascii="Arial" w:hAnsi="Arial" w:cs="Arial"/>
                <w:sz w:val="16"/>
                <w:szCs w:val="16"/>
              </w:rPr>
            </w:pPr>
          </w:p>
        </w:tc>
      </w:tr>
      <w:tr w:rsidR="000179CE" w:rsidRPr="00D82E5F" w:rsidTr="009923A6">
        <w:trPr>
          <w:trHeight w:val="204"/>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0.75</w:t>
            </w:r>
          </w:p>
        </w:tc>
        <w:tc>
          <w:tcPr>
            <w:tcW w:w="2430" w:type="dxa"/>
            <w:vMerge w:val="restart"/>
            <w:vAlign w:val="center"/>
          </w:tcPr>
          <w:p w:rsidR="000179CE" w:rsidRPr="00D82E5F" w:rsidRDefault="000179CE" w:rsidP="009923A6">
            <w:pPr>
              <w:tabs>
                <w:tab w:val="left" w:pos="2304"/>
                <w:tab w:val="center" w:pos="4680"/>
              </w:tabs>
              <w:rPr>
                <w:rFonts w:ascii="Arial" w:hAnsi="Arial" w:cs="Arial"/>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0.74</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0.72</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0.73</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0.74</w:t>
            </w:r>
          </w:p>
        </w:tc>
      </w:tr>
      <w:tr w:rsidR="000179CE" w:rsidRPr="00D82E5F" w:rsidTr="009923A6">
        <w:trPr>
          <w:trHeight w:val="2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2.46</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2.48</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2.49</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2.48</w:t>
            </w:r>
          </w:p>
        </w:tc>
      </w:tr>
      <w:tr w:rsidR="000179CE" w:rsidRPr="00D82E5F" w:rsidTr="009923A6">
        <w:trPr>
          <w:trHeight w:val="2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12.5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12.48</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12.46</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12.49</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12.47</w:t>
            </w:r>
          </w:p>
        </w:tc>
      </w:tr>
      <w:tr w:rsidR="000179CE" w:rsidRPr="00D82E5F" w:rsidTr="009923A6">
        <w:trPr>
          <w:trHeight w:val="152"/>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p>
        </w:tc>
        <w:tc>
          <w:tcPr>
            <w:tcW w:w="2430" w:type="dxa"/>
            <w:vAlign w:val="center"/>
          </w:tcPr>
          <w:p w:rsidR="000179CE" w:rsidRPr="00D82E5F" w:rsidRDefault="000179CE" w:rsidP="009923A6">
            <w:pPr>
              <w:tabs>
                <w:tab w:val="left" w:pos="2304"/>
                <w:tab w:val="center" w:pos="4680"/>
              </w:tabs>
              <w:rPr>
                <w:rFonts w:ascii="Arial" w:hAnsi="Arial" w:cs="Arial"/>
                <w:b/>
                <w:sz w:val="16"/>
                <w:szCs w:val="16"/>
              </w:rPr>
            </w:pPr>
            <w:r w:rsidRPr="00D82E5F">
              <w:rPr>
                <w:rFonts w:ascii="Arial" w:hAnsi="Arial" w:cs="Arial"/>
                <w:b/>
                <w:sz w:val="16"/>
                <w:szCs w:val="16"/>
              </w:rPr>
              <w:t>*SD</w:t>
            </w:r>
          </w:p>
        </w:tc>
        <w:tc>
          <w:tcPr>
            <w:tcW w:w="810" w:type="dxa"/>
          </w:tcPr>
          <w:p w:rsidR="000179CE" w:rsidRPr="00D82E5F" w:rsidRDefault="000179CE" w:rsidP="009923A6">
            <w:pPr>
              <w:tabs>
                <w:tab w:val="left" w:pos="4216"/>
              </w:tabs>
              <w:rPr>
                <w:rFonts w:ascii="Arial" w:hAnsi="Arial" w:cs="Arial"/>
                <w:sz w:val="16"/>
                <w:szCs w:val="16"/>
              </w:rPr>
            </w:pPr>
          </w:p>
        </w:tc>
        <w:tc>
          <w:tcPr>
            <w:tcW w:w="810" w:type="dxa"/>
          </w:tcPr>
          <w:p w:rsidR="000179CE" w:rsidRPr="00D82E5F" w:rsidRDefault="000179CE" w:rsidP="009923A6">
            <w:pPr>
              <w:tabs>
                <w:tab w:val="left" w:pos="4216"/>
              </w:tabs>
              <w:rPr>
                <w:rFonts w:ascii="Arial" w:hAnsi="Arial" w:cs="Arial"/>
                <w:sz w:val="16"/>
                <w:szCs w:val="16"/>
              </w:rPr>
            </w:pPr>
          </w:p>
        </w:tc>
        <w:tc>
          <w:tcPr>
            <w:tcW w:w="820" w:type="dxa"/>
          </w:tcPr>
          <w:p w:rsidR="000179CE" w:rsidRPr="00D82E5F" w:rsidRDefault="000179CE" w:rsidP="009923A6">
            <w:pPr>
              <w:tabs>
                <w:tab w:val="left" w:pos="4216"/>
              </w:tabs>
              <w:rPr>
                <w:rFonts w:ascii="Arial" w:hAnsi="Arial" w:cs="Arial"/>
                <w:sz w:val="16"/>
                <w:szCs w:val="16"/>
              </w:rPr>
            </w:pP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p>
        </w:tc>
      </w:tr>
      <w:tr w:rsidR="000179CE" w:rsidRPr="00D82E5F" w:rsidTr="009923A6">
        <w:trPr>
          <w:trHeight w:val="104"/>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0.75</w:t>
            </w:r>
          </w:p>
        </w:tc>
        <w:tc>
          <w:tcPr>
            <w:tcW w:w="2430" w:type="dxa"/>
            <w:vMerge w:val="restart"/>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0.03</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0.02</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0.02</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0.01</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lastRenderedPageBreak/>
              <w:t>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0.02</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0.02</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0.01</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0.01</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12.5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0.01</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0.03</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0.01</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0.02</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p>
        </w:tc>
        <w:tc>
          <w:tcPr>
            <w:tcW w:w="2430" w:type="dxa"/>
            <w:vAlign w:val="center"/>
          </w:tcPr>
          <w:p w:rsidR="000179CE" w:rsidRPr="00D82E5F" w:rsidRDefault="000179CE" w:rsidP="009923A6">
            <w:pPr>
              <w:tabs>
                <w:tab w:val="left" w:pos="2304"/>
                <w:tab w:val="center" w:pos="4680"/>
              </w:tabs>
              <w:rPr>
                <w:rFonts w:ascii="Arial" w:hAnsi="Arial" w:cs="Arial"/>
                <w:b/>
                <w:sz w:val="16"/>
                <w:szCs w:val="16"/>
              </w:rPr>
            </w:pPr>
            <w:r w:rsidRPr="00D82E5F">
              <w:rPr>
                <w:rFonts w:ascii="Arial" w:hAnsi="Arial" w:cs="Arial"/>
                <w:b/>
                <w:sz w:val="16"/>
                <w:szCs w:val="16"/>
              </w:rPr>
              <w:t>Accuracy (% Bias)</w:t>
            </w:r>
          </w:p>
        </w:tc>
        <w:tc>
          <w:tcPr>
            <w:tcW w:w="810" w:type="dxa"/>
          </w:tcPr>
          <w:p w:rsidR="000179CE" w:rsidRPr="00D82E5F" w:rsidRDefault="000179CE" w:rsidP="009923A6">
            <w:pPr>
              <w:tabs>
                <w:tab w:val="left" w:pos="4216"/>
              </w:tabs>
              <w:rPr>
                <w:rFonts w:ascii="Arial" w:hAnsi="Arial" w:cs="Arial"/>
                <w:sz w:val="16"/>
                <w:szCs w:val="16"/>
              </w:rPr>
            </w:pPr>
          </w:p>
        </w:tc>
        <w:tc>
          <w:tcPr>
            <w:tcW w:w="810" w:type="dxa"/>
          </w:tcPr>
          <w:p w:rsidR="000179CE" w:rsidRPr="00D82E5F" w:rsidRDefault="000179CE" w:rsidP="009923A6">
            <w:pPr>
              <w:tabs>
                <w:tab w:val="left" w:pos="4216"/>
              </w:tabs>
              <w:rPr>
                <w:rFonts w:ascii="Arial" w:hAnsi="Arial" w:cs="Arial"/>
                <w:sz w:val="16"/>
                <w:szCs w:val="16"/>
              </w:rPr>
            </w:pPr>
          </w:p>
        </w:tc>
        <w:tc>
          <w:tcPr>
            <w:tcW w:w="820" w:type="dxa"/>
          </w:tcPr>
          <w:p w:rsidR="000179CE" w:rsidRPr="00D82E5F" w:rsidRDefault="000179CE" w:rsidP="009923A6">
            <w:pPr>
              <w:tabs>
                <w:tab w:val="left" w:pos="4216"/>
              </w:tabs>
              <w:rPr>
                <w:rFonts w:ascii="Arial" w:hAnsi="Arial" w:cs="Arial"/>
                <w:sz w:val="16"/>
                <w:szCs w:val="16"/>
              </w:rPr>
            </w:pP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p>
        </w:tc>
      </w:tr>
      <w:tr w:rsidR="000179CE" w:rsidRPr="00D82E5F" w:rsidTr="009923A6">
        <w:trPr>
          <w:trHeight w:val="104"/>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0.75</w:t>
            </w:r>
          </w:p>
        </w:tc>
        <w:tc>
          <w:tcPr>
            <w:tcW w:w="2430" w:type="dxa"/>
            <w:vMerge w:val="restart"/>
            <w:vAlign w:val="center"/>
          </w:tcPr>
          <w:p w:rsidR="000179CE" w:rsidRPr="00D82E5F" w:rsidRDefault="000179CE" w:rsidP="009923A6">
            <w:pPr>
              <w:tabs>
                <w:tab w:val="left" w:pos="2304"/>
                <w:tab w:val="center" w:pos="4680"/>
              </w:tabs>
              <w:rPr>
                <w:rFonts w:ascii="Arial" w:hAnsi="Arial" w:cs="Arial"/>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-1.33</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-4.0</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-2.66</w:t>
            </w:r>
          </w:p>
        </w:tc>
        <w:tc>
          <w:tcPr>
            <w:tcW w:w="236" w:type="dxa"/>
            <w:vAlign w:val="center"/>
          </w:tcPr>
          <w:p w:rsidR="000179CE" w:rsidRPr="00D82E5F" w:rsidRDefault="000179CE" w:rsidP="009923A6">
            <w:pPr>
              <w:rPr>
                <w:rFonts w:ascii="Arial" w:hAnsi="Arial" w:cs="Arial"/>
                <w:sz w:val="16"/>
                <w:szCs w:val="16"/>
              </w:rPr>
            </w:pPr>
          </w:p>
        </w:tc>
        <w:tc>
          <w:tcPr>
            <w:tcW w:w="1558" w:type="dxa"/>
            <w:vAlign w:val="center"/>
          </w:tcPr>
          <w:p w:rsidR="000179CE" w:rsidRPr="00D82E5F" w:rsidRDefault="000179CE" w:rsidP="009923A6">
            <w:pPr>
              <w:rPr>
                <w:rFonts w:ascii="Arial" w:hAnsi="Arial" w:cs="Arial"/>
                <w:sz w:val="16"/>
                <w:szCs w:val="16"/>
              </w:rPr>
            </w:pPr>
            <w:r w:rsidRPr="00D82E5F">
              <w:rPr>
                <w:rFonts w:ascii="Arial" w:hAnsi="Arial" w:cs="Arial"/>
                <w:sz w:val="16"/>
                <w:szCs w:val="16"/>
              </w:rPr>
              <w:t>-1.33</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-1.6</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-0.8</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-0.4</w:t>
            </w:r>
          </w:p>
        </w:tc>
        <w:tc>
          <w:tcPr>
            <w:tcW w:w="236" w:type="dxa"/>
            <w:vAlign w:val="center"/>
          </w:tcPr>
          <w:p w:rsidR="000179CE" w:rsidRPr="00D82E5F" w:rsidRDefault="000179CE" w:rsidP="009923A6">
            <w:pPr>
              <w:tabs>
                <w:tab w:val="left" w:pos="2304"/>
                <w:tab w:val="center" w:pos="4680"/>
              </w:tabs>
              <w:rPr>
                <w:rFonts w:ascii="Arial" w:hAnsi="Arial" w:cs="Arial"/>
                <w:sz w:val="16"/>
                <w:szCs w:val="16"/>
              </w:rPr>
            </w:pPr>
          </w:p>
        </w:tc>
        <w:tc>
          <w:tcPr>
            <w:tcW w:w="1558"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-0.8</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12.5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-1.6</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-0.32</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-0.8</w:t>
            </w:r>
          </w:p>
        </w:tc>
        <w:tc>
          <w:tcPr>
            <w:tcW w:w="236" w:type="dxa"/>
            <w:vAlign w:val="center"/>
          </w:tcPr>
          <w:p w:rsidR="000179CE" w:rsidRPr="00D82E5F" w:rsidRDefault="000179CE" w:rsidP="009923A6">
            <w:pPr>
              <w:tabs>
                <w:tab w:val="left" w:pos="2304"/>
                <w:tab w:val="center" w:pos="4680"/>
              </w:tabs>
              <w:rPr>
                <w:rFonts w:ascii="Arial" w:hAnsi="Arial" w:cs="Arial"/>
                <w:sz w:val="16"/>
                <w:szCs w:val="16"/>
              </w:rPr>
            </w:pPr>
          </w:p>
        </w:tc>
        <w:tc>
          <w:tcPr>
            <w:tcW w:w="1558"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-0.24</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p>
        </w:tc>
        <w:tc>
          <w:tcPr>
            <w:tcW w:w="2430" w:type="dxa"/>
            <w:vAlign w:val="center"/>
          </w:tcPr>
          <w:p w:rsidR="000179CE" w:rsidRPr="00D82E5F" w:rsidRDefault="000179CE" w:rsidP="009923A6">
            <w:pPr>
              <w:tabs>
                <w:tab w:val="left" w:pos="2304"/>
                <w:tab w:val="center" w:pos="4680"/>
              </w:tabs>
              <w:rPr>
                <w:rFonts w:ascii="Arial" w:hAnsi="Arial" w:cs="Arial"/>
                <w:b/>
                <w:sz w:val="16"/>
                <w:szCs w:val="16"/>
              </w:rPr>
            </w:pPr>
            <w:r w:rsidRPr="00D82E5F">
              <w:rPr>
                <w:rFonts w:ascii="Arial" w:hAnsi="Arial" w:cs="Arial"/>
                <w:b/>
                <w:sz w:val="16"/>
                <w:szCs w:val="16"/>
              </w:rPr>
              <w:t>Precision (**RSD %)</w:t>
            </w:r>
          </w:p>
        </w:tc>
        <w:tc>
          <w:tcPr>
            <w:tcW w:w="810" w:type="dxa"/>
          </w:tcPr>
          <w:p w:rsidR="000179CE" w:rsidRPr="00D82E5F" w:rsidRDefault="000179CE" w:rsidP="009923A6">
            <w:pPr>
              <w:tabs>
                <w:tab w:val="left" w:pos="4216"/>
              </w:tabs>
              <w:rPr>
                <w:rFonts w:ascii="Arial" w:hAnsi="Arial" w:cs="Arial"/>
                <w:sz w:val="16"/>
                <w:szCs w:val="16"/>
              </w:rPr>
            </w:pPr>
          </w:p>
        </w:tc>
        <w:tc>
          <w:tcPr>
            <w:tcW w:w="810" w:type="dxa"/>
          </w:tcPr>
          <w:p w:rsidR="000179CE" w:rsidRPr="00D82E5F" w:rsidRDefault="000179CE" w:rsidP="009923A6">
            <w:pPr>
              <w:tabs>
                <w:tab w:val="left" w:pos="4216"/>
              </w:tabs>
              <w:rPr>
                <w:rFonts w:ascii="Arial" w:hAnsi="Arial" w:cs="Arial"/>
                <w:sz w:val="16"/>
                <w:szCs w:val="16"/>
              </w:rPr>
            </w:pPr>
          </w:p>
        </w:tc>
        <w:tc>
          <w:tcPr>
            <w:tcW w:w="820" w:type="dxa"/>
          </w:tcPr>
          <w:p w:rsidR="000179CE" w:rsidRPr="00D82E5F" w:rsidRDefault="000179CE" w:rsidP="009923A6">
            <w:pPr>
              <w:tabs>
                <w:tab w:val="left" w:pos="4216"/>
              </w:tabs>
              <w:rPr>
                <w:rFonts w:ascii="Arial" w:hAnsi="Arial" w:cs="Arial"/>
                <w:sz w:val="16"/>
                <w:szCs w:val="16"/>
              </w:rPr>
            </w:pPr>
          </w:p>
        </w:tc>
        <w:tc>
          <w:tcPr>
            <w:tcW w:w="236" w:type="dxa"/>
            <w:vAlign w:val="center"/>
          </w:tcPr>
          <w:p w:rsidR="000179CE" w:rsidRPr="00D82E5F" w:rsidRDefault="000179CE" w:rsidP="009923A6">
            <w:pPr>
              <w:tabs>
                <w:tab w:val="left" w:pos="2304"/>
                <w:tab w:val="center" w:pos="4680"/>
              </w:tabs>
              <w:rPr>
                <w:rFonts w:ascii="Arial" w:hAnsi="Arial" w:cs="Arial"/>
                <w:sz w:val="16"/>
                <w:szCs w:val="16"/>
              </w:rPr>
            </w:pPr>
          </w:p>
        </w:tc>
        <w:tc>
          <w:tcPr>
            <w:tcW w:w="1558" w:type="dxa"/>
            <w:vAlign w:val="center"/>
          </w:tcPr>
          <w:p w:rsidR="000179CE" w:rsidRPr="00D82E5F" w:rsidRDefault="000179CE" w:rsidP="009923A6">
            <w:pPr>
              <w:tabs>
                <w:tab w:val="left" w:pos="2304"/>
                <w:tab w:val="center" w:pos="4680"/>
              </w:tabs>
              <w:rPr>
                <w:rFonts w:ascii="Arial" w:hAnsi="Arial" w:cs="Arial"/>
                <w:sz w:val="16"/>
                <w:szCs w:val="16"/>
              </w:rPr>
            </w:pPr>
          </w:p>
        </w:tc>
      </w:tr>
      <w:tr w:rsidR="000179CE" w:rsidRPr="00D82E5F" w:rsidTr="009923A6">
        <w:trPr>
          <w:trHeight w:val="104"/>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0.75</w:t>
            </w:r>
          </w:p>
        </w:tc>
        <w:tc>
          <w:tcPr>
            <w:tcW w:w="2430" w:type="dxa"/>
            <w:vMerge w:val="restart"/>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4.05</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2.77</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2.73</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1.35</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0.81</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0.80</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0.40</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0.40</w:t>
            </w:r>
          </w:p>
        </w:tc>
      </w:tr>
      <w:tr w:rsidR="000179CE" w:rsidRPr="00D82E5F" w:rsidTr="009923A6">
        <w:trPr>
          <w:trHeight w:val="103"/>
        </w:trPr>
        <w:tc>
          <w:tcPr>
            <w:tcW w:w="1710" w:type="dxa"/>
            <w:vAlign w:val="center"/>
          </w:tcPr>
          <w:p w:rsidR="000179CE" w:rsidRPr="00D82E5F" w:rsidRDefault="000179CE" w:rsidP="009923A6">
            <w:pPr>
              <w:tabs>
                <w:tab w:val="left" w:pos="2304"/>
                <w:tab w:val="center" w:pos="4680"/>
              </w:tabs>
              <w:rPr>
                <w:rFonts w:ascii="Arial" w:hAnsi="Arial" w:cs="Arial"/>
                <w:sz w:val="16"/>
                <w:szCs w:val="16"/>
              </w:rPr>
            </w:pPr>
            <w:r w:rsidRPr="00D82E5F">
              <w:rPr>
                <w:rFonts w:ascii="Arial" w:hAnsi="Arial" w:cs="Arial"/>
                <w:sz w:val="16"/>
                <w:szCs w:val="16"/>
              </w:rPr>
              <w:t>12.5</w:t>
            </w:r>
          </w:p>
        </w:tc>
        <w:tc>
          <w:tcPr>
            <w:tcW w:w="2430" w:type="dxa"/>
            <w:vMerge/>
            <w:vAlign w:val="center"/>
          </w:tcPr>
          <w:p w:rsidR="000179CE" w:rsidRPr="00D82E5F" w:rsidRDefault="000179CE" w:rsidP="009923A6">
            <w:pPr>
              <w:tabs>
                <w:tab w:val="left" w:pos="2304"/>
                <w:tab w:val="center" w:pos="4680"/>
              </w:tabs>
              <w:rPr>
                <w:rFonts w:ascii="Arial" w:hAnsi="Arial" w:cs="Arial"/>
                <w:b/>
                <w:sz w:val="16"/>
                <w:szCs w:val="16"/>
              </w:rPr>
            </w:pP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0.08</w:t>
            </w:r>
          </w:p>
        </w:tc>
        <w:tc>
          <w:tcPr>
            <w:tcW w:w="81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0.24</w:t>
            </w:r>
          </w:p>
        </w:tc>
        <w:tc>
          <w:tcPr>
            <w:tcW w:w="820"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0.16</w:t>
            </w:r>
          </w:p>
        </w:tc>
        <w:tc>
          <w:tcPr>
            <w:tcW w:w="236" w:type="dxa"/>
          </w:tcPr>
          <w:p w:rsidR="000179CE" w:rsidRPr="00D82E5F" w:rsidRDefault="000179CE" w:rsidP="009923A6">
            <w:pPr>
              <w:tabs>
                <w:tab w:val="left" w:pos="4216"/>
              </w:tabs>
              <w:rPr>
                <w:rFonts w:ascii="Arial" w:hAnsi="Arial" w:cs="Arial"/>
                <w:sz w:val="16"/>
                <w:szCs w:val="16"/>
              </w:rPr>
            </w:pPr>
          </w:p>
        </w:tc>
        <w:tc>
          <w:tcPr>
            <w:tcW w:w="1558" w:type="dxa"/>
          </w:tcPr>
          <w:p w:rsidR="000179CE" w:rsidRPr="00D82E5F" w:rsidRDefault="000179CE" w:rsidP="009923A6">
            <w:pPr>
              <w:tabs>
                <w:tab w:val="left" w:pos="4216"/>
              </w:tabs>
              <w:rPr>
                <w:rFonts w:ascii="Arial" w:hAnsi="Arial" w:cs="Arial"/>
                <w:sz w:val="16"/>
                <w:szCs w:val="16"/>
              </w:rPr>
            </w:pPr>
            <w:r w:rsidRPr="00D82E5F">
              <w:rPr>
                <w:rFonts w:ascii="Arial" w:hAnsi="Arial" w:cs="Arial"/>
                <w:sz w:val="16"/>
                <w:szCs w:val="16"/>
              </w:rPr>
              <w:t>0.16</w:t>
            </w:r>
          </w:p>
        </w:tc>
      </w:tr>
    </w:tbl>
    <w:p w:rsidR="00090ADE" w:rsidRPr="00A300A1" w:rsidRDefault="000179CE" w:rsidP="00A300A1">
      <w:pPr>
        <w:spacing w:line="360" w:lineRule="auto"/>
        <w:rPr>
          <w:rFonts w:ascii="Arial" w:hAnsi="Arial" w:cs="Arial"/>
          <w:sz w:val="16"/>
          <w:szCs w:val="16"/>
        </w:rPr>
      </w:pPr>
      <w:r w:rsidRPr="00D82E5F">
        <w:rPr>
          <w:rFonts w:ascii="Arial" w:hAnsi="Arial" w:cs="Arial"/>
          <w:sz w:val="16"/>
          <w:szCs w:val="16"/>
        </w:rPr>
        <w:t>*SD: Standard deviation;</w:t>
      </w:r>
      <w:r w:rsidRPr="00D82E5F">
        <w:rPr>
          <w:rFonts w:ascii="Arial" w:hAnsi="Arial" w:cs="Arial"/>
          <w:b/>
          <w:sz w:val="16"/>
          <w:szCs w:val="16"/>
        </w:rPr>
        <w:t xml:space="preserve"> **</w:t>
      </w:r>
      <w:r w:rsidRPr="00D82E5F">
        <w:rPr>
          <w:rFonts w:ascii="Arial" w:hAnsi="Arial" w:cs="Arial"/>
          <w:sz w:val="16"/>
          <w:szCs w:val="16"/>
        </w:rPr>
        <w:t>RSD: Relative standard deviation</w:t>
      </w:r>
    </w:p>
    <w:p w:rsidR="00B06B8B" w:rsidRPr="00310492" w:rsidRDefault="001304AF"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The values of extraction recovery for low, medium and high QC samples were calculated as 92.7</w:t>
      </w:r>
      <w:r w:rsidR="00CD32DF" w:rsidRPr="00310492">
        <w:rPr>
          <w:rFonts w:ascii="Times New Roman" w:hAnsi="Times New Roman" w:cs="Times New Roman"/>
          <w:sz w:val="24"/>
          <w:szCs w:val="24"/>
        </w:rPr>
        <w:t>%, 94.5% and 96.2% respectively</w:t>
      </w:r>
      <w:r w:rsidR="00326342" w:rsidRPr="00310492">
        <w:rPr>
          <w:rFonts w:ascii="Times New Roman" w:hAnsi="Times New Roman" w:cs="Times New Roman"/>
          <w:sz w:val="24"/>
          <w:szCs w:val="24"/>
        </w:rPr>
        <w:t xml:space="preserve"> (</w:t>
      </w:r>
      <w:r w:rsidR="009F1E33" w:rsidRPr="00310492">
        <w:rPr>
          <w:rFonts w:ascii="Times New Roman" w:hAnsi="Times New Roman" w:cs="Times New Roman"/>
          <w:sz w:val="24"/>
          <w:szCs w:val="24"/>
        </w:rPr>
        <w:t>T</w:t>
      </w:r>
      <w:r w:rsidR="00326342" w:rsidRPr="00310492">
        <w:rPr>
          <w:rFonts w:ascii="Times New Roman" w:hAnsi="Times New Roman" w:cs="Times New Roman"/>
          <w:sz w:val="24"/>
          <w:szCs w:val="24"/>
        </w:rPr>
        <w:t xml:space="preserve">able </w:t>
      </w:r>
      <w:r w:rsidR="009F1E33" w:rsidRPr="00310492">
        <w:rPr>
          <w:rFonts w:ascii="Times New Roman" w:hAnsi="Times New Roman" w:cs="Times New Roman"/>
          <w:sz w:val="24"/>
          <w:szCs w:val="24"/>
        </w:rPr>
        <w:t>3</w:t>
      </w:r>
      <w:r w:rsidR="00DE1403" w:rsidRPr="00310492">
        <w:rPr>
          <w:rFonts w:ascii="Times New Roman" w:hAnsi="Times New Roman" w:cs="Times New Roman"/>
          <w:sz w:val="24"/>
          <w:szCs w:val="24"/>
        </w:rPr>
        <w:t>)</w:t>
      </w:r>
      <w:r w:rsidR="00CD32DF" w:rsidRPr="00310492">
        <w:rPr>
          <w:rFonts w:ascii="Times New Roman" w:hAnsi="Times New Roman" w:cs="Times New Roman"/>
          <w:sz w:val="24"/>
          <w:szCs w:val="24"/>
        </w:rPr>
        <w:t xml:space="preserve">. </w:t>
      </w:r>
      <w:r w:rsidR="004C0D11" w:rsidRPr="00310492">
        <w:rPr>
          <w:rFonts w:ascii="Times New Roman" w:hAnsi="Times New Roman" w:cs="Times New Roman"/>
          <w:sz w:val="24"/>
          <w:szCs w:val="24"/>
        </w:rPr>
        <w:t xml:space="preserve">Hence the recovery of </w:t>
      </w:r>
      <w:r w:rsidR="0080719A" w:rsidRPr="00310492">
        <w:rPr>
          <w:rFonts w:ascii="Times New Roman" w:hAnsi="Times New Roman" w:cs="Times New Roman"/>
          <w:sz w:val="24"/>
          <w:szCs w:val="24"/>
        </w:rPr>
        <w:t>analyte</w:t>
      </w:r>
      <w:r w:rsidR="002E7E74" w:rsidRPr="00310492">
        <w:rPr>
          <w:rFonts w:ascii="Times New Roman" w:hAnsi="Times New Roman" w:cs="Times New Roman"/>
          <w:sz w:val="24"/>
          <w:szCs w:val="24"/>
        </w:rPr>
        <w:t xml:space="preserve"> was </w:t>
      </w:r>
      <w:r w:rsidR="00322A9D" w:rsidRPr="00310492">
        <w:rPr>
          <w:rFonts w:ascii="Times New Roman" w:hAnsi="Times New Roman" w:cs="Times New Roman"/>
          <w:sz w:val="24"/>
          <w:szCs w:val="24"/>
        </w:rPr>
        <w:t xml:space="preserve">rather equivalent to that documented by </w:t>
      </w:r>
      <w:r w:rsidR="00506BAC" w:rsidRPr="00310492">
        <w:rPr>
          <w:rFonts w:ascii="Times New Roman" w:hAnsi="Times New Roman" w:cs="Times New Roman"/>
          <w:sz w:val="24"/>
          <w:szCs w:val="24"/>
        </w:rPr>
        <w:t xml:space="preserve">Jacobson </w:t>
      </w:r>
      <w:r w:rsidR="00506BAC" w:rsidRPr="00310492">
        <w:rPr>
          <w:rFonts w:ascii="Times New Roman" w:hAnsi="Times New Roman" w:cs="Times New Roman"/>
          <w:i/>
          <w:sz w:val="24"/>
          <w:szCs w:val="24"/>
        </w:rPr>
        <w:t>et al</w:t>
      </w:r>
      <w:r w:rsidR="00506BAC"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10</w:t>
      </w:r>
      <w:r w:rsidR="00322A9D" w:rsidRPr="00310492">
        <w:rPr>
          <w:rFonts w:ascii="Times New Roman" w:hAnsi="Times New Roman" w:cs="Times New Roman"/>
          <w:sz w:val="24"/>
          <w:szCs w:val="24"/>
        </w:rPr>
        <w:t xml:space="preserve"> but</w:t>
      </w:r>
      <w:r w:rsidR="002E7E74" w:rsidRPr="00310492">
        <w:rPr>
          <w:rFonts w:ascii="Times New Roman" w:hAnsi="Times New Roman" w:cs="Times New Roman"/>
          <w:sz w:val="24"/>
          <w:szCs w:val="24"/>
        </w:rPr>
        <w:t xml:space="preserve"> higher than </w:t>
      </w:r>
      <w:r w:rsidR="00322A9D" w:rsidRPr="00310492">
        <w:rPr>
          <w:rFonts w:ascii="Times New Roman" w:hAnsi="Times New Roman" w:cs="Times New Roman"/>
          <w:sz w:val="24"/>
          <w:szCs w:val="24"/>
        </w:rPr>
        <w:t>the findings</w:t>
      </w:r>
      <w:r w:rsidR="002E7E74" w:rsidRPr="00310492">
        <w:rPr>
          <w:rFonts w:ascii="Times New Roman" w:hAnsi="Times New Roman" w:cs="Times New Roman"/>
          <w:sz w:val="24"/>
          <w:szCs w:val="24"/>
        </w:rPr>
        <w:t xml:space="preserve"> </w:t>
      </w:r>
      <w:r w:rsidR="00322A9D" w:rsidRPr="00310492">
        <w:rPr>
          <w:rFonts w:ascii="Times New Roman" w:hAnsi="Times New Roman" w:cs="Times New Roman"/>
          <w:sz w:val="24"/>
          <w:szCs w:val="24"/>
        </w:rPr>
        <w:t>of</w:t>
      </w:r>
      <w:r w:rsidR="002E7E74" w:rsidRPr="00310492">
        <w:rPr>
          <w:rFonts w:ascii="Times New Roman" w:hAnsi="Times New Roman" w:cs="Times New Roman"/>
          <w:sz w:val="24"/>
          <w:szCs w:val="24"/>
        </w:rPr>
        <w:t xml:space="preserve"> Jaglan </w:t>
      </w:r>
      <w:r w:rsidR="002E7E74" w:rsidRPr="00310492">
        <w:rPr>
          <w:rFonts w:ascii="Times New Roman" w:hAnsi="Times New Roman" w:cs="Times New Roman"/>
          <w:i/>
          <w:sz w:val="24"/>
          <w:szCs w:val="24"/>
        </w:rPr>
        <w:t>et al</w:t>
      </w:r>
      <w:r w:rsidR="00506BAC"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7</w:t>
      </w:r>
      <w:r w:rsidR="002E7E74" w:rsidRPr="00310492">
        <w:rPr>
          <w:rFonts w:ascii="Times New Roman" w:hAnsi="Times New Roman" w:cs="Times New Roman"/>
          <w:sz w:val="24"/>
          <w:szCs w:val="24"/>
        </w:rPr>
        <w:t xml:space="preserve"> and </w:t>
      </w:r>
      <w:r w:rsidR="00506BAC" w:rsidRPr="00310492">
        <w:rPr>
          <w:rFonts w:ascii="Times New Roman" w:hAnsi="Times New Roman" w:cs="Times New Roman"/>
          <w:sz w:val="24"/>
          <w:szCs w:val="24"/>
        </w:rPr>
        <w:t xml:space="preserve">De Baere </w:t>
      </w:r>
      <w:r w:rsidR="00506BAC" w:rsidRPr="00310492">
        <w:rPr>
          <w:rFonts w:ascii="Times New Roman" w:hAnsi="Times New Roman" w:cs="Times New Roman"/>
          <w:i/>
          <w:sz w:val="24"/>
          <w:szCs w:val="24"/>
        </w:rPr>
        <w:t>et al</w:t>
      </w:r>
      <w:r w:rsidR="00506BAC" w:rsidRPr="00310492">
        <w:rPr>
          <w:rFonts w:ascii="Times New Roman" w:hAnsi="Times New Roman" w:cs="Times New Roman"/>
          <w:sz w:val="24"/>
          <w:szCs w:val="24"/>
        </w:rPr>
        <w:t>.</w:t>
      </w:r>
      <w:r w:rsidR="00670E65" w:rsidRPr="00310492">
        <w:rPr>
          <w:rFonts w:ascii="Times New Roman" w:hAnsi="Times New Roman" w:cs="Times New Roman"/>
          <w:sz w:val="24"/>
          <w:szCs w:val="24"/>
          <w:vertAlign w:val="superscript"/>
        </w:rPr>
        <w:t>8</w:t>
      </w:r>
    </w:p>
    <w:p w:rsidR="000179CE" w:rsidRPr="00D82E5F" w:rsidRDefault="000179CE" w:rsidP="000179CE">
      <w:pPr>
        <w:spacing w:line="240" w:lineRule="auto"/>
        <w:rPr>
          <w:rFonts w:ascii="Arial" w:hAnsi="Arial" w:cs="Arial"/>
          <w:b/>
          <w:sz w:val="16"/>
          <w:szCs w:val="16"/>
        </w:rPr>
      </w:pPr>
      <w:r w:rsidRPr="00D82E5F">
        <w:rPr>
          <w:rFonts w:ascii="Arial" w:hAnsi="Arial" w:cs="Arial"/>
          <w:b/>
          <w:sz w:val="16"/>
          <w:szCs w:val="16"/>
        </w:rPr>
        <w:t>Table 3. Absolute recovery of HPLC method</w:t>
      </w:r>
    </w:p>
    <w:tbl>
      <w:tblPr>
        <w:tblStyle w:val="TableGrid"/>
        <w:tblW w:w="9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110"/>
        <w:gridCol w:w="2120"/>
        <w:gridCol w:w="1530"/>
        <w:gridCol w:w="990"/>
        <w:gridCol w:w="1440"/>
      </w:tblGrid>
      <w:tr w:rsidR="000179CE" w:rsidRPr="00D82E5F" w:rsidTr="009923A6">
        <w:tc>
          <w:tcPr>
            <w:tcW w:w="1705"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sz w:val="16"/>
                <w:szCs w:val="16"/>
              </w:rPr>
            </w:pPr>
            <w:r w:rsidRPr="00D82E5F">
              <w:rPr>
                <w:rFonts w:ascii="Arial" w:hAnsi="Arial" w:cs="Arial"/>
                <w:b/>
                <w:sz w:val="16"/>
                <w:szCs w:val="16"/>
              </w:rPr>
              <w:t>Spiked concentration (µg/mL)</w:t>
            </w:r>
          </w:p>
        </w:tc>
        <w:tc>
          <w:tcPr>
            <w:tcW w:w="211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Mean peak area of plasma samples after extraction</w:t>
            </w:r>
          </w:p>
        </w:tc>
        <w:tc>
          <w:tcPr>
            <w:tcW w:w="212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 xml:space="preserve">Mean peak area of </w:t>
            </w:r>
            <w:r w:rsidRPr="00D82E5F">
              <w:rPr>
                <w:rFonts w:ascii="Arial" w:hAnsi="Arial" w:cs="Arial"/>
                <w:sz w:val="16"/>
                <w:szCs w:val="16"/>
              </w:rPr>
              <w:t>*</w:t>
            </w:r>
            <w:r w:rsidRPr="00D82E5F">
              <w:rPr>
                <w:rFonts w:ascii="Arial" w:hAnsi="Arial" w:cs="Arial"/>
                <w:b/>
                <w:sz w:val="16"/>
                <w:szCs w:val="16"/>
              </w:rPr>
              <w:t>QC samples without extraction</w:t>
            </w:r>
          </w:p>
        </w:tc>
        <w:tc>
          <w:tcPr>
            <w:tcW w:w="153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b/>
                <w:sz w:val="16"/>
                <w:szCs w:val="16"/>
              </w:rPr>
              <w:t>% Recovery</w:t>
            </w:r>
          </w:p>
        </w:tc>
        <w:tc>
          <w:tcPr>
            <w:tcW w:w="99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sz w:val="16"/>
                <w:szCs w:val="16"/>
              </w:rPr>
              <w:t>**</w:t>
            </w:r>
            <w:r w:rsidRPr="00D82E5F">
              <w:rPr>
                <w:rFonts w:ascii="Arial" w:hAnsi="Arial" w:cs="Arial"/>
                <w:b/>
                <w:sz w:val="16"/>
                <w:szCs w:val="16"/>
              </w:rPr>
              <w:t>SD</w:t>
            </w:r>
          </w:p>
        </w:tc>
        <w:tc>
          <w:tcPr>
            <w:tcW w:w="1440" w:type="dxa"/>
            <w:tcBorders>
              <w:top w:val="single" w:sz="4" w:space="0" w:color="auto"/>
              <w:bottom w:val="single" w:sz="4" w:space="0" w:color="auto"/>
            </w:tcBorders>
            <w:vAlign w:val="center"/>
          </w:tcPr>
          <w:p w:rsidR="000179CE" w:rsidRPr="00D82E5F" w:rsidRDefault="000179CE" w:rsidP="009923A6">
            <w:pPr>
              <w:tabs>
                <w:tab w:val="left" w:pos="4216"/>
              </w:tabs>
              <w:rPr>
                <w:rFonts w:ascii="Arial" w:hAnsi="Arial" w:cs="Arial"/>
                <w:b/>
                <w:sz w:val="16"/>
                <w:szCs w:val="16"/>
              </w:rPr>
            </w:pPr>
            <w:r w:rsidRPr="00D82E5F">
              <w:rPr>
                <w:rFonts w:ascii="Arial" w:hAnsi="Arial" w:cs="Arial"/>
                <w:sz w:val="16"/>
                <w:szCs w:val="16"/>
              </w:rPr>
              <w:t>***</w:t>
            </w:r>
            <w:r w:rsidRPr="00D82E5F">
              <w:rPr>
                <w:rFonts w:ascii="Arial" w:hAnsi="Arial" w:cs="Arial"/>
                <w:b/>
                <w:sz w:val="16"/>
                <w:szCs w:val="16"/>
              </w:rPr>
              <w:t>RSD %</w:t>
            </w:r>
          </w:p>
        </w:tc>
      </w:tr>
      <w:tr w:rsidR="000179CE" w:rsidRPr="00D82E5F" w:rsidTr="009923A6">
        <w:tc>
          <w:tcPr>
            <w:tcW w:w="1705" w:type="dxa"/>
            <w:tcBorders>
              <w:top w:val="single" w:sz="4" w:space="0" w:color="auto"/>
            </w:tcBorders>
            <w:vAlign w:val="center"/>
          </w:tcPr>
          <w:p w:rsidR="000179CE" w:rsidRPr="00D82E5F" w:rsidRDefault="000179CE" w:rsidP="009923A6">
            <w:pPr>
              <w:tabs>
                <w:tab w:val="left" w:pos="4216"/>
              </w:tabs>
              <w:rPr>
                <w:rFonts w:ascii="Arial" w:hAnsi="Arial" w:cs="Arial"/>
                <w:b/>
                <w:sz w:val="16"/>
                <w:szCs w:val="16"/>
              </w:rPr>
            </w:pPr>
          </w:p>
        </w:tc>
        <w:tc>
          <w:tcPr>
            <w:tcW w:w="2110" w:type="dxa"/>
            <w:tcBorders>
              <w:top w:val="single" w:sz="4" w:space="0" w:color="auto"/>
            </w:tcBorders>
            <w:vAlign w:val="center"/>
          </w:tcPr>
          <w:p w:rsidR="000179CE" w:rsidRPr="00D82E5F" w:rsidRDefault="000179CE" w:rsidP="009923A6">
            <w:pPr>
              <w:tabs>
                <w:tab w:val="left" w:pos="4216"/>
              </w:tabs>
              <w:rPr>
                <w:rFonts w:ascii="Arial" w:hAnsi="Arial" w:cs="Arial"/>
                <w:b/>
                <w:sz w:val="16"/>
                <w:szCs w:val="16"/>
              </w:rPr>
            </w:pPr>
          </w:p>
        </w:tc>
        <w:tc>
          <w:tcPr>
            <w:tcW w:w="2120" w:type="dxa"/>
            <w:tcBorders>
              <w:top w:val="single" w:sz="4" w:space="0" w:color="auto"/>
            </w:tcBorders>
            <w:vAlign w:val="center"/>
          </w:tcPr>
          <w:p w:rsidR="000179CE" w:rsidRPr="00D82E5F" w:rsidRDefault="000179CE" w:rsidP="009923A6">
            <w:pPr>
              <w:tabs>
                <w:tab w:val="left" w:pos="4216"/>
              </w:tabs>
              <w:rPr>
                <w:rFonts w:ascii="Arial" w:hAnsi="Arial" w:cs="Arial"/>
                <w:b/>
                <w:sz w:val="16"/>
                <w:szCs w:val="16"/>
              </w:rPr>
            </w:pPr>
          </w:p>
        </w:tc>
        <w:tc>
          <w:tcPr>
            <w:tcW w:w="1530" w:type="dxa"/>
            <w:tcBorders>
              <w:top w:val="single" w:sz="4" w:space="0" w:color="auto"/>
            </w:tcBorders>
            <w:vAlign w:val="center"/>
          </w:tcPr>
          <w:p w:rsidR="000179CE" w:rsidRPr="00D82E5F" w:rsidRDefault="000179CE" w:rsidP="009923A6">
            <w:pPr>
              <w:tabs>
                <w:tab w:val="left" w:pos="4216"/>
              </w:tabs>
              <w:rPr>
                <w:rFonts w:ascii="Arial" w:hAnsi="Arial" w:cs="Arial"/>
                <w:b/>
                <w:sz w:val="16"/>
                <w:szCs w:val="16"/>
              </w:rPr>
            </w:pPr>
          </w:p>
        </w:tc>
        <w:tc>
          <w:tcPr>
            <w:tcW w:w="990" w:type="dxa"/>
            <w:tcBorders>
              <w:top w:val="single" w:sz="4" w:space="0" w:color="auto"/>
            </w:tcBorders>
            <w:vAlign w:val="center"/>
          </w:tcPr>
          <w:p w:rsidR="000179CE" w:rsidRPr="00D82E5F" w:rsidRDefault="000179CE" w:rsidP="009923A6">
            <w:pPr>
              <w:tabs>
                <w:tab w:val="left" w:pos="4216"/>
              </w:tabs>
              <w:rPr>
                <w:rFonts w:ascii="Arial" w:hAnsi="Arial" w:cs="Arial"/>
                <w:sz w:val="16"/>
                <w:szCs w:val="16"/>
              </w:rPr>
            </w:pPr>
          </w:p>
        </w:tc>
        <w:tc>
          <w:tcPr>
            <w:tcW w:w="1440" w:type="dxa"/>
            <w:tcBorders>
              <w:top w:val="single" w:sz="4" w:space="0" w:color="auto"/>
            </w:tcBorders>
            <w:vAlign w:val="center"/>
          </w:tcPr>
          <w:p w:rsidR="000179CE" w:rsidRPr="00D82E5F" w:rsidRDefault="000179CE" w:rsidP="009923A6">
            <w:pPr>
              <w:tabs>
                <w:tab w:val="left" w:pos="4216"/>
              </w:tabs>
              <w:rPr>
                <w:rFonts w:ascii="Arial" w:hAnsi="Arial" w:cs="Arial"/>
                <w:sz w:val="16"/>
                <w:szCs w:val="16"/>
              </w:rPr>
            </w:pPr>
          </w:p>
        </w:tc>
      </w:tr>
      <w:tr w:rsidR="000179CE" w:rsidRPr="00D82E5F" w:rsidTr="009923A6">
        <w:tc>
          <w:tcPr>
            <w:tcW w:w="1705"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0.75</w:t>
            </w:r>
          </w:p>
        </w:tc>
        <w:tc>
          <w:tcPr>
            <w:tcW w:w="211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49018</w:t>
            </w:r>
          </w:p>
        </w:tc>
        <w:tc>
          <w:tcPr>
            <w:tcW w:w="2120"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 xml:space="preserve">53397 </w:t>
            </w:r>
          </w:p>
        </w:tc>
        <w:tc>
          <w:tcPr>
            <w:tcW w:w="153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 xml:space="preserve">92.1 </w:t>
            </w:r>
          </w:p>
        </w:tc>
        <w:tc>
          <w:tcPr>
            <w:tcW w:w="99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0.25</w:t>
            </w:r>
          </w:p>
        </w:tc>
        <w:tc>
          <w:tcPr>
            <w:tcW w:w="144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0.28</w:t>
            </w:r>
          </w:p>
        </w:tc>
      </w:tr>
      <w:tr w:rsidR="000179CE" w:rsidRPr="00D82E5F" w:rsidTr="009923A6">
        <w:tc>
          <w:tcPr>
            <w:tcW w:w="1705"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2.5</w:t>
            </w:r>
          </w:p>
        </w:tc>
        <w:tc>
          <w:tcPr>
            <w:tcW w:w="211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147221</w:t>
            </w:r>
          </w:p>
        </w:tc>
        <w:tc>
          <w:tcPr>
            <w:tcW w:w="2120"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157237</w:t>
            </w:r>
          </w:p>
        </w:tc>
        <w:tc>
          <w:tcPr>
            <w:tcW w:w="153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 xml:space="preserve">93.2 </w:t>
            </w:r>
          </w:p>
        </w:tc>
        <w:tc>
          <w:tcPr>
            <w:tcW w:w="99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0.29</w:t>
            </w:r>
          </w:p>
        </w:tc>
        <w:tc>
          <w:tcPr>
            <w:tcW w:w="144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0.31</w:t>
            </w:r>
          </w:p>
        </w:tc>
      </w:tr>
      <w:tr w:rsidR="000179CE" w:rsidRPr="00D82E5F" w:rsidTr="009923A6">
        <w:tc>
          <w:tcPr>
            <w:tcW w:w="1705"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12.5</w:t>
            </w:r>
          </w:p>
        </w:tc>
        <w:tc>
          <w:tcPr>
            <w:tcW w:w="211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696076</w:t>
            </w:r>
          </w:p>
        </w:tc>
        <w:tc>
          <w:tcPr>
            <w:tcW w:w="2120" w:type="dxa"/>
            <w:vAlign w:val="center"/>
          </w:tcPr>
          <w:p w:rsidR="000179CE" w:rsidRPr="00D82E5F" w:rsidRDefault="000179CE" w:rsidP="009923A6">
            <w:pPr>
              <w:tabs>
                <w:tab w:val="left" w:pos="4216"/>
              </w:tabs>
              <w:spacing w:line="360" w:lineRule="auto"/>
              <w:rPr>
                <w:rFonts w:ascii="Arial" w:hAnsi="Arial" w:cs="Arial"/>
                <w:sz w:val="16"/>
                <w:szCs w:val="16"/>
              </w:rPr>
            </w:pPr>
            <w:r w:rsidRPr="00D82E5F">
              <w:rPr>
                <w:rFonts w:ascii="Arial" w:hAnsi="Arial" w:cs="Arial"/>
                <w:sz w:val="16"/>
                <w:szCs w:val="16"/>
              </w:rPr>
              <w:t>731958</w:t>
            </w:r>
          </w:p>
        </w:tc>
        <w:tc>
          <w:tcPr>
            <w:tcW w:w="153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94.9</w:t>
            </w:r>
          </w:p>
        </w:tc>
        <w:tc>
          <w:tcPr>
            <w:tcW w:w="99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0.31</w:t>
            </w:r>
          </w:p>
        </w:tc>
        <w:tc>
          <w:tcPr>
            <w:tcW w:w="1440" w:type="dxa"/>
            <w:vAlign w:val="center"/>
          </w:tcPr>
          <w:p w:rsidR="000179CE" w:rsidRPr="00D82E5F" w:rsidRDefault="000179CE" w:rsidP="009923A6">
            <w:pPr>
              <w:spacing w:line="360" w:lineRule="auto"/>
              <w:rPr>
                <w:rFonts w:ascii="Arial" w:hAnsi="Arial" w:cs="Arial"/>
                <w:color w:val="000000"/>
                <w:sz w:val="16"/>
                <w:szCs w:val="16"/>
              </w:rPr>
            </w:pPr>
            <w:r w:rsidRPr="00D82E5F">
              <w:rPr>
                <w:rFonts w:ascii="Arial" w:hAnsi="Arial" w:cs="Arial"/>
                <w:color w:val="000000"/>
                <w:sz w:val="16"/>
                <w:szCs w:val="16"/>
              </w:rPr>
              <w:t>0.33</w:t>
            </w:r>
          </w:p>
        </w:tc>
      </w:tr>
    </w:tbl>
    <w:p w:rsidR="000179CE" w:rsidRPr="00D82E5F" w:rsidRDefault="000179CE" w:rsidP="000179CE">
      <w:pPr>
        <w:spacing w:line="360" w:lineRule="auto"/>
        <w:rPr>
          <w:rFonts w:ascii="Arial" w:hAnsi="Arial" w:cs="Arial"/>
          <w:sz w:val="16"/>
          <w:szCs w:val="16"/>
        </w:rPr>
      </w:pPr>
      <w:r w:rsidRPr="00D82E5F">
        <w:rPr>
          <w:rFonts w:ascii="Arial" w:hAnsi="Arial" w:cs="Arial"/>
          <w:sz w:val="16"/>
          <w:szCs w:val="16"/>
        </w:rPr>
        <w:t>*QC: Quality control; **SD: Standard deviation;</w:t>
      </w:r>
      <w:r w:rsidRPr="00D82E5F">
        <w:rPr>
          <w:rFonts w:ascii="Arial" w:hAnsi="Arial" w:cs="Arial"/>
          <w:b/>
          <w:sz w:val="16"/>
          <w:szCs w:val="16"/>
        </w:rPr>
        <w:t xml:space="preserve"> **</w:t>
      </w:r>
      <w:r w:rsidRPr="00D82E5F">
        <w:rPr>
          <w:rFonts w:ascii="Arial" w:hAnsi="Arial" w:cs="Arial"/>
          <w:sz w:val="16"/>
          <w:szCs w:val="16"/>
        </w:rPr>
        <w:t>*RSD: Relative standard deviation</w:t>
      </w:r>
    </w:p>
    <w:p w:rsidR="000179CE" w:rsidRPr="00310492" w:rsidRDefault="004C0D11" w:rsidP="00A300A1">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 xml:space="preserve">Furthermore, two freeze-thaw cycles did not </w:t>
      </w:r>
      <w:r w:rsidR="0047555B" w:rsidRPr="00310492">
        <w:rPr>
          <w:rFonts w:ascii="Times New Roman" w:hAnsi="Times New Roman" w:cs="Times New Roman"/>
          <w:sz w:val="24"/>
          <w:szCs w:val="24"/>
        </w:rPr>
        <w:t>significantly</w:t>
      </w:r>
      <w:r w:rsidRPr="00310492">
        <w:rPr>
          <w:rFonts w:ascii="Times New Roman" w:hAnsi="Times New Roman" w:cs="Times New Roman"/>
          <w:sz w:val="24"/>
          <w:szCs w:val="24"/>
        </w:rPr>
        <w:t xml:space="preserve"> </w:t>
      </w:r>
      <w:r w:rsidR="00236C1E" w:rsidRPr="00310492">
        <w:rPr>
          <w:rFonts w:ascii="Times New Roman" w:hAnsi="Times New Roman" w:cs="Times New Roman"/>
          <w:sz w:val="24"/>
          <w:szCs w:val="24"/>
        </w:rPr>
        <w:t>a</w:t>
      </w:r>
      <w:r w:rsidRPr="00310492">
        <w:rPr>
          <w:rFonts w:ascii="Times New Roman" w:hAnsi="Times New Roman" w:cs="Times New Roman"/>
          <w:sz w:val="24"/>
          <w:szCs w:val="24"/>
        </w:rPr>
        <w:t xml:space="preserve">ffect </w:t>
      </w:r>
      <w:r w:rsidR="0047555B" w:rsidRPr="00310492">
        <w:rPr>
          <w:rFonts w:ascii="Times New Roman" w:hAnsi="Times New Roman" w:cs="Times New Roman"/>
          <w:sz w:val="24"/>
          <w:szCs w:val="24"/>
        </w:rPr>
        <w:t>the</w:t>
      </w:r>
      <w:r w:rsidRPr="00310492">
        <w:rPr>
          <w:rFonts w:ascii="Times New Roman" w:hAnsi="Times New Roman" w:cs="Times New Roman"/>
          <w:sz w:val="24"/>
          <w:szCs w:val="24"/>
        </w:rPr>
        <w:t xml:space="preserve"> quantification of </w:t>
      </w:r>
      <w:r w:rsidR="0080719A" w:rsidRPr="00310492">
        <w:rPr>
          <w:rFonts w:ascii="Times New Roman" w:hAnsi="Times New Roman" w:cs="Times New Roman"/>
          <w:sz w:val="24"/>
          <w:szCs w:val="24"/>
        </w:rPr>
        <w:t>ceftiofur</w:t>
      </w:r>
      <w:r w:rsidRPr="00310492">
        <w:rPr>
          <w:rFonts w:ascii="Times New Roman" w:hAnsi="Times New Roman" w:cs="Times New Roman"/>
          <w:sz w:val="24"/>
          <w:szCs w:val="24"/>
        </w:rPr>
        <w:t xml:space="preserve">. </w:t>
      </w:r>
      <w:r w:rsidR="00CD32DF" w:rsidRPr="00310492">
        <w:rPr>
          <w:rFonts w:ascii="Times New Roman" w:hAnsi="Times New Roman" w:cs="Times New Roman"/>
          <w:sz w:val="24"/>
          <w:szCs w:val="24"/>
        </w:rPr>
        <w:t xml:space="preserve">The </w:t>
      </w:r>
      <w:r w:rsidR="00DE1403" w:rsidRPr="00310492">
        <w:rPr>
          <w:rFonts w:ascii="Times New Roman" w:hAnsi="Times New Roman" w:cs="Times New Roman"/>
          <w:sz w:val="24"/>
          <w:szCs w:val="24"/>
        </w:rPr>
        <w:t xml:space="preserve">stability of </w:t>
      </w:r>
      <w:r w:rsidR="00CD32DF" w:rsidRPr="00310492">
        <w:rPr>
          <w:rFonts w:ascii="Times New Roman" w:hAnsi="Times New Roman" w:cs="Times New Roman"/>
          <w:sz w:val="24"/>
          <w:szCs w:val="24"/>
        </w:rPr>
        <w:t>low QC sample</w:t>
      </w:r>
      <w:r w:rsidR="00DE1403" w:rsidRPr="00310492">
        <w:rPr>
          <w:rFonts w:ascii="Times New Roman" w:hAnsi="Times New Roman" w:cs="Times New Roman"/>
          <w:sz w:val="24"/>
          <w:szCs w:val="24"/>
        </w:rPr>
        <w:t>s</w:t>
      </w:r>
      <w:r w:rsidR="00CD32DF" w:rsidRPr="00310492">
        <w:rPr>
          <w:rFonts w:ascii="Times New Roman" w:hAnsi="Times New Roman" w:cs="Times New Roman"/>
          <w:sz w:val="24"/>
          <w:szCs w:val="24"/>
        </w:rPr>
        <w:t xml:space="preserve"> </w:t>
      </w:r>
      <w:r w:rsidR="00DE1403" w:rsidRPr="00310492">
        <w:rPr>
          <w:rFonts w:ascii="Times New Roman" w:hAnsi="Times New Roman" w:cs="Times New Roman"/>
          <w:sz w:val="24"/>
          <w:szCs w:val="24"/>
        </w:rPr>
        <w:t>following the 1</w:t>
      </w:r>
      <w:r w:rsidR="00DE1403" w:rsidRPr="00310492">
        <w:rPr>
          <w:rFonts w:ascii="Times New Roman" w:hAnsi="Times New Roman" w:cs="Times New Roman"/>
          <w:sz w:val="24"/>
          <w:szCs w:val="24"/>
          <w:vertAlign w:val="superscript"/>
        </w:rPr>
        <w:t>st</w:t>
      </w:r>
      <w:r w:rsidR="00DE1403" w:rsidRPr="00310492">
        <w:rPr>
          <w:rFonts w:ascii="Times New Roman" w:hAnsi="Times New Roman" w:cs="Times New Roman"/>
          <w:sz w:val="24"/>
          <w:szCs w:val="24"/>
        </w:rPr>
        <w:t xml:space="preserve"> and 2</w:t>
      </w:r>
      <w:r w:rsidR="00DE1403" w:rsidRPr="00310492">
        <w:rPr>
          <w:rFonts w:ascii="Times New Roman" w:hAnsi="Times New Roman" w:cs="Times New Roman"/>
          <w:sz w:val="24"/>
          <w:szCs w:val="24"/>
          <w:vertAlign w:val="superscript"/>
        </w:rPr>
        <w:t>nd</w:t>
      </w:r>
      <w:r w:rsidR="00DE1403" w:rsidRPr="00310492">
        <w:rPr>
          <w:rFonts w:ascii="Times New Roman" w:hAnsi="Times New Roman" w:cs="Times New Roman"/>
          <w:sz w:val="24"/>
          <w:szCs w:val="24"/>
        </w:rPr>
        <w:t xml:space="preserve"> post-thaw cycles were estimated as </w:t>
      </w:r>
      <w:r w:rsidR="00CD32DF" w:rsidRPr="00310492">
        <w:rPr>
          <w:rFonts w:ascii="Times New Roman" w:hAnsi="Times New Roman" w:cs="Times New Roman"/>
          <w:sz w:val="24"/>
          <w:szCs w:val="24"/>
        </w:rPr>
        <w:t xml:space="preserve">97.3% and 94.6% respectively. Likewise, the high QC samples remained 98% and 95.3% stable </w:t>
      </w:r>
      <w:r w:rsidR="00DE1403" w:rsidRPr="00310492">
        <w:rPr>
          <w:rFonts w:ascii="Times New Roman" w:hAnsi="Times New Roman" w:cs="Times New Roman"/>
          <w:sz w:val="24"/>
          <w:szCs w:val="24"/>
        </w:rPr>
        <w:t>after the 1</w:t>
      </w:r>
      <w:r w:rsidR="00DE1403" w:rsidRPr="00310492">
        <w:rPr>
          <w:rFonts w:ascii="Times New Roman" w:hAnsi="Times New Roman" w:cs="Times New Roman"/>
          <w:sz w:val="24"/>
          <w:szCs w:val="24"/>
          <w:vertAlign w:val="superscript"/>
        </w:rPr>
        <w:t>st</w:t>
      </w:r>
      <w:r w:rsidR="00DE1403" w:rsidRPr="00310492">
        <w:rPr>
          <w:rFonts w:ascii="Times New Roman" w:hAnsi="Times New Roman" w:cs="Times New Roman"/>
          <w:sz w:val="24"/>
          <w:szCs w:val="24"/>
        </w:rPr>
        <w:t xml:space="preserve"> and 2</w:t>
      </w:r>
      <w:r w:rsidR="00DE1403" w:rsidRPr="00310492">
        <w:rPr>
          <w:rFonts w:ascii="Times New Roman" w:hAnsi="Times New Roman" w:cs="Times New Roman"/>
          <w:sz w:val="24"/>
          <w:szCs w:val="24"/>
          <w:vertAlign w:val="superscript"/>
        </w:rPr>
        <w:t>nd</w:t>
      </w:r>
      <w:r w:rsidR="00DE1403" w:rsidRPr="00310492">
        <w:rPr>
          <w:rFonts w:ascii="Times New Roman" w:hAnsi="Times New Roman" w:cs="Times New Roman"/>
          <w:sz w:val="24"/>
          <w:szCs w:val="24"/>
        </w:rPr>
        <w:t xml:space="preserve"> post-</w:t>
      </w:r>
      <w:r w:rsidR="00326342" w:rsidRPr="00310492">
        <w:rPr>
          <w:rFonts w:ascii="Times New Roman" w:hAnsi="Times New Roman" w:cs="Times New Roman"/>
          <w:sz w:val="24"/>
          <w:szCs w:val="24"/>
        </w:rPr>
        <w:t>thaw cycles respectively (</w:t>
      </w:r>
      <w:r w:rsidR="009F1E33" w:rsidRPr="00310492">
        <w:rPr>
          <w:rFonts w:ascii="Times New Roman" w:hAnsi="Times New Roman" w:cs="Times New Roman"/>
          <w:sz w:val="24"/>
          <w:szCs w:val="24"/>
        </w:rPr>
        <w:t>T</w:t>
      </w:r>
      <w:r w:rsidR="00326342" w:rsidRPr="00310492">
        <w:rPr>
          <w:rFonts w:ascii="Times New Roman" w:hAnsi="Times New Roman" w:cs="Times New Roman"/>
          <w:sz w:val="24"/>
          <w:szCs w:val="24"/>
        </w:rPr>
        <w:t xml:space="preserve">able </w:t>
      </w:r>
      <w:r w:rsidR="009F1E33" w:rsidRPr="00310492">
        <w:rPr>
          <w:rFonts w:ascii="Times New Roman" w:hAnsi="Times New Roman" w:cs="Times New Roman"/>
          <w:sz w:val="24"/>
          <w:szCs w:val="24"/>
        </w:rPr>
        <w:t>4</w:t>
      </w:r>
      <w:r w:rsidR="00DE1403" w:rsidRPr="00310492">
        <w:rPr>
          <w:rFonts w:ascii="Times New Roman" w:hAnsi="Times New Roman" w:cs="Times New Roman"/>
          <w:sz w:val="24"/>
          <w:szCs w:val="24"/>
        </w:rPr>
        <w:t xml:space="preserve">). </w:t>
      </w:r>
    </w:p>
    <w:p w:rsidR="000179CE" w:rsidRPr="00D82E5F" w:rsidRDefault="000179CE" w:rsidP="000179CE">
      <w:pPr>
        <w:spacing w:line="240" w:lineRule="auto"/>
        <w:rPr>
          <w:rFonts w:ascii="Arial" w:hAnsi="Arial" w:cs="Arial"/>
          <w:b/>
          <w:sz w:val="16"/>
          <w:szCs w:val="16"/>
        </w:rPr>
      </w:pPr>
      <w:r w:rsidRPr="00D82E5F">
        <w:rPr>
          <w:rFonts w:ascii="Arial" w:hAnsi="Arial" w:cs="Arial"/>
          <w:b/>
          <w:sz w:val="16"/>
          <w:szCs w:val="16"/>
        </w:rPr>
        <w:t>Table 4. Freeze-thaw stability of quality control samples</w:t>
      </w:r>
    </w:p>
    <w:tbl>
      <w:tblPr>
        <w:tblStyle w:val="TableGrid"/>
        <w:tblW w:w="106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2340"/>
        <w:gridCol w:w="1710"/>
        <w:gridCol w:w="1815"/>
        <w:gridCol w:w="795"/>
        <w:gridCol w:w="270"/>
        <w:gridCol w:w="1440"/>
      </w:tblGrid>
      <w:tr w:rsidR="000179CE" w:rsidRPr="00D82E5F" w:rsidTr="009923A6">
        <w:tc>
          <w:tcPr>
            <w:tcW w:w="2245" w:type="dxa"/>
            <w:vMerge w:val="restart"/>
            <w:tcBorders>
              <w:top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Storage condition</w:t>
            </w:r>
          </w:p>
        </w:tc>
        <w:tc>
          <w:tcPr>
            <w:tcW w:w="2340" w:type="dxa"/>
            <w:vMerge w:val="restart"/>
            <w:tcBorders>
              <w:top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Quality control level</w:t>
            </w:r>
          </w:p>
        </w:tc>
        <w:tc>
          <w:tcPr>
            <w:tcW w:w="6030" w:type="dxa"/>
            <w:gridSpan w:val="5"/>
            <w:tcBorders>
              <w:top w:val="single" w:sz="4" w:space="0" w:color="auto"/>
              <w:bottom w:val="single" w:sz="4" w:space="0" w:color="auto"/>
            </w:tcBorders>
            <w:vAlign w:val="center"/>
          </w:tcPr>
          <w:p w:rsidR="000179CE" w:rsidRPr="00D82E5F" w:rsidRDefault="000179CE" w:rsidP="009923A6">
            <w:pPr>
              <w:jc w:val="center"/>
              <w:rPr>
                <w:rFonts w:ascii="Arial" w:hAnsi="Arial" w:cs="Arial"/>
                <w:b/>
                <w:sz w:val="16"/>
                <w:szCs w:val="16"/>
              </w:rPr>
            </w:pPr>
            <w:r w:rsidRPr="00D82E5F">
              <w:rPr>
                <w:rFonts w:ascii="Arial" w:hAnsi="Arial" w:cs="Arial"/>
                <w:b/>
                <w:sz w:val="16"/>
                <w:szCs w:val="16"/>
              </w:rPr>
              <w:t>Parameters</w:t>
            </w:r>
          </w:p>
        </w:tc>
      </w:tr>
      <w:tr w:rsidR="000179CE" w:rsidRPr="00D82E5F" w:rsidTr="009923A6">
        <w:tc>
          <w:tcPr>
            <w:tcW w:w="2245" w:type="dxa"/>
            <w:vMerge/>
            <w:tcBorders>
              <w:bottom w:val="single" w:sz="4" w:space="0" w:color="auto"/>
            </w:tcBorders>
            <w:vAlign w:val="center"/>
          </w:tcPr>
          <w:p w:rsidR="000179CE" w:rsidRPr="00D82E5F" w:rsidRDefault="000179CE" w:rsidP="009923A6">
            <w:pPr>
              <w:rPr>
                <w:rFonts w:ascii="Arial" w:hAnsi="Arial" w:cs="Arial"/>
                <w:b/>
                <w:sz w:val="16"/>
                <w:szCs w:val="16"/>
              </w:rPr>
            </w:pPr>
          </w:p>
        </w:tc>
        <w:tc>
          <w:tcPr>
            <w:tcW w:w="2340" w:type="dxa"/>
            <w:vMerge/>
            <w:tcBorders>
              <w:bottom w:val="single" w:sz="4" w:space="0" w:color="auto"/>
            </w:tcBorders>
            <w:vAlign w:val="center"/>
          </w:tcPr>
          <w:p w:rsidR="000179CE" w:rsidRPr="00D82E5F" w:rsidRDefault="000179CE" w:rsidP="009923A6">
            <w:pPr>
              <w:rPr>
                <w:rFonts w:ascii="Arial" w:hAnsi="Arial" w:cs="Arial"/>
                <w:b/>
                <w:sz w:val="16"/>
                <w:szCs w:val="16"/>
              </w:rPr>
            </w:pPr>
          </w:p>
        </w:tc>
        <w:tc>
          <w:tcPr>
            <w:tcW w:w="1710" w:type="dxa"/>
            <w:tcBorders>
              <w:top w:val="single" w:sz="4" w:space="0" w:color="auto"/>
              <w:bottom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Spiked concentration (µg/mL)</w:t>
            </w:r>
          </w:p>
        </w:tc>
        <w:tc>
          <w:tcPr>
            <w:tcW w:w="1815" w:type="dxa"/>
            <w:tcBorders>
              <w:top w:val="single" w:sz="4" w:space="0" w:color="auto"/>
              <w:bottom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Mean nominal concentration (µg/mL)</w:t>
            </w:r>
          </w:p>
        </w:tc>
        <w:tc>
          <w:tcPr>
            <w:tcW w:w="795" w:type="dxa"/>
            <w:tcBorders>
              <w:top w:val="single" w:sz="4" w:space="0" w:color="auto"/>
              <w:bottom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*SD</w:t>
            </w:r>
          </w:p>
        </w:tc>
        <w:tc>
          <w:tcPr>
            <w:tcW w:w="270" w:type="dxa"/>
            <w:tcBorders>
              <w:top w:val="single" w:sz="4" w:space="0" w:color="auto"/>
              <w:bottom w:val="single" w:sz="4" w:space="0" w:color="auto"/>
            </w:tcBorders>
            <w:vAlign w:val="center"/>
          </w:tcPr>
          <w:p w:rsidR="000179CE" w:rsidRPr="00D82E5F" w:rsidRDefault="000179CE" w:rsidP="009923A6">
            <w:pPr>
              <w:rPr>
                <w:rFonts w:ascii="Arial" w:hAnsi="Arial" w:cs="Arial"/>
                <w:b/>
                <w:sz w:val="16"/>
                <w:szCs w:val="16"/>
              </w:rPr>
            </w:pPr>
          </w:p>
        </w:tc>
        <w:tc>
          <w:tcPr>
            <w:tcW w:w="1440" w:type="dxa"/>
            <w:tcBorders>
              <w:top w:val="single" w:sz="4" w:space="0" w:color="auto"/>
              <w:bottom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 Stability</w:t>
            </w:r>
          </w:p>
        </w:tc>
      </w:tr>
      <w:tr w:rsidR="000179CE" w:rsidRPr="00D82E5F" w:rsidTr="009923A6">
        <w:tc>
          <w:tcPr>
            <w:tcW w:w="2245" w:type="dxa"/>
            <w:tcBorders>
              <w:top w:val="single" w:sz="4" w:space="0" w:color="auto"/>
            </w:tcBorders>
            <w:vAlign w:val="center"/>
          </w:tcPr>
          <w:p w:rsidR="000179CE" w:rsidRPr="00D82E5F" w:rsidRDefault="000179CE" w:rsidP="009923A6">
            <w:pPr>
              <w:rPr>
                <w:rFonts w:ascii="Arial" w:hAnsi="Arial" w:cs="Arial"/>
                <w:b/>
                <w:sz w:val="16"/>
                <w:szCs w:val="16"/>
              </w:rPr>
            </w:pPr>
            <w:r w:rsidRPr="00D82E5F">
              <w:rPr>
                <w:rFonts w:ascii="Arial" w:hAnsi="Arial" w:cs="Arial"/>
                <w:b/>
                <w:sz w:val="16"/>
                <w:szCs w:val="16"/>
              </w:rPr>
              <w:t>Fresh samples</w:t>
            </w:r>
          </w:p>
        </w:tc>
        <w:tc>
          <w:tcPr>
            <w:tcW w:w="2340" w:type="dxa"/>
            <w:tcBorders>
              <w:top w:val="single" w:sz="4" w:space="0" w:color="auto"/>
            </w:tcBorders>
            <w:vAlign w:val="center"/>
          </w:tcPr>
          <w:p w:rsidR="000179CE" w:rsidRPr="00D82E5F" w:rsidRDefault="000179CE" w:rsidP="009923A6">
            <w:pPr>
              <w:rPr>
                <w:rFonts w:ascii="Arial" w:hAnsi="Arial" w:cs="Arial"/>
                <w:b/>
                <w:sz w:val="16"/>
                <w:szCs w:val="16"/>
              </w:rPr>
            </w:pPr>
          </w:p>
        </w:tc>
        <w:tc>
          <w:tcPr>
            <w:tcW w:w="1710" w:type="dxa"/>
            <w:tcBorders>
              <w:top w:val="single" w:sz="4" w:space="0" w:color="auto"/>
            </w:tcBorders>
            <w:vAlign w:val="center"/>
          </w:tcPr>
          <w:p w:rsidR="000179CE" w:rsidRPr="00D82E5F" w:rsidRDefault="000179CE" w:rsidP="009923A6">
            <w:pPr>
              <w:rPr>
                <w:rFonts w:ascii="Arial" w:hAnsi="Arial" w:cs="Arial"/>
                <w:b/>
                <w:sz w:val="16"/>
                <w:szCs w:val="16"/>
              </w:rPr>
            </w:pPr>
          </w:p>
        </w:tc>
        <w:tc>
          <w:tcPr>
            <w:tcW w:w="1815" w:type="dxa"/>
            <w:tcBorders>
              <w:top w:val="single" w:sz="4" w:space="0" w:color="auto"/>
            </w:tcBorders>
            <w:vAlign w:val="center"/>
          </w:tcPr>
          <w:p w:rsidR="000179CE" w:rsidRPr="00D82E5F" w:rsidRDefault="000179CE" w:rsidP="009923A6">
            <w:pPr>
              <w:rPr>
                <w:rFonts w:ascii="Arial" w:hAnsi="Arial" w:cs="Arial"/>
                <w:b/>
                <w:sz w:val="16"/>
                <w:szCs w:val="16"/>
              </w:rPr>
            </w:pPr>
          </w:p>
        </w:tc>
        <w:tc>
          <w:tcPr>
            <w:tcW w:w="795" w:type="dxa"/>
            <w:tcBorders>
              <w:top w:val="single" w:sz="4" w:space="0" w:color="auto"/>
            </w:tcBorders>
            <w:vAlign w:val="center"/>
          </w:tcPr>
          <w:p w:rsidR="000179CE" w:rsidRPr="00D82E5F" w:rsidRDefault="000179CE" w:rsidP="009923A6">
            <w:pPr>
              <w:rPr>
                <w:rFonts w:ascii="Arial" w:hAnsi="Arial" w:cs="Arial"/>
                <w:b/>
                <w:sz w:val="16"/>
                <w:szCs w:val="16"/>
              </w:rPr>
            </w:pPr>
          </w:p>
        </w:tc>
        <w:tc>
          <w:tcPr>
            <w:tcW w:w="270" w:type="dxa"/>
            <w:tcBorders>
              <w:top w:val="single" w:sz="4" w:space="0" w:color="auto"/>
            </w:tcBorders>
            <w:vAlign w:val="center"/>
          </w:tcPr>
          <w:p w:rsidR="000179CE" w:rsidRPr="00D82E5F" w:rsidRDefault="000179CE" w:rsidP="009923A6">
            <w:pPr>
              <w:rPr>
                <w:rFonts w:ascii="Arial" w:hAnsi="Arial" w:cs="Arial"/>
                <w:b/>
                <w:sz w:val="16"/>
                <w:szCs w:val="16"/>
              </w:rPr>
            </w:pPr>
          </w:p>
        </w:tc>
        <w:tc>
          <w:tcPr>
            <w:tcW w:w="1440" w:type="dxa"/>
            <w:tcBorders>
              <w:top w:val="single" w:sz="4" w:space="0" w:color="auto"/>
            </w:tcBorders>
            <w:vAlign w:val="center"/>
          </w:tcPr>
          <w:p w:rsidR="000179CE" w:rsidRPr="00D82E5F" w:rsidRDefault="000179CE" w:rsidP="009923A6">
            <w:pPr>
              <w:rPr>
                <w:rFonts w:ascii="Arial" w:hAnsi="Arial" w:cs="Arial"/>
                <w:b/>
                <w:sz w:val="16"/>
                <w:szCs w:val="16"/>
              </w:rPr>
            </w:pPr>
          </w:p>
        </w:tc>
      </w:tr>
      <w:tr w:rsidR="000179CE" w:rsidRPr="00D82E5F" w:rsidTr="009923A6">
        <w:trPr>
          <w:trHeight w:val="50"/>
        </w:trPr>
        <w:tc>
          <w:tcPr>
            <w:tcW w:w="2245" w:type="dxa"/>
            <w:vMerge w:val="restart"/>
            <w:vAlign w:val="center"/>
          </w:tcPr>
          <w:p w:rsidR="000179CE" w:rsidRPr="00D82E5F" w:rsidRDefault="000179CE" w:rsidP="009923A6">
            <w:pPr>
              <w:tabs>
                <w:tab w:val="left" w:pos="3663"/>
              </w:tabs>
              <w:spacing w:line="360" w:lineRule="auto"/>
              <w:rPr>
                <w:rFonts w:ascii="Arial" w:hAnsi="Arial" w:cs="Arial"/>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Low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0.75</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color w:val="000000"/>
                <w:sz w:val="16"/>
                <w:szCs w:val="16"/>
              </w:rPr>
              <w:t>0.003</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100</w:t>
            </w:r>
          </w:p>
        </w:tc>
      </w:tr>
      <w:tr w:rsidR="000179CE" w:rsidRPr="00D82E5F" w:rsidTr="009923A6">
        <w:tc>
          <w:tcPr>
            <w:tcW w:w="2245" w:type="dxa"/>
            <w:vMerge/>
            <w:vAlign w:val="center"/>
          </w:tcPr>
          <w:p w:rsidR="000179CE" w:rsidRPr="00D82E5F" w:rsidRDefault="000179CE" w:rsidP="009923A6">
            <w:pPr>
              <w:tabs>
                <w:tab w:val="left" w:pos="3663"/>
              </w:tabs>
              <w:spacing w:line="360" w:lineRule="auto"/>
              <w:rPr>
                <w:rFonts w:ascii="Arial" w:hAnsi="Arial" w:cs="Arial"/>
                <w:b/>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High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12.5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12.5</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color w:val="000000"/>
                <w:sz w:val="16"/>
                <w:szCs w:val="16"/>
              </w:rPr>
              <w:t>0.126</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100</w:t>
            </w:r>
          </w:p>
        </w:tc>
      </w:tr>
      <w:tr w:rsidR="000179CE" w:rsidRPr="00D82E5F" w:rsidTr="009923A6">
        <w:tc>
          <w:tcPr>
            <w:tcW w:w="2245" w:type="dxa"/>
            <w:vAlign w:val="center"/>
          </w:tcPr>
          <w:p w:rsidR="000179CE" w:rsidRPr="00D82E5F" w:rsidRDefault="000179CE" w:rsidP="009923A6">
            <w:pPr>
              <w:tabs>
                <w:tab w:val="left" w:pos="3663"/>
              </w:tabs>
              <w:spacing w:line="360" w:lineRule="auto"/>
              <w:rPr>
                <w:rFonts w:ascii="Arial" w:hAnsi="Arial" w:cs="Arial"/>
                <w:b/>
                <w:sz w:val="16"/>
                <w:szCs w:val="16"/>
              </w:rPr>
            </w:pPr>
            <w:r w:rsidRPr="00D82E5F">
              <w:rPr>
                <w:rFonts w:ascii="Arial" w:hAnsi="Arial" w:cs="Arial"/>
                <w:b/>
                <w:sz w:val="16"/>
                <w:szCs w:val="16"/>
              </w:rPr>
              <w:t>Freeze thaw cycle 1</w:t>
            </w:r>
          </w:p>
        </w:tc>
        <w:tc>
          <w:tcPr>
            <w:tcW w:w="2340" w:type="dxa"/>
            <w:vAlign w:val="center"/>
          </w:tcPr>
          <w:p w:rsidR="000179CE" w:rsidRPr="00D82E5F" w:rsidRDefault="000179CE" w:rsidP="009923A6">
            <w:pPr>
              <w:tabs>
                <w:tab w:val="left" w:pos="3663"/>
              </w:tabs>
              <w:spacing w:line="360" w:lineRule="auto"/>
              <w:rPr>
                <w:rFonts w:ascii="Arial" w:hAnsi="Arial" w:cs="Arial"/>
                <w:b/>
                <w:sz w:val="16"/>
                <w:szCs w:val="16"/>
              </w:rPr>
            </w:pP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795" w:type="dxa"/>
            <w:vAlign w:val="center"/>
          </w:tcPr>
          <w:p w:rsidR="000179CE" w:rsidRPr="00D82E5F" w:rsidRDefault="000179CE" w:rsidP="009923A6">
            <w:pPr>
              <w:tabs>
                <w:tab w:val="left" w:pos="3663"/>
              </w:tabs>
              <w:spacing w:line="360" w:lineRule="auto"/>
              <w:rPr>
                <w:rFonts w:ascii="Arial" w:hAnsi="Arial" w:cs="Arial"/>
                <w:color w:val="000000"/>
                <w:sz w:val="16"/>
                <w:szCs w:val="16"/>
              </w:rPr>
            </w:pP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p>
        </w:tc>
      </w:tr>
      <w:tr w:rsidR="000179CE" w:rsidRPr="00D82E5F" w:rsidTr="009923A6">
        <w:tc>
          <w:tcPr>
            <w:tcW w:w="2245" w:type="dxa"/>
            <w:vMerge w:val="restart"/>
            <w:vAlign w:val="center"/>
          </w:tcPr>
          <w:p w:rsidR="000179CE" w:rsidRPr="00D82E5F" w:rsidRDefault="000179CE" w:rsidP="009923A6">
            <w:pPr>
              <w:tabs>
                <w:tab w:val="left" w:pos="3663"/>
              </w:tabs>
              <w:spacing w:line="360" w:lineRule="auto"/>
              <w:rPr>
                <w:rFonts w:ascii="Arial" w:hAnsi="Arial" w:cs="Arial"/>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Low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0.73</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0.012</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97.3</w:t>
            </w:r>
          </w:p>
        </w:tc>
      </w:tr>
      <w:tr w:rsidR="000179CE" w:rsidRPr="00D82E5F" w:rsidTr="009923A6">
        <w:tc>
          <w:tcPr>
            <w:tcW w:w="2245" w:type="dxa"/>
            <w:vMerge/>
            <w:vAlign w:val="center"/>
          </w:tcPr>
          <w:p w:rsidR="000179CE" w:rsidRPr="00D82E5F" w:rsidRDefault="000179CE" w:rsidP="009923A6">
            <w:pPr>
              <w:tabs>
                <w:tab w:val="left" w:pos="3663"/>
              </w:tabs>
              <w:spacing w:line="360" w:lineRule="auto"/>
              <w:rPr>
                <w:rFonts w:ascii="Arial" w:hAnsi="Arial" w:cs="Arial"/>
                <w:b/>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High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12.5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12.25</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0.130</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98.0</w:t>
            </w:r>
          </w:p>
        </w:tc>
      </w:tr>
      <w:tr w:rsidR="000179CE" w:rsidRPr="00D82E5F" w:rsidTr="009923A6">
        <w:tc>
          <w:tcPr>
            <w:tcW w:w="2245" w:type="dxa"/>
            <w:vAlign w:val="center"/>
          </w:tcPr>
          <w:p w:rsidR="000179CE" w:rsidRPr="00D82E5F" w:rsidRDefault="000179CE" w:rsidP="009923A6">
            <w:pPr>
              <w:tabs>
                <w:tab w:val="left" w:pos="3663"/>
              </w:tabs>
              <w:spacing w:line="360" w:lineRule="auto"/>
              <w:rPr>
                <w:rFonts w:ascii="Arial" w:hAnsi="Arial" w:cs="Arial"/>
                <w:b/>
                <w:sz w:val="16"/>
                <w:szCs w:val="16"/>
              </w:rPr>
            </w:pPr>
            <w:r w:rsidRPr="00D82E5F">
              <w:rPr>
                <w:rFonts w:ascii="Arial" w:hAnsi="Arial" w:cs="Arial"/>
                <w:b/>
                <w:sz w:val="16"/>
                <w:szCs w:val="16"/>
              </w:rPr>
              <w:t>Freeze thaw cycle 2</w:t>
            </w:r>
          </w:p>
        </w:tc>
        <w:tc>
          <w:tcPr>
            <w:tcW w:w="2340" w:type="dxa"/>
            <w:vAlign w:val="center"/>
          </w:tcPr>
          <w:p w:rsidR="000179CE" w:rsidRPr="00D82E5F" w:rsidRDefault="000179CE" w:rsidP="009923A6">
            <w:pPr>
              <w:tabs>
                <w:tab w:val="left" w:pos="3663"/>
              </w:tabs>
              <w:spacing w:line="360" w:lineRule="auto"/>
              <w:rPr>
                <w:rFonts w:ascii="Arial" w:hAnsi="Arial" w:cs="Arial"/>
                <w:b/>
                <w:sz w:val="16"/>
                <w:szCs w:val="16"/>
              </w:rPr>
            </w:pP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p>
        </w:tc>
      </w:tr>
      <w:tr w:rsidR="000179CE" w:rsidRPr="00D82E5F" w:rsidTr="009923A6">
        <w:tc>
          <w:tcPr>
            <w:tcW w:w="2245" w:type="dxa"/>
            <w:vMerge w:val="restart"/>
            <w:vAlign w:val="center"/>
          </w:tcPr>
          <w:p w:rsidR="000179CE" w:rsidRPr="00D82E5F" w:rsidRDefault="000179CE" w:rsidP="009923A6">
            <w:pPr>
              <w:tabs>
                <w:tab w:val="left" w:pos="3663"/>
              </w:tabs>
              <w:spacing w:line="360" w:lineRule="auto"/>
              <w:rPr>
                <w:rFonts w:ascii="Arial" w:hAnsi="Arial" w:cs="Arial"/>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Low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0.71</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0.016</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94.6</w:t>
            </w:r>
          </w:p>
        </w:tc>
      </w:tr>
      <w:tr w:rsidR="000179CE" w:rsidRPr="00D82E5F" w:rsidTr="009923A6">
        <w:tc>
          <w:tcPr>
            <w:tcW w:w="2245" w:type="dxa"/>
            <w:vMerge/>
            <w:vAlign w:val="center"/>
          </w:tcPr>
          <w:p w:rsidR="000179CE" w:rsidRPr="00D82E5F" w:rsidRDefault="000179CE" w:rsidP="009923A6">
            <w:pPr>
              <w:tabs>
                <w:tab w:val="left" w:pos="3663"/>
              </w:tabs>
              <w:spacing w:line="360" w:lineRule="auto"/>
              <w:rPr>
                <w:rFonts w:ascii="Arial" w:hAnsi="Arial" w:cs="Arial"/>
                <w:sz w:val="16"/>
                <w:szCs w:val="16"/>
              </w:rPr>
            </w:pPr>
          </w:p>
        </w:tc>
        <w:tc>
          <w:tcPr>
            <w:tcW w:w="23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b/>
                <w:sz w:val="16"/>
                <w:szCs w:val="16"/>
              </w:rPr>
              <w:t>High concentration</w:t>
            </w:r>
          </w:p>
        </w:tc>
        <w:tc>
          <w:tcPr>
            <w:tcW w:w="171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12.5</w:t>
            </w:r>
          </w:p>
        </w:tc>
        <w:tc>
          <w:tcPr>
            <w:tcW w:w="181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11.92</w:t>
            </w:r>
          </w:p>
        </w:tc>
        <w:tc>
          <w:tcPr>
            <w:tcW w:w="795"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0.096</w:t>
            </w:r>
          </w:p>
        </w:tc>
        <w:tc>
          <w:tcPr>
            <w:tcW w:w="270" w:type="dxa"/>
            <w:vAlign w:val="center"/>
          </w:tcPr>
          <w:p w:rsidR="000179CE" w:rsidRPr="00D82E5F" w:rsidRDefault="000179CE" w:rsidP="009923A6">
            <w:pPr>
              <w:tabs>
                <w:tab w:val="left" w:pos="3663"/>
              </w:tabs>
              <w:spacing w:line="360" w:lineRule="auto"/>
              <w:rPr>
                <w:rFonts w:ascii="Arial" w:hAnsi="Arial" w:cs="Arial"/>
                <w:sz w:val="16"/>
                <w:szCs w:val="16"/>
              </w:rPr>
            </w:pPr>
          </w:p>
        </w:tc>
        <w:tc>
          <w:tcPr>
            <w:tcW w:w="1440" w:type="dxa"/>
            <w:vAlign w:val="center"/>
          </w:tcPr>
          <w:p w:rsidR="000179CE" w:rsidRPr="00D82E5F" w:rsidRDefault="000179CE" w:rsidP="009923A6">
            <w:pPr>
              <w:tabs>
                <w:tab w:val="left" w:pos="3663"/>
              </w:tabs>
              <w:spacing w:line="360" w:lineRule="auto"/>
              <w:rPr>
                <w:rFonts w:ascii="Arial" w:hAnsi="Arial" w:cs="Arial"/>
                <w:sz w:val="16"/>
                <w:szCs w:val="16"/>
              </w:rPr>
            </w:pPr>
            <w:r w:rsidRPr="00D82E5F">
              <w:rPr>
                <w:rFonts w:ascii="Arial" w:hAnsi="Arial" w:cs="Arial"/>
                <w:sz w:val="16"/>
                <w:szCs w:val="16"/>
              </w:rPr>
              <w:t>95.3</w:t>
            </w:r>
          </w:p>
        </w:tc>
      </w:tr>
    </w:tbl>
    <w:p w:rsidR="000179CE" w:rsidRPr="00D82E5F" w:rsidRDefault="000179CE" w:rsidP="00A300A1">
      <w:pPr>
        <w:tabs>
          <w:tab w:val="left" w:pos="1450"/>
          <w:tab w:val="center" w:pos="4680"/>
        </w:tabs>
        <w:spacing w:after="0" w:line="360" w:lineRule="auto"/>
        <w:textAlignment w:val="center"/>
        <w:outlineLvl w:val="1"/>
        <w:rPr>
          <w:rFonts w:ascii="Arial" w:hAnsi="Arial" w:cs="Arial"/>
          <w:sz w:val="16"/>
          <w:szCs w:val="16"/>
        </w:rPr>
      </w:pPr>
      <w:bookmarkStart w:id="0" w:name="_GoBack"/>
      <w:r w:rsidRPr="00D82E5F">
        <w:rPr>
          <w:rFonts w:ascii="Arial" w:hAnsi="Arial" w:cs="Arial"/>
          <w:sz w:val="16"/>
          <w:szCs w:val="16"/>
        </w:rPr>
        <w:t xml:space="preserve"> *SD: Standard deviation</w:t>
      </w:r>
    </w:p>
    <w:p w:rsidR="00231307" w:rsidRPr="00310492" w:rsidRDefault="00056F39" w:rsidP="00A300A1">
      <w:pPr>
        <w:spacing w:line="360" w:lineRule="auto"/>
        <w:rPr>
          <w:rFonts w:ascii="Times New Roman" w:hAnsi="Times New Roman" w:cs="Times New Roman"/>
          <w:b/>
          <w:sz w:val="24"/>
          <w:szCs w:val="24"/>
        </w:rPr>
      </w:pPr>
      <w:r w:rsidRPr="00310492">
        <w:rPr>
          <w:rFonts w:ascii="Times New Roman" w:hAnsi="Times New Roman" w:cs="Times New Roman"/>
          <w:b/>
          <w:sz w:val="24"/>
          <w:szCs w:val="24"/>
        </w:rPr>
        <w:t>Analysis of buffalo plasma samples</w:t>
      </w:r>
    </w:p>
    <w:bookmarkEnd w:id="0"/>
    <w:p w:rsidR="006326F5" w:rsidRPr="00310492" w:rsidRDefault="005B0A0C" w:rsidP="00310492">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lastRenderedPageBreak/>
        <w:t xml:space="preserve">Representative chromatograms of blank plasma, a plasma sample spiked with 10 </w:t>
      </w:r>
      <w:r w:rsidR="005531B9">
        <w:rPr>
          <w:rFonts w:ascii="Times New Roman" w:hAnsi="Times New Roman" w:cs="Times New Roman"/>
          <w:sz w:val="24"/>
          <w:szCs w:val="24"/>
        </w:rPr>
        <w:t>µg/mL</w:t>
      </w:r>
      <w:r w:rsidR="005531B9" w:rsidRPr="00310492">
        <w:rPr>
          <w:rFonts w:ascii="Times New Roman" w:hAnsi="Times New Roman" w:cs="Times New Roman"/>
          <w:sz w:val="24"/>
          <w:szCs w:val="24"/>
        </w:rPr>
        <w:t xml:space="preserve"> of</w:t>
      </w:r>
      <w:r w:rsidRPr="00310492">
        <w:rPr>
          <w:rFonts w:ascii="Times New Roman" w:hAnsi="Times New Roman" w:cs="Times New Roman"/>
          <w:sz w:val="24"/>
          <w:szCs w:val="24"/>
        </w:rPr>
        <w:t xml:space="preserve"> ceftiofur, and plasma samples collected at 10 minutes after both intramuscular and subcutaneous administrations of ceftiofur hydrochloride </w:t>
      </w:r>
      <w:r w:rsidR="00BE35B8" w:rsidRPr="00310492">
        <w:rPr>
          <w:rFonts w:ascii="Times New Roman" w:hAnsi="Times New Roman" w:cs="Times New Roman"/>
          <w:sz w:val="24"/>
          <w:szCs w:val="24"/>
        </w:rPr>
        <w:t>(Cefur</w:t>
      </w:r>
      <w:r w:rsidR="00BE35B8" w:rsidRPr="00310492">
        <w:rPr>
          <w:rFonts w:ascii="Times New Roman" w:hAnsi="Times New Roman" w:cs="Times New Roman"/>
          <w:sz w:val="24"/>
          <w:szCs w:val="24"/>
          <w:vertAlign w:val="superscript"/>
        </w:rPr>
        <w:t>®</w:t>
      </w:r>
      <w:r w:rsidR="00BE35B8" w:rsidRPr="00310492">
        <w:rPr>
          <w:rFonts w:ascii="Times New Roman" w:hAnsi="Times New Roman" w:cs="Times New Roman"/>
          <w:sz w:val="24"/>
          <w:szCs w:val="24"/>
        </w:rPr>
        <w:t xml:space="preserve"> RTU injection) </w:t>
      </w:r>
      <w:r w:rsidRPr="00310492">
        <w:rPr>
          <w:rFonts w:ascii="Times New Roman" w:hAnsi="Times New Roman" w:cs="Times New Roman"/>
          <w:sz w:val="24"/>
          <w:szCs w:val="24"/>
        </w:rPr>
        <w:t>to buffalo calves at 2 mg/kg body weight are shown</w:t>
      </w:r>
      <w:r w:rsidR="00326342" w:rsidRPr="00310492">
        <w:rPr>
          <w:rFonts w:ascii="Times New Roman" w:hAnsi="Times New Roman" w:cs="Times New Roman"/>
          <w:sz w:val="24"/>
          <w:szCs w:val="24"/>
        </w:rPr>
        <w:t xml:space="preserve"> in Figure </w:t>
      </w:r>
      <w:r w:rsidR="00620FFF" w:rsidRPr="00310492">
        <w:rPr>
          <w:rFonts w:ascii="Times New Roman" w:hAnsi="Times New Roman" w:cs="Times New Roman"/>
          <w:sz w:val="24"/>
          <w:szCs w:val="24"/>
        </w:rPr>
        <w:t>3</w:t>
      </w:r>
      <w:r w:rsidRPr="00310492">
        <w:rPr>
          <w:rFonts w:ascii="Times New Roman" w:hAnsi="Times New Roman" w:cs="Times New Roman"/>
          <w:sz w:val="24"/>
          <w:szCs w:val="24"/>
        </w:rPr>
        <w:t>.</w:t>
      </w:r>
    </w:p>
    <w:p w:rsidR="000179CE" w:rsidRPr="00310492" w:rsidRDefault="000179CE" w:rsidP="000179CE">
      <w:pPr>
        <w:tabs>
          <w:tab w:val="left" w:pos="3510"/>
          <w:tab w:val="center" w:pos="4680"/>
        </w:tabs>
        <w:spacing w:after="0" w:line="480" w:lineRule="atLeast"/>
        <w:jc w:val="both"/>
        <w:textAlignment w:val="center"/>
        <w:outlineLvl w:val="1"/>
        <w:rPr>
          <w:rFonts w:ascii="Times New Roman" w:hAnsi="Times New Roman" w:cs="Times New Roman"/>
          <w:sz w:val="24"/>
          <w:szCs w:val="24"/>
        </w:rPr>
      </w:pPr>
      <w:r w:rsidRPr="00310492">
        <w:rPr>
          <w:rFonts w:ascii="Times New Roman" w:hAnsi="Times New Roman" w:cs="Times New Roman"/>
          <w:noProof/>
          <w:sz w:val="24"/>
          <w:szCs w:val="24"/>
        </w:rPr>
        <w:drawing>
          <wp:inline distT="0" distB="0" distL="0" distR="0" wp14:anchorId="53DCE5A7" wp14:editId="5C630E35">
            <wp:extent cx="5998125" cy="4250641"/>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3195" b="2463"/>
                    <a:stretch/>
                  </pic:blipFill>
                  <pic:spPr bwMode="auto">
                    <a:xfrm>
                      <a:off x="0" y="0"/>
                      <a:ext cx="6005201" cy="4255656"/>
                    </a:xfrm>
                    <a:prstGeom prst="rect">
                      <a:avLst/>
                    </a:prstGeom>
                    <a:noFill/>
                    <a:ln>
                      <a:noFill/>
                    </a:ln>
                    <a:extLst>
                      <a:ext uri="{53640926-AAD7-44D8-BBD7-CCE9431645EC}">
                        <a14:shadowObscured xmlns:a14="http://schemas.microsoft.com/office/drawing/2010/main"/>
                      </a:ext>
                    </a:extLst>
                  </pic:spPr>
                </pic:pic>
              </a:graphicData>
            </a:graphic>
          </wp:inline>
        </w:drawing>
      </w:r>
    </w:p>
    <w:p w:rsidR="000179CE" w:rsidRPr="00A300A1" w:rsidRDefault="000179CE" w:rsidP="00A300A1">
      <w:pPr>
        <w:tabs>
          <w:tab w:val="left" w:pos="4050"/>
        </w:tabs>
        <w:spacing w:line="240" w:lineRule="auto"/>
        <w:jc w:val="both"/>
        <w:rPr>
          <w:rFonts w:ascii="Arial" w:hAnsi="Arial" w:cs="Arial"/>
          <w:sz w:val="16"/>
          <w:szCs w:val="16"/>
        </w:rPr>
      </w:pPr>
      <w:r w:rsidRPr="00D166DB">
        <w:rPr>
          <w:rFonts w:ascii="Arial" w:hAnsi="Arial" w:cs="Arial"/>
          <w:b/>
          <w:sz w:val="16"/>
          <w:szCs w:val="16"/>
        </w:rPr>
        <w:t>Figure 3</w:t>
      </w:r>
      <w:r w:rsidRPr="00D166DB">
        <w:rPr>
          <w:rFonts w:ascii="Arial" w:hAnsi="Arial" w:cs="Arial"/>
          <w:i/>
          <w:sz w:val="16"/>
          <w:szCs w:val="16"/>
        </w:rPr>
        <w:t xml:space="preserve">. </w:t>
      </w:r>
      <w:r w:rsidRPr="00D166DB">
        <w:rPr>
          <w:rFonts w:ascii="Arial" w:hAnsi="Arial" w:cs="Arial"/>
          <w:sz w:val="16"/>
          <w:szCs w:val="16"/>
        </w:rPr>
        <w:t>Representative chromatograms of blank buffalo plasma (A); buffalo plasma spiked with 10 µg/</w:t>
      </w:r>
      <w:r w:rsidR="00D166DB" w:rsidRPr="00D166DB">
        <w:rPr>
          <w:rFonts w:ascii="Arial" w:hAnsi="Arial" w:cs="Arial"/>
          <w:sz w:val="16"/>
          <w:szCs w:val="16"/>
        </w:rPr>
        <w:t>mL of</w:t>
      </w:r>
      <w:r w:rsidRPr="00D166DB">
        <w:rPr>
          <w:rFonts w:ascii="Arial" w:hAnsi="Arial" w:cs="Arial"/>
          <w:sz w:val="16"/>
          <w:szCs w:val="16"/>
        </w:rPr>
        <w:t xml:space="preserve"> ceftiofur hydrochloride (B); buffalo plasma sample collected at 10 minutes after intramuscular injection of ceftiofur hydrochloride (C); and buffalo plasma sample obtained at 10 minutes following the subcutaneous administration of ceftiofur hydrochloride (D). DFCA: D</w:t>
      </w:r>
      <w:r w:rsidRPr="00D166DB">
        <w:rPr>
          <w:rFonts w:ascii="Arial" w:hAnsi="Arial" w:cs="Arial"/>
          <w:bCs/>
          <w:sz w:val="16"/>
          <w:szCs w:val="16"/>
        </w:rPr>
        <w:t>esfuroylceftiofur acetamide.</w:t>
      </w:r>
    </w:p>
    <w:p w:rsidR="00231307" w:rsidRPr="00310492" w:rsidRDefault="00B52422" w:rsidP="00310492">
      <w:pPr>
        <w:spacing w:line="360" w:lineRule="auto"/>
        <w:jc w:val="both"/>
        <w:rPr>
          <w:rFonts w:ascii="Times New Roman" w:hAnsi="Times New Roman" w:cs="Times New Roman"/>
          <w:sz w:val="24"/>
          <w:szCs w:val="24"/>
        </w:rPr>
      </w:pPr>
      <w:r w:rsidRPr="00310492">
        <w:rPr>
          <w:rFonts w:ascii="Times New Roman" w:hAnsi="Times New Roman" w:cs="Times New Roman"/>
          <w:b/>
          <w:sz w:val="24"/>
          <w:szCs w:val="24"/>
        </w:rPr>
        <w:t>C</w:t>
      </w:r>
      <w:r w:rsidR="00F36EF5" w:rsidRPr="00310492">
        <w:rPr>
          <w:rFonts w:ascii="Times New Roman" w:hAnsi="Times New Roman" w:cs="Times New Roman"/>
          <w:b/>
          <w:sz w:val="24"/>
          <w:szCs w:val="24"/>
        </w:rPr>
        <w:t>onclusion</w:t>
      </w:r>
    </w:p>
    <w:p w:rsidR="007B6CD4" w:rsidRPr="005531B9" w:rsidRDefault="009C566F" w:rsidP="009E4EB6">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t>Ceftiofur, its metabolic derivatives and protein-bound residues</w:t>
      </w:r>
      <w:r w:rsidR="00E100A6" w:rsidRPr="00310492">
        <w:rPr>
          <w:rFonts w:ascii="Times New Roman" w:hAnsi="Times New Roman" w:cs="Times New Roman"/>
          <w:sz w:val="24"/>
          <w:szCs w:val="24"/>
        </w:rPr>
        <w:t xml:space="preserve"> were converted into d</w:t>
      </w:r>
      <w:r w:rsidR="005C559E" w:rsidRPr="00310492">
        <w:rPr>
          <w:rFonts w:ascii="Times New Roman" w:hAnsi="Times New Roman" w:cs="Times New Roman"/>
          <w:sz w:val="24"/>
          <w:szCs w:val="24"/>
        </w:rPr>
        <w:t>esfuroylceftiofur without solid-phase extraction</w:t>
      </w:r>
      <w:r w:rsidR="00E100A6" w:rsidRPr="00310492">
        <w:rPr>
          <w:rFonts w:ascii="Times New Roman" w:hAnsi="Times New Roman" w:cs="Times New Roman"/>
          <w:sz w:val="24"/>
          <w:szCs w:val="24"/>
        </w:rPr>
        <w:t xml:space="preserve">, derivatized and estimated </w:t>
      </w:r>
      <w:r w:rsidR="00F84F63" w:rsidRPr="00310492">
        <w:rPr>
          <w:rFonts w:ascii="Times New Roman" w:hAnsi="Times New Roman" w:cs="Times New Roman"/>
          <w:sz w:val="24"/>
          <w:szCs w:val="24"/>
        </w:rPr>
        <w:t xml:space="preserve">as desfuroylceftiofur acetamide </w:t>
      </w:r>
      <w:r w:rsidR="00E100A6" w:rsidRPr="00310492">
        <w:rPr>
          <w:rFonts w:ascii="Times New Roman" w:hAnsi="Times New Roman" w:cs="Times New Roman"/>
          <w:sz w:val="24"/>
          <w:szCs w:val="24"/>
        </w:rPr>
        <w:t>using an</w:t>
      </w:r>
      <w:r w:rsidR="009E57E7" w:rsidRPr="00310492">
        <w:rPr>
          <w:rFonts w:ascii="Times New Roman" w:hAnsi="Times New Roman" w:cs="Times New Roman"/>
          <w:sz w:val="24"/>
          <w:szCs w:val="24"/>
        </w:rPr>
        <w:t xml:space="preserve"> isocratic HPLC assay</w:t>
      </w:r>
      <w:r w:rsidR="00E100A6" w:rsidRPr="00310492">
        <w:rPr>
          <w:rFonts w:ascii="Times New Roman" w:hAnsi="Times New Roman" w:cs="Times New Roman"/>
          <w:sz w:val="24"/>
          <w:szCs w:val="24"/>
        </w:rPr>
        <w:t>.</w:t>
      </w:r>
      <w:r w:rsidR="009E57E7" w:rsidRPr="00310492">
        <w:rPr>
          <w:rFonts w:ascii="Times New Roman" w:hAnsi="Times New Roman" w:cs="Times New Roman"/>
          <w:sz w:val="24"/>
          <w:szCs w:val="24"/>
        </w:rPr>
        <w:t xml:space="preserve"> </w:t>
      </w:r>
      <w:r w:rsidR="004F267E" w:rsidRPr="00310492">
        <w:rPr>
          <w:rFonts w:ascii="Times New Roman" w:hAnsi="Times New Roman" w:cs="Times New Roman"/>
          <w:sz w:val="24"/>
          <w:szCs w:val="24"/>
        </w:rPr>
        <w:t>Under the</w:t>
      </w:r>
      <w:r w:rsidR="00AC7FBD" w:rsidRPr="00310492">
        <w:rPr>
          <w:rFonts w:ascii="Times New Roman" w:hAnsi="Times New Roman" w:cs="Times New Roman"/>
          <w:sz w:val="24"/>
          <w:szCs w:val="24"/>
        </w:rPr>
        <w:t xml:space="preserve"> </w:t>
      </w:r>
      <w:r w:rsidR="00F84F63" w:rsidRPr="00310492">
        <w:rPr>
          <w:rFonts w:ascii="Times New Roman" w:hAnsi="Times New Roman" w:cs="Times New Roman"/>
          <w:sz w:val="24"/>
          <w:szCs w:val="24"/>
        </w:rPr>
        <w:t>recommended</w:t>
      </w:r>
      <w:r w:rsidR="004F267E" w:rsidRPr="00310492">
        <w:rPr>
          <w:rFonts w:ascii="Times New Roman" w:hAnsi="Times New Roman" w:cs="Times New Roman"/>
          <w:sz w:val="24"/>
          <w:szCs w:val="24"/>
        </w:rPr>
        <w:t xml:space="preserve"> chromatographic conditions, the </w:t>
      </w:r>
      <w:r w:rsidR="00F84F63" w:rsidRPr="00310492">
        <w:rPr>
          <w:rFonts w:ascii="Times New Roman" w:hAnsi="Times New Roman" w:cs="Times New Roman"/>
          <w:sz w:val="24"/>
          <w:szCs w:val="24"/>
        </w:rPr>
        <w:t xml:space="preserve">linearity, accuracy, precision, </w:t>
      </w:r>
      <w:r w:rsidR="00434541" w:rsidRPr="00310492">
        <w:rPr>
          <w:rFonts w:ascii="Times New Roman" w:hAnsi="Times New Roman" w:cs="Times New Roman"/>
          <w:sz w:val="24"/>
          <w:szCs w:val="24"/>
        </w:rPr>
        <w:t xml:space="preserve">sensitivity </w:t>
      </w:r>
      <w:r w:rsidR="00F84F63" w:rsidRPr="00310492">
        <w:rPr>
          <w:rFonts w:ascii="Times New Roman" w:hAnsi="Times New Roman" w:cs="Times New Roman"/>
          <w:sz w:val="24"/>
          <w:szCs w:val="24"/>
        </w:rPr>
        <w:t xml:space="preserve">and recovery </w:t>
      </w:r>
      <w:r w:rsidR="00434541" w:rsidRPr="00310492">
        <w:rPr>
          <w:rFonts w:ascii="Times New Roman" w:hAnsi="Times New Roman" w:cs="Times New Roman"/>
          <w:sz w:val="24"/>
          <w:szCs w:val="24"/>
        </w:rPr>
        <w:t xml:space="preserve">of </w:t>
      </w:r>
      <w:r w:rsidR="004F267E" w:rsidRPr="00310492">
        <w:rPr>
          <w:rFonts w:ascii="Times New Roman" w:hAnsi="Times New Roman" w:cs="Times New Roman"/>
          <w:sz w:val="24"/>
          <w:szCs w:val="24"/>
        </w:rPr>
        <w:t xml:space="preserve">proposed </w:t>
      </w:r>
      <w:r w:rsidR="00434541" w:rsidRPr="00310492">
        <w:rPr>
          <w:rFonts w:ascii="Times New Roman" w:hAnsi="Times New Roman" w:cs="Times New Roman"/>
          <w:sz w:val="24"/>
          <w:szCs w:val="24"/>
        </w:rPr>
        <w:t>method</w:t>
      </w:r>
      <w:r w:rsidR="004F267E" w:rsidRPr="00310492">
        <w:rPr>
          <w:rFonts w:ascii="Times New Roman" w:hAnsi="Times New Roman" w:cs="Times New Roman"/>
          <w:sz w:val="24"/>
          <w:szCs w:val="24"/>
        </w:rPr>
        <w:t xml:space="preserve"> </w:t>
      </w:r>
      <w:r w:rsidR="00434541" w:rsidRPr="00310492">
        <w:rPr>
          <w:rFonts w:ascii="Times New Roman" w:hAnsi="Times New Roman" w:cs="Times New Roman"/>
          <w:sz w:val="24"/>
          <w:szCs w:val="24"/>
        </w:rPr>
        <w:t xml:space="preserve">remained within the acceptable limits. The </w:t>
      </w:r>
      <w:r w:rsidR="00875E80" w:rsidRPr="00310492">
        <w:rPr>
          <w:rFonts w:ascii="Times New Roman" w:hAnsi="Times New Roman" w:cs="Times New Roman"/>
          <w:sz w:val="24"/>
          <w:szCs w:val="24"/>
        </w:rPr>
        <w:t xml:space="preserve">suggested </w:t>
      </w:r>
      <w:r w:rsidR="00434541" w:rsidRPr="00310492">
        <w:rPr>
          <w:rFonts w:ascii="Times New Roman" w:hAnsi="Times New Roman" w:cs="Times New Roman"/>
          <w:sz w:val="24"/>
          <w:szCs w:val="24"/>
        </w:rPr>
        <w:t>assay c</w:t>
      </w:r>
      <w:r w:rsidR="00875E80" w:rsidRPr="00310492">
        <w:rPr>
          <w:rFonts w:ascii="Times New Roman" w:hAnsi="Times New Roman" w:cs="Times New Roman"/>
          <w:sz w:val="24"/>
          <w:szCs w:val="24"/>
        </w:rPr>
        <w:t>an</w:t>
      </w:r>
      <w:r w:rsidR="00434541" w:rsidRPr="00310492">
        <w:rPr>
          <w:rFonts w:ascii="Times New Roman" w:hAnsi="Times New Roman" w:cs="Times New Roman"/>
          <w:sz w:val="24"/>
          <w:szCs w:val="24"/>
        </w:rPr>
        <w:t xml:space="preserve"> be effectively used in pharmacokinetic studies </w:t>
      </w:r>
      <w:r w:rsidR="00E33545" w:rsidRPr="00310492">
        <w:rPr>
          <w:rFonts w:ascii="Times New Roman" w:hAnsi="Times New Roman" w:cs="Times New Roman"/>
          <w:sz w:val="24"/>
          <w:szCs w:val="24"/>
        </w:rPr>
        <w:t>for</w:t>
      </w:r>
      <w:r w:rsidR="00434541" w:rsidRPr="00310492">
        <w:rPr>
          <w:rFonts w:ascii="Times New Roman" w:hAnsi="Times New Roman" w:cs="Times New Roman"/>
          <w:sz w:val="24"/>
          <w:szCs w:val="24"/>
        </w:rPr>
        <w:t xml:space="preserve"> quanti</w:t>
      </w:r>
      <w:r w:rsidR="00E33545" w:rsidRPr="00310492">
        <w:rPr>
          <w:rFonts w:ascii="Times New Roman" w:hAnsi="Times New Roman" w:cs="Times New Roman"/>
          <w:sz w:val="24"/>
          <w:szCs w:val="24"/>
        </w:rPr>
        <w:t>tative determination</w:t>
      </w:r>
      <w:r w:rsidR="00434541" w:rsidRPr="00310492">
        <w:rPr>
          <w:rFonts w:ascii="Times New Roman" w:hAnsi="Times New Roman" w:cs="Times New Roman"/>
          <w:sz w:val="24"/>
          <w:szCs w:val="24"/>
        </w:rPr>
        <w:t xml:space="preserve"> of ceftiofur </w:t>
      </w:r>
      <w:r w:rsidR="00F114EC" w:rsidRPr="00310492">
        <w:rPr>
          <w:rFonts w:ascii="Times New Roman" w:hAnsi="Times New Roman" w:cs="Times New Roman"/>
          <w:sz w:val="24"/>
          <w:szCs w:val="24"/>
        </w:rPr>
        <w:t xml:space="preserve">hydrochloride </w:t>
      </w:r>
      <w:r w:rsidR="00434541" w:rsidRPr="00310492">
        <w:rPr>
          <w:rFonts w:ascii="Times New Roman" w:hAnsi="Times New Roman" w:cs="Times New Roman"/>
          <w:sz w:val="24"/>
          <w:szCs w:val="24"/>
        </w:rPr>
        <w:t>in b</w:t>
      </w:r>
      <w:r w:rsidR="007B1C15" w:rsidRPr="00310492">
        <w:rPr>
          <w:rFonts w:ascii="Times New Roman" w:hAnsi="Times New Roman" w:cs="Times New Roman"/>
          <w:sz w:val="24"/>
          <w:szCs w:val="24"/>
        </w:rPr>
        <w:t>uffalo</w:t>
      </w:r>
      <w:r w:rsidR="005531B9">
        <w:rPr>
          <w:rFonts w:ascii="Times New Roman" w:hAnsi="Times New Roman" w:cs="Times New Roman"/>
          <w:sz w:val="24"/>
          <w:szCs w:val="24"/>
        </w:rPr>
        <w:t xml:space="preserve"> plasma.</w:t>
      </w:r>
    </w:p>
    <w:p w:rsidR="00B52422" w:rsidRPr="00310492" w:rsidRDefault="00B52422" w:rsidP="009E4EB6">
      <w:pPr>
        <w:spacing w:line="360" w:lineRule="auto"/>
        <w:jc w:val="both"/>
        <w:rPr>
          <w:rFonts w:ascii="Times New Roman" w:hAnsi="Times New Roman" w:cs="Times New Roman"/>
          <w:b/>
          <w:sz w:val="24"/>
          <w:szCs w:val="24"/>
        </w:rPr>
      </w:pPr>
      <w:r w:rsidRPr="00310492">
        <w:rPr>
          <w:rFonts w:ascii="Times New Roman" w:hAnsi="Times New Roman" w:cs="Times New Roman"/>
          <w:b/>
          <w:sz w:val="24"/>
          <w:szCs w:val="24"/>
        </w:rPr>
        <w:t>A</w:t>
      </w:r>
      <w:r w:rsidR="00F36EF5" w:rsidRPr="00310492">
        <w:rPr>
          <w:rFonts w:ascii="Times New Roman" w:hAnsi="Times New Roman" w:cs="Times New Roman"/>
          <w:b/>
          <w:sz w:val="24"/>
          <w:szCs w:val="24"/>
        </w:rPr>
        <w:t>cknowledgement</w:t>
      </w:r>
    </w:p>
    <w:p w:rsidR="00670E65" w:rsidRPr="005531B9" w:rsidRDefault="00B52422" w:rsidP="009E4EB6">
      <w:pPr>
        <w:spacing w:line="360" w:lineRule="auto"/>
        <w:jc w:val="both"/>
        <w:rPr>
          <w:rFonts w:ascii="Times New Roman" w:hAnsi="Times New Roman" w:cs="Times New Roman"/>
          <w:sz w:val="24"/>
          <w:szCs w:val="24"/>
        </w:rPr>
      </w:pPr>
      <w:r w:rsidRPr="00310492">
        <w:rPr>
          <w:rFonts w:ascii="Times New Roman" w:hAnsi="Times New Roman" w:cs="Times New Roman"/>
          <w:sz w:val="24"/>
          <w:szCs w:val="24"/>
        </w:rPr>
        <w:lastRenderedPageBreak/>
        <w:t xml:space="preserve">The authors are thankful to </w:t>
      </w:r>
      <w:r w:rsidR="00A05B63" w:rsidRPr="00310492">
        <w:rPr>
          <w:rFonts w:ascii="Times New Roman" w:hAnsi="Times New Roman" w:cs="Times New Roman"/>
          <w:sz w:val="24"/>
          <w:szCs w:val="24"/>
        </w:rPr>
        <w:t xml:space="preserve">Director, Quality Operations Laboratory, </w:t>
      </w:r>
      <w:r w:rsidR="007145E2" w:rsidRPr="00310492">
        <w:rPr>
          <w:rFonts w:ascii="Times New Roman" w:hAnsi="Times New Roman" w:cs="Times New Roman"/>
          <w:sz w:val="24"/>
          <w:szCs w:val="24"/>
        </w:rPr>
        <w:t>University of Veterinary and Animal Sciences (</w:t>
      </w:r>
      <w:r w:rsidR="00A05B63" w:rsidRPr="00310492">
        <w:rPr>
          <w:rFonts w:ascii="Times New Roman" w:hAnsi="Times New Roman" w:cs="Times New Roman"/>
          <w:sz w:val="24"/>
          <w:szCs w:val="24"/>
        </w:rPr>
        <w:t>UVAS</w:t>
      </w:r>
      <w:r w:rsidR="007145E2" w:rsidRPr="00310492">
        <w:rPr>
          <w:rFonts w:ascii="Times New Roman" w:hAnsi="Times New Roman" w:cs="Times New Roman"/>
          <w:sz w:val="24"/>
          <w:szCs w:val="24"/>
        </w:rPr>
        <w:t>)</w:t>
      </w:r>
      <w:r w:rsidR="00A05B63" w:rsidRPr="00310492">
        <w:rPr>
          <w:rFonts w:ascii="Times New Roman" w:hAnsi="Times New Roman" w:cs="Times New Roman"/>
          <w:sz w:val="24"/>
          <w:szCs w:val="24"/>
        </w:rPr>
        <w:t xml:space="preserve">, Lahore for providing necessary facilities to carry out the research work. </w:t>
      </w:r>
      <w:r w:rsidR="00B25DBE" w:rsidRPr="00310492">
        <w:rPr>
          <w:rFonts w:ascii="Times New Roman" w:hAnsi="Times New Roman" w:cs="Times New Roman"/>
          <w:sz w:val="24"/>
          <w:szCs w:val="24"/>
        </w:rPr>
        <w:t xml:space="preserve">The authors also acknowledge M/S International Pharma Labs, Lahore, Pakistan </w:t>
      </w:r>
      <w:r w:rsidR="00EB2FBF" w:rsidRPr="00310492">
        <w:rPr>
          <w:rFonts w:ascii="Times New Roman" w:hAnsi="Times New Roman" w:cs="Times New Roman"/>
          <w:sz w:val="24"/>
          <w:szCs w:val="24"/>
        </w:rPr>
        <w:t xml:space="preserve">and </w:t>
      </w:r>
      <w:r w:rsidR="00350ECE" w:rsidRPr="00310492">
        <w:rPr>
          <w:rFonts w:ascii="Times New Roman" w:hAnsi="Times New Roman" w:cs="Times New Roman"/>
          <w:sz w:val="24"/>
          <w:szCs w:val="24"/>
        </w:rPr>
        <w:t xml:space="preserve">M/S </w:t>
      </w:r>
      <w:r w:rsidR="00EB2FBF" w:rsidRPr="00310492">
        <w:rPr>
          <w:rFonts w:ascii="Times New Roman" w:hAnsi="Times New Roman" w:cs="Times New Roman"/>
          <w:sz w:val="24"/>
          <w:szCs w:val="24"/>
        </w:rPr>
        <w:t xml:space="preserve">Nawan Laboratories (PVT) LTD., Karachi, Pakistan </w:t>
      </w:r>
      <w:r w:rsidR="00B25DBE" w:rsidRPr="00310492">
        <w:rPr>
          <w:rFonts w:ascii="Times New Roman" w:hAnsi="Times New Roman" w:cs="Times New Roman"/>
          <w:sz w:val="24"/>
          <w:szCs w:val="24"/>
        </w:rPr>
        <w:t xml:space="preserve">for the provision of reference standard </w:t>
      </w:r>
      <w:r w:rsidR="00EB2FBF" w:rsidRPr="00310492">
        <w:rPr>
          <w:rFonts w:ascii="Times New Roman" w:hAnsi="Times New Roman" w:cs="Times New Roman"/>
          <w:sz w:val="24"/>
          <w:szCs w:val="24"/>
        </w:rPr>
        <w:t>and injectable formulations of ceftiofur hydrochloride respectively.</w:t>
      </w:r>
    </w:p>
    <w:p w:rsidR="00475ED2" w:rsidRPr="00DD7F71" w:rsidRDefault="00475ED2" w:rsidP="00475ED2">
      <w:pPr>
        <w:spacing w:line="360" w:lineRule="auto"/>
        <w:jc w:val="both"/>
        <w:rPr>
          <w:rFonts w:ascii="Times New Roman" w:hAnsi="Times New Roman" w:cs="Times New Roman"/>
          <w:b/>
          <w:sz w:val="24"/>
          <w:szCs w:val="24"/>
        </w:rPr>
      </w:pPr>
      <w:r w:rsidRPr="00DD7F71">
        <w:rPr>
          <w:rFonts w:ascii="Times New Roman" w:hAnsi="Times New Roman" w:cs="Times New Roman"/>
          <w:b/>
          <w:sz w:val="24"/>
          <w:szCs w:val="24"/>
        </w:rPr>
        <w:t>Conflict of Interest:</w:t>
      </w:r>
    </w:p>
    <w:p w:rsidR="00475ED2" w:rsidRPr="00A300A1" w:rsidRDefault="00475ED2" w:rsidP="009E4EB6">
      <w:pPr>
        <w:spacing w:line="360" w:lineRule="auto"/>
        <w:jc w:val="both"/>
        <w:rPr>
          <w:rFonts w:ascii="Times New Roman" w:hAnsi="Times New Roman" w:cs="Times New Roman"/>
          <w:sz w:val="24"/>
          <w:szCs w:val="24"/>
        </w:rPr>
      </w:pPr>
      <w:r w:rsidRPr="00DD7F71">
        <w:rPr>
          <w:rFonts w:ascii="Times New Roman" w:hAnsi="Times New Roman" w:cs="Times New Roman"/>
          <w:sz w:val="24"/>
          <w:szCs w:val="24"/>
        </w:rPr>
        <w:t xml:space="preserve">The </w:t>
      </w:r>
      <w:r w:rsidRPr="00A300A1">
        <w:rPr>
          <w:rFonts w:ascii="Times New Roman" w:hAnsi="Times New Roman" w:cs="Times New Roman"/>
          <w:sz w:val="24"/>
          <w:szCs w:val="24"/>
        </w:rPr>
        <w:t>authors declare no conflict of interests regarding the publication of this article.</w:t>
      </w:r>
    </w:p>
    <w:p w:rsidR="00434541" w:rsidRPr="00A300A1" w:rsidRDefault="00B25DBE" w:rsidP="009E4EB6">
      <w:pPr>
        <w:spacing w:line="360" w:lineRule="auto"/>
        <w:jc w:val="both"/>
        <w:rPr>
          <w:rFonts w:ascii="Times New Roman" w:hAnsi="Times New Roman" w:cs="Times New Roman"/>
          <w:b/>
          <w:sz w:val="24"/>
          <w:szCs w:val="24"/>
        </w:rPr>
      </w:pPr>
      <w:r w:rsidRPr="00A300A1">
        <w:rPr>
          <w:rFonts w:ascii="Times New Roman" w:hAnsi="Times New Roman" w:cs="Times New Roman"/>
          <w:b/>
          <w:sz w:val="24"/>
          <w:szCs w:val="24"/>
        </w:rPr>
        <w:t>R</w:t>
      </w:r>
      <w:r w:rsidR="00F36EF5" w:rsidRPr="00A300A1">
        <w:rPr>
          <w:rFonts w:ascii="Times New Roman" w:hAnsi="Times New Roman" w:cs="Times New Roman"/>
          <w:b/>
          <w:sz w:val="24"/>
          <w:szCs w:val="24"/>
        </w:rPr>
        <w:t>eferences</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 xml:space="preserve"> </w:t>
      </w:r>
      <w:r w:rsidR="002332C1" w:rsidRPr="00A300A1">
        <w:rPr>
          <w:rFonts w:ascii="Times New Roman" w:hAnsi="Times New Roman" w:cs="Times New Roman"/>
          <w:sz w:val="24"/>
          <w:szCs w:val="24"/>
        </w:rPr>
        <w:t>1</w:t>
      </w:r>
      <w:r w:rsidR="00CA5077" w:rsidRPr="00A300A1">
        <w:rPr>
          <w:rFonts w:ascii="Times New Roman" w:hAnsi="Times New Roman" w:cs="Times New Roman"/>
          <w:sz w:val="24"/>
          <w:szCs w:val="24"/>
        </w:rPr>
        <w:t xml:space="preserve">. R. E. Hornish, S. F. Kotarski, </w:t>
      </w:r>
      <w:r w:rsidR="00CA5077" w:rsidRPr="00A300A1">
        <w:rPr>
          <w:rFonts w:ascii="Times New Roman" w:hAnsi="Times New Roman" w:cs="Times New Roman"/>
          <w:bCs/>
          <w:i/>
          <w:sz w:val="24"/>
          <w:szCs w:val="24"/>
        </w:rPr>
        <w:t>Curr. Top. Med. Chem</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2002</w:t>
      </w:r>
      <w:r w:rsidR="00CA5077" w:rsidRPr="00A300A1">
        <w:rPr>
          <w:rFonts w:ascii="Times New Roman" w:hAnsi="Times New Roman" w:cs="Times New Roman"/>
          <w:sz w:val="24"/>
          <w:szCs w:val="24"/>
        </w:rPr>
        <w:t>, 2, 717.</w:t>
      </w:r>
    </w:p>
    <w:p w:rsidR="00670E65" w:rsidRPr="00A300A1" w:rsidRDefault="002332C1"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2</w:t>
      </w:r>
      <w:r w:rsidR="00670E65" w:rsidRPr="00A300A1">
        <w:rPr>
          <w:rFonts w:ascii="Times New Roman" w:hAnsi="Times New Roman" w:cs="Times New Roman"/>
          <w:sz w:val="24"/>
          <w:szCs w:val="24"/>
        </w:rPr>
        <w:t xml:space="preserve">. K. Palur, S. C. Archakam, N. Lingasani, R. Diviti, R. K. Kumarachari, S. Velusamy, </w:t>
      </w:r>
      <w:r w:rsidR="00670E65" w:rsidRPr="00A300A1">
        <w:rPr>
          <w:rFonts w:ascii="Times New Roman" w:hAnsi="Times New Roman" w:cs="Times New Roman"/>
          <w:i/>
          <w:sz w:val="24"/>
          <w:szCs w:val="24"/>
        </w:rPr>
        <w:t>J. Pharm. Res.</w:t>
      </w:r>
      <w:r w:rsidR="00670E65" w:rsidRPr="00A300A1">
        <w:rPr>
          <w:rFonts w:ascii="Times New Roman" w:hAnsi="Times New Roman" w:cs="Times New Roman"/>
          <w:sz w:val="24"/>
          <w:szCs w:val="24"/>
        </w:rPr>
        <w:t xml:space="preserve"> </w:t>
      </w:r>
      <w:r w:rsidR="00670E65" w:rsidRPr="00A300A1">
        <w:rPr>
          <w:rFonts w:ascii="Times New Roman" w:hAnsi="Times New Roman" w:cs="Times New Roman"/>
          <w:b/>
          <w:sz w:val="24"/>
          <w:szCs w:val="24"/>
        </w:rPr>
        <w:t>2013</w:t>
      </w:r>
      <w:r w:rsidR="00670E65" w:rsidRPr="00A300A1">
        <w:rPr>
          <w:rFonts w:ascii="Times New Roman" w:hAnsi="Times New Roman" w:cs="Times New Roman"/>
          <w:sz w:val="24"/>
          <w:szCs w:val="24"/>
        </w:rPr>
        <w:t>, 7, 246.</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3</w:t>
      </w:r>
      <w:r w:rsidR="00CA5077" w:rsidRPr="00A300A1">
        <w:rPr>
          <w:rFonts w:ascii="Times New Roman" w:hAnsi="Times New Roman" w:cs="Times New Roman"/>
          <w:sz w:val="24"/>
          <w:szCs w:val="24"/>
        </w:rPr>
        <w:t xml:space="preserve">. W. T. Collard, S. R. Cox, S. P. Lesman, G. S. Grover, J. F. Boucher, J. W. Hallberg, J. A. Robinson, S. A. Brown, </w:t>
      </w:r>
      <w:r w:rsidR="00CA5077" w:rsidRPr="00A300A1">
        <w:rPr>
          <w:rFonts w:ascii="Times New Roman" w:hAnsi="Times New Roman" w:cs="Times New Roman"/>
          <w:i/>
          <w:sz w:val="24"/>
          <w:szCs w:val="24"/>
        </w:rPr>
        <w:t>J. Vet. Pharmacol. Ther</w:t>
      </w:r>
      <w:r w:rsidR="00CA5077" w:rsidRPr="00A300A1">
        <w:rPr>
          <w:rFonts w:ascii="Times New Roman" w:hAnsi="Times New Roman" w:cs="Times New Roman"/>
          <w:i/>
          <w:iCs/>
          <w:sz w:val="24"/>
          <w:szCs w:val="24"/>
        </w:rPr>
        <w:t xml:space="preserve">. </w:t>
      </w:r>
      <w:r w:rsidR="00CA5077" w:rsidRPr="00A300A1">
        <w:rPr>
          <w:rFonts w:ascii="Times New Roman" w:hAnsi="Times New Roman" w:cs="Times New Roman"/>
          <w:b/>
          <w:sz w:val="24"/>
          <w:szCs w:val="24"/>
        </w:rPr>
        <w:t>2011</w:t>
      </w:r>
      <w:r w:rsidR="00CA5077" w:rsidRPr="00A300A1">
        <w:rPr>
          <w:rFonts w:ascii="Times New Roman" w:hAnsi="Times New Roman" w:cs="Times New Roman"/>
          <w:sz w:val="24"/>
          <w:szCs w:val="24"/>
        </w:rPr>
        <w:t>, 34, 476.</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4</w:t>
      </w:r>
      <w:r w:rsidR="00CA5077" w:rsidRPr="00A300A1">
        <w:rPr>
          <w:rFonts w:ascii="Times New Roman" w:hAnsi="Times New Roman" w:cs="Times New Roman"/>
          <w:sz w:val="24"/>
          <w:szCs w:val="24"/>
        </w:rPr>
        <w:t xml:space="preserve">. F. M. Kausche, E. J. Robb, </w:t>
      </w:r>
      <w:r w:rsidR="00CA5077" w:rsidRPr="00A300A1">
        <w:rPr>
          <w:rFonts w:ascii="Times New Roman" w:hAnsi="Times New Roman" w:cs="Times New Roman"/>
          <w:i/>
          <w:iCs/>
          <w:sz w:val="24"/>
          <w:szCs w:val="24"/>
        </w:rPr>
        <w:t>Vet. Ther</w:t>
      </w:r>
      <w:r w:rsidR="00CA5077" w:rsidRPr="00A300A1">
        <w:rPr>
          <w:rFonts w:ascii="Times New Roman" w:hAnsi="Times New Roman" w:cs="Times New Roman"/>
          <w:sz w:val="24"/>
          <w:szCs w:val="24"/>
        </w:rPr>
        <w:t>. </w:t>
      </w:r>
      <w:r w:rsidR="00CA5077" w:rsidRPr="00A300A1">
        <w:rPr>
          <w:rFonts w:ascii="Times New Roman" w:hAnsi="Times New Roman" w:cs="Times New Roman"/>
          <w:b/>
          <w:sz w:val="24"/>
          <w:szCs w:val="24"/>
        </w:rPr>
        <w:t>2003</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iCs/>
          <w:sz w:val="24"/>
          <w:szCs w:val="24"/>
        </w:rPr>
        <w:t>4</w:t>
      </w:r>
      <w:r w:rsidR="00CA5077" w:rsidRPr="00A300A1">
        <w:rPr>
          <w:rFonts w:ascii="Times New Roman" w:hAnsi="Times New Roman" w:cs="Times New Roman"/>
          <w:sz w:val="24"/>
          <w:szCs w:val="24"/>
        </w:rPr>
        <w:t>, 83.</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5</w:t>
      </w:r>
      <w:r w:rsidR="00CA5077" w:rsidRPr="00A300A1">
        <w:rPr>
          <w:rFonts w:ascii="Times New Roman" w:hAnsi="Times New Roman" w:cs="Times New Roman"/>
          <w:sz w:val="24"/>
          <w:szCs w:val="24"/>
        </w:rPr>
        <w:t>. M. G. Papich, Saunders Handbook of Veterinary Drugs. Small and Large Animal, 4</w:t>
      </w:r>
      <w:r w:rsidR="00CA5077" w:rsidRPr="00A300A1">
        <w:rPr>
          <w:rFonts w:ascii="Times New Roman" w:hAnsi="Times New Roman" w:cs="Times New Roman"/>
          <w:sz w:val="24"/>
          <w:szCs w:val="24"/>
          <w:vertAlign w:val="superscript"/>
        </w:rPr>
        <w:t>th</w:t>
      </w:r>
      <w:r w:rsidR="00CA5077" w:rsidRPr="00A300A1">
        <w:rPr>
          <w:rFonts w:ascii="Times New Roman" w:hAnsi="Times New Roman" w:cs="Times New Roman"/>
          <w:sz w:val="24"/>
          <w:szCs w:val="24"/>
        </w:rPr>
        <w:t xml:space="preserve"> ed., Elsevier Saunders, St. Louis (MO), </w:t>
      </w:r>
      <w:r w:rsidR="00CA5077" w:rsidRPr="00A300A1">
        <w:rPr>
          <w:rFonts w:ascii="Times New Roman" w:hAnsi="Times New Roman" w:cs="Times New Roman"/>
          <w:b/>
          <w:sz w:val="24"/>
          <w:szCs w:val="24"/>
        </w:rPr>
        <w:t>2016</w:t>
      </w:r>
      <w:r w:rsidR="00CA5077" w:rsidRPr="00A300A1">
        <w:rPr>
          <w:rFonts w:ascii="Times New Roman" w:hAnsi="Times New Roman" w:cs="Times New Roman"/>
          <w:sz w:val="24"/>
          <w:szCs w:val="24"/>
        </w:rPr>
        <w:t>, p</w:t>
      </w:r>
      <w:r w:rsidR="0055689A" w:rsidRPr="00A300A1">
        <w:rPr>
          <w:rFonts w:ascii="Times New Roman" w:hAnsi="Times New Roman" w:cs="Times New Roman"/>
          <w:sz w:val="24"/>
          <w:szCs w:val="24"/>
        </w:rPr>
        <w:t>p</w:t>
      </w:r>
      <w:r w:rsidR="00CA5077" w:rsidRPr="00A300A1">
        <w:rPr>
          <w:rFonts w:ascii="Times New Roman" w:hAnsi="Times New Roman" w:cs="Times New Roman"/>
          <w:sz w:val="24"/>
          <w:szCs w:val="24"/>
        </w:rPr>
        <w:t>. 139-140.</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6</w:t>
      </w:r>
      <w:r w:rsidR="00CA5077" w:rsidRPr="00A300A1">
        <w:rPr>
          <w:rFonts w:ascii="Times New Roman" w:hAnsi="Times New Roman" w:cs="Times New Roman"/>
          <w:sz w:val="24"/>
          <w:szCs w:val="24"/>
        </w:rPr>
        <w:t xml:space="preserve">. S. A. Salmon, J. L. Watts, R. J. Yancey, </w:t>
      </w:r>
      <w:r w:rsidR="00CA5077" w:rsidRPr="00A300A1">
        <w:rPr>
          <w:rFonts w:ascii="Times New Roman" w:hAnsi="Times New Roman" w:cs="Times New Roman"/>
          <w:i/>
          <w:sz w:val="24"/>
          <w:szCs w:val="24"/>
        </w:rPr>
        <w:t>J. Vet. Diagn. Invest</w:t>
      </w:r>
      <w:r w:rsidR="00CA5077" w:rsidRPr="00A300A1">
        <w:rPr>
          <w:rFonts w:ascii="Times New Roman" w:hAnsi="Times New Roman" w:cs="Times New Roman"/>
          <w:i/>
          <w:iCs/>
          <w:sz w:val="24"/>
          <w:szCs w:val="24"/>
        </w:rPr>
        <w:t>.</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1996</w:t>
      </w:r>
      <w:r w:rsidR="00CA5077" w:rsidRPr="00A300A1">
        <w:rPr>
          <w:rFonts w:ascii="Times New Roman" w:hAnsi="Times New Roman" w:cs="Times New Roman"/>
          <w:sz w:val="24"/>
          <w:szCs w:val="24"/>
        </w:rPr>
        <w:t>, 8, 332.</w:t>
      </w:r>
    </w:p>
    <w:p w:rsidR="00CA5077" w:rsidRPr="00A300A1" w:rsidRDefault="00670E65" w:rsidP="00670E65">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7</w:t>
      </w:r>
      <w:r w:rsidR="00CA5077" w:rsidRPr="00A300A1">
        <w:rPr>
          <w:rFonts w:ascii="Times New Roman" w:hAnsi="Times New Roman" w:cs="Times New Roman"/>
          <w:sz w:val="24"/>
          <w:szCs w:val="24"/>
        </w:rPr>
        <w:t xml:space="preserve">. P. S. Jaglan, B. L. Cox, T. S. Arnold, </w:t>
      </w:r>
      <w:r w:rsidR="00CA5077" w:rsidRPr="00A300A1">
        <w:rPr>
          <w:rFonts w:ascii="Times New Roman" w:hAnsi="Times New Roman" w:cs="Times New Roman"/>
          <w:i/>
          <w:sz w:val="24"/>
          <w:szCs w:val="24"/>
        </w:rPr>
        <w:t>J. Assoc. Off. Anal. Chem</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1990</w:t>
      </w:r>
      <w:r w:rsidR="00CA5077" w:rsidRPr="00A300A1">
        <w:rPr>
          <w:rFonts w:ascii="Times New Roman" w:hAnsi="Times New Roman" w:cs="Times New Roman"/>
          <w:sz w:val="24"/>
          <w:szCs w:val="24"/>
        </w:rPr>
        <w:t>, 73, 26.</w:t>
      </w:r>
    </w:p>
    <w:p w:rsidR="00CA5077" w:rsidRPr="00A300A1" w:rsidRDefault="00670E65"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8</w:t>
      </w:r>
      <w:r w:rsidR="00CA5077" w:rsidRPr="00A300A1">
        <w:rPr>
          <w:rFonts w:ascii="Times New Roman" w:hAnsi="Times New Roman" w:cs="Times New Roman"/>
          <w:sz w:val="24"/>
          <w:szCs w:val="24"/>
        </w:rPr>
        <w:t xml:space="preserve">. S. De Baere, F. Pille, S. Croubels, L. Ceelen, P. De Backer, </w:t>
      </w:r>
      <w:r w:rsidR="00CA5077" w:rsidRPr="00A300A1">
        <w:rPr>
          <w:rFonts w:ascii="Times New Roman" w:hAnsi="Times New Roman" w:cs="Times New Roman"/>
          <w:i/>
          <w:sz w:val="24"/>
          <w:szCs w:val="24"/>
        </w:rPr>
        <w:t>Anal. Chim. Acta</w:t>
      </w:r>
      <w:r w:rsidR="00CA5077" w:rsidRPr="00A300A1">
        <w:rPr>
          <w:rFonts w:ascii="Times New Roman" w:hAnsi="Times New Roman" w:cs="Times New Roman"/>
          <w:i/>
          <w:iCs/>
          <w:sz w:val="24"/>
          <w:szCs w:val="24"/>
        </w:rPr>
        <w:t>.</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2004</w:t>
      </w:r>
      <w:r w:rsidR="00CA5077" w:rsidRPr="00A300A1">
        <w:rPr>
          <w:rFonts w:ascii="Times New Roman" w:hAnsi="Times New Roman" w:cs="Times New Roman"/>
          <w:sz w:val="24"/>
          <w:szCs w:val="24"/>
        </w:rPr>
        <w:t>, 512, 75.</w:t>
      </w:r>
    </w:p>
    <w:p w:rsidR="00CA5077" w:rsidRPr="00A300A1" w:rsidRDefault="00670E65"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9</w:t>
      </w:r>
      <w:r w:rsidR="00CA5077" w:rsidRPr="00A300A1">
        <w:rPr>
          <w:rFonts w:ascii="Times New Roman" w:hAnsi="Times New Roman" w:cs="Times New Roman"/>
          <w:sz w:val="24"/>
          <w:szCs w:val="24"/>
        </w:rPr>
        <w:t xml:space="preserve">. C. B. Navarre, L. Zhang, G. Sunkara, S. H. Duran, U. B. Kompella, </w:t>
      </w:r>
      <w:r w:rsidR="00CA5077" w:rsidRPr="00A300A1">
        <w:rPr>
          <w:rFonts w:ascii="Times New Roman" w:hAnsi="Times New Roman" w:cs="Times New Roman"/>
          <w:i/>
          <w:sz w:val="24"/>
          <w:szCs w:val="24"/>
        </w:rPr>
        <w:t>J. </w:t>
      </w:r>
      <w:r w:rsidR="00CA5077" w:rsidRPr="00A300A1">
        <w:rPr>
          <w:rFonts w:ascii="Times New Roman" w:hAnsi="Times New Roman" w:cs="Times New Roman"/>
          <w:bCs/>
          <w:i/>
          <w:sz w:val="24"/>
          <w:szCs w:val="24"/>
        </w:rPr>
        <w:t>Vet.</w:t>
      </w:r>
      <w:r w:rsidR="00CA5077" w:rsidRPr="00A300A1">
        <w:rPr>
          <w:rFonts w:ascii="Times New Roman" w:hAnsi="Times New Roman" w:cs="Times New Roman"/>
          <w:i/>
          <w:sz w:val="24"/>
          <w:szCs w:val="24"/>
        </w:rPr>
        <w:t> Pharmacol. </w:t>
      </w:r>
      <w:r w:rsidR="00CA5077" w:rsidRPr="00A300A1">
        <w:rPr>
          <w:rFonts w:ascii="Times New Roman" w:hAnsi="Times New Roman" w:cs="Times New Roman"/>
          <w:bCs/>
          <w:i/>
          <w:sz w:val="24"/>
          <w:szCs w:val="24"/>
        </w:rPr>
        <w:t>Ther</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1999</w:t>
      </w:r>
      <w:r w:rsidR="00CA5077" w:rsidRPr="00A300A1">
        <w:rPr>
          <w:rFonts w:ascii="Times New Roman" w:hAnsi="Times New Roman" w:cs="Times New Roman"/>
          <w:sz w:val="24"/>
          <w:szCs w:val="24"/>
        </w:rPr>
        <w:t>, 22, 13.</w:t>
      </w:r>
    </w:p>
    <w:p w:rsidR="00CA5077" w:rsidRPr="00A300A1" w:rsidRDefault="00670E65"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10</w:t>
      </w:r>
      <w:r w:rsidR="00CA5077" w:rsidRPr="00A300A1">
        <w:rPr>
          <w:rFonts w:ascii="Times New Roman" w:hAnsi="Times New Roman" w:cs="Times New Roman"/>
          <w:sz w:val="24"/>
          <w:szCs w:val="24"/>
        </w:rPr>
        <w:t xml:space="preserve">. G. A. Jacobson, S. Martinod, C. P. Cunningham, </w:t>
      </w:r>
      <w:r w:rsidR="00CA5077" w:rsidRPr="00A300A1">
        <w:rPr>
          <w:rFonts w:ascii="Times New Roman" w:hAnsi="Times New Roman" w:cs="Times New Roman"/>
          <w:i/>
          <w:sz w:val="24"/>
          <w:szCs w:val="24"/>
        </w:rPr>
        <w:t>J. Pharm. Biomed. Anal</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2006</w:t>
      </w:r>
      <w:r w:rsidR="00CA5077" w:rsidRPr="00A300A1">
        <w:rPr>
          <w:rFonts w:ascii="Times New Roman" w:hAnsi="Times New Roman" w:cs="Times New Roman"/>
          <w:sz w:val="24"/>
          <w:szCs w:val="24"/>
        </w:rPr>
        <w:t>, 40, 1249.</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1</w:t>
      </w:r>
      <w:r w:rsidRPr="00A300A1">
        <w:rPr>
          <w:rFonts w:ascii="Times New Roman" w:hAnsi="Times New Roman" w:cs="Times New Roman"/>
          <w:sz w:val="24"/>
          <w:szCs w:val="24"/>
        </w:rPr>
        <w:t xml:space="preserve">. F. Altan, K. Uney, E. R. Ayse, G. Cetin, B. Dik, E. Yazar, M. Elmas, </w:t>
      </w:r>
      <w:r w:rsidRPr="00A300A1">
        <w:rPr>
          <w:rFonts w:ascii="Times New Roman" w:hAnsi="Times New Roman" w:cs="Times New Roman"/>
          <w:i/>
          <w:sz w:val="24"/>
          <w:szCs w:val="24"/>
        </w:rPr>
        <w:t>J. </w:t>
      </w:r>
      <w:r w:rsidRPr="00A300A1">
        <w:rPr>
          <w:rFonts w:ascii="Times New Roman" w:hAnsi="Times New Roman" w:cs="Times New Roman"/>
          <w:bCs/>
          <w:i/>
          <w:sz w:val="24"/>
          <w:szCs w:val="24"/>
        </w:rPr>
        <w:t>Vet. Med. Sci</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2017</w:t>
      </w:r>
      <w:r w:rsidRPr="00A300A1">
        <w:rPr>
          <w:rFonts w:ascii="Times New Roman" w:hAnsi="Times New Roman" w:cs="Times New Roman"/>
          <w:sz w:val="24"/>
          <w:szCs w:val="24"/>
        </w:rPr>
        <w:t>, 79, 1245.</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2</w:t>
      </w:r>
      <w:r w:rsidRPr="00A300A1">
        <w:rPr>
          <w:rFonts w:ascii="Times New Roman" w:hAnsi="Times New Roman" w:cs="Times New Roman"/>
          <w:sz w:val="24"/>
          <w:szCs w:val="24"/>
        </w:rPr>
        <w:t xml:space="preserve">. ICH, Q2 (R1); Validation of analytical procedures: text and methodology, International Conference on Harmonization. Geneva, </w:t>
      </w:r>
      <w:r w:rsidRPr="00A300A1">
        <w:rPr>
          <w:rFonts w:ascii="Times New Roman" w:hAnsi="Times New Roman" w:cs="Times New Roman"/>
          <w:b/>
          <w:sz w:val="24"/>
          <w:szCs w:val="24"/>
        </w:rPr>
        <w:t>2005</w:t>
      </w:r>
      <w:r w:rsidRPr="00A300A1">
        <w:rPr>
          <w:rFonts w:ascii="Times New Roman" w:hAnsi="Times New Roman" w:cs="Times New Roman"/>
          <w:sz w:val="24"/>
          <w:szCs w:val="24"/>
        </w:rPr>
        <w:t>, p</w:t>
      </w:r>
      <w:r w:rsidR="0055689A" w:rsidRPr="00A300A1">
        <w:rPr>
          <w:rFonts w:ascii="Times New Roman" w:hAnsi="Times New Roman" w:cs="Times New Roman"/>
          <w:sz w:val="24"/>
          <w:szCs w:val="24"/>
        </w:rPr>
        <w:t>p</w:t>
      </w:r>
      <w:r w:rsidRPr="00A300A1">
        <w:rPr>
          <w:rFonts w:ascii="Times New Roman" w:hAnsi="Times New Roman" w:cs="Times New Roman"/>
          <w:sz w:val="24"/>
          <w:szCs w:val="24"/>
        </w:rPr>
        <w:t xml:space="preserve">.11-12. </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3</w:t>
      </w:r>
      <w:r w:rsidRPr="00A300A1">
        <w:rPr>
          <w:rFonts w:ascii="Times New Roman" w:hAnsi="Times New Roman" w:cs="Times New Roman"/>
          <w:sz w:val="24"/>
          <w:szCs w:val="24"/>
        </w:rPr>
        <w:t xml:space="preserve">. S. S. Panda, B. V. Kumar, G. Mohanta, </w:t>
      </w:r>
      <w:r w:rsidRPr="00A300A1">
        <w:rPr>
          <w:rFonts w:ascii="Times New Roman" w:hAnsi="Times New Roman" w:cs="Times New Roman"/>
          <w:bCs/>
          <w:i/>
          <w:sz w:val="24"/>
          <w:szCs w:val="24"/>
        </w:rPr>
        <w:t>Braz.</w:t>
      </w:r>
      <w:r w:rsidRPr="00A300A1">
        <w:rPr>
          <w:rFonts w:ascii="Times New Roman" w:hAnsi="Times New Roman" w:cs="Times New Roman"/>
          <w:i/>
          <w:sz w:val="24"/>
          <w:szCs w:val="24"/>
        </w:rPr>
        <w:t xml:space="preserve"> J. </w:t>
      </w:r>
      <w:r w:rsidRPr="00A300A1">
        <w:rPr>
          <w:rFonts w:ascii="Times New Roman" w:hAnsi="Times New Roman" w:cs="Times New Roman"/>
          <w:bCs/>
          <w:i/>
          <w:sz w:val="24"/>
          <w:szCs w:val="24"/>
        </w:rPr>
        <w:t>Pharm.</w:t>
      </w:r>
      <w:r w:rsidRPr="00A300A1">
        <w:rPr>
          <w:rFonts w:ascii="Times New Roman" w:hAnsi="Times New Roman" w:cs="Times New Roman"/>
          <w:i/>
          <w:sz w:val="24"/>
          <w:szCs w:val="24"/>
        </w:rPr>
        <w:t> </w:t>
      </w:r>
      <w:r w:rsidRPr="00A300A1">
        <w:rPr>
          <w:rFonts w:ascii="Times New Roman" w:hAnsi="Times New Roman" w:cs="Times New Roman"/>
          <w:bCs/>
          <w:i/>
          <w:sz w:val="24"/>
          <w:szCs w:val="24"/>
        </w:rPr>
        <w:t>Sci</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2013</w:t>
      </w:r>
      <w:r w:rsidRPr="00A300A1">
        <w:rPr>
          <w:rFonts w:ascii="Times New Roman" w:hAnsi="Times New Roman" w:cs="Times New Roman"/>
          <w:sz w:val="24"/>
          <w:szCs w:val="24"/>
        </w:rPr>
        <w:t>, 49, 475.</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4</w:t>
      </w:r>
      <w:r w:rsidRPr="00A300A1">
        <w:rPr>
          <w:rFonts w:ascii="Times New Roman" w:hAnsi="Times New Roman" w:cs="Times New Roman"/>
          <w:sz w:val="24"/>
          <w:szCs w:val="24"/>
        </w:rPr>
        <w:t xml:space="preserve">. M. N. Irakli, V. F. Samanidou, C. G. Biliaderis, I. N. Papadoyannis, </w:t>
      </w:r>
      <w:r w:rsidRPr="00A300A1">
        <w:rPr>
          <w:rFonts w:ascii="Times New Roman" w:hAnsi="Times New Roman" w:cs="Times New Roman"/>
          <w:i/>
          <w:sz w:val="24"/>
          <w:szCs w:val="24"/>
        </w:rPr>
        <w:t>Food chem.</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2012</w:t>
      </w:r>
      <w:r w:rsidRPr="00A300A1">
        <w:rPr>
          <w:rFonts w:ascii="Times New Roman" w:hAnsi="Times New Roman" w:cs="Times New Roman"/>
          <w:sz w:val="24"/>
          <w:szCs w:val="24"/>
        </w:rPr>
        <w:t>, 134, 1624.</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lastRenderedPageBreak/>
        <w:t>1</w:t>
      </w:r>
      <w:r w:rsidR="00670E65" w:rsidRPr="00A300A1">
        <w:rPr>
          <w:rFonts w:ascii="Times New Roman" w:hAnsi="Times New Roman" w:cs="Times New Roman"/>
          <w:sz w:val="24"/>
          <w:szCs w:val="24"/>
        </w:rPr>
        <w:t>5</w:t>
      </w:r>
      <w:r w:rsidRPr="00A300A1">
        <w:rPr>
          <w:rFonts w:ascii="Times New Roman" w:hAnsi="Times New Roman" w:cs="Times New Roman"/>
          <w:sz w:val="24"/>
          <w:szCs w:val="24"/>
        </w:rPr>
        <w:t xml:space="preserve">. J. W. Wu, L. C. Lin, S. C. Hung, C. W. Chi, T. H. Tsai, </w:t>
      </w:r>
      <w:r w:rsidRPr="00A300A1">
        <w:rPr>
          <w:rFonts w:ascii="Times New Roman" w:hAnsi="Times New Roman" w:cs="Times New Roman"/>
          <w:i/>
          <w:sz w:val="24"/>
          <w:szCs w:val="24"/>
        </w:rPr>
        <w:t>J. Pharm. Biomed. Anal.</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2007</w:t>
      </w:r>
      <w:r w:rsidRPr="00A300A1">
        <w:rPr>
          <w:rFonts w:ascii="Times New Roman" w:hAnsi="Times New Roman" w:cs="Times New Roman"/>
          <w:sz w:val="24"/>
          <w:szCs w:val="24"/>
        </w:rPr>
        <w:t>, 45, 635.</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6</w:t>
      </w:r>
      <w:r w:rsidRPr="00A300A1">
        <w:rPr>
          <w:rFonts w:ascii="Times New Roman" w:hAnsi="Times New Roman" w:cs="Times New Roman"/>
          <w:sz w:val="24"/>
          <w:szCs w:val="24"/>
        </w:rPr>
        <w:t xml:space="preserve">. R. Gannu, S. Bandari, S. G. Sudke, Y. M. Rao, B. P. Shankar, </w:t>
      </w:r>
      <w:r w:rsidRPr="00A300A1">
        <w:rPr>
          <w:rFonts w:ascii="Times New Roman" w:hAnsi="Times New Roman" w:cs="Times New Roman"/>
          <w:i/>
          <w:sz w:val="24"/>
          <w:szCs w:val="24"/>
        </w:rPr>
        <w:t>Acta Chromatogr.</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2007</w:t>
      </w:r>
      <w:r w:rsidRPr="00A300A1">
        <w:rPr>
          <w:rFonts w:ascii="Times New Roman" w:hAnsi="Times New Roman" w:cs="Times New Roman"/>
          <w:sz w:val="24"/>
          <w:szCs w:val="24"/>
        </w:rPr>
        <w:t>, 19,149.</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7</w:t>
      </w:r>
      <w:r w:rsidRPr="00A300A1">
        <w:rPr>
          <w:rFonts w:ascii="Times New Roman" w:hAnsi="Times New Roman" w:cs="Times New Roman"/>
          <w:sz w:val="24"/>
          <w:szCs w:val="24"/>
        </w:rPr>
        <w:t xml:space="preserve">. M. Aqil, A. Ali, A. Ahad, Y. Sultana, A. K. Najmi, N. Saha, 2007. </w:t>
      </w:r>
      <w:r w:rsidRPr="00A300A1">
        <w:rPr>
          <w:rFonts w:ascii="Times New Roman" w:hAnsi="Times New Roman" w:cs="Times New Roman"/>
          <w:i/>
          <w:sz w:val="24"/>
          <w:szCs w:val="24"/>
        </w:rPr>
        <w:t>Acta Chromatogr.</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2007</w:t>
      </w:r>
      <w:r w:rsidRPr="00A300A1">
        <w:rPr>
          <w:rFonts w:ascii="Times New Roman" w:hAnsi="Times New Roman" w:cs="Times New Roman"/>
          <w:sz w:val="24"/>
          <w:szCs w:val="24"/>
        </w:rPr>
        <w:t>, 19, 130.</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8</w:t>
      </w:r>
      <w:r w:rsidRPr="00A300A1">
        <w:rPr>
          <w:rFonts w:ascii="Times New Roman" w:hAnsi="Times New Roman" w:cs="Times New Roman"/>
          <w:sz w:val="24"/>
          <w:szCs w:val="24"/>
        </w:rPr>
        <w:t xml:space="preserve">. H. Nie, X. Feng, J. Peng, L. Liang, C. Lu, R. V. Tiwari, S. Tang, J. He, </w:t>
      </w:r>
      <w:r w:rsidRPr="00A300A1">
        <w:rPr>
          <w:rFonts w:ascii="Times New Roman" w:hAnsi="Times New Roman" w:cs="Times New Roman"/>
          <w:bCs/>
          <w:i/>
          <w:sz w:val="24"/>
          <w:szCs w:val="24"/>
        </w:rPr>
        <w:t>Am.</w:t>
      </w:r>
      <w:r w:rsidRPr="00A300A1">
        <w:rPr>
          <w:rFonts w:ascii="Times New Roman" w:hAnsi="Times New Roman" w:cs="Times New Roman"/>
          <w:i/>
          <w:sz w:val="24"/>
          <w:szCs w:val="24"/>
        </w:rPr>
        <w:t> J. </w:t>
      </w:r>
      <w:r w:rsidRPr="00A300A1">
        <w:rPr>
          <w:rFonts w:ascii="Times New Roman" w:hAnsi="Times New Roman" w:cs="Times New Roman"/>
          <w:bCs/>
          <w:i/>
          <w:sz w:val="24"/>
          <w:szCs w:val="24"/>
        </w:rPr>
        <w:t>Vet. Res</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2016</w:t>
      </w:r>
      <w:r w:rsidRPr="00A300A1">
        <w:rPr>
          <w:rFonts w:ascii="Times New Roman" w:hAnsi="Times New Roman" w:cs="Times New Roman"/>
          <w:sz w:val="24"/>
          <w:szCs w:val="24"/>
        </w:rPr>
        <w:t>, 77, 646.</w:t>
      </w:r>
    </w:p>
    <w:p w:rsidR="00CA5077" w:rsidRPr="00A300A1" w:rsidRDefault="00CA5077" w:rsidP="00CA5077">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1</w:t>
      </w:r>
      <w:r w:rsidR="00670E65" w:rsidRPr="00A300A1">
        <w:rPr>
          <w:rFonts w:ascii="Times New Roman" w:hAnsi="Times New Roman" w:cs="Times New Roman"/>
          <w:sz w:val="24"/>
          <w:szCs w:val="24"/>
        </w:rPr>
        <w:t>9</w:t>
      </w:r>
      <w:r w:rsidRPr="00A300A1">
        <w:rPr>
          <w:rFonts w:ascii="Times New Roman" w:hAnsi="Times New Roman" w:cs="Times New Roman"/>
          <w:sz w:val="24"/>
          <w:szCs w:val="24"/>
        </w:rPr>
        <w:t xml:space="preserve">. M. G. </w:t>
      </w:r>
      <w:hyperlink r:id="rId12" w:history="1">
        <w:r w:rsidRPr="00A300A1">
          <w:rPr>
            <w:rStyle w:val="Hyperlink"/>
            <w:rFonts w:ascii="Times New Roman" w:hAnsi="Times New Roman" w:cs="Times New Roman"/>
            <w:color w:val="auto"/>
            <w:sz w:val="24"/>
            <w:szCs w:val="24"/>
            <w:u w:val="none"/>
          </w:rPr>
          <w:t>Beconi-Barker</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R. D. </w:t>
      </w:r>
      <w:hyperlink r:id="rId13" w:history="1">
        <w:r w:rsidRPr="00A300A1">
          <w:rPr>
            <w:rStyle w:val="Hyperlink"/>
            <w:rFonts w:ascii="Times New Roman" w:hAnsi="Times New Roman" w:cs="Times New Roman"/>
            <w:color w:val="auto"/>
            <w:sz w:val="24"/>
            <w:szCs w:val="24"/>
            <w:u w:val="none"/>
          </w:rPr>
          <w:t>Roof</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L. </w:t>
      </w:r>
      <w:hyperlink r:id="rId14" w:history="1">
        <w:r w:rsidRPr="00A300A1">
          <w:rPr>
            <w:rStyle w:val="Hyperlink"/>
            <w:rFonts w:ascii="Times New Roman" w:hAnsi="Times New Roman" w:cs="Times New Roman"/>
            <w:color w:val="auto"/>
            <w:sz w:val="24"/>
            <w:szCs w:val="24"/>
            <w:u w:val="none"/>
          </w:rPr>
          <w:t>Millerioux</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F. M. </w:t>
      </w:r>
      <w:hyperlink r:id="rId15" w:history="1">
        <w:r w:rsidRPr="00A300A1">
          <w:rPr>
            <w:rStyle w:val="Hyperlink"/>
            <w:rFonts w:ascii="Times New Roman" w:hAnsi="Times New Roman" w:cs="Times New Roman"/>
            <w:color w:val="auto"/>
            <w:sz w:val="24"/>
            <w:szCs w:val="24"/>
            <w:u w:val="none"/>
          </w:rPr>
          <w:t>Kausche</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T. H. </w:t>
      </w:r>
      <w:hyperlink r:id="rId16" w:history="1">
        <w:r w:rsidRPr="00A300A1">
          <w:rPr>
            <w:rStyle w:val="Hyperlink"/>
            <w:rFonts w:ascii="Times New Roman" w:hAnsi="Times New Roman" w:cs="Times New Roman"/>
            <w:color w:val="auto"/>
            <w:sz w:val="24"/>
            <w:szCs w:val="24"/>
            <w:u w:val="none"/>
          </w:rPr>
          <w:t>Vidmar</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E. B. </w:t>
      </w:r>
      <w:hyperlink r:id="rId17" w:history="1">
        <w:r w:rsidRPr="00A300A1">
          <w:rPr>
            <w:rStyle w:val="Hyperlink"/>
            <w:rFonts w:ascii="Times New Roman" w:hAnsi="Times New Roman" w:cs="Times New Roman"/>
            <w:color w:val="auto"/>
            <w:sz w:val="24"/>
            <w:szCs w:val="24"/>
            <w:u w:val="none"/>
          </w:rPr>
          <w:t>Smith</w:t>
        </w:r>
        <w:r w:rsidRPr="00A300A1">
          <w:rPr>
            <w:rStyle w:val="Hyperlink"/>
            <w:rFonts w:ascii="Times New Roman" w:hAnsi="Times New Roman" w:cs="Times New Roman"/>
            <w:color w:val="auto"/>
            <w:sz w:val="24"/>
            <w:szCs w:val="24"/>
          </w:rPr>
          <w:t>,</w:t>
        </w:r>
        <w:r w:rsidRPr="00A300A1">
          <w:rPr>
            <w:rStyle w:val="Hyperlink"/>
            <w:rFonts w:ascii="Times New Roman" w:hAnsi="Times New Roman" w:cs="Times New Roman"/>
            <w:color w:val="auto"/>
            <w:sz w:val="24"/>
            <w:szCs w:val="24"/>
            <w:u w:val="none"/>
          </w:rPr>
          <w:t xml:space="preserve"> </w:t>
        </w:r>
      </w:hyperlink>
      <w:r w:rsidRPr="00A300A1">
        <w:rPr>
          <w:rFonts w:ascii="Times New Roman" w:hAnsi="Times New Roman" w:cs="Times New Roman"/>
          <w:sz w:val="24"/>
          <w:szCs w:val="24"/>
        </w:rPr>
        <w:t xml:space="preserve"> J. K. Callahan, V. L. Hubbard, G. A. Smith, T. J. Gilbertson, </w:t>
      </w:r>
      <w:r w:rsidRPr="00A300A1">
        <w:rPr>
          <w:rFonts w:ascii="Times New Roman" w:hAnsi="Times New Roman" w:cs="Times New Roman"/>
          <w:i/>
          <w:sz w:val="24"/>
          <w:szCs w:val="24"/>
        </w:rPr>
        <w:t>J. Chromatogr. B Biomed. Sci. Appl</w:t>
      </w:r>
      <w:r w:rsidRPr="00A300A1">
        <w:rPr>
          <w:rFonts w:ascii="Times New Roman" w:hAnsi="Times New Roman" w:cs="Times New Roman"/>
          <w:sz w:val="24"/>
          <w:szCs w:val="24"/>
        </w:rPr>
        <w:t xml:space="preserve">. </w:t>
      </w:r>
      <w:r w:rsidRPr="00A300A1">
        <w:rPr>
          <w:rFonts w:ascii="Times New Roman" w:hAnsi="Times New Roman" w:cs="Times New Roman"/>
          <w:b/>
          <w:sz w:val="24"/>
          <w:szCs w:val="24"/>
        </w:rPr>
        <w:t>1995</w:t>
      </w:r>
      <w:r w:rsidRPr="00A300A1">
        <w:rPr>
          <w:rFonts w:ascii="Times New Roman" w:hAnsi="Times New Roman" w:cs="Times New Roman"/>
          <w:sz w:val="24"/>
          <w:szCs w:val="24"/>
        </w:rPr>
        <w:t>, 673, 231.</w:t>
      </w:r>
    </w:p>
    <w:p w:rsidR="00AB68DB" w:rsidRPr="00A300A1" w:rsidRDefault="00670E65" w:rsidP="00D82E5F">
      <w:pPr>
        <w:spacing w:after="0" w:line="360" w:lineRule="auto"/>
        <w:jc w:val="both"/>
        <w:rPr>
          <w:rFonts w:ascii="Times New Roman" w:hAnsi="Times New Roman" w:cs="Times New Roman"/>
          <w:sz w:val="24"/>
          <w:szCs w:val="24"/>
        </w:rPr>
      </w:pPr>
      <w:r w:rsidRPr="00A300A1">
        <w:rPr>
          <w:rFonts w:ascii="Times New Roman" w:hAnsi="Times New Roman" w:cs="Times New Roman"/>
          <w:sz w:val="24"/>
          <w:szCs w:val="24"/>
        </w:rPr>
        <w:t>20</w:t>
      </w:r>
      <w:r w:rsidR="00CA5077" w:rsidRPr="00A300A1">
        <w:rPr>
          <w:rFonts w:ascii="Times New Roman" w:hAnsi="Times New Roman" w:cs="Times New Roman"/>
          <w:sz w:val="24"/>
          <w:szCs w:val="24"/>
        </w:rPr>
        <w:t xml:space="preserve">. K. Uney, F. Altan, M. Elmas, </w:t>
      </w:r>
      <w:r w:rsidR="00CA5077" w:rsidRPr="00A300A1">
        <w:rPr>
          <w:rFonts w:ascii="Times New Roman" w:hAnsi="Times New Roman" w:cs="Times New Roman"/>
          <w:i/>
          <w:sz w:val="24"/>
          <w:szCs w:val="24"/>
        </w:rPr>
        <w:t>Antimicrob. Agents Chemother</w:t>
      </w:r>
      <w:r w:rsidR="00CA5077" w:rsidRPr="00A300A1">
        <w:rPr>
          <w:rFonts w:ascii="Times New Roman" w:hAnsi="Times New Roman" w:cs="Times New Roman"/>
          <w:sz w:val="24"/>
          <w:szCs w:val="24"/>
        </w:rPr>
        <w:t xml:space="preserve">. </w:t>
      </w:r>
      <w:r w:rsidR="00CA5077" w:rsidRPr="00A300A1">
        <w:rPr>
          <w:rFonts w:ascii="Times New Roman" w:hAnsi="Times New Roman" w:cs="Times New Roman"/>
          <w:b/>
          <w:sz w:val="24"/>
          <w:szCs w:val="24"/>
        </w:rPr>
        <w:t>2011</w:t>
      </w:r>
      <w:r w:rsidR="00CA5077" w:rsidRPr="00A300A1">
        <w:rPr>
          <w:rFonts w:ascii="Times New Roman" w:hAnsi="Times New Roman" w:cs="Times New Roman"/>
          <w:sz w:val="24"/>
          <w:szCs w:val="24"/>
        </w:rPr>
        <w:t>, 55, 854.</w:t>
      </w:r>
    </w:p>
    <w:sectPr w:rsidR="00AB68DB" w:rsidRPr="00A300A1" w:rsidSect="00A300A1">
      <w:headerReference w:type="default" r:id="rId18"/>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7BD" w:rsidRDefault="005D37BD" w:rsidP="003C1801">
      <w:pPr>
        <w:spacing w:after="0" w:line="240" w:lineRule="auto"/>
      </w:pPr>
      <w:r>
        <w:separator/>
      </w:r>
    </w:p>
  </w:endnote>
  <w:endnote w:type="continuationSeparator" w:id="0">
    <w:p w:rsidR="005D37BD" w:rsidRDefault="005D37BD" w:rsidP="003C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7BD" w:rsidRDefault="005D37BD" w:rsidP="003C1801">
      <w:pPr>
        <w:spacing w:after="0" w:line="240" w:lineRule="auto"/>
      </w:pPr>
      <w:r>
        <w:separator/>
      </w:r>
    </w:p>
  </w:footnote>
  <w:footnote w:type="continuationSeparator" w:id="0">
    <w:p w:rsidR="005D37BD" w:rsidRDefault="005D37BD" w:rsidP="003C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8131"/>
      <w:docPartObj>
        <w:docPartGallery w:val="Page Numbers (Top of Page)"/>
        <w:docPartUnique/>
      </w:docPartObj>
    </w:sdtPr>
    <w:sdtEndPr>
      <w:rPr>
        <w:noProof/>
      </w:rPr>
    </w:sdtEndPr>
    <w:sdtContent>
      <w:p w:rsidR="00C46393" w:rsidRDefault="00C46393">
        <w:pPr>
          <w:pStyle w:val="Header"/>
        </w:pPr>
        <w:r w:rsidRPr="009070C1">
          <w:fldChar w:fldCharType="begin"/>
        </w:r>
        <w:r w:rsidRPr="009070C1">
          <w:instrText xml:space="preserve"> PAGE   \* MERGEFORMAT </w:instrText>
        </w:r>
        <w:r w:rsidRPr="009070C1">
          <w:fldChar w:fldCharType="separate"/>
        </w:r>
        <w:r w:rsidR="00413DC3">
          <w:rPr>
            <w:noProof/>
          </w:rPr>
          <w:t>1</w:t>
        </w:r>
        <w:r w:rsidRPr="009070C1">
          <w:rPr>
            <w:noProof/>
          </w:rPr>
          <w:fldChar w:fldCharType="end"/>
        </w:r>
      </w:p>
    </w:sdtContent>
  </w:sdt>
  <w:p w:rsidR="00C46393" w:rsidRDefault="00C46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68E6"/>
    <w:multiLevelType w:val="hybridMultilevel"/>
    <w:tmpl w:val="1338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D5743"/>
    <w:multiLevelType w:val="hybridMultilevel"/>
    <w:tmpl w:val="C2CED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F3B7B"/>
    <w:multiLevelType w:val="hybridMultilevel"/>
    <w:tmpl w:val="2DAA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64"/>
    <w:rsid w:val="00012363"/>
    <w:rsid w:val="000168E7"/>
    <w:rsid w:val="000179CE"/>
    <w:rsid w:val="00034129"/>
    <w:rsid w:val="00043F62"/>
    <w:rsid w:val="00047B4C"/>
    <w:rsid w:val="00056F39"/>
    <w:rsid w:val="00081EF7"/>
    <w:rsid w:val="00082166"/>
    <w:rsid w:val="00090ADE"/>
    <w:rsid w:val="00091703"/>
    <w:rsid w:val="000B1162"/>
    <w:rsid w:val="000B13CB"/>
    <w:rsid w:val="000B199C"/>
    <w:rsid w:val="000D0E64"/>
    <w:rsid w:val="000D6BB1"/>
    <w:rsid w:val="000D6FC3"/>
    <w:rsid w:val="000F0F8C"/>
    <w:rsid w:val="000F2D00"/>
    <w:rsid w:val="000F4790"/>
    <w:rsid w:val="00100F79"/>
    <w:rsid w:val="001226F0"/>
    <w:rsid w:val="0012559D"/>
    <w:rsid w:val="001304AF"/>
    <w:rsid w:val="001454A8"/>
    <w:rsid w:val="00146850"/>
    <w:rsid w:val="00147B7E"/>
    <w:rsid w:val="00150E89"/>
    <w:rsid w:val="00152EBD"/>
    <w:rsid w:val="0015600F"/>
    <w:rsid w:val="00183F24"/>
    <w:rsid w:val="00197821"/>
    <w:rsid w:val="001A58E1"/>
    <w:rsid w:val="001C105A"/>
    <w:rsid w:val="001D3D03"/>
    <w:rsid w:val="001D77EC"/>
    <w:rsid w:val="001F6269"/>
    <w:rsid w:val="001F6C9D"/>
    <w:rsid w:val="002066C9"/>
    <w:rsid w:val="00206E6A"/>
    <w:rsid w:val="00231307"/>
    <w:rsid w:val="00231A8B"/>
    <w:rsid w:val="002332C1"/>
    <w:rsid w:val="00236C1E"/>
    <w:rsid w:val="00250130"/>
    <w:rsid w:val="002550F3"/>
    <w:rsid w:val="00263BBF"/>
    <w:rsid w:val="00272D57"/>
    <w:rsid w:val="00272F30"/>
    <w:rsid w:val="002773BF"/>
    <w:rsid w:val="00277C7A"/>
    <w:rsid w:val="0029107E"/>
    <w:rsid w:val="00294D8A"/>
    <w:rsid w:val="002A01A1"/>
    <w:rsid w:val="002A0EB1"/>
    <w:rsid w:val="002A303A"/>
    <w:rsid w:val="002B3347"/>
    <w:rsid w:val="002B48DE"/>
    <w:rsid w:val="002C0E94"/>
    <w:rsid w:val="002C1612"/>
    <w:rsid w:val="002E2D7E"/>
    <w:rsid w:val="002E5E5D"/>
    <w:rsid w:val="002E7E74"/>
    <w:rsid w:val="002F0EDA"/>
    <w:rsid w:val="002F204D"/>
    <w:rsid w:val="00307B97"/>
    <w:rsid w:val="00307D2D"/>
    <w:rsid w:val="00310492"/>
    <w:rsid w:val="003110B8"/>
    <w:rsid w:val="00316940"/>
    <w:rsid w:val="00322681"/>
    <w:rsid w:val="00322A9D"/>
    <w:rsid w:val="00325037"/>
    <w:rsid w:val="00325C35"/>
    <w:rsid w:val="003260B8"/>
    <w:rsid w:val="00326342"/>
    <w:rsid w:val="00327247"/>
    <w:rsid w:val="00334B6B"/>
    <w:rsid w:val="003407A0"/>
    <w:rsid w:val="00344290"/>
    <w:rsid w:val="00350ECE"/>
    <w:rsid w:val="003548BE"/>
    <w:rsid w:val="00370EA9"/>
    <w:rsid w:val="00377F22"/>
    <w:rsid w:val="003A17C0"/>
    <w:rsid w:val="003A3CD5"/>
    <w:rsid w:val="003A49F9"/>
    <w:rsid w:val="003B37AF"/>
    <w:rsid w:val="003B6CDE"/>
    <w:rsid w:val="003C1801"/>
    <w:rsid w:val="003D63FE"/>
    <w:rsid w:val="003D7549"/>
    <w:rsid w:val="003E5795"/>
    <w:rsid w:val="003F3ABD"/>
    <w:rsid w:val="003F3EE9"/>
    <w:rsid w:val="004062F9"/>
    <w:rsid w:val="0040725E"/>
    <w:rsid w:val="00412A79"/>
    <w:rsid w:val="00413DC3"/>
    <w:rsid w:val="00420AA5"/>
    <w:rsid w:val="00420F63"/>
    <w:rsid w:val="004261C5"/>
    <w:rsid w:val="004311BC"/>
    <w:rsid w:val="00434541"/>
    <w:rsid w:val="00434BD7"/>
    <w:rsid w:val="00442989"/>
    <w:rsid w:val="00456D63"/>
    <w:rsid w:val="0047555B"/>
    <w:rsid w:val="00475ED2"/>
    <w:rsid w:val="00477B84"/>
    <w:rsid w:val="0048427D"/>
    <w:rsid w:val="00486787"/>
    <w:rsid w:val="004A2C36"/>
    <w:rsid w:val="004A409B"/>
    <w:rsid w:val="004A58AC"/>
    <w:rsid w:val="004C0D11"/>
    <w:rsid w:val="004C154D"/>
    <w:rsid w:val="004C2C6B"/>
    <w:rsid w:val="004C4284"/>
    <w:rsid w:val="004C4487"/>
    <w:rsid w:val="004C68D6"/>
    <w:rsid w:val="004E0D36"/>
    <w:rsid w:val="004E50CD"/>
    <w:rsid w:val="004F267E"/>
    <w:rsid w:val="004F4797"/>
    <w:rsid w:val="004F4B66"/>
    <w:rsid w:val="004F720A"/>
    <w:rsid w:val="0050137C"/>
    <w:rsid w:val="00501607"/>
    <w:rsid w:val="00506BAC"/>
    <w:rsid w:val="00532531"/>
    <w:rsid w:val="0054441C"/>
    <w:rsid w:val="00550680"/>
    <w:rsid w:val="005524EB"/>
    <w:rsid w:val="005531B9"/>
    <w:rsid w:val="00553399"/>
    <w:rsid w:val="0055689A"/>
    <w:rsid w:val="0057013B"/>
    <w:rsid w:val="00570F9D"/>
    <w:rsid w:val="00585784"/>
    <w:rsid w:val="005957E5"/>
    <w:rsid w:val="005A0499"/>
    <w:rsid w:val="005A5F3C"/>
    <w:rsid w:val="005A60FF"/>
    <w:rsid w:val="005B0A0C"/>
    <w:rsid w:val="005B3125"/>
    <w:rsid w:val="005C559E"/>
    <w:rsid w:val="005C5782"/>
    <w:rsid w:val="005C6A37"/>
    <w:rsid w:val="005D37BD"/>
    <w:rsid w:val="005D4D18"/>
    <w:rsid w:val="005D53FC"/>
    <w:rsid w:val="005E2993"/>
    <w:rsid w:val="005E6463"/>
    <w:rsid w:val="005F550C"/>
    <w:rsid w:val="005F5744"/>
    <w:rsid w:val="005F6650"/>
    <w:rsid w:val="0061337D"/>
    <w:rsid w:val="00620FFF"/>
    <w:rsid w:val="006236CE"/>
    <w:rsid w:val="006246E0"/>
    <w:rsid w:val="006270A6"/>
    <w:rsid w:val="006326F5"/>
    <w:rsid w:val="0065136F"/>
    <w:rsid w:val="00670897"/>
    <w:rsid w:val="00670E65"/>
    <w:rsid w:val="0068328B"/>
    <w:rsid w:val="00697B43"/>
    <w:rsid w:val="006A196C"/>
    <w:rsid w:val="006C4CEC"/>
    <w:rsid w:val="006D6874"/>
    <w:rsid w:val="006D7156"/>
    <w:rsid w:val="006F7BD7"/>
    <w:rsid w:val="0070102F"/>
    <w:rsid w:val="0070185C"/>
    <w:rsid w:val="007033C5"/>
    <w:rsid w:val="00704C9B"/>
    <w:rsid w:val="0071155B"/>
    <w:rsid w:val="007145E2"/>
    <w:rsid w:val="0072716D"/>
    <w:rsid w:val="007314CC"/>
    <w:rsid w:val="00733FD0"/>
    <w:rsid w:val="00734041"/>
    <w:rsid w:val="007349DF"/>
    <w:rsid w:val="00746B58"/>
    <w:rsid w:val="00750CAD"/>
    <w:rsid w:val="007635E8"/>
    <w:rsid w:val="00763729"/>
    <w:rsid w:val="00765D0A"/>
    <w:rsid w:val="00771D3C"/>
    <w:rsid w:val="0078169E"/>
    <w:rsid w:val="0078773F"/>
    <w:rsid w:val="007A197C"/>
    <w:rsid w:val="007A518F"/>
    <w:rsid w:val="007B11A1"/>
    <w:rsid w:val="007B1C15"/>
    <w:rsid w:val="007B6CD4"/>
    <w:rsid w:val="007C3CD7"/>
    <w:rsid w:val="007C6508"/>
    <w:rsid w:val="007E00A1"/>
    <w:rsid w:val="007E1872"/>
    <w:rsid w:val="007E73CA"/>
    <w:rsid w:val="007F676C"/>
    <w:rsid w:val="008006F4"/>
    <w:rsid w:val="0080719A"/>
    <w:rsid w:val="0081387B"/>
    <w:rsid w:val="00832BC3"/>
    <w:rsid w:val="008420E2"/>
    <w:rsid w:val="008528DE"/>
    <w:rsid w:val="0086090A"/>
    <w:rsid w:val="008717E6"/>
    <w:rsid w:val="00872CF1"/>
    <w:rsid w:val="00874796"/>
    <w:rsid w:val="00875E80"/>
    <w:rsid w:val="00876B39"/>
    <w:rsid w:val="00893EEC"/>
    <w:rsid w:val="00896CE6"/>
    <w:rsid w:val="008A3E61"/>
    <w:rsid w:val="008C097D"/>
    <w:rsid w:val="008C16AE"/>
    <w:rsid w:val="008C2AF4"/>
    <w:rsid w:val="008C4D1D"/>
    <w:rsid w:val="008D0675"/>
    <w:rsid w:val="008E2CB0"/>
    <w:rsid w:val="008F08CF"/>
    <w:rsid w:val="008F792C"/>
    <w:rsid w:val="008F7E8E"/>
    <w:rsid w:val="009030FE"/>
    <w:rsid w:val="009070C1"/>
    <w:rsid w:val="00914B13"/>
    <w:rsid w:val="009251EA"/>
    <w:rsid w:val="0093400F"/>
    <w:rsid w:val="00934838"/>
    <w:rsid w:val="00940255"/>
    <w:rsid w:val="009531B0"/>
    <w:rsid w:val="00961004"/>
    <w:rsid w:val="00961871"/>
    <w:rsid w:val="0096277E"/>
    <w:rsid w:val="00977EB6"/>
    <w:rsid w:val="00980DFC"/>
    <w:rsid w:val="00986ED1"/>
    <w:rsid w:val="00987702"/>
    <w:rsid w:val="00992772"/>
    <w:rsid w:val="009937A0"/>
    <w:rsid w:val="009950BB"/>
    <w:rsid w:val="00996992"/>
    <w:rsid w:val="009A7DA8"/>
    <w:rsid w:val="009B0324"/>
    <w:rsid w:val="009B6734"/>
    <w:rsid w:val="009C0E3B"/>
    <w:rsid w:val="009C1DDA"/>
    <w:rsid w:val="009C1F8C"/>
    <w:rsid w:val="009C566F"/>
    <w:rsid w:val="009E07D9"/>
    <w:rsid w:val="009E4EB6"/>
    <w:rsid w:val="009E57E7"/>
    <w:rsid w:val="009E73BF"/>
    <w:rsid w:val="009F1E33"/>
    <w:rsid w:val="009F4D6B"/>
    <w:rsid w:val="00A053EB"/>
    <w:rsid w:val="00A05B63"/>
    <w:rsid w:val="00A14171"/>
    <w:rsid w:val="00A202DF"/>
    <w:rsid w:val="00A300A1"/>
    <w:rsid w:val="00A308AE"/>
    <w:rsid w:val="00A31D3D"/>
    <w:rsid w:val="00A56C8F"/>
    <w:rsid w:val="00A56EFA"/>
    <w:rsid w:val="00A913C5"/>
    <w:rsid w:val="00A9278F"/>
    <w:rsid w:val="00AA44F8"/>
    <w:rsid w:val="00AB3A34"/>
    <w:rsid w:val="00AB4B61"/>
    <w:rsid w:val="00AB68DB"/>
    <w:rsid w:val="00AC6FD6"/>
    <w:rsid w:val="00AC7FBD"/>
    <w:rsid w:val="00AD2327"/>
    <w:rsid w:val="00AF191D"/>
    <w:rsid w:val="00AF632D"/>
    <w:rsid w:val="00B03062"/>
    <w:rsid w:val="00B06B8B"/>
    <w:rsid w:val="00B06D0B"/>
    <w:rsid w:val="00B11269"/>
    <w:rsid w:val="00B25DBE"/>
    <w:rsid w:val="00B31D1E"/>
    <w:rsid w:val="00B46780"/>
    <w:rsid w:val="00B51A08"/>
    <w:rsid w:val="00B52422"/>
    <w:rsid w:val="00B53528"/>
    <w:rsid w:val="00B6430C"/>
    <w:rsid w:val="00B72988"/>
    <w:rsid w:val="00B808ED"/>
    <w:rsid w:val="00B90A2C"/>
    <w:rsid w:val="00B97C37"/>
    <w:rsid w:val="00BA40B7"/>
    <w:rsid w:val="00BA65A9"/>
    <w:rsid w:val="00BA7EF8"/>
    <w:rsid w:val="00BB0042"/>
    <w:rsid w:val="00BB2427"/>
    <w:rsid w:val="00BC1880"/>
    <w:rsid w:val="00BD4807"/>
    <w:rsid w:val="00BD57E6"/>
    <w:rsid w:val="00BE13BD"/>
    <w:rsid w:val="00BE35B8"/>
    <w:rsid w:val="00BE6CBF"/>
    <w:rsid w:val="00BF3B6D"/>
    <w:rsid w:val="00C035F4"/>
    <w:rsid w:val="00C059D9"/>
    <w:rsid w:val="00C106B1"/>
    <w:rsid w:val="00C135E3"/>
    <w:rsid w:val="00C16D14"/>
    <w:rsid w:val="00C20449"/>
    <w:rsid w:val="00C21560"/>
    <w:rsid w:val="00C24F6F"/>
    <w:rsid w:val="00C36022"/>
    <w:rsid w:val="00C36CE6"/>
    <w:rsid w:val="00C4466F"/>
    <w:rsid w:val="00C44E14"/>
    <w:rsid w:val="00C46393"/>
    <w:rsid w:val="00C56392"/>
    <w:rsid w:val="00C634EF"/>
    <w:rsid w:val="00C63830"/>
    <w:rsid w:val="00C71315"/>
    <w:rsid w:val="00C72700"/>
    <w:rsid w:val="00C74C4D"/>
    <w:rsid w:val="00C76426"/>
    <w:rsid w:val="00C76B97"/>
    <w:rsid w:val="00C82DC7"/>
    <w:rsid w:val="00CA4DB0"/>
    <w:rsid w:val="00CA5077"/>
    <w:rsid w:val="00CA6C2C"/>
    <w:rsid w:val="00CB3F54"/>
    <w:rsid w:val="00CC3D88"/>
    <w:rsid w:val="00CC51C8"/>
    <w:rsid w:val="00CD0313"/>
    <w:rsid w:val="00CD32DF"/>
    <w:rsid w:val="00CD7C36"/>
    <w:rsid w:val="00CE0A27"/>
    <w:rsid w:val="00CE1CBE"/>
    <w:rsid w:val="00CE4066"/>
    <w:rsid w:val="00CE490E"/>
    <w:rsid w:val="00CE51E9"/>
    <w:rsid w:val="00CF3B42"/>
    <w:rsid w:val="00CF3C46"/>
    <w:rsid w:val="00D05CAF"/>
    <w:rsid w:val="00D14512"/>
    <w:rsid w:val="00D166DB"/>
    <w:rsid w:val="00D25EFC"/>
    <w:rsid w:val="00D36DCE"/>
    <w:rsid w:val="00D404A9"/>
    <w:rsid w:val="00D41977"/>
    <w:rsid w:val="00D549BC"/>
    <w:rsid w:val="00D56CCA"/>
    <w:rsid w:val="00D65149"/>
    <w:rsid w:val="00D8092A"/>
    <w:rsid w:val="00D82E5F"/>
    <w:rsid w:val="00D94344"/>
    <w:rsid w:val="00D97246"/>
    <w:rsid w:val="00DA080C"/>
    <w:rsid w:val="00DA3C66"/>
    <w:rsid w:val="00DA432D"/>
    <w:rsid w:val="00DA4BEE"/>
    <w:rsid w:val="00DC2FD4"/>
    <w:rsid w:val="00DD6416"/>
    <w:rsid w:val="00DE1403"/>
    <w:rsid w:val="00E01345"/>
    <w:rsid w:val="00E0155B"/>
    <w:rsid w:val="00E100A6"/>
    <w:rsid w:val="00E13C37"/>
    <w:rsid w:val="00E33545"/>
    <w:rsid w:val="00E40514"/>
    <w:rsid w:val="00E42CB9"/>
    <w:rsid w:val="00E45A0C"/>
    <w:rsid w:val="00E47E79"/>
    <w:rsid w:val="00E50DF7"/>
    <w:rsid w:val="00E51594"/>
    <w:rsid w:val="00E621B1"/>
    <w:rsid w:val="00E63FE7"/>
    <w:rsid w:val="00E82C8E"/>
    <w:rsid w:val="00E82D5F"/>
    <w:rsid w:val="00E838B4"/>
    <w:rsid w:val="00E90FA1"/>
    <w:rsid w:val="00E9555E"/>
    <w:rsid w:val="00EA4C45"/>
    <w:rsid w:val="00EB2FBF"/>
    <w:rsid w:val="00EB3D80"/>
    <w:rsid w:val="00EB77E0"/>
    <w:rsid w:val="00EC15CE"/>
    <w:rsid w:val="00ED00BC"/>
    <w:rsid w:val="00ED597B"/>
    <w:rsid w:val="00ED5A18"/>
    <w:rsid w:val="00EF4020"/>
    <w:rsid w:val="00EF56DC"/>
    <w:rsid w:val="00EF6653"/>
    <w:rsid w:val="00F114EC"/>
    <w:rsid w:val="00F11C89"/>
    <w:rsid w:val="00F1288A"/>
    <w:rsid w:val="00F25971"/>
    <w:rsid w:val="00F35255"/>
    <w:rsid w:val="00F36EF5"/>
    <w:rsid w:val="00F42B77"/>
    <w:rsid w:val="00F446C3"/>
    <w:rsid w:val="00F449E6"/>
    <w:rsid w:val="00F502C0"/>
    <w:rsid w:val="00F539E2"/>
    <w:rsid w:val="00F62DC2"/>
    <w:rsid w:val="00F71515"/>
    <w:rsid w:val="00F747F8"/>
    <w:rsid w:val="00F84F63"/>
    <w:rsid w:val="00F85D79"/>
    <w:rsid w:val="00F871A3"/>
    <w:rsid w:val="00F91EC0"/>
    <w:rsid w:val="00F94AD3"/>
    <w:rsid w:val="00FA3EA2"/>
    <w:rsid w:val="00FB5429"/>
    <w:rsid w:val="00FC1158"/>
    <w:rsid w:val="00FC5324"/>
    <w:rsid w:val="00FD3E47"/>
    <w:rsid w:val="00FD3FC4"/>
    <w:rsid w:val="00FE3470"/>
    <w:rsid w:val="00FE5335"/>
    <w:rsid w:val="00FF54F4"/>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1986"/>
  <w15:docId w15:val="{33834835-DD42-42B3-9FBA-CDA19DBC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5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5E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5EF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25EFC"/>
    <w:rPr>
      <w:color w:val="0000FF"/>
      <w:u w:val="single"/>
    </w:rPr>
  </w:style>
  <w:style w:type="character" w:customStyle="1" w:styleId="title-text">
    <w:name w:val="title-text"/>
    <w:basedOn w:val="DefaultParagraphFont"/>
    <w:rsid w:val="00D25EFC"/>
  </w:style>
  <w:style w:type="character" w:customStyle="1" w:styleId="sr-only">
    <w:name w:val="sr-only"/>
    <w:basedOn w:val="DefaultParagraphFont"/>
    <w:rsid w:val="00D25EFC"/>
  </w:style>
  <w:style w:type="character" w:customStyle="1" w:styleId="text">
    <w:name w:val="text"/>
    <w:basedOn w:val="DefaultParagraphFont"/>
    <w:rsid w:val="00D25EFC"/>
  </w:style>
  <w:style w:type="paragraph" w:styleId="ListParagraph">
    <w:name w:val="List Paragraph"/>
    <w:basedOn w:val="Normal"/>
    <w:uiPriority w:val="34"/>
    <w:qFormat/>
    <w:rsid w:val="00B90A2C"/>
    <w:pPr>
      <w:ind w:left="720"/>
      <w:contextualSpacing/>
    </w:pPr>
  </w:style>
  <w:style w:type="table" w:styleId="TableGrid">
    <w:name w:val="Table Grid"/>
    <w:basedOn w:val="TableNormal"/>
    <w:uiPriority w:val="39"/>
    <w:rsid w:val="00925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416"/>
    <w:rPr>
      <w:sz w:val="16"/>
      <w:szCs w:val="16"/>
    </w:rPr>
  </w:style>
  <w:style w:type="paragraph" w:styleId="CommentText">
    <w:name w:val="annotation text"/>
    <w:basedOn w:val="Normal"/>
    <w:link w:val="CommentTextChar"/>
    <w:uiPriority w:val="99"/>
    <w:semiHidden/>
    <w:unhideWhenUsed/>
    <w:rsid w:val="00DD6416"/>
    <w:pPr>
      <w:spacing w:line="240" w:lineRule="auto"/>
    </w:pPr>
    <w:rPr>
      <w:sz w:val="20"/>
      <w:szCs w:val="20"/>
    </w:rPr>
  </w:style>
  <w:style w:type="character" w:customStyle="1" w:styleId="CommentTextChar">
    <w:name w:val="Comment Text Char"/>
    <w:basedOn w:val="DefaultParagraphFont"/>
    <w:link w:val="CommentText"/>
    <w:uiPriority w:val="99"/>
    <w:semiHidden/>
    <w:rsid w:val="00DD6416"/>
    <w:rPr>
      <w:sz w:val="20"/>
      <w:szCs w:val="20"/>
    </w:rPr>
  </w:style>
  <w:style w:type="paragraph" w:styleId="CommentSubject">
    <w:name w:val="annotation subject"/>
    <w:basedOn w:val="CommentText"/>
    <w:next w:val="CommentText"/>
    <w:link w:val="CommentSubjectChar"/>
    <w:uiPriority w:val="99"/>
    <w:semiHidden/>
    <w:unhideWhenUsed/>
    <w:rsid w:val="00DD6416"/>
    <w:rPr>
      <w:b/>
      <w:bCs/>
    </w:rPr>
  </w:style>
  <w:style w:type="character" w:customStyle="1" w:styleId="CommentSubjectChar">
    <w:name w:val="Comment Subject Char"/>
    <w:basedOn w:val="CommentTextChar"/>
    <w:link w:val="CommentSubject"/>
    <w:uiPriority w:val="99"/>
    <w:semiHidden/>
    <w:rsid w:val="00DD6416"/>
    <w:rPr>
      <w:b/>
      <w:bCs/>
      <w:sz w:val="20"/>
      <w:szCs w:val="20"/>
    </w:rPr>
  </w:style>
  <w:style w:type="paragraph" w:styleId="BalloonText">
    <w:name w:val="Balloon Text"/>
    <w:basedOn w:val="Normal"/>
    <w:link w:val="BalloonTextChar"/>
    <w:uiPriority w:val="99"/>
    <w:semiHidden/>
    <w:unhideWhenUsed/>
    <w:rsid w:val="00DD6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16"/>
    <w:rPr>
      <w:rFonts w:ascii="Segoe UI" w:hAnsi="Segoe UI" w:cs="Segoe UI"/>
      <w:sz w:val="18"/>
      <w:szCs w:val="18"/>
    </w:rPr>
  </w:style>
  <w:style w:type="paragraph" w:styleId="Caption">
    <w:name w:val="caption"/>
    <w:basedOn w:val="Normal"/>
    <w:next w:val="Normal"/>
    <w:uiPriority w:val="35"/>
    <w:unhideWhenUsed/>
    <w:qFormat/>
    <w:rsid w:val="003260B8"/>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4311BC"/>
  </w:style>
  <w:style w:type="paragraph" w:styleId="Header">
    <w:name w:val="header"/>
    <w:basedOn w:val="Normal"/>
    <w:link w:val="HeaderChar"/>
    <w:uiPriority w:val="99"/>
    <w:unhideWhenUsed/>
    <w:rsid w:val="003C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1"/>
  </w:style>
  <w:style w:type="paragraph" w:styleId="Footer">
    <w:name w:val="footer"/>
    <w:basedOn w:val="Normal"/>
    <w:link w:val="FooterChar"/>
    <w:uiPriority w:val="99"/>
    <w:unhideWhenUsed/>
    <w:rsid w:val="003C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8788">
      <w:bodyDiv w:val="1"/>
      <w:marLeft w:val="0"/>
      <w:marRight w:val="0"/>
      <w:marTop w:val="0"/>
      <w:marBottom w:val="0"/>
      <w:divBdr>
        <w:top w:val="none" w:sz="0" w:space="0" w:color="auto"/>
        <w:left w:val="none" w:sz="0" w:space="0" w:color="auto"/>
        <w:bottom w:val="none" w:sz="0" w:space="0" w:color="auto"/>
        <w:right w:val="none" w:sz="0" w:space="0" w:color="auto"/>
      </w:divBdr>
    </w:div>
    <w:div w:id="828907536">
      <w:bodyDiv w:val="1"/>
      <w:marLeft w:val="0"/>
      <w:marRight w:val="0"/>
      <w:marTop w:val="0"/>
      <w:marBottom w:val="0"/>
      <w:divBdr>
        <w:top w:val="none" w:sz="0" w:space="0" w:color="auto"/>
        <w:left w:val="none" w:sz="0" w:space="0" w:color="auto"/>
        <w:bottom w:val="none" w:sz="0" w:space="0" w:color="auto"/>
        <w:right w:val="none" w:sz="0" w:space="0" w:color="auto"/>
      </w:divBdr>
    </w:div>
    <w:div w:id="1039744350">
      <w:bodyDiv w:val="1"/>
      <w:marLeft w:val="0"/>
      <w:marRight w:val="0"/>
      <w:marTop w:val="0"/>
      <w:marBottom w:val="0"/>
      <w:divBdr>
        <w:top w:val="none" w:sz="0" w:space="0" w:color="auto"/>
        <w:left w:val="none" w:sz="0" w:space="0" w:color="auto"/>
        <w:bottom w:val="none" w:sz="0" w:space="0" w:color="auto"/>
        <w:right w:val="none" w:sz="0" w:space="0" w:color="auto"/>
      </w:divBdr>
    </w:div>
    <w:div w:id="2089420044">
      <w:bodyDiv w:val="1"/>
      <w:marLeft w:val="0"/>
      <w:marRight w:val="0"/>
      <w:marTop w:val="0"/>
      <w:marBottom w:val="0"/>
      <w:divBdr>
        <w:top w:val="none" w:sz="0" w:space="0" w:color="auto"/>
        <w:left w:val="none" w:sz="0" w:space="0" w:color="auto"/>
        <w:bottom w:val="none" w:sz="0" w:space="0" w:color="auto"/>
        <w:right w:val="none" w:sz="0" w:space="0" w:color="auto"/>
      </w:divBdr>
      <w:divsChild>
        <w:div w:id="131560228">
          <w:marLeft w:val="0"/>
          <w:marRight w:val="0"/>
          <w:marTop w:val="0"/>
          <w:marBottom w:val="120"/>
          <w:divBdr>
            <w:top w:val="none" w:sz="0" w:space="0" w:color="auto"/>
            <w:left w:val="none" w:sz="0" w:space="0" w:color="auto"/>
            <w:bottom w:val="single" w:sz="12" w:space="9" w:color="EBEBEB"/>
            <w:right w:val="none" w:sz="0" w:space="0" w:color="auto"/>
          </w:divBdr>
          <w:divsChild>
            <w:div w:id="1037656461">
              <w:marLeft w:val="0"/>
              <w:marRight w:val="0"/>
              <w:marTop w:val="100"/>
              <w:marBottom w:val="100"/>
              <w:divBdr>
                <w:top w:val="none" w:sz="0" w:space="0" w:color="auto"/>
                <w:left w:val="none" w:sz="0" w:space="0" w:color="auto"/>
                <w:bottom w:val="none" w:sz="0" w:space="0" w:color="auto"/>
                <w:right w:val="none" w:sz="0" w:space="0" w:color="auto"/>
              </w:divBdr>
              <w:divsChild>
                <w:div w:id="153881896">
                  <w:marLeft w:val="0"/>
                  <w:marRight w:val="0"/>
                  <w:marTop w:val="0"/>
                  <w:marBottom w:val="0"/>
                  <w:divBdr>
                    <w:top w:val="none" w:sz="0" w:space="0" w:color="auto"/>
                    <w:left w:val="none" w:sz="0" w:space="0" w:color="auto"/>
                    <w:bottom w:val="none" w:sz="0" w:space="0" w:color="auto"/>
                    <w:right w:val="none" w:sz="0" w:space="0" w:color="auto"/>
                  </w:divBdr>
                </w:div>
                <w:div w:id="923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5941">
          <w:marLeft w:val="0"/>
          <w:marRight w:val="0"/>
          <w:marTop w:val="0"/>
          <w:marBottom w:val="120"/>
          <w:divBdr>
            <w:top w:val="none" w:sz="0" w:space="0" w:color="auto"/>
            <w:left w:val="none" w:sz="0" w:space="0" w:color="auto"/>
            <w:bottom w:val="none" w:sz="0" w:space="0" w:color="auto"/>
            <w:right w:val="none" w:sz="0" w:space="0" w:color="auto"/>
          </w:divBdr>
          <w:divsChild>
            <w:div w:id="725253817">
              <w:marLeft w:val="0"/>
              <w:marRight w:val="0"/>
              <w:marTop w:val="0"/>
              <w:marBottom w:val="0"/>
              <w:divBdr>
                <w:top w:val="none" w:sz="0" w:space="0" w:color="auto"/>
                <w:left w:val="none" w:sz="0" w:space="0" w:color="auto"/>
                <w:bottom w:val="none" w:sz="0" w:space="0" w:color="auto"/>
                <w:right w:val="none" w:sz="0" w:space="0" w:color="auto"/>
              </w:divBdr>
              <w:divsChild>
                <w:div w:id="1922106800">
                  <w:marLeft w:val="0"/>
                  <w:marRight w:val="0"/>
                  <w:marTop w:val="0"/>
                  <w:marBottom w:val="0"/>
                  <w:divBdr>
                    <w:top w:val="none" w:sz="0" w:space="0" w:color="auto"/>
                    <w:left w:val="none" w:sz="0" w:space="0" w:color="auto"/>
                    <w:bottom w:val="none" w:sz="0" w:space="0" w:color="auto"/>
                    <w:right w:val="none" w:sz="0" w:space="0" w:color="auto"/>
                  </w:divBdr>
                  <w:divsChild>
                    <w:div w:id="139103217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ubmed/?term=Roof%20RD%5BAuthor%5D&amp;cauthor=true&amp;cauthor_uid=861195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Beconi-Barker%20MG%5BAuthor%5D&amp;cauthor=true&amp;cauthor_uid=8611957" TargetMode="External"/><Relationship Id="rId17" Type="http://schemas.openxmlformats.org/officeDocument/2006/relationships/hyperlink" Target="https://www.ncbi.nlm.nih.gov/pubmed/?term=Smith%20EB%5BAuthor%5D&amp;cauthor=true&amp;cauthor_uid=8611957" TargetMode="External"/><Relationship Id="rId2" Type="http://schemas.openxmlformats.org/officeDocument/2006/relationships/numbering" Target="numbering.xml"/><Relationship Id="rId16" Type="http://schemas.openxmlformats.org/officeDocument/2006/relationships/hyperlink" Target="https://www.ncbi.nlm.nih.gov/pubmed/?term=Vidmar%20TH%5BAuthor%5D&amp;cauthor=true&amp;cauthor_uid=86119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ncbi.nlm.nih.gov/pubmed/?term=Kausche%20FM%5BAuthor%5D&amp;cauthor=true&amp;cauthor_uid=8611957"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ncbi.nlm.nih.gov/pubmed/?term=Millerioux%20L%5BAuthor%5D&amp;cauthor=true&amp;cauthor_uid=861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DA8F2-7740-41CE-BD15-0AAA39D9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Adil</dc:creator>
  <cp:keywords/>
  <dc:description/>
  <cp:lastModifiedBy>Muhammad Adil</cp:lastModifiedBy>
  <cp:revision>2</cp:revision>
  <cp:lastPrinted>2019-01-01T10:29:00Z</cp:lastPrinted>
  <dcterms:created xsi:type="dcterms:W3CDTF">2019-01-01T10:31:00Z</dcterms:created>
  <dcterms:modified xsi:type="dcterms:W3CDTF">2019-01-01T10:31:00Z</dcterms:modified>
</cp:coreProperties>
</file>